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0" w:lineRule="exact"/>
        <w:rPr>
          <w:sz w:val="24"/>
          <w:szCs w:val="24"/>
          <w:color w:val="auto"/>
        </w:rPr>
      </w:pPr>
    </w:p>
    <w:p>
      <w:pPr>
        <w:ind w:left="20"/>
        <w:spacing w:after="0"/>
        <w:rPr>
          <w:sz w:val="20"/>
          <w:szCs w:val="20"/>
          <w:color w:val="auto"/>
        </w:rPr>
      </w:pPr>
      <w:r>
        <w:rPr>
          <w:rFonts w:ascii="Arial" w:cs="Arial" w:eastAsia="Arial" w:hAnsi="Arial"/>
          <w:sz w:val="22"/>
          <w:szCs w:val="22"/>
          <w:color w:val="auto"/>
        </w:rPr>
        <w:t>J.P. Morgan Securities LLC</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22"/>
          <w:szCs w:val="22"/>
          <w:color w:val="auto"/>
        </w:rPr>
        <w:t>383 Madison Avenue</w:t>
      </w:r>
    </w:p>
    <w:p>
      <w:pPr>
        <w:spacing w:after="0" w:line="4" w:lineRule="exact"/>
        <w:rPr>
          <w:sz w:val="24"/>
          <w:szCs w:val="24"/>
          <w:color w:val="auto"/>
        </w:rPr>
      </w:pPr>
    </w:p>
    <w:p>
      <w:pPr>
        <w:ind w:left="20"/>
        <w:spacing w:after="0"/>
        <w:rPr>
          <w:sz w:val="20"/>
          <w:szCs w:val="20"/>
          <w:color w:val="auto"/>
        </w:rPr>
      </w:pPr>
      <w:r>
        <w:rPr>
          <w:rFonts w:ascii="Arial" w:cs="Arial" w:eastAsia="Arial" w:hAnsi="Arial"/>
          <w:sz w:val="22"/>
          <w:szCs w:val="22"/>
          <w:color w:val="auto"/>
        </w:rPr>
        <w:t>New York, New York 10179</w:t>
      </w:r>
    </w:p>
    <w:p>
      <w:pPr>
        <w:spacing w:after="0" w:line="310" w:lineRule="exact"/>
        <w:rPr>
          <w:sz w:val="24"/>
          <w:szCs w:val="24"/>
          <w:color w:val="auto"/>
        </w:rPr>
      </w:pPr>
    </w:p>
    <w:p>
      <w:pPr>
        <w:ind w:left="20"/>
        <w:spacing w:after="0"/>
        <w:rPr>
          <w:sz w:val="20"/>
          <w:szCs w:val="20"/>
          <w:color w:val="auto"/>
        </w:rPr>
      </w:pPr>
      <w:r>
        <w:rPr>
          <w:rFonts w:ascii="Arial" w:cs="Arial" w:eastAsia="Arial" w:hAnsi="Arial"/>
          <w:sz w:val="22"/>
          <w:szCs w:val="22"/>
          <w:color w:val="auto"/>
        </w:rPr>
        <w:t>Morgan Stanley &amp; Co. LLC</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22"/>
          <w:szCs w:val="22"/>
          <w:color w:val="auto"/>
        </w:rPr>
        <w:t>1585 Broadway</w:t>
      </w:r>
    </w:p>
    <w:p>
      <w:pPr>
        <w:spacing w:after="0" w:line="4" w:lineRule="exact"/>
        <w:rPr>
          <w:sz w:val="24"/>
          <w:szCs w:val="24"/>
          <w:color w:val="auto"/>
        </w:rPr>
      </w:pPr>
    </w:p>
    <w:p>
      <w:pPr>
        <w:ind w:left="20"/>
        <w:spacing w:after="0"/>
        <w:rPr>
          <w:sz w:val="20"/>
          <w:szCs w:val="20"/>
          <w:color w:val="auto"/>
        </w:rPr>
      </w:pPr>
      <w:r>
        <w:rPr>
          <w:rFonts w:ascii="Arial" w:cs="Arial" w:eastAsia="Arial" w:hAnsi="Arial"/>
          <w:sz w:val="22"/>
          <w:szCs w:val="22"/>
          <w:color w:val="auto"/>
        </w:rPr>
        <w:t>New York, New York 10036</w:t>
      </w:r>
    </w:p>
    <w:p>
      <w:pPr>
        <w:spacing w:after="0" w:line="310" w:lineRule="exact"/>
        <w:rPr>
          <w:sz w:val="24"/>
          <w:szCs w:val="24"/>
          <w:color w:val="auto"/>
        </w:rPr>
      </w:pPr>
    </w:p>
    <w:p>
      <w:pPr>
        <w:ind w:left="20"/>
        <w:spacing w:after="0"/>
        <w:rPr>
          <w:sz w:val="20"/>
          <w:szCs w:val="20"/>
          <w:color w:val="auto"/>
        </w:rPr>
      </w:pPr>
      <w:r>
        <w:rPr>
          <w:rFonts w:ascii="Arial" w:cs="Arial" w:eastAsia="Arial" w:hAnsi="Arial"/>
          <w:sz w:val="22"/>
          <w:szCs w:val="22"/>
          <w:color w:val="auto"/>
        </w:rPr>
        <w:t>BofA Securities, Inc.</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22"/>
          <w:szCs w:val="22"/>
          <w:color w:val="auto"/>
        </w:rPr>
        <w:t>One Bryant Park</w:t>
      </w:r>
    </w:p>
    <w:p>
      <w:pPr>
        <w:spacing w:after="0" w:line="4" w:lineRule="exact"/>
        <w:rPr>
          <w:sz w:val="24"/>
          <w:szCs w:val="24"/>
          <w:color w:val="auto"/>
        </w:rPr>
      </w:pPr>
    </w:p>
    <w:p>
      <w:pPr>
        <w:ind w:left="20"/>
        <w:spacing w:after="0"/>
        <w:rPr>
          <w:sz w:val="20"/>
          <w:szCs w:val="20"/>
          <w:color w:val="auto"/>
        </w:rPr>
      </w:pPr>
      <w:r>
        <w:rPr>
          <w:rFonts w:ascii="Arial" w:cs="Arial" w:eastAsia="Arial" w:hAnsi="Arial"/>
          <w:sz w:val="22"/>
          <w:szCs w:val="22"/>
          <w:color w:val="auto"/>
        </w:rPr>
        <w:t>New York, New York 10036</w:t>
      </w:r>
    </w:p>
    <w:p>
      <w:pPr>
        <w:spacing w:after="0" w:line="310" w:lineRule="exact"/>
        <w:rPr>
          <w:sz w:val="24"/>
          <w:szCs w:val="24"/>
          <w:color w:val="auto"/>
        </w:rPr>
      </w:pPr>
    </w:p>
    <w:p>
      <w:pPr>
        <w:ind w:left="20"/>
        <w:spacing w:after="0"/>
        <w:rPr>
          <w:sz w:val="20"/>
          <w:szCs w:val="20"/>
          <w:color w:val="auto"/>
        </w:rPr>
      </w:pPr>
      <w:r>
        <w:rPr>
          <w:rFonts w:ascii="Arial" w:cs="Arial" w:eastAsia="Arial" w:hAnsi="Arial"/>
          <w:sz w:val="22"/>
          <w:szCs w:val="22"/>
          <w:color w:val="auto"/>
        </w:rPr>
        <w:t>United States Securities and Exchange Commission</w:t>
      </w:r>
    </w:p>
    <w:p>
      <w:pPr>
        <w:spacing w:after="0" w:line="21" w:lineRule="exact"/>
        <w:rPr>
          <w:sz w:val="24"/>
          <w:szCs w:val="24"/>
          <w:color w:val="auto"/>
        </w:rPr>
      </w:pPr>
    </w:p>
    <w:p>
      <w:pPr>
        <w:ind w:left="20"/>
        <w:spacing w:after="0"/>
        <w:rPr>
          <w:sz w:val="20"/>
          <w:szCs w:val="20"/>
          <w:color w:val="auto"/>
        </w:rPr>
      </w:pPr>
      <w:r>
        <w:rPr>
          <w:rFonts w:ascii="Arial" w:cs="Arial" w:eastAsia="Arial" w:hAnsi="Arial"/>
          <w:sz w:val="22"/>
          <w:szCs w:val="22"/>
          <w:color w:val="auto"/>
        </w:rPr>
        <w:t>Division of Corporate Finance</w:t>
      </w:r>
    </w:p>
    <w:p>
      <w:pPr>
        <w:spacing w:after="0" w:line="4" w:lineRule="exact"/>
        <w:rPr>
          <w:sz w:val="24"/>
          <w:szCs w:val="24"/>
          <w:color w:val="auto"/>
        </w:rPr>
      </w:pPr>
    </w:p>
    <w:p>
      <w:pPr>
        <w:ind w:left="20"/>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ind w:left="20"/>
        <w:spacing w:after="0"/>
        <w:rPr>
          <w:sz w:val="20"/>
          <w:szCs w:val="20"/>
          <w:color w:val="auto"/>
        </w:rPr>
      </w:pPr>
      <w:r>
        <w:rPr>
          <w:rFonts w:ascii="Arial" w:cs="Arial" w:eastAsia="Arial" w:hAnsi="Arial"/>
          <w:sz w:val="22"/>
          <w:szCs w:val="22"/>
          <w:color w:val="auto"/>
        </w:rPr>
        <w:t>Washington, D.C. 20549</w:t>
      </w:r>
    </w:p>
    <w:p>
      <w:pPr>
        <w:spacing w:after="0" w:line="4" w:lineRule="exact"/>
        <w:rPr>
          <w:sz w:val="24"/>
          <w:szCs w:val="24"/>
          <w:color w:val="auto"/>
        </w:rPr>
      </w:pPr>
    </w:p>
    <w:p>
      <w:pPr>
        <w:ind w:left="20"/>
        <w:spacing w:after="0"/>
        <w:rPr>
          <w:sz w:val="20"/>
          <w:szCs w:val="20"/>
          <w:color w:val="auto"/>
        </w:rPr>
      </w:pPr>
      <w:r>
        <w:rPr>
          <w:rFonts w:ascii="Arial" w:cs="Arial" w:eastAsia="Arial" w:hAnsi="Arial"/>
          <w:sz w:val="22"/>
          <w:szCs w:val="22"/>
          <w:color w:val="auto"/>
        </w:rPr>
        <w:t>Attention: Jason Drory</w:t>
      </w:r>
    </w:p>
    <w:p>
      <w:pPr>
        <w:spacing w:after="0" w:line="337" w:lineRule="exact"/>
        <w:rPr>
          <w:sz w:val="24"/>
          <w:szCs w:val="24"/>
          <w:color w:val="auto"/>
        </w:rPr>
      </w:pPr>
    </w:p>
    <w:p>
      <w:pPr>
        <w:spacing w:after="0"/>
        <w:rPr>
          <w:sz w:val="20"/>
          <w:szCs w:val="20"/>
          <w:color w:val="auto"/>
        </w:rPr>
      </w:pPr>
      <w:r>
        <w:rPr>
          <w:rFonts w:ascii="Arial" w:cs="Arial" w:eastAsia="Arial" w:hAnsi="Arial"/>
          <w:sz w:val="22"/>
          <w:szCs w:val="22"/>
          <w:color w:val="auto"/>
        </w:rPr>
        <w:t>Re: Seer, Inc.</w:t>
      </w:r>
    </w:p>
    <w:p>
      <w:pPr>
        <w:spacing w:after="0" w:line="21" w:lineRule="exact"/>
        <w:rPr>
          <w:sz w:val="24"/>
          <w:szCs w:val="24"/>
          <w:color w:val="auto"/>
        </w:rPr>
      </w:pPr>
    </w:p>
    <w:p>
      <w:pPr>
        <w:ind w:left="420"/>
        <w:spacing w:after="0"/>
        <w:rPr>
          <w:sz w:val="20"/>
          <w:szCs w:val="20"/>
          <w:color w:val="auto"/>
        </w:rPr>
      </w:pPr>
      <w:r>
        <w:rPr>
          <w:rFonts w:ascii="Arial" w:cs="Arial" w:eastAsia="Arial" w:hAnsi="Arial"/>
          <w:sz w:val="22"/>
          <w:szCs w:val="22"/>
          <w:color w:val="auto"/>
        </w:rPr>
        <w:t>Registration Statement on Form S-1 (File No. 333-252395)</w:t>
      </w:r>
    </w:p>
    <w:p>
      <w:pPr>
        <w:spacing w:after="0" w:line="202" w:lineRule="exact"/>
        <w:rPr>
          <w:sz w:val="24"/>
          <w:szCs w:val="24"/>
          <w:color w:val="auto"/>
        </w:rPr>
      </w:pPr>
    </w:p>
    <w:p>
      <w:pPr>
        <w:jc w:val="right"/>
        <w:spacing w:after="0"/>
        <w:rPr>
          <w:sz w:val="20"/>
          <w:szCs w:val="20"/>
          <w:color w:val="auto"/>
        </w:rPr>
      </w:pPr>
      <w:r>
        <w:rPr>
          <w:rFonts w:ascii="Arial" w:cs="Arial" w:eastAsia="Arial" w:hAnsi="Arial"/>
          <w:sz w:val="22"/>
          <w:szCs w:val="22"/>
          <w:color w:val="auto"/>
        </w:rPr>
        <w:t>January 25, 2021</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14" w:lineRule="exact"/>
        <w:rPr>
          <w:sz w:val="24"/>
          <w:szCs w:val="24"/>
          <w:color w:val="auto"/>
        </w:rPr>
      </w:pPr>
    </w:p>
    <w:p>
      <w:pPr>
        <w:jc w:val="both"/>
        <w:ind w:right="380" w:firstLine="648"/>
        <w:spacing w:after="0" w:line="264" w:lineRule="auto"/>
        <w:rPr>
          <w:sz w:val="20"/>
          <w:szCs w:val="20"/>
          <w:color w:val="auto"/>
        </w:rPr>
      </w:pPr>
      <w:r>
        <w:rPr>
          <w:rFonts w:ascii="Arial" w:cs="Arial" w:eastAsia="Arial" w:hAnsi="Arial"/>
          <w:sz w:val="21"/>
          <w:szCs w:val="21"/>
          <w:color w:val="auto"/>
        </w:rPr>
        <w:t>In accordance with Rule 461 under the Securities Act of 1933, as amended (the “</w:t>
      </w:r>
      <w:r>
        <w:rPr>
          <w:rFonts w:ascii="Arial" w:cs="Arial" w:eastAsia="Arial" w:hAnsi="Arial"/>
          <w:sz w:val="21"/>
          <w:szCs w:val="21"/>
          <w:b w:val="1"/>
          <w:bCs w:val="1"/>
          <w:color w:val="auto"/>
        </w:rPr>
        <w:t>Act</w:t>
      </w:r>
      <w:r>
        <w:rPr>
          <w:rFonts w:ascii="Arial" w:cs="Arial" w:eastAsia="Arial" w:hAnsi="Arial"/>
          <w:sz w:val="21"/>
          <w:szCs w:val="21"/>
          <w:color w:val="auto"/>
        </w:rPr>
        <w:t>”), we, as representatives of the several underwriters, hereby join in the request of Seer, Inc. (the “</w:t>
      </w:r>
      <w:r>
        <w:rPr>
          <w:rFonts w:ascii="Arial" w:cs="Arial" w:eastAsia="Arial" w:hAnsi="Arial"/>
          <w:sz w:val="21"/>
          <w:szCs w:val="21"/>
          <w:b w:val="1"/>
          <w:bCs w:val="1"/>
          <w:color w:val="auto"/>
        </w:rPr>
        <w:t>Company</w:t>
      </w:r>
      <w:r>
        <w:rPr>
          <w:rFonts w:ascii="Arial" w:cs="Arial" w:eastAsia="Arial" w:hAnsi="Arial"/>
          <w:sz w:val="21"/>
          <w:szCs w:val="21"/>
          <w:color w:val="auto"/>
        </w:rPr>
        <w:t>”) for acceleration of the effective date of the above-named Registration Statement so that it comes effective at 4:00 PM, Eastern Time, on January 27, 2021 or soon thereafter as practicable, or at such other time as the Company or its outside counsel, Wilson Sonsini Goodrich &amp; Rosati, request by telephone that such Registration Statement be declared effective.</w:t>
      </w:r>
    </w:p>
    <w:p>
      <w:pPr>
        <w:spacing w:after="0" w:line="176" w:lineRule="exact"/>
        <w:rPr>
          <w:sz w:val="24"/>
          <w:szCs w:val="24"/>
          <w:color w:val="auto"/>
        </w:rPr>
      </w:pPr>
    </w:p>
    <w:p>
      <w:pPr>
        <w:jc w:val="both"/>
        <w:ind w:right="380" w:firstLine="648"/>
        <w:spacing w:after="0" w:line="250" w:lineRule="auto"/>
        <w:rPr>
          <w:sz w:val="20"/>
          <w:szCs w:val="20"/>
          <w:color w:val="auto"/>
        </w:rPr>
      </w:pPr>
      <w:r>
        <w:rPr>
          <w:rFonts w:ascii="Arial" w:cs="Arial" w:eastAsia="Arial" w:hAnsi="Arial"/>
          <w:sz w:val="22"/>
          <w:szCs w:val="22"/>
          <w:color w:val="auto"/>
        </w:rPr>
        <w:t>Pursuant to Rule 460 under the Act, we, as representatives of the several underwriters, wish to advise you that there will be distributed to each underwriter or dealer, who is reasonably anticipated to participate in the distribution of securities, as many copies of the preliminary prospectus as appears to be reasonable to secure adequate distribution of the preliminary prospectus.</w:t>
      </w:r>
    </w:p>
    <w:p>
      <w:pPr>
        <w:spacing w:after="0" w:line="188" w:lineRule="exact"/>
        <w:rPr>
          <w:sz w:val="24"/>
          <w:szCs w:val="24"/>
          <w:color w:val="auto"/>
        </w:rPr>
      </w:pPr>
    </w:p>
    <w:p>
      <w:pPr>
        <w:jc w:val="both"/>
        <w:ind w:right="380" w:firstLine="648"/>
        <w:spacing w:after="0" w:line="263" w:lineRule="auto"/>
        <w:rPr>
          <w:sz w:val="20"/>
          <w:szCs w:val="20"/>
          <w:color w:val="auto"/>
        </w:rPr>
      </w:pPr>
      <w:r>
        <w:rPr>
          <w:rFonts w:ascii="Arial" w:cs="Arial" w:eastAsia="Arial" w:hAnsi="Arial"/>
          <w:sz w:val="22"/>
          <w:szCs w:val="22"/>
          <w:color w:val="auto"/>
        </w:rPr>
        <w:t>We, the undersigned, as representatives of the several underwriters, will comply with the requirements of Rule 15c2-8 under the Securities Exchange Act of 1934, as amended.</w:t>
      </w:r>
    </w:p>
    <w:p>
      <w:pPr>
        <w:sectPr>
          <w:pgSz w:w="11900" w:h="16838" w:orient="portrait"/>
          <w:cols w:equalWidth="0" w:num="1">
            <w:col w:w="11240"/>
          </w:cols>
          <w:pgMar w:left="320" w:top="1440" w:right="339" w:bottom="1440" w:gutter="0" w:footer="0" w:header="0"/>
        </w:sectPr>
      </w:pPr>
    </w:p>
    <w:bookmarkStart w:id="1" w:name="page2"/>
    <w:bookmarkEnd w:id="1"/>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J.P. Morgan Securities LLC</w:t>
      </w:r>
    </w:p>
    <w:p>
      <w:pPr>
        <w:spacing w:after="0" w:line="200" w:lineRule="exact"/>
        <w:rPr>
          <w:sz w:val="20"/>
          <w:szCs w:val="20"/>
          <w:color w:val="auto"/>
        </w:rPr>
      </w:pPr>
    </w:p>
    <w:p>
      <w:pPr>
        <w:spacing w:after="0" w:line="398" w:lineRule="exact"/>
        <w:rPr>
          <w:sz w:val="20"/>
          <w:szCs w:val="20"/>
          <w:color w:val="auto"/>
        </w:rPr>
      </w:pPr>
    </w:p>
    <w:p>
      <w:pPr>
        <w:spacing w:after="0"/>
        <w:tabs>
          <w:tab w:leader="none" w:pos="6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Benjamin Burdett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343535</wp:posOffset>
            </wp:positionH>
            <wp:positionV relativeFrom="paragraph">
              <wp:posOffset>24130</wp:posOffset>
            </wp:positionV>
            <wp:extent cx="2640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51" w:lineRule="exact"/>
        <w:rPr>
          <w:sz w:val="20"/>
          <w:szCs w:val="20"/>
          <w:color w:val="auto"/>
        </w:rPr>
      </w:pPr>
    </w:p>
    <w:p>
      <w:pPr>
        <w:jc w:val="right"/>
        <w:ind w:right="7379"/>
        <w:spacing w:after="0"/>
        <w:rPr>
          <w:sz w:val="20"/>
          <w:szCs w:val="20"/>
          <w:color w:val="auto"/>
        </w:rPr>
      </w:pPr>
      <w:r>
        <w:rPr>
          <w:rFonts w:ascii="Arial" w:cs="Arial" w:eastAsia="Arial" w:hAnsi="Arial"/>
          <w:sz w:val="22"/>
          <w:szCs w:val="22"/>
          <w:color w:val="auto"/>
        </w:rPr>
        <w:t>Name: Benjamin Burdett</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416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/s/ Chris Rigoli</w:t>
            </w:r>
          </w:p>
        </w:tc>
      </w:tr>
      <w:tr>
        <w:trPr>
          <w:trHeight w:val="293"/>
        </w:trPr>
        <w:tc>
          <w:tcPr>
            <w:tcW w:w="54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Arial" w:cs="Arial" w:eastAsia="Arial" w:hAnsi="Arial"/>
                <w:sz w:val="22"/>
                <w:szCs w:val="22"/>
                <w:color w:val="auto"/>
              </w:rPr>
              <w:t>Name: Chris Rigoli</w:t>
            </w:r>
          </w:p>
        </w:tc>
      </w:tr>
      <w:tr>
        <w:trPr>
          <w:trHeight w:val="310"/>
        </w:trPr>
        <w:tc>
          <w:tcPr>
            <w:tcW w:w="54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Arial" w:cs="Arial" w:eastAsia="Arial" w:hAnsi="Arial"/>
                <w:sz w:val="22"/>
                <w:szCs w:val="22"/>
                <w:color w:val="auto"/>
              </w:rPr>
              <w:t>Title: Vice President</w:t>
            </w: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color w:val="auto"/>
        </w:rPr>
        <w:t>BofA Securities, Inc.</w:t>
      </w:r>
    </w:p>
    <w:p>
      <w:pPr>
        <w:spacing w:after="0" w:line="200" w:lineRule="exact"/>
        <w:rPr>
          <w:sz w:val="20"/>
          <w:szCs w:val="20"/>
          <w:color w:val="auto"/>
        </w:rPr>
      </w:pP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540" w:type="dxa"/>
            <w:vAlign w:val="bottom"/>
          </w:tcPr>
          <w:p>
            <w:pPr>
              <w:spacing w:after="0"/>
              <w:rPr>
                <w:sz w:val="20"/>
                <w:szCs w:val="20"/>
                <w:color w:val="auto"/>
              </w:rPr>
            </w:pPr>
            <w:r>
              <w:rPr>
                <w:rFonts w:ascii="Arial" w:cs="Arial" w:eastAsia="Arial" w:hAnsi="Arial"/>
                <w:sz w:val="22"/>
                <w:szCs w:val="22"/>
                <w:color w:val="auto"/>
              </w:rPr>
              <w:t>By:</w:t>
            </w:r>
          </w:p>
        </w:tc>
        <w:tc>
          <w:tcPr>
            <w:tcW w:w="4160" w:type="dxa"/>
            <w:vAlign w:val="bottom"/>
            <w:tcBorders>
              <w:bottom w:val="single" w:sz="8" w:color="auto"/>
            </w:tcBorders>
          </w:tcPr>
          <w:p>
            <w:pPr>
              <w:ind w:left="180"/>
              <w:spacing w:after="0"/>
              <w:rPr>
                <w:sz w:val="20"/>
                <w:szCs w:val="20"/>
                <w:color w:val="auto"/>
              </w:rPr>
            </w:pPr>
            <w:r>
              <w:rPr>
                <w:rFonts w:ascii="Arial" w:cs="Arial" w:eastAsia="Arial" w:hAnsi="Arial"/>
                <w:sz w:val="22"/>
                <w:szCs w:val="22"/>
                <w:color w:val="auto"/>
              </w:rPr>
              <w:t>/s/ Milt Hsu</w:t>
            </w:r>
          </w:p>
        </w:tc>
      </w:tr>
      <w:tr>
        <w:trPr>
          <w:trHeight w:val="294"/>
        </w:trPr>
        <w:tc>
          <w:tcPr>
            <w:tcW w:w="54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Arial" w:cs="Arial" w:eastAsia="Arial" w:hAnsi="Arial"/>
                <w:sz w:val="22"/>
                <w:szCs w:val="22"/>
                <w:color w:val="auto"/>
              </w:rPr>
              <w:t>Name: Milt Hsu</w:t>
            </w:r>
          </w:p>
        </w:tc>
      </w:tr>
      <w:tr>
        <w:trPr>
          <w:trHeight w:val="310"/>
        </w:trPr>
        <w:tc>
          <w:tcPr>
            <w:tcW w:w="540" w:type="dxa"/>
            <w:vAlign w:val="bottom"/>
          </w:tcPr>
          <w:p>
            <w:pPr>
              <w:spacing w:after="0"/>
              <w:rPr>
                <w:sz w:val="24"/>
                <w:szCs w:val="24"/>
                <w:color w:val="auto"/>
              </w:rPr>
            </w:pPr>
          </w:p>
        </w:tc>
        <w:tc>
          <w:tcPr>
            <w:tcW w:w="4160" w:type="dxa"/>
            <w:vAlign w:val="bottom"/>
          </w:tcPr>
          <w:p>
            <w:pPr>
              <w:ind w:left="20"/>
              <w:spacing w:after="0"/>
              <w:rPr>
                <w:sz w:val="20"/>
                <w:szCs w:val="20"/>
                <w:color w:val="auto"/>
              </w:rPr>
            </w:pPr>
            <w:r>
              <w:rPr>
                <w:rFonts w:ascii="Arial" w:cs="Arial" w:eastAsia="Arial" w:hAnsi="Arial"/>
                <w:sz w:val="22"/>
                <w:szCs w:val="22"/>
                <w:color w:val="auto"/>
              </w:rPr>
              <w:t>Title: Managing Director</w:t>
            </w:r>
          </w:p>
        </w:tc>
      </w:tr>
    </w:tbl>
    <w:p>
      <w:pPr>
        <w:spacing w:after="0" w:line="1" w:lineRule="exact"/>
        <w:rPr>
          <w:sz w:val="20"/>
          <w:szCs w:val="20"/>
          <w:color w:val="auto"/>
        </w:rPr>
      </w:pPr>
    </w:p>
    <w:sectPr>
      <w:pgSz w:w="11900" w:h="16838" w:orient="portrait"/>
      <w:cols w:equalWidth="0" w:num="1">
        <w:col w:w="10119"/>
      </w:cols>
      <w:pgMar w:left="3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2021-02-25T23:08:15Z</dcterms:created>
  <dcterms:modified xsi:type="dcterms:W3CDTF">2021-02-25T23:08:15Z</dcterms:modified>
</cp:coreProperties>
</file>