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18"/>
          <w:szCs w:val="18"/>
          <w:b w:val="1"/>
          <w:bCs w:val="1"/>
          <w:color w:val="auto"/>
        </w:rPr>
        <w:t>As filed with the Securities and Exchange Commission on December 3, 2020.</w:t>
      </w:r>
    </w:p>
    <w:p>
      <w:pPr>
        <w:spacing w:after="0" w:line="27" w:lineRule="exact"/>
        <w:rPr>
          <w:sz w:val="24"/>
          <w:szCs w:val="24"/>
          <w:color w:val="auto"/>
        </w:rPr>
      </w:pPr>
    </w:p>
    <w:p>
      <w:pPr>
        <w:ind w:left="8980"/>
        <w:spacing w:after="0"/>
        <w:rPr>
          <w:sz w:val="20"/>
          <w:szCs w:val="20"/>
          <w:color w:val="auto"/>
        </w:rPr>
      </w:pPr>
      <w:r>
        <w:rPr>
          <w:rFonts w:ascii="Arial" w:cs="Arial" w:eastAsia="Arial" w:hAnsi="Arial"/>
          <w:sz w:val="18"/>
          <w:szCs w:val="18"/>
          <w:b w:val="1"/>
          <w:bCs w:val="1"/>
          <w:color w:val="auto"/>
        </w:rPr>
        <w:t>Registration No. 333-</w:t>
      </w:r>
    </w:p>
    <w:p>
      <w:pPr>
        <w:spacing w:after="0" w:line="143"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Washington, D.C. 20549</w:t>
      </w:r>
    </w:p>
    <w:p>
      <w:pPr>
        <w:spacing w:after="0" w:line="128"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FORM S-1</w:t>
      </w:r>
    </w:p>
    <w:p>
      <w:pPr>
        <w:spacing w:after="0" w:line="46"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REGISTRATION STATEMENT</w:t>
      </w:r>
    </w:p>
    <w:p>
      <w:pPr>
        <w:spacing w:after="0" w:line="12"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i w:val="1"/>
          <w:iCs w:val="1"/>
          <w:color w:val="auto"/>
        </w:rPr>
        <w:t>UNDER</w:t>
      </w:r>
    </w:p>
    <w:p>
      <w:pPr>
        <w:spacing w:after="0" w:line="3"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126" w:lineRule="exact"/>
        <w:rPr>
          <w:sz w:val="24"/>
          <w:szCs w:val="24"/>
          <w:color w:val="auto"/>
        </w:rPr>
      </w:pPr>
    </w:p>
    <w:p>
      <w:pPr>
        <w:jc w:val="center"/>
        <w:ind w:right="-159"/>
        <w:spacing w:after="0"/>
        <w:rPr>
          <w:sz w:val="20"/>
          <w:szCs w:val="20"/>
          <w:color w:val="auto"/>
        </w:rPr>
      </w:pPr>
      <w:r>
        <w:rPr>
          <w:rFonts w:ascii="Arial" w:cs="Arial" w:eastAsia="Arial" w:hAnsi="Arial"/>
          <w:sz w:val="43"/>
          <w:szCs w:val="43"/>
          <w:b w:val="1"/>
          <w:bCs w:val="1"/>
          <w:color w:val="auto"/>
        </w:rPr>
        <w:t>SEER, INC.</w:t>
      </w:r>
    </w:p>
    <w:p>
      <w:pPr>
        <w:spacing w:after="0" w:line="50"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84" w:lineRule="exact"/>
        <w:rPr>
          <w:sz w:val="24"/>
          <w:szCs w:val="24"/>
          <w:color w:val="auto"/>
        </w:rPr>
      </w:pPr>
    </w:p>
    <w:tbl>
      <w:tblPr>
        <w:tblLayout w:type="fixed"/>
        <w:tblInd w:w="900" w:type="dxa"/>
        <w:tblCellMar>
          <w:top w:w="0" w:type="dxa"/>
          <w:left w:w="0" w:type="dxa"/>
          <w:bottom w:w="0" w:type="dxa"/>
          <w:right w:w="0" w:type="dxa"/>
        </w:tblCellMar>
      </w:tblPr>
      <w:tr>
        <w:trPr>
          <w:trHeight w:val="225"/>
        </w:trPr>
        <w:tc>
          <w:tcPr>
            <w:tcW w:w="2840" w:type="dxa"/>
            <w:vAlign w:val="bottom"/>
          </w:tcPr>
          <w:p>
            <w:pPr>
              <w:jc w:val="center"/>
              <w:ind w:right="882"/>
              <w:spacing w:after="0"/>
              <w:rPr>
                <w:sz w:val="20"/>
                <w:szCs w:val="20"/>
                <w:color w:val="auto"/>
              </w:rPr>
            </w:pPr>
            <w:r>
              <w:rPr>
                <w:rFonts w:ascii="Arial" w:cs="Arial" w:eastAsia="Arial" w:hAnsi="Arial"/>
                <w:sz w:val="18"/>
                <w:szCs w:val="18"/>
                <w:b w:val="1"/>
                <w:bCs w:val="1"/>
                <w:color w:val="auto"/>
                <w:w w:val="91"/>
              </w:rPr>
              <w:t>Delaware</w:t>
            </w:r>
          </w:p>
        </w:tc>
        <w:tc>
          <w:tcPr>
            <w:tcW w:w="3860" w:type="dxa"/>
            <w:vAlign w:val="bottom"/>
          </w:tcPr>
          <w:p>
            <w:pPr>
              <w:jc w:val="center"/>
              <w:ind w:right="22"/>
              <w:spacing w:after="0"/>
              <w:rPr>
                <w:sz w:val="20"/>
                <w:szCs w:val="20"/>
                <w:color w:val="auto"/>
              </w:rPr>
            </w:pPr>
            <w:r>
              <w:rPr>
                <w:rFonts w:ascii="Arial" w:cs="Arial" w:eastAsia="Arial" w:hAnsi="Arial"/>
                <w:sz w:val="18"/>
                <w:szCs w:val="18"/>
                <w:b w:val="1"/>
                <w:bCs w:val="1"/>
                <w:color w:val="auto"/>
                <w:w w:val="89"/>
              </w:rPr>
              <w:t>3826</w:t>
            </w:r>
          </w:p>
        </w:tc>
        <w:tc>
          <w:tcPr>
            <w:tcW w:w="2520" w:type="dxa"/>
            <w:vAlign w:val="bottom"/>
          </w:tcPr>
          <w:p>
            <w:pPr>
              <w:jc w:val="center"/>
              <w:ind w:left="982"/>
              <w:spacing w:after="0"/>
              <w:rPr>
                <w:sz w:val="20"/>
                <w:szCs w:val="20"/>
                <w:color w:val="auto"/>
              </w:rPr>
            </w:pPr>
            <w:r>
              <w:rPr>
                <w:rFonts w:ascii="Arial" w:cs="Arial" w:eastAsia="Arial" w:hAnsi="Arial"/>
                <w:sz w:val="18"/>
                <w:szCs w:val="18"/>
                <w:b w:val="1"/>
                <w:bCs w:val="1"/>
                <w:color w:val="auto"/>
                <w:w w:val="89"/>
              </w:rPr>
              <w:t>82-1153150</w:t>
            </w:r>
          </w:p>
        </w:tc>
      </w:tr>
      <w:tr>
        <w:trPr>
          <w:trHeight w:val="144"/>
        </w:trPr>
        <w:tc>
          <w:tcPr>
            <w:tcW w:w="2840" w:type="dxa"/>
            <w:vAlign w:val="bottom"/>
          </w:tcPr>
          <w:p>
            <w:pPr>
              <w:jc w:val="center"/>
              <w:ind w:right="882"/>
              <w:spacing w:after="0" w:line="145" w:lineRule="exact"/>
              <w:rPr>
                <w:sz w:val="20"/>
                <w:szCs w:val="20"/>
                <w:color w:val="auto"/>
              </w:rPr>
            </w:pPr>
            <w:r>
              <w:rPr>
                <w:rFonts w:ascii="Arial" w:cs="Arial" w:eastAsia="Arial" w:hAnsi="Arial"/>
                <w:sz w:val="14"/>
                <w:szCs w:val="14"/>
                <w:b w:val="1"/>
                <w:bCs w:val="1"/>
                <w:color w:val="auto"/>
                <w:w w:val="93"/>
              </w:rPr>
              <w:t>(State or other jurisdiction of</w:t>
            </w:r>
          </w:p>
        </w:tc>
        <w:tc>
          <w:tcPr>
            <w:tcW w:w="3860" w:type="dxa"/>
            <w:vAlign w:val="bottom"/>
          </w:tcPr>
          <w:p>
            <w:pPr>
              <w:jc w:val="center"/>
              <w:ind w:right="42"/>
              <w:spacing w:after="0" w:line="145" w:lineRule="exact"/>
              <w:rPr>
                <w:sz w:val="20"/>
                <w:szCs w:val="20"/>
                <w:color w:val="auto"/>
              </w:rPr>
            </w:pPr>
            <w:r>
              <w:rPr>
                <w:rFonts w:ascii="Arial" w:cs="Arial" w:eastAsia="Arial" w:hAnsi="Arial"/>
                <w:sz w:val="14"/>
                <w:szCs w:val="14"/>
                <w:b w:val="1"/>
                <w:bCs w:val="1"/>
                <w:color w:val="auto"/>
                <w:w w:val="96"/>
              </w:rPr>
              <w:t>(Primary Standard Industrial</w:t>
            </w:r>
          </w:p>
        </w:tc>
        <w:tc>
          <w:tcPr>
            <w:tcW w:w="2520" w:type="dxa"/>
            <w:vAlign w:val="bottom"/>
          </w:tcPr>
          <w:p>
            <w:pPr>
              <w:jc w:val="center"/>
              <w:ind w:left="1002"/>
              <w:spacing w:after="0" w:line="145"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840" w:type="dxa"/>
            <w:vAlign w:val="bottom"/>
          </w:tcPr>
          <w:p>
            <w:pPr>
              <w:jc w:val="center"/>
              <w:ind w:right="882"/>
              <w:spacing w:after="0"/>
              <w:rPr>
                <w:sz w:val="20"/>
                <w:szCs w:val="20"/>
                <w:color w:val="auto"/>
              </w:rPr>
            </w:pPr>
            <w:r>
              <w:rPr>
                <w:rFonts w:ascii="Arial" w:cs="Arial" w:eastAsia="Arial" w:hAnsi="Arial"/>
                <w:sz w:val="14"/>
                <w:szCs w:val="14"/>
                <w:b w:val="1"/>
                <w:bCs w:val="1"/>
                <w:color w:val="auto"/>
                <w:w w:val="94"/>
              </w:rPr>
              <w:t>incorporation or organization)</w:t>
            </w:r>
          </w:p>
        </w:tc>
        <w:tc>
          <w:tcPr>
            <w:tcW w:w="3860" w:type="dxa"/>
            <w:vAlign w:val="bottom"/>
          </w:tcPr>
          <w:p>
            <w:pPr>
              <w:jc w:val="center"/>
              <w:ind w:right="42"/>
              <w:spacing w:after="0"/>
              <w:rPr>
                <w:sz w:val="20"/>
                <w:szCs w:val="20"/>
                <w:color w:val="auto"/>
              </w:rPr>
            </w:pPr>
            <w:r>
              <w:rPr>
                <w:rFonts w:ascii="Arial" w:cs="Arial" w:eastAsia="Arial" w:hAnsi="Arial"/>
                <w:sz w:val="14"/>
                <w:szCs w:val="14"/>
                <w:b w:val="1"/>
                <w:bCs w:val="1"/>
                <w:color w:val="auto"/>
                <w:w w:val="92"/>
              </w:rPr>
              <w:t>Classification Code Number)</w:t>
            </w:r>
          </w:p>
        </w:tc>
        <w:tc>
          <w:tcPr>
            <w:tcW w:w="2520" w:type="dxa"/>
            <w:vAlign w:val="bottom"/>
          </w:tcPr>
          <w:p>
            <w:pPr>
              <w:jc w:val="center"/>
              <w:ind w:left="1002"/>
              <w:spacing w:after="0"/>
              <w:rPr>
                <w:sz w:val="20"/>
                <w:szCs w:val="20"/>
                <w:color w:val="auto"/>
              </w:rPr>
            </w:pPr>
            <w:r>
              <w:rPr>
                <w:rFonts w:ascii="Arial" w:cs="Arial" w:eastAsia="Arial" w:hAnsi="Arial"/>
                <w:sz w:val="14"/>
                <w:szCs w:val="14"/>
                <w:b w:val="1"/>
                <w:bCs w:val="1"/>
                <w:color w:val="auto"/>
                <w:w w:val="96"/>
              </w:rPr>
              <w:t>Identification Number)</w:t>
            </w:r>
          </w:p>
        </w:tc>
      </w:tr>
    </w:tbl>
    <w:p>
      <w:pPr>
        <w:spacing w:after="0" w:line="200"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3800 Bridge Parkway, Suite 102</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Redwood City, California 94065</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650-453-0000</w:t>
      </w:r>
    </w:p>
    <w:p>
      <w:pPr>
        <w:spacing w:after="0" w:line="2" w:lineRule="exact"/>
        <w:rPr>
          <w:sz w:val="24"/>
          <w:szCs w:val="24"/>
          <w:color w:val="auto"/>
        </w:rPr>
      </w:pPr>
    </w:p>
    <w:p>
      <w:pPr>
        <w:jc w:val="center"/>
        <w:ind w:right="-159"/>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151"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Omid Farokhzad, M.D.</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Seer, Inc.</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3800 Bridge Parkway, Suite 102</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Redwood City, California 94065</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650-453-0000</w:t>
      </w:r>
    </w:p>
    <w:p>
      <w:pPr>
        <w:spacing w:after="0" w:line="2" w:lineRule="exact"/>
        <w:rPr>
          <w:sz w:val="24"/>
          <w:szCs w:val="24"/>
          <w:color w:val="auto"/>
        </w:rPr>
      </w:pPr>
    </w:p>
    <w:p>
      <w:pPr>
        <w:jc w:val="center"/>
        <w:ind w:right="-159"/>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155" w:lineRule="exact"/>
        <w:rPr>
          <w:sz w:val="24"/>
          <w:szCs w:val="24"/>
          <w:color w:val="auto"/>
        </w:rPr>
      </w:pPr>
    </w:p>
    <w:tbl>
      <w:tblPr>
        <w:tblLayout w:type="fixed"/>
        <w:tblInd w:w="1220" w:type="dxa"/>
        <w:tblCellMar>
          <w:top w:w="0" w:type="dxa"/>
          <w:left w:w="0" w:type="dxa"/>
          <w:bottom w:w="0" w:type="dxa"/>
          <w:right w:w="0" w:type="dxa"/>
        </w:tblCellMar>
      </w:tblPr>
      <w:tr>
        <w:trPr>
          <w:trHeight w:val="230"/>
        </w:trPr>
        <w:tc>
          <w:tcPr>
            <w:tcW w:w="3540" w:type="dxa"/>
            <w:vAlign w:val="bottom"/>
          </w:tcPr>
          <w:p>
            <w:pPr>
              <w:spacing w:after="0"/>
              <w:rPr>
                <w:sz w:val="20"/>
                <w:szCs w:val="20"/>
                <w:color w:val="auto"/>
              </w:rPr>
            </w:pPr>
          </w:p>
        </w:tc>
        <w:tc>
          <w:tcPr>
            <w:tcW w:w="4880" w:type="dxa"/>
            <w:vAlign w:val="bottom"/>
          </w:tcPr>
          <w:p>
            <w:pPr>
              <w:ind w:left="500"/>
              <w:spacing w:after="0"/>
              <w:rPr>
                <w:sz w:val="20"/>
                <w:szCs w:val="20"/>
                <w:color w:val="auto"/>
              </w:rPr>
            </w:pPr>
            <w:r>
              <w:rPr>
                <w:rFonts w:ascii="Arial" w:cs="Arial" w:eastAsia="Arial" w:hAnsi="Arial"/>
                <w:sz w:val="18"/>
                <w:szCs w:val="18"/>
                <w:b w:val="1"/>
                <w:bCs w:val="1"/>
                <w:i w:val="1"/>
                <w:iCs w:val="1"/>
                <w:color w:val="auto"/>
              </w:rPr>
              <w:t>Copies to:</w:t>
            </w:r>
          </w:p>
        </w:tc>
      </w:tr>
      <w:tr>
        <w:trPr>
          <w:trHeight w:val="203"/>
        </w:trPr>
        <w:tc>
          <w:tcPr>
            <w:tcW w:w="3540" w:type="dxa"/>
            <w:vAlign w:val="bottom"/>
          </w:tcPr>
          <w:p>
            <w:pPr>
              <w:jc w:val="center"/>
              <w:ind w:right="410"/>
              <w:spacing w:after="0" w:line="202" w:lineRule="exact"/>
              <w:rPr>
                <w:sz w:val="20"/>
                <w:szCs w:val="20"/>
                <w:color w:val="auto"/>
              </w:rPr>
            </w:pPr>
            <w:r>
              <w:rPr>
                <w:rFonts w:ascii="Arial" w:cs="Arial" w:eastAsia="Arial" w:hAnsi="Arial"/>
                <w:sz w:val="18"/>
                <w:szCs w:val="18"/>
                <w:b w:val="1"/>
                <w:bCs w:val="1"/>
                <w:color w:val="auto"/>
                <w:w w:val="89"/>
              </w:rPr>
              <w:t>Tony Jeffries</w:t>
            </w:r>
          </w:p>
        </w:tc>
        <w:tc>
          <w:tcPr>
            <w:tcW w:w="4880" w:type="dxa"/>
            <w:vAlign w:val="bottom"/>
          </w:tcPr>
          <w:p>
            <w:pPr>
              <w:jc w:val="center"/>
              <w:ind w:left="2510"/>
              <w:spacing w:after="0" w:line="202" w:lineRule="exact"/>
              <w:rPr>
                <w:sz w:val="20"/>
                <w:szCs w:val="20"/>
                <w:color w:val="auto"/>
              </w:rPr>
            </w:pPr>
            <w:r>
              <w:rPr>
                <w:rFonts w:ascii="Arial" w:cs="Arial" w:eastAsia="Arial" w:hAnsi="Arial"/>
                <w:sz w:val="18"/>
                <w:szCs w:val="18"/>
                <w:b w:val="1"/>
                <w:bCs w:val="1"/>
                <w:color w:val="auto"/>
                <w:w w:val="90"/>
              </w:rPr>
              <w:t>Alan F. Denenberg</w:t>
            </w:r>
          </w:p>
        </w:tc>
      </w:tr>
      <w:tr>
        <w:trPr>
          <w:trHeight w:val="175"/>
        </w:trPr>
        <w:tc>
          <w:tcPr>
            <w:tcW w:w="3540" w:type="dxa"/>
            <w:vAlign w:val="bottom"/>
          </w:tcPr>
          <w:p>
            <w:pPr>
              <w:jc w:val="center"/>
              <w:ind w:right="390"/>
              <w:spacing w:after="0" w:line="176" w:lineRule="exact"/>
              <w:rPr>
                <w:sz w:val="20"/>
                <w:szCs w:val="20"/>
                <w:color w:val="auto"/>
              </w:rPr>
            </w:pPr>
            <w:r>
              <w:rPr>
                <w:rFonts w:ascii="Arial" w:cs="Arial" w:eastAsia="Arial" w:hAnsi="Arial"/>
                <w:sz w:val="18"/>
                <w:szCs w:val="18"/>
                <w:b w:val="1"/>
                <w:bCs w:val="1"/>
                <w:color w:val="auto"/>
                <w:w w:val="90"/>
              </w:rPr>
              <w:t>Christina L. Poulsen</w:t>
            </w:r>
          </w:p>
        </w:tc>
        <w:tc>
          <w:tcPr>
            <w:tcW w:w="4880" w:type="dxa"/>
            <w:vAlign w:val="bottom"/>
          </w:tcPr>
          <w:p>
            <w:pPr>
              <w:jc w:val="center"/>
              <w:ind w:left="2490"/>
              <w:spacing w:after="0" w:line="176" w:lineRule="exact"/>
              <w:rPr>
                <w:sz w:val="20"/>
                <w:szCs w:val="20"/>
                <w:color w:val="auto"/>
              </w:rPr>
            </w:pPr>
            <w:r>
              <w:rPr>
                <w:rFonts w:ascii="Arial" w:cs="Arial" w:eastAsia="Arial" w:hAnsi="Arial"/>
                <w:sz w:val="18"/>
                <w:szCs w:val="18"/>
                <w:b w:val="1"/>
                <w:bCs w:val="1"/>
                <w:color w:val="auto"/>
                <w:w w:val="95"/>
              </w:rPr>
              <w:t>Davis Polk &amp; Wardwell LLP</w:t>
            </w:r>
          </w:p>
        </w:tc>
      </w:tr>
      <w:tr>
        <w:trPr>
          <w:trHeight w:val="175"/>
        </w:trPr>
        <w:tc>
          <w:tcPr>
            <w:tcW w:w="3540" w:type="dxa"/>
            <w:vAlign w:val="bottom"/>
          </w:tcPr>
          <w:p>
            <w:pPr>
              <w:jc w:val="center"/>
              <w:ind w:right="390"/>
              <w:spacing w:after="0" w:line="176" w:lineRule="exact"/>
              <w:rPr>
                <w:sz w:val="20"/>
                <w:szCs w:val="20"/>
                <w:color w:val="auto"/>
              </w:rPr>
            </w:pPr>
            <w:r>
              <w:rPr>
                <w:rFonts w:ascii="Arial" w:cs="Arial" w:eastAsia="Arial" w:hAnsi="Arial"/>
                <w:sz w:val="18"/>
                <w:szCs w:val="18"/>
                <w:b w:val="1"/>
                <w:bCs w:val="1"/>
                <w:color w:val="auto"/>
                <w:w w:val="90"/>
              </w:rPr>
              <w:t>Wilson Sonsini Goodrich &amp; Rosati, P.C.</w:t>
            </w:r>
          </w:p>
        </w:tc>
        <w:tc>
          <w:tcPr>
            <w:tcW w:w="4880" w:type="dxa"/>
            <w:vAlign w:val="bottom"/>
          </w:tcPr>
          <w:p>
            <w:pPr>
              <w:jc w:val="center"/>
              <w:ind w:left="2490"/>
              <w:spacing w:after="0" w:line="176" w:lineRule="exact"/>
              <w:rPr>
                <w:sz w:val="20"/>
                <w:szCs w:val="20"/>
                <w:color w:val="auto"/>
              </w:rPr>
            </w:pPr>
            <w:r>
              <w:rPr>
                <w:rFonts w:ascii="Arial" w:cs="Arial" w:eastAsia="Arial" w:hAnsi="Arial"/>
                <w:sz w:val="18"/>
                <w:szCs w:val="18"/>
                <w:b w:val="1"/>
                <w:bCs w:val="1"/>
                <w:color w:val="auto"/>
                <w:w w:val="91"/>
              </w:rPr>
              <w:t>1600 El Camino Real</w:t>
            </w:r>
          </w:p>
        </w:tc>
      </w:tr>
      <w:tr>
        <w:trPr>
          <w:trHeight w:val="175"/>
        </w:trPr>
        <w:tc>
          <w:tcPr>
            <w:tcW w:w="3540" w:type="dxa"/>
            <w:vAlign w:val="bottom"/>
          </w:tcPr>
          <w:p>
            <w:pPr>
              <w:jc w:val="center"/>
              <w:ind w:right="390"/>
              <w:spacing w:after="0" w:line="176" w:lineRule="exact"/>
              <w:rPr>
                <w:sz w:val="20"/>
                <w:szCs w:val="20"/>
                <w:color w:val="auto"/>
              </w:rPr>
            </w:pPr>
            <w:r>
              <w:rPr>
                <w:rFonts w:ascii="Arial" w:cs="Arial" w:eastAsia="Arial" w:hAnsi="Arial"/>
                <w:sz w:val="18"/>
                <w:szCs w:val="18"/>
                <w:b w:val="1"/>
                <w:bCs w:val="1"/>
                <w:color w:val="auto"/>
                <w:w w:val="91"/>
              </w:rPr>
              <w:t>650 Page Mill Road</w:t>
            </w:r>
          </w:p>
        </w:tc>
        <w:tc>
          <w:tcPr>
            <w:tcW w:w="4880" w:type="dxa"/>
            <w:vAlign w:val="bottom"/>
          </w:tcPr>
          <w:p>
            <w:pPr>
              <w:jc w:val="center"/>
              <w:ind w:left="2490"/>
              <w:spacing w:after="0" w:line="176" w:lineRule="exact"/>
              <w:rPr>
                <w:sz w:val="20"/>
                <w:szCs w:val="20"/>
                <w:color w:val="auto"/>
              </w:rPr>
            </w:pPr>
            <w:r>
              <w:rPr>
                <w:rFonts w:ascii="Arial" w:cs="Arial" w:eastAsia="Arial" w:hAnsi="Arial"/>
                <w:sz w:val="18"/>
                <w:szCs w:val="18"/>
                <w:b w:val="1"/>
                <w:bCs w:val="1"/>
                <w:color w:val="auto"/>
                <w:w w:val="94"/>
              </w:rPr>
              <w:t>Menlo Park, California 94025</w:t>
            </w:r>
          </w:p>
        </w:tc>
      </w:tr>
      <w:tr>
        <w:trPr>
          <w:trHeight w:val="176"/>
        </w:trPr>
        <w:tc>
          <w:tcPr>
            <w:tcW w:w="3540" w:type="dxa"/>
            <w:vAlign w:val="bottom"/>
          </w:tcPr>
          <w:p>
            <w:pPr>
              <w:jc w:val="center"/>
              <w:ind w:right="390"/>
              <w:spacing w:after="0" w:line="176" w:lineRule="exact"/>
              <w:rPr>
                <w:sz w:val="20"/>
                <w:szCs w:val="20"/>
                <w:color w:val="auto"/>
              </w:rPr>
            </w:pPr>
            <w:r>
              <w:rPr>
                <w:rFonts w:ascii="Arial" w:cs="Arial" w:eastAsia="Arial" w:hAnsi="Arial"/>
                <w:sz w:val="18"/>
                <w:szCs w:val="18"/>
                <w:b w:val="1"/>
                <w:bCs w:val="1"/>
                <w:color w:val="auto"/>
                <w:w w:val="92"/>
              </w:rPr>
              <w:t>Palo Alto, California 94304</w:t>
            </w:r>
          </w:p>
        </w:tc>
        <w:tc>
          <w:tcPr>
            <w:tcW w:w="4880" w:type="dxa"/>
            <w:vAlign w:val="bottom"/>
          </w:tcPr>
          <w:p>
            <w:pPr>
              <w:jc w:val="center"/>
              <w:ind w:left="2490"/>
              <w:spacing w:after="0" w:line="176" w:lineRule="exact"/>
              <w:rPr>
                <w:sz w:val="20"/>
                <w:szCs w:val="20"/>
                <w:color w:val="auto"/>
              </w:rPr>
            </w:pPr>
            <w:r>
              <w:rPr>
                <w:rFonts w:ascii="Arial" w:cs="Arial" w:eastAsia="Arial" w:hAnsi="Arial"/>
                <w:sz w:val="18"/>
                <w:szCs w:val="18"/>
                <w:b w:val="1"/>
                <w:bCs w:val="1"/>
                <w:color w:val="auto"/>
                <w:w w:val="90"/>
              </w:rPr>
              <w:t>650-752-2000</w:t>
            </w:r>
          </w:p>
        </w:tc>
      </w:tr>
      <w:tr>
        <w:trPr>
          <w:trHeight w:val="234"/>
        </w:trPr>
        <w:tc>
          <w:tcPr>
            <w:tcW w:w="3540" w:type="dxa"/>
            <w:vAlign w:val="bottom"/>
          </w:tcPr>
          <w:p>
            <w:pPr>
              <w:jc w:val="center"/>
              <w:ind w:right="390"/>
              <w:spacing w:after="0"/>
              <w:rPr>
                <w:sz w:val="20"/>
                <w:szCs w:val="20"/>
                <w:color w:val="auto"/>
              </w:rPr>
            </w:pPr>
            <w:r>
              <w:rPr>
                <w:rFonts w:ascii="Arial" w:cs="Arial" w:eastAsia="Arial" w:hAnsi="Arial"/>
                <w:sz w:val="18"/>
                <w:szCs w:val="18"/>
                <w:b w:val="1"/>
                <w:bCs w:val="1"/>
                <w:color w:val="auto"/>
                <w:w w:val="90"/>
              </w:rPr>
              <w:t>650-493-9300</w:t>
            </w:r>
          </w:p>
        </w:tc>
        <w:tc>
          <w:tcPr>
            <w:tcW w:w="4880" w:type="dxa"/>
            <w:vAlign w:val="bottom"/>
          </w:tcPr>
          <w:p>
            <w:pPr>
              <w:spacing w:after="0"/>
              <w:rPr>
                <w:sz w:val="20"/>
                <w:szCs w:val="20"/>
                <w:color w:val="auto"/>
              </w:rPr>
            </w:pPr>
          </w:p>
        </w:tc>
      </w:tr>
    </w:tbl>
    <w:p>
      <w:pPr>
        <w:spacing w:after="0" w:line="23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Approximate date of commencement of proposed sale to the public</w:t>
      </w:r>
      <w:r>
        <w:rPr>
          <w:rFonts w:ascii="Arial" w:cs="Arial" w:eastAsia="Arial" w:hAnsi="Arial"/>
          <w:sz w:val="16"/>
          <w:szCs w:val="16"/>
          <w:color w:val="auto"/>
        </w:rPr>
        <w:t>: As soon as practicable after this registration statement becomes effective.</w:t>
      </w:r>
    </w:p>
    <w:p>
      <w:pPr>
        <w:spacing w:after="0" w:line="117" w:lineRule="exact"/>
        <w:rPr>
          <w:sz w:val="24"/>
          <w:szCs w:val="24"/>
          <w:color w:val="auto"/>
        </w:rPr>
      </w:pPr>
    </w:p>
    <w:p>
      <w:pPr>
        <w:ind w:right="220"/>
        <w:spacing w:after="0" w:line="207" w:lineRule="exact"/>
        <w:rPr>
          <w:sz w:val="20"/>
          <w:szCs w:val="20"/>
          <w:color w:val="auto"/>
        </w:rPr>
      </w:pPr>
      <w:r>
        <w:rPr>
          <w:rFonts w:ascii="Arial" w:cs="Arial" w:eastAsia="Arial" w:hAnsi="Arial"/>
          <w:sz w:val="16"/>
          <w:szCs w:val="16"/>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6"/>
          <w:szCs w:val="16"/>
          <w:color w:val="auto"/>
        </w:rPr>
        <w:t>☐</w:t>
      </w:r>
    </w:p>
    <w:p>
      <w:pPr>
        <w:spacing w:after="0" w:line="20" w:lineRule="exact"/>
        <w:rPr>
          <w:sz w:val="24"/>
          <w:szCs w:val="24"/>
          <w:color w:val="auto"/>
        </w:rPr>
      </w:pPr>
    </w:p>
    <w:p>
      <w:pPr>
        <w:ind w:right="260"/>
        <w:spacing w:after="0" w:line="207" w:lineRule="exact"/>
        <w:rPr>
          <w:sz w:val="20"/>
          <w:szCs w:val="20"/>
          <w:color w:val="auto"/>
        </w:rPr>
      </w:pPr>
      <w:r>
        <w:rPr>
          <w:rFonts w:ascii="Arial" w:cs="Arial" w:eastAsia="Arial" w:hAnsi="Arial"/>
          <w:sz w:val="16"/>
          <w:szCs w:val="16"/>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r>
        <w:rPr>
          <w:rFonts w:ascii="Arial" w:cs="Arial" w:eastAsia="Arial" w:hAnsi="Arial"/>
          <w:sz w:val="16"/>
          <w:szCs w:val="16"/>
          <w:color w:val="auto"/>
        </w:rPr>
        <w:t xml:space="preserve"> Registration No. </w:t>
      </w:r>
      <w:r>
        <w:rPr>
          <w:rFonts w:ascii="Arial" w:cs="Arial" w:eastAsia="Arial" w:hAnsi="Arial"/>
          <w:sz w:val="16"/>
          <w:szCs w:val="16"/>
          <w:b w:val="1"/>
          <w:bCs w:val="1"/>
          <w:color w:val="auto"/>
        </w:rPr>
        <w:t>333-250035</w:t>
      </w:r>
    </w:p>
    <w:p>
      <w:pPr>
        <w:spacing w:after="0" w:line="20" w:lineRule="exact"/>
        <w:rPr>
          <w:sz w:val="24"/>
          <w:szCs w:val="24"/>
          <w:color w:val="auto"/>
        </w:rPr>
      </w:pPr>
    </w:p>
    <w:p>
      <w:pPr>
        <w:spacing w:after="0" w:line="207" w:lineRule="exact"/>
        <w:rPr>
          <w:sz w:val="20"/>
          <w:szCs w:val="20"/>
          <w:color w:val="auto"/>
        </w:rPr>
      </w:pPr>
      <w:r>
        <w:rPr>
          <w:rFonts w:ascii="Arial" w:cs="Arial" w:eastAsia="Arial" w:hAnsi="Arial"/>
          <w:sz w:val="16"/>
          <w:szCs w:val="16"/>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20" w:lineRule="exact"/>
        <w:rPr>
          <w:sz w:val="24"/>
          <w:szCs w:val="24"/>
          <w:color w:val="auto"/>
        </w:rPr>
      </w:pPr>
    </w:p>
    <w:p>
      <w:pPr>
        <w:spacing w:after="0" w:line="207" w:lineRule="exact"/>
        <w:rPr>
          <w:sz w:val="20"/>
          <w:szCs w:val="20"/>
          <w:color w:val="auto"/>
        </w:rPr>
      </w:pPr>
      <w:r>
        <w:rPr>
          <w:rFonts w:ascii="Arial" w:cs="Arial" w:eastAsia="Arial" w:hAnsi="Arial"/>
          <w:sz w:val="16"/>
          <w:szCs w:val="16"/>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20" w:lineRule="exact"/>
        <w:rPr>
          <w:sz w:val="24"/>
          <w:szCs w:val="24"/>
          <w:color w:val="auto"/>
        </w:rPr>
      </w:pPr>
    </w:p>
    <w:p>
      <w:pPr>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080"/>
          </w:cols>
          <w:pgMar w:left="320" w:top="715" w:right="499" w:bottom="1440" w:gutter="0" w:footer="0" w:header="0"/>
        </w:sectPr>
      </w:pPr>
    </w:p>
    <w:p>
      <w:pPr>
        <w:spacing w:after="0" w:line="24" w:lineRule="exact"/>
        <w:rPr>
          <w:sz w:val="24"/>
          <w:szCs w:val="24"/>
          <w:color w:val="auto"/>
        </w:rPr>
      </w:pPr>
    </w:p>
    <w:p>
      <w:pPr>
        <w:ind w:left="2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94" w:lineRule="exact"/>
        <w:rPr>
          <w:sz w:val="24"/>
          <w:szCs w:val="24"/>
          <w:color w:val="auto"/>
        </w:rPr>
      </w:pPr>
    </w:p>
    <w:p>
      <w:pPr>
        <w:ind w:left="20"/>
        <w:spacing w:after="0" w:line="196" w:lineRule="exact"/>
        <w:rPr>
          <w:sz w:val="20"/>
          <w:szCs w:val="20"/>
          <w:color w:val="auto"/>
        </w:rPr>
      </w:pPr>
      <w:r>
        <w:rPr>
          <w:rFonts w:ascii="Arial" w:cs="Arial" w:eastAsia="Arial" w:hAnsi="Arial"/>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71"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30" w:lineRule="exact"/>
        <w:rPr>
          <w:sz w:val="24"/>
          <w:szCs w:val="24"/>
          <w:color w:val="auto"/>
        </w:rPr>
      </w:pPr>
    </w:p>
    <w:p>
      <w:pPr>
        <w:spacing w:after="0"/>
        <w:rPr>
          <w:sz w:val="20"/>
          <w:szCs w:val="20"/>
          <w:color w:val="auto"/>
        </w:rPr>
      </w:pPr>
      <w:r>
        <w:rPr>
          <w:rFonts w:ascii="Arial" w:cs="Arial" w:eastAsia="Arial" w:hAnsi="Arial"/>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line="23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12"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8" w:lineRule="exact"/>
        <w:rPr>
          <w:sz w:val="24"/>
          <w:szCs w:val="24"/>
          <w:color w:val="auto"/>
        </w:rPr>
      </w:pPr>
    </w:p>
    <w:p>
      <w:pPr>
        <w:sectPr>
          <w:pgSz w:w="11900" w:h="16838" w:orient="portrait"/>
          <w:cols w:equalWidth="0" w:num="3">
            <w:col w:w="8020" w:space="720"/>
            <w:col w:w="1980" w:space="80"/>
            <w:col w:w="280"/>
          </w:cols>
          <w:pgMar w:left="320" w:top="715" w:right="499" w:bottom="1440" w:gutter="0" w:footer="0" w:header="0"/>
          <w:type w:val="continuous"/>
        </w:sectPr>
      </w:pPr>
    </w:p>
    <w:p>
      <w:pPr>
        <w:ind w:right="20" w:firstLine="324"/>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ectPr>
          <w:pgSz w:w="11900" w:h="16838" w:orient="portrait"/>
          <w:cols w:equalWidth="0" w:num="1">
            <w:col w:w="11080"/>
          </w:cols>
          <w:pgMar w:left="320" w:top="715" w:right="49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94615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8"/>
              </w:rPr>
              <w:t>PROPOSED</w:t>
            </w:r>
          </w:p>
        </w:tc>
        <w:tc>
          <w:tcPr>
            <w:tcW w:w="18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PROPOSED</w:t>
            </w: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AMOUNT TO</w:t>
            </w:r>
          </w:p>
        </w:tc>
        <w:tc>
          <w:tcPr>
            <w:tcW w:w="1420" w:type="dxa"/>
            <w:vAlign w:val="bottom"/>
            <w:gridSpan w:val="2"/>
            <w:vMerge w:val="continue"/>
          </w:tcPr>
          <w:p>
            <w:pPr>
              <w:spacing w:after="0"/>
              <w:rPr>
                <w:sz w:val="11"/>
                <w:szCs w:val="11"/>
                <w:color w:val="auto"/>
              </w:rPr>
            </w:pPr>
          </w:p>
        </w:tc>
        <w:tc>
          <w:tcPr>
            <w:tcW w:w="188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MAXIMUM</w:t>
            </w:r>
          </w:p>
        </w:tc>
        <w:tc>
          <w:tcPr>
            <w:tcW w:w="1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94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rPr>
              <w:t>TITLE OF EACH CLASS OF</w:t>
            </w:r>
          </w:p>
        </w:tc>
        <w:tc>
          <w:tcPr>
            <w:tcW w:w="1280" w:type="dxa"/>
            <w:vAlign w:val="bottom"/>
            <w:gridSpan w:val="2"/>
            <w:vMerge w:val="continue"/>
          </w:tcPr>
          <w:p>
            <w:pPr>
              <w:spacing w:after="0"/>
              <w:rPr>
                <w:sz w:val="11"/>
                <w:szCs w:val="11"/>
                <w:color w:val="auto"/>
              </w:rPr>
            </w:pPr>
          </w:p>
        </w:tc>
        <w:tc>
          <w:tcPr>
            <w:tcW w:w="142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rPr>
              <w:t>MAXIMUM</w:t>
            </w:r>
          </w:p>
        </w:tc>
        <w:tc>
          <w:tcPr>
            <w:tcW w:w="188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rPr>
              <w:t>AGGREGATE</w:t>
            </w:r>
          </w:p>
        </w:tc>
        <w:tc>
          <w:tcPr>
            <w:tcW w:w="17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AMOUNT OF</w:t>
            </w:r>
          </w:p>
        </w:tc>
        <w:tc>
          <w:tcPr>
            <w:tcW w:w="0" w:type="dxa"/>
            <w:vAlign w:val="bottom"/>
          </w:tcPr>
          <w:p>
            <w:pPr>
              <w:spacing w:after="0"/>
              <w:rPr>
                <w:sz w:val="1"/>
                <w:szCs w:val="1"/>
                <w:color w:val="auto"/>
              </w:rPr>
            </w:pPr>
          </w:p>
        </w:tc>
      </w:tr>
      <w:tr>
        <w:trPr>
          <w:trHeight w:val="135"/>
        </w:trPr>
        <w:tc>
          <w:tcPr>
            <w:tcW w:w="4940" w:type="dxa"/>
            <w:vAlign w:val="bottom"/>
            <w:gridSpan w:val="2"/>
            <w:vMerge w:val="continue"/>
          </w:tcPr>
          <w:p>
            <w:pPr>
              <w:spacing w:after="0"/>
              <w:rPr>
                <w:sz w:val="11"/>
                <w:szCs w:val="11"/>
                <w:color w:val="auto"/>
              </w:rPr>
            </w:pPr>
          </w:p>
        </w:tc>
        <w:tc>
          <w:tcPr>
            <w:tcW w:w="128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rPr>
              <w:t>BE</w:t>
            </w:r>
          </w:p>
        </w:tc>
        <w:tc>
          <w:tcPr>
            <w:tcW w:w="14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OFFERING PRICE</w:t>
            </w:r>
          </w:p>
        </w:tc>
        <w:tc>
          <w:tcPr>
            <w:tcW w:w="188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rPr>
              <w:t>OFFERING</w:t>
            </w:r>
          </w:p>
        </w:tc>
        <w:tc>
          <w:tcPr>
            <w:tcW w:w="1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49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SECURITIES TO BE REGISTERED</w:t>
            </w:r>
          </w:p>
        </w:tc>
        <w:tc>
          <w:tcPr>
            <w:tcW w:w="12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REGISTERED (1)</w:t>
            </w:r>
          </w:p>
        </w:tc>
        <w:tc>
          <w:tcPr>
            <w:tcW w:w="14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9"/>
              </w:rPr>
              <w:t>PER SHARE (2)</w:t>
            </w:r>
          </w:p>
        </w:tc>
        <w:tc>
          <w:tcPr>
            <w:tcW w:w="18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PRICE (2)</w:t>
            </w: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rPr>
              <w:t>REGISTRATION FEE (3)</w:t>
            </w:r>
          </w:p>
        </w:tc>
        <w:tc>
          <w:tcPr>
            <w:tcW w:w="0" w:type="dxa"/>
            <w:vAlign w:val="bottom"/>
          </w:tcPr>
          <w:p>
            <w:pPr>
              <w:spacing w:after="0"/>
              <w:rPr>
                <w:sz w:val="1"/>
                <w:szCs w:val="1"/>
                <w:color w:val="auto"/>
              </w:rPr>
            </w:pPr>
          </w:p>
        </w:tc>
      </w:tr>
      <w:tr>
        <w:trPr>
          <w:trHeight w:val="225"/>
        </w:trPr>
        <w:tc>
          <w:tcPr>
            <w:tcW w:w="48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Common Stock, $0.00001 par value per share</w:t>
            </w:r>
          </w:p>
        </w:tc>
        <w:tc>
          <w:tcPr>
            <w:tcW w:w="80" w:type="dxa"/>
            <w:vAlign w:val="bottom"/>
          </w:tcPr>
          <w:p>
            <w:pPr>
              <w:spacing w:after="0"/>
              <w:rPr>
                <w:sz w:val="19"/>
                <w:szCs w:val="19"/>
                <w:color w:val="auto"/>
              </w:rPr>
            </w:pPr>
          </w:p>
        </w:tc>
        <w:tc>
          <w:tcPr>
            <w:tcW w:w="12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443,356</w:t>
            </w:r>
          </w:p>
        </w:tc>
        <w:tc>
          <w:tcPr>
            <w:tcW w:w="80" w:type="dxa"/>
            <w:vAlign w:val="bottom"/>
          </w:tcPr>
          <w:p>
            <w:pPr>
              <w:spacing w:after="0"/>
              <w:rPr>
                <w:sz w:val="19"/>
                <w:szCs w:val="19"/>
                <w:color w:val="auto"/>
              </w:rPr>
            </w:pPr>
          </w:p>
        </w:tc>
        <w:tc>
          <w:tcPr>
            <w:tcW w:w="13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$19.00</w:t>
            </w:r>
          </w:p>
        </w:tc>
        <w:tc>
          <w:tcPr>
            <w:tcW w:w="80" w:type="dxa"/>
            <w:vAlign w:val="bottom"/>
          </w:tcPr>
          <w:p>
            <w:pPr>
              <w:spacing w:after="0"/>
              <w:rPr>
                <w:sz w:val="19"/>
                <w:szCs w:val="19"/>
                <w:color w:val="auto"/>
              </w:rPr>
            </w:pPr>
          </w:p>
        </w:tc>
        <w:tc>
          <w:tcPr>
            <w:tcW w:w="18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$8,423,764</w:t>
            </w:r>
          </w:p>
        </w:tc>
        <w:tc>
          <w:tcPr>
            <w:tcW w:w="80" w:type="dxa"/>
            <w:vAlign w:val="bottom"/>
          </w:tcPr>
          <w:p>
            <w:pPr>
              <w:spacing w:after="0"/>
              <w:rPr>
                <w:sz w:val="19"/>
                <w:szCs w:val="19"/>
                <w:color w:val="auto"/>
              </w:rPr>
            </w:pPr>
          </w:p>
        </w:tc>
        <w:tc>
          <w:tcPr>
            <w:tcW w:w="17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$919.04</w:t>
            </w:r>
          </w:p>
        </w:tc>
        <w:tc>
          <w:tcPr>
            <w:tcW w:w="0" w:type="dxa"/>
            <w:vAlign w:val="bottom"/>
          </w:tcPr>
          <w:p>
            <w:pPr>
              <w:spacing w:after="0"/>
              <w:rPr>
                <w:sz w:val="1"/>
                <w:szCs w:val="1"/>
                <w:color w:val="auto"/>
              </w:rPr>
            </w:pPr>
          </w:p>
        </w:tc>
      </w:tr>
      <w:tr>
        <w:trPr>
          <w:trHeight w:val="26"/>
        </w:trPr>
        <w:tc>
          <w:tcPr>
            <w:tcW w:w="4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left="340" w:right="120" w:hanging="332"/>
        <w:spacing w:after="0" w:line="255" w:lineRule="auto"/>
        <w:tabs>
          <w:tab w:leader="none" w:pos="334"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Represents only the additional number of shares being registered and includes 57,829 shares issuable upon the exercise of the underwriters’ option to purchase additional shares. Does not include the securities, the offer and sale of which the registrant previously registered on a Registration Statement on Form S-1 (File No. 333-250035), as amended (the Earlier Registration Statement).</w:t>
      </w:r>
    </w:p>
    <w:p>
      <w:pPr>
        <w:spacing w:after="0" w:line="2" w:lineRule="exact"/>
        <w:rPr>
          <w:rFonts w:ascii="Arial" w:cs="Arial" w:eastAsia="Arial" w:hAnsi="Arial"/>
          <w:sz w:val="18"/>
          <w:szCs w:val="18"/>
          <w:color w:val="auto"/>
        </w:rPr>
      </w:pPr>
    </w:p>
    <w:p>
      <w:pPr>
        <w:ind w:left="340" w:right="240" w:hanging="332"/>
        <w:spacing w:after="0" w:line="250" w:lineRule="auto"/>
        <w:tabs>
          <w:tab w:leader="none" w:pos="334"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registrant previously registered securities on the Earlier Registration Statement, which was declared effective by the Securities and Exchange Commission on December 3, 2020. In accordance with Rule 462(b) under the Securities Act of 1933, as amended (the Securities Act), an additional amount of securities having a proposed maximum aggregate offering price of $8,423,764 are hereby registered, which includes shares issuable upon the exercise of the underwriters’ option to purchase additional shares.</w:t>
      </w:r>
    </w:p>
    <w:p>
      <w:pPr>
        <w:spacing w:after="0" w:line="1" w:lineRule="exact"/>
        <w:rPr>
          <w:rFonts w:ascii="Arial" w:cs="Arial" w:eastAsia="Arial" w:hAnsi="Arial"/>
          <w:sz w:val="18"/>
          <w:szCs w:val="18"/>
          <w:color w:val="auto"/>
        </w:rPr>
      </w:pPr>
    </w:p>
    <w:p>
      <w:pPr>
        <w:ind w:left="340" w:right="740" w:hanging="332"/>
        <w:spacing w:after="0" w:line="260" w:lineRule="auto"/>
        <w:tabs>
          <w:tab w:leader="none" w:pos="334" w:val="left"/>
        </w:tabs>
        <w:numPr>
          <w:ilvl w:val="0"/>
          <w:numId w:val="1"/>
        </w:numPr>
        <w:rPr>
          <w:rFonts w:ascii="Arial" w:cs="Arial" w:eastAsia="Arial" w:hAnsi="Arial"/>
          <w:sz w:val="18"/>
          <w:szCs w:val="18"/>
          <w:color w:val="auto"/>
        </w:rPr>
      </w:pPr>
      <w:r>
        <w:rPr>
          <w:rFonts w:ascii="Arial" w:cs="Arial" w:eastAsia="Arial" w:hAnsi="Arial"/>
          <w:sz w:val="18"/>
          <w:szCs w:val="18"/>
          <w:color w:val="auto"/>
        </w:rPr>
        <w:t>Calculated pursuant to Rule 457(a) under the Securities Act. The registrant previously paid a filing fee of $19,931 for the Earlier Registration Statement.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This Registration Statement shall become effective upon filing in accordance with Rule 462(b) under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2" w:name="page3"/>
    <w:bookmarkEnd w:id="2"/>
    <w:p>
      <w:pPr>
        <w:spacing w:after="0" w:line="14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EXPLANATORY NOTE AND INCORPORATION OF CERTAIN INFORMATION BY REFERENCE</w:t>
      </w:r>
    </w:p>
    <w:p>
      <w:pPr>
        <w:spacing w:after="0" w:line="175" w:lineRule="exact"/>
        <w:rPr>
          <w:sz w:val="20"/>
          <w:szCs w:val="20"/>
          <w:color w:val="auto"/>
        </w:rPr>
      </w:pPr>
    </w:p>
    <w:p>
      <w:pPr>
        <w:ind w:firstLine="324"/>
        <w:spacing w:after="0" w:line="259" w:lineRule="auto"/>
        <w:rPr>
          <w:rFonts w:ascii="Arial" w:cs="Arial" w:eastAsia="Arial" w:hAnsi="Arial"/>
          <w:sz w:val="18"/>
          <w:szCs w:val="18"/>
          <w:color w:val="auto"/>
        </w:rPr>
      </w:pPr>
      <w:r>
        <w:rPr>
          <w:rFonts w:ascii="Arial" w:cs="Arial" w:eastAsia="Arial" w:hAnsi="Arial"/>
          <w:sz w:val="18"/>
          <w:szCs w:val="18"/>
          <w:color w:val="auto"/>
        </w:rPr>
        <w:t xml:space="preserve">Pursuant to Rule 462(b) under the Securities Act of 1933, as amended, Seer, Inc., a Delaware corporation, is filing this registration statement with the Securities and Exchange Commission (SEC). This registration statement relates to the public offering of securities contemplated by the Registration Statement on </w:t>
      </w:r>
      <w:hyperlink r:id="rId11">
        <w:r>
          <w:rPr>
            <w:rFonts w:ascii="Arial" w:cs="Arial" w:eastAsia="Arial" w:hAnsi="Arial"/>
            <w:sz w:val="18"/>
            <w:szCs w:val="18"/>
            <w:u w:val="single" w:color="auto"/>
            <w:color w:val="0000FF"/>
          </w:rPr>
          <w:t>Form S-1</w:t>
        </w:r>
      </w:hyperlink>
      <w:r>
        <w:rPr>
          <w:rFonts w:ascii="Arial" w:cs="Arial" w:eastAsia="Arial" w:hAnsi="Arial"/>
          <w:sz w:val="18"/>
          <w:szCs w:val="18"/>
          <w:color w:val="auto"/>
        </w:rPr>
        <w:t>, as amended (File No. 333-250035), which we originally filed on November 12, 2020 (the Earlier Registration Statement), and which the SEC declared effective on December 3, 2020.</w:t>
      </w:r>
    </w:p>
    <w:p>
      <w:pPr>
        <w:spacing w:after="0" w:line="133"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We are filing this registration statement for the sole purpose of increasing the aggregate number of shares of common stock, par value $0.00001 per share, offered by us by 443,356 shares, 57,829 of which are subject to purchase upon exercise of the underwriters’ option to purchase additional shares of common stock. The additional shares of common stock that are being registered for issuance and sale pursuant to this registration statement are in an amount and at a price that together represent no more than 20% of the maximum aggregate offering price set forth in the Calculation of Registration Fee table contained in the Earlier Registration Statement. The information set forth in the Earlier Registration Statement is incorporated by reference in this filing.</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required opinion and consents are listed on the Exhibit Index attached hereto and filed herewith.</w:t>
      </w:r>
    </w:p>
    <w:p>
      <w:pPr>
        <w:sectPr>
          <w:pgSz w:w="11900" w:h="16838" w:orient="portrait"/>
          <w:cols w:equalWidth="0" w:num="1">
            <w:col w:w="11100"/>
          </w:cols>
          <w:pgMar w:left="320" w:top="1440" w:right="479" w:bottom="1440" w:gutter="0" w:footer="0" w:header="0"/>
        </w:sectPr>
      </w:pPr>
    </w:p>
    <w:bookmarkStart w:id="3" w:name="page4"/>
    <w:bookmarkEnd w:id="3"/>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340" w:type="dxa"/>
            <w:vAlign w:val="bottom"/>
            <w:gridSpan w:val="6"/>
          </w:tcPr>
          <w:p>
            <w:pPr>
              <w:ind w:left="20"/>
              <w:spacing w:after="0"/>
              <w:rPr>
                <w:sz w:val="20"/>
                <w:szCs w:val="20"/>
                <w:color w:val="auto"/>
              </w:rPr>
            </w:pPr>
            <w:r>
              <w:rPr>
                <w:rFonts w:ascii="Arial" w:cs="Arial" w:eastAsia="Arial" w:hAnsi="Arial"/>
                <w:sz w:val="18"/>
                <w:szCs w:val="18"/>
                <w:b w:val="1"/>
                <w:bCs w:val="1"/>
                <w:color w:val="auto"/>
              </w:rPr>
              <w:t>EXHIBIT INDEX</w:t>
            </w:r>
          </w:p>
        </w:tc>
      </w:tr>
      <w:tr>
        <w:trPr>
          <w:trHeight w:val="372"/>
        </w:trPr>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EXHIBIT NO.</w:t>
            </w:r>
          </w:p>
        </w:tc>
        <w:tc>
          <w:tcPr>
            <w:tcW w:w="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340" w:type="dxa"/>
            <w:vAlign w:val="bottom"/>
            <w:gridSpan w:val="6"/>
          </w:tcPr>
          <w:p>
            <w:pPr>
              <w:ind w:left="420"/>
              <w:spacing w:after="0"/>
              <w:rPr>
                <w:sz w:val="20"/>
                <w:szCs w:val="20"/>
                <w:color w:val="auto"/>
              </w:rPr>
            </w:pPr>
            <w:r>
              <w:rPr>
                <w:rFonts w:ascii="Arial" w:cs="Arial" w:eastAsia="Arial" w:hAnsi="Arial"/>
                <w:sz w:val="14"/>
                <w:szCs w:val="14"/>
                <w:b w:val="1"/>
                <w:bCs w:val="1"/>
                <w:color w:val="auto"/>
              </w:rPr>
              <w:t>DESCRIPTION OF EXHIBIT</w:t>
            </w:r>
          </w:p>
        </w:tc>
      </w:tr>
      <w:tr>
        <w:trPr>
          <w:trHeight w:val="270"/>
        </w:trPr>
        <w:tc>
          <w:tcPr>
            <w:tcW w:w="11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9940" w:type="dxa"/>
            <w:vAlign w:val="bottom"/>
            <w:tcBorders>
              <w:top w:val="single" w:sz="8" w:color="auto"/>
            </w:tcBorders>
            <w:gridSpan w:val="10"/>
          </w:tcPr>
          <w:p>
            <w:pPr>
              <w:spacing w:after="0"/>
              <w:rPr>
                <w:rFonts w:ascii="Arial" w:cs="Arial" w:eastAsia="Arial" w:hAnsi="Arial"/>
                <w:sz w:val="18"/>
                <w:szCs w:val="18"/>
                <w:color w:val="0000FF"/>
              </w:rPr>
            </w:pPr>
            <w:hyperlink w:anchor="page6">
              <w:r>
                <w:rPr>
                  <w:rFonts w:ascii="Arial" w:cs="Arial" w:eastAsia="Arial" w:hAnsi="Arial"/>
                  <w:sz w:val="18"/>
                  <w:szCs w:val="18"/>
                  <w:u w:val="single" w:color="auto"/>
                  <w:color w:val="0000FF"/>
                </w:rPr>
                <w:t>Opinion of Wilson Sonsini Goodrich &amp; Rosati, Professional Corporation</w:t>
              </w:r>
              <w:r>
                <w:rPr>
                  <w:rFonts w:ascii="Arial" w:cs="Arial" w:eastAsia="Arial" w:hAnsi="Arial"/>
                  <w:sz w:val="18"/>
                  <w:szCs w:val="18"/>
                  <w:color w:val="0000FF"/>
                </w:rPr>
                <w:t>.</w:t>
              </w:r>
            </w:hyperlink>
          </w:p>
        </w:tc>
      </w:tr>
      <w:tr>
        <w:trPr>
          <w:trHeight w:val="243"/>
        </w:trPr>
        <w:tc>
          <w:tcPr>
            <w:tcW w:w="1180" w:type="dxa"/>
            <w:vAlign w:val="bottom"/>
          </w:tcPr>
          <w:p>
            <w:pPr>
              <w:ind w:left="20"/>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940" w:type="dxa"/>
            <w:vAlign w:val="bottom"/>
            <w:gridSpan w:val="10"/>
          </w:tcPr>
          <w:p>
            <w:pPr>
              <w:spacing w:after="0"/>
              <w:rPr>
                <w:rFonts w:ascii="Arial" w:cs="Arial" w:eastAsia="Arial" w:hAnsi="Arial"/>
                <w:sz w:val="18"/>
                <w:szCs w:val="18"/>
                <w:color w:val="0000FF"/>
              </w:rPr>
            </w:pPr>
            <w:hyperlink w:anchor="page8">
              <w:r>
                <w:rPr>
                  <w:rFonts w:ascii="Arial" w:cs="Arial" w:eastAsia="Arial" w:hAnsi="Arial"/>
                  <w:sz w:val="18"/>
                  <w:szCs w:val="18"/>
                  <w:color w:val="0000FF"/>
                </w:rPr>
                <w:t>Consent of Deloitte &amp; Touche LLP</w:t>
              </w:r>
              <w:r>
                <w:rPr>
                  <w:rFonts w:ascii="Arial" w:cs="Arial" w:eastAsia="Arial" w:hAnsi="Arial"/>
                  <w:sz w:val="18"/>
                  <w:szCs w:val="18"/>
                  <w:u w:val="single" w:color="auto"/>
                  <w:color w:val="0000FF"/>
                </w:rPr>
                <w:t>, independent</w:t>
              </w:r>
              <w:r>
                <w:rPr>
                  <w:rFonts w:ascii="Arial" w:cs="Arial" w:eastAsia="Arial" w:hAnsi="Arial"/>
                  <w:sz w:val="18"/>
                  <w:szCs w:val="18"/>
                  <w:color w:val="0000FF"/>
                </w:rPr>
                <w:t xml:space="preserve"> registered </w:t>
              </w:r>
              <w:r>
                <w:rPr>
                  <w:rFonts w:ascii="Arial" w:cs="Arial" w:eastAsia="Arial" w:hAnsi="Arial"/>
                  <w:sz w:val="18"/>
                  <w:szCs w:val="18"/>
                  <w:u w:val="single" w:color="auto"/>
                  <w:color w:val="0000FF"/>
                </w:rPr>
                <w:t>p</w:t>
              </w:r>
              <w:r>
                <w:rPr>
                  <w:rFonts w:ascii="Arial" w:cs="Arial" w:eastAsia="Arial" w:hAnsi="Arial"/>
                  <w:sz w:val="18"/>
                  <w:szCs w:val="18"/>
                  <w:color w:val="0000FF"/>
                </w:rPr>
                <w:t>ublic a</w:t>
              </w:r>
              <w:r>
                <w:rPr>
                  <w:rFonts w:ascii="Arial" w:cs="Arial" w:eastAsia="Arial" w:hAnsi="Arial"/>
                  <w:sz w:val="18"/>
                  <w:szCs w:val="18"/>
                  <w:u w:val="single" w:color="auto"/>
                  <w:color w:val="0000FF"/>
                </w:rPr>
                <w:t>ccounting</w:t>
              </w:r>
              <w:r>
                <w:rPr>
                  <w:rFonts w:ascii="Arial" w:cs="Arial" w:eastAsia="Arial" w:hAnsi="Arial"/>
                  <w:sz w:val="18"/>
                  <w:szCs w:val="18"/>
                  <w:color w:val="0000FF"/>
                </w:rPr>
                <w:t xml:space="preserve"> firm.</w:t>
              </w:r>
            </w:hyperlink>
          </w:p>
        </w:tc>
      </w:tr>
      <w:tr>
        <w:trPr>
          <w:trHeight w:val="20"/>
        </w:trPr>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04"/>
        </w:trPr>
        <w:tc>
          <w:tcPr>
            <w:tcW w:w="1180" w:type="dxa"/>
            <w:vAlign w:val="bottom"/>
          </w:tcPr>
          <w:p>
            <w:pPr>
              <w:ind w:left="20"/>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40" w:type="dxa"/>
            <w:vAlign w:val="bottom"/>
            <w:gridSpan w:val="10"/>
          </w:tcPr>
          <w:p>
            <w:pPr>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Consent of Wilson Sonsini Goodrich &amp; Rosati, Professional Corporation (reference is made to Exhibit 5.1).</w:t>
              </w:r>
            </w:hyperlink>
          </w:p>
        </w:tc>
      </w:tr>
      <w:tr>
        <w:trPr>
          <w:trHeight w:val="243"/>
        </w:trPr>
        <w:tc>
          <w:tcPr>
            <w:tcW w:w="1180" w:type="dxa"/>
            <w:vAlign w:val="bottom"/>
          </w:tcPr>
          <w:p>
            <w:pPr>
              <w:ind w:left="20"/>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940" w:type="dxa"/>
            <w:vAlign w:val="bottom"/>
            <w:gridSpan w:val="10"/>
          </w:tcPr>
          <w:p>
            <w:pPr>
              <w:spacing w:after="0"/>
              <w:rPr>
                <w:rFonts w:ascii="Arial" w:cs="Arial" w:eastAsia="Arial" w:hAnsi="Arial"/>
                <w:sz w:val="18"/>
                <w:szCs w:val="18"/>
                <w:color w:val="0000FF"/>
                <w:w w:val="92"/>
              </w:rPr>
            </w:pPr>
            <w:hyperlink r:id="rId12">
              <w:r>
                <w:rPr>
                  <w:rFonts w:ascii="Arial" w:cs="Arial" w:eastAsia="Arial" w:hAnsi="Arial"/>
                  <w:sz w:val="18"/>
                  <w:szCs w:val="18"/>
                  <w:color w:val="0000FF"/>
                  <w:w w:val="92"/>
                </w:rPr>
                <w:t>Power of Attorney (incorporated by reference to Exhibit 24.1 of the Form S-1 Registration Statement (Registration No. 333-250035 filed</w:t>
              </w:r>
            </w:hyperlink>
          </w:p>
        </w:tc>
      </w:tr>
      <w:tr>
        <w:trPr>
          <w:trHeight w:val="156"/>
        </w:trPr>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76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9"/>
              </w:rPr>
            </w:pPr>
            <w:hyperlink r:id="rId12">
              <w:r>
                <w:rPr>
                  <w:rFonts w:ascii="Arial" w:cs="Arial" w:eastAsia="Arial" w:hAnsi="Arial"/>
                  <w:sz w:val="18"/>
                  <w:szCs w:val="18"/>
                  <w:color w:val="0000FF"/>
                  <w:w w:val="89"/>
                </w:rPr>
                <w:t>on November 12, 2020).</w:t>
              </w:r>
            </w:hyperlink>
          </w:p>
        </w:tc>
        <w:tc>
          <w:tcPr>
            <w:tcW w:w="8100" w:type="dxa"/>
            <w:vAlign w:val="bottom"/>
            <w:tcBorders>
              <w:top w:val="single" w:sz="8" w:color="0000FF"/>
            </w:tcBorders>
            <w:gridSpan w:val="8"/>
          </w:tcPr>
          <w:p>
            <w:pPr>
              <w:spacing w:after="0"/>
              <w:rPr>
                <w:sz w:val="13"/>
                <w:szCs w:val="13"/>
                <w:color w:val="auto"/>
              </w:rPr>
            </w:pPr>
          </w:p>
        </w:tc>
        <w:tc>
          <w:tcPr>
            <w:tcW w:w="80" w:type="dxa"/>
            <w:vAlign w:val="bottom"/>
          </w:tcPr>
          <w:p>
            <w:pPr>
              <w:spacing w:after="0"/>
              <w:rPr>
                <w:sz w:val="13"/>
                <w:szCs w:val="13"/>
                <w:color w:val="auto"/>
              </w:rPr>
            </w:pPr>
          </w:p>
        </w:tc>
      </w:tr>
    </w:tbl>
    <w:p>
      <w:pPr>
        <w:sectPr>
          <w:pgSz w:w="11900" w:h="16838" w:orient="portrait"/>
          <w:cols w:equalWidth="0" w:num="1">
            <w:col w:w="11240"/>
          </w:cols>
          <w:pgMar w:left="320" w:top="1440" w:right="339" w:bottom="1440" w:gutter="0" w:footer="0" w:header="0"/>
        </w:sectPr>
      </w:pPr>
    </w:p>
    <w:bookmarkStart w:id="4" w:name="page5"/>
    <w:bookmarkEnd w:id="4"/>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320" w:firstLine="324"/>
        <w:spacing w:after="0" w:line="308" w:lineRule="auto"/>
        <w:rPr>
          <w:sz w:val="20"/>
          <w:szCs w:val="20"/>
          <w:color w:val="auto"/>
        </w:rPr>
      </w:pPr>
      <w:r>
        <w:rPr>
          <w:rFonts w:ascii="Arial" w:cs="Arial" w:eastAsia="Arial" w:hAnsi="Arial"/>
          <w:sz w:val="17"/>
          <w:szCs w:val="17"/>
          <w:color w:val="auto"/>
        </w:rPr>
        <w:t>Pursuant to the requirements of the Securities Act of 1933, as amended, the registrant has duly caused this registration statement to be signed on its behalf by the undersigned, thereunto duly authorized, in the City of Redwood City, State of California, on December 3, 2020.</w:t>
      </w:r>
    </w:p>
    <w:p>
      <w:pPr>
        <w:spacing w:after="0" w:line="142" w:lineRule="exact"/>
        <w:rPr>
          <w:sz w:val="20"/>
          <w:szCs w:val="20"/>
          <w:color w:val="auto"/>
        </w:rPr>
      </w:pPr>
    </w:p>
    <w:p>
      <w:pPr>
        <w:ind w:left="5880"/>
        <w:spacing w:after="0"/>
        <w:rPr>
          <w:sz w:val="20"/>
          <w:szCs w:val="20"/>
          <w:color w:val="auto"/>
        </w:rPr>
      </w:pPr>
      <w:r>
        <w:rPr>
          <w:rFonts w:ascii="Arial" w:cs="Arial" w:eastAsia="Arial" w:hAnsi="Arial"/>
          <w:sz w:val="18"/>
          <w:szCs w:val="18"/>
          <w:b w:val="1"/>
          <w:bCs w:val="1"/>
          <w:color w:val="auto"/>
        </w:rPr>
        <w:t>SEER, INC.</w:t>
      </w:r>
    </w:p>
    <w:p>
      <w:pPr>
        <w:spacing w:after="0" w:line="337" w:lineRule="exact"/>
        <w:rPr>
          <w:sz w:val="20"/>
          <w:szCs w:val="20"/>
          <w:color w:val="auto"/>
        </w:rPr>
      </w:pPr>
    </w:p>
    <w:p>
      <w:pPr>
        <w:ind w:left="5880"/>
        <w:spacing w:after="0"/>
        <w:tabs>
          <w:tab w:leader="none" w:pos="65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Omid Farokhzad,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4093845</wp:posOffset>
            </wp:positionH>
            <wp:positionV relativeFrom="paragraph">
              <wp:posOffset>31750</wp:posOffset>
            </wp:positionV>
            <wp:extent cx="30429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spacing w:after="0" w:line="57"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Omid Farokhzad, M.D.</w:t>
      </w:r>
    </w:p>
    <w:p>
      <w:pPr>
        <w:spacing w:after="0" w:line="63" w:lineRule="exact"/>
        <w:rPr>
          <w:sz w:val="20"/>
          <w:szCs w:val="20"/>
          <w:color w:val="auto"/>
        </w:rPr>
      </w:pPr>
    </w:p>
    <w:p>
      <w:pPr>
        <w:ind w:left="646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68"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tcPr>
          <w:p>
            <w:pPr>
              <w:jc w:val="center"/>
              <w:ind w:right="511"/>
              <w:spacing w:after="0"/>
              <w:rPr>
                <w:sz w:val="20"/>
                <w:szCs w:val="20"/>
                <w:color w:val="auto"/>
              </w:rPr>
            </w:pPr>
            <w:r>
              <w:rPr>
                <w:rFonts w:ascii="Arial" w:cs="Arial" w:eastAsia="Arial" w:hAnsi="Arial"/>
                <w:sz w:val="14"/>
                <w:szCs w:val="14"/>
                <w:b w:val="1"/>
                <w:bCs w:val="1"/>
                <w:color w:val="auto"/>
              </w:rPr>
              <w:t>SIGNATURE</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tcPr>
          <w:p>
            <w:pPr>
              <w:jc w:val="center"/>
              <w:ind w:right="1548"/>
              <w:spacing w:after="0"/>
              <w:rPr>
                <w:sz w:val="20"/>
                <w:szCs w:val="20"/>
                <w:color w:val="auto"/>
              </w:rPr>
            </w:pPr>
            <w:r>
              <w:rPr>
                <w:rFonts w:ascii="Arial" w:cs="Arial" w:eastAsia="Arial" w:hAnsi="Arial"/>
                <w:sz w:val="14"/>
                <w:szCs w:val="14"/>
                <w:b w:val="1"/>
                <w:bCs w:val="1"/>
                <w:color w:val="auto"/>
              </w:rPr>
              <w:t>TITLE</w:t>
            </w:r>
          </w:p>
        </w:tc>
        <w:tc>
          <w:tcPr>
            <w:tcW w:w="100" w:type="dxa"/>
            <w:vAlign w:val="bottom"/>
          </w:tcPr>
          <w:p>
            <w:pPr>
              <w:spacing w:after="0"/>
              <w:rPr>
                <w:sz w:val="16"/>
                <w:szCs w:val="16"/>
                <w:color w:val="auto"/>
              </w:rPr>
            </w:pPr>
          </w:p>
        </w:tc>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202"/>
        </w:trPr>
        <w:tc>
          <w:tcPr>
            <w:tcW w:w="600" w:type="dxa"/>
            <w:vAlign w:val="bottom"/>
          </w:tcPr>
          <w:p>
            <w:pPr>
              <w:spacing w:after="0"/>
              <w:rPr>
                <w:sz w:val="17"/>
                <w:szCs w:val="17"/>
                <w:color w:val="auto"/>
              </w:rPr>
            </w:pPr>
          </w:p>
        </w:tc>
        <w:tc>
          <w:tcPr>
            <w:tcW w:w="3080" w:type="dxa"/>
            <w:vAlign w:val="bottom"/>
            <w:vMerge w:val="restart"/>
          </w:tcPr>
          <w:p>
            <w:pPr>
              <w:jc w:val="center"/>
              <w:ind w:right="491"/>
              <w:spacing w:after="0"/>
              <w:rPr>
                <w:sz w:val="20"/>
                <w:szCs w:val="20"/>
                <w:color w:val="auto"/>
              </w:rPr>
            </w:pPr>
            <w:r>
              <w:rPr>
                <w:rFonts w:ascii="Arial" w:cs="Arial" w:eastAsia="Arial" w:hAnsi="Arial"/>
                <w:sz w:val="18"/>
                <w:szCs w:val="18"/>
                <w:color w:val="auto"/>
                <w:w w:val="92"/>
              </w:rPr>
              <w:t>/s/ Omid Farokhzad, M.D.</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580" w:type="dxa"/>
            <w:vAlign w:val="bottom"/>
            <w:gridSpan w:val="3"/>
          </w:tcPr>
          <w:p>
            <w:pPr>
              <w:jc w:val="center"/>
              <w:ind w:right="300"/>
              <w:spacing w:after="0" w:line="202" w:lineRule="exact"/>
              <w:rPr>
                <w:sz w:val="20"/>
                <w:szCs w:val="20"/>
                <w:color w:val="auto"/>
              </w:rPr>
            </w:pPr>
            <w:r>
              <w:rPr>
                <w:rFonts w:ascii="Arial" w:cs="Arial" w:eastAsia="Arial" w:hAnsi="Arial"/>
                <w:sz w:val="18"/>
                <w:szCs w:val="18"/>
                <w:color w:val="auto"/>
                <w:w w:val="93"/>
              </w:rPr>
              <w:t>Chief Executive Officer and</w:t>
            </w:r>
          </w:p>
        </w:tc>
        <w:tc>
          <w:tcPr>
            <w:tcW w:w="3680" w:type="dxa"/>
            <w:vAlign w:val="bottom"/>
            <w:vMerge w:val="restart"/>
          </w:tcPr>
          <w:p>
            <w:pPr>
              <w:jc w:val="center"/>
              <w:spacing w:after="0"/>
              <w:rPr>
                <w:sz w:val="20"/>
                <w:szCs w:val="20"/>
                <w:color w:val="auto"/>
              </w:rPr>
            </w:pPr>
            <w:r>
              <w:rPr>
                <w:rFonts w:ascii="Arial" w:cs="Arial" w:eastAsia="Arial" w:hAnsi="Arial"/>
                <w:sz w:val="18"/>
                <w:szCs w:val="18"/>
                <w:color w:val="auto"/>
                <w:w w:val="89"/>
              </w:rPr>
              <w:t>December 3, 2020</w:t>
            </w:r>
          </w:p>
        </w:tc>
        <w:tc>
          <w:tcPr>
            <w:tcW w:w="0" w:type="dxa"/>
            <w:vAlign w:val="bottom"/>
          </w:tcPr>
          <w:p>
            <w:pPr>
              <w:spacing w:after="0"/>
              <w:rPr>
                <w:sz w:val="1"/>
                <w:szCs w:val="1"/>
                <w:color w:val="auto"/>
              </w:rPr>
            </w:pPr>
          </w:p>
        </w:tc>
      </w:tr>
      <w:tr>
        <w:trPr>
          <w:trHeight w:val="148"/>
        </w:trPr>
        <w:tc>
          <w:tcPr>
            <w:tcW w:w="600" w:type="dxa"/>
            <w:vAlign w:val="bottom"/>
            <w:tcBorders>
              <w:bottom w:val="single" w:sz="8" w:color="auto"/>
            </w:tcBorders>
          </w:tcPr>
          <w:p>
            <w:pPr>
              <w:spacing w:after="0"/>
              <w:rPr>
                <w:sz w:val="12"/>
                <w:szCs w:val="12"/>
                <w:color w:val="auto"/>
              </w:rPr>
            </w:pPr>
          </w:p>
        </w:tc>
        <w:tc>
          <w:tcPr>
            <w:tcW w:w="308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580" w:type="dxa"/>
            <w:vAlign w:val="bottom"/>
            <w:gridSpan w:val="3"/>
          </w:tcPr>
          <w:p>
            <w:pPr>
              <w:jc w:val="center"/>
              <w:ind w:right="300"/>
              <w:spacing w:after="0" w:line="149" w:lineRule="exact"/>
              <w:rPr>
                <w:sz w:val="20"/>
                <w:szCs w:val="20"/>
                <w:color w:val="auto"/>
              </w:rPr>
            </w:pPr>
            <w:r>
              <w:rPr>
                <w:rFonts w:ascii="Arial" w:cs="Arial" w:eastAsia="Arial" w:hAnsi="Arial"/>
                <w:sz w:val="17"/>
                <w:szCs w:val="17"/>
                <w:color w:val="auto"/>
                <w:w w:val="97"/>
              </w:rPr>
              <w:t>Chair of the Board of Directors</w:t>
            </w:r>
          </w:p>
        </w:tc>
        <w:tc>
          <w:tcPr>
            <w:tcW w:w="3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600" w:type="dxa"/>
            <w:vAlign w:val="bottom"/>
          </w:tcPr>
          <w:p>
            <w:pPr>
              <w:spacing w:after="0"/>
              <w:rPr>
                <w:sz w:val="20"/>
                <w:szCs w:val="20"/>
                <w:color w:val="auto"/>
              </w:rPr>
            </w:pPr>
          </w:p>
        </w:tc>
        <w:tc>
          <w:tcPr>
            <w:tcW w:w="3380" w:type="dxa"/>
            <w:vAlign w:val="bottom"/>
            <w:gridSpan w:val="3"/>
          </w:tcPr>
          <w:p>
            <w:pPr>
              <w:jc w:val="center"/>
              <w:ind w:right="900"/>
              <w:spacing w:after="0"/>
              <w:rPr>
                <w:sz w:val="20"/>
                <w:szCs w:val="20"/>
                <w:color w:val="auto"/>
              </w:rPr>
            </w:pPr>
            <w:r>
              <w:rPr>
                <w:rFonts w:ascii="Arial" w:cs="Arial" w:eastAsia="Arial" w:hAnsi="Arial"/>
                <w:sz w:val="18"/>
                <w:szCs w:val="18"/>
                <w:color w:val="auto"/>
                <w:w w:val="92"/>
              </w:rPr>
              <w:t>Omid Farokhzad, M.D.</w:t>
            </w:r>
          </w:p>
        </w:tc>
        <w:tc>
          <w:tcPr>
            <w:tcW w:w="3580" w:type="dxa"/>
            <w:vAlign w:val="bottom"/>
            <w:gridSpan w:val="3"/>
          </w:tcPr>
          <w:p>
            <w:pPr>
              <w:jc w:val="center"/>
              <w:ind w:right="320"/>
              <w:spacing w:after="0"/>
              <w:rPr>
                <w:sz w:val="20"/>
                <w:szCs w:val="20"/>
                <w:color w:val="auto"/>
              </w:rPr>
            </w:pPr>
            <w:r>
              <w:rPr>
                <w:rFonts w:ascii="Arial" w:cs="Arial" w:eastAsia="Arial" w:hAnsi="Arial"/>
                <w:sz w:val="18"/>
                <w:szCs w:val="18"/>
                <w:color w:val="auto"/>
                <w:w w:val="94"/>
              </w:rPr>
              <w:t>(</w:t>
            </w:r>
            <w:r>
              <w:rPr>
                <w:rFonts w:ascii="Arial" w:cs="Arial" w:eastAsia="Arial" w:hAnsi="Arial"/>
                <w:sz w:val="18"/>
                <w:szCs w:val="18"/>
                <w:i w:val="1"/>
                <w:iCs w:val="1"/>
                <w:color w:val="auto"/>
                <w:w w:val="94"/>
              </w:rPr>
              <w:t>Principal Executive Officer</w:t>
            </w:r>
            <w:r>
              <w:rPr>
                <w:rFonts w:ascii="Arial" w:cs="Arial" w:eastAsia="Arial" w:hAnsi="Arial"/>
                <w:sz w:val="18"/>
                <w:szCs w:val="18"/>
                <w:color w:val="auto"/>
                <w:w w:val="94"/>
              </w:rPr>
              <w:t>)</w:t>
            </w:r>
          </w:p>
        </w:tc>
        <w:tc>
          <w:tcPr>
            <w:tcW w:w="3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600" w:type="dxa"/>
            <w:vAlign w:val="bottom"/>
          </w:tcPr>
          <w:p>
            <w:pPr>
              <w:spacing w:after="0"/>
              <w:rPr>
                <w:sz w:val="23"/>
                <w:szCs w:val="23"/>
                <w:color w:val="auto"/>
              </w:rPr>
            </w:pPr>
          </w:p>
        </w:tc>
        <w:tc>
          <w:tcPr>
            <w:tcW w:w="3080" w:type="dxa"/>
            <w:vAlign w:val="bottom"/>
            <w:vMerge w:val="restart"/>
          </w:tcPr>
          <w:p>
            <w:pPr>
              <w:jc w:val="center"/>
              <w:ind w:right="511"/>
              <w:spacing w:after="0"/>
              <w:rPr>
                <w:sz w:val="20"/>
                <w:szCs w:val="20"/>
                <w:color w:val="auto"/>
              </w:rPr>
            </w:pPr>
            <w:r>
              <w:rPr>
                <w:rFonts w:ascii="Arial" w:cs="Arial" w:eastAsia="Arial" w:hAnsi="Arial"/>
                <w:sz w:val="18"/>
                <w:szCs w:val="18"/>
                <w:color w:val="auto"/>
                <w:w w:val="93"/>
              </w:rPr>
              <w:t>/s/ David R. Horn</w:t>
            </w:r>
          </w:p>
        </w:tc>
        <w:tc>
          <w:tcPr>
            <w:tcW w:w="300" w:type="dxa"/>
            <w:vAlign w:val="bottom"/>
            <w:gridSpan w:val="2"/>
            <w:vMerge w:val="restart"/>
          </w:tcPr>
          <w:p>
            <w:pPr>
              <w:spacing w:after="0"/>
              <w:rPr>
                <w:sz w:val="23"/>
                <w:szCs w:val="23"/>
                <w:color w:val="auto"/>
              </w:rPr>
            </w:pPr>
          </w:p>
        </w:tc>
        <w:tc>
          <w:tcPr>
            <w:tcW w:w="3580" w:type="dxa"/>
            <w:vAlign w:val="bottom"/>
            <w:gridSpan w:val="3"/>
          </w:tcPr>
          <w:p>
            <w:pPr>
              <w:jc w:val="center"/>
              <w:ind w:right="300"/>
              <w:spacing w:after="0"/>
              <w:rPr>
                <w:sz w:val="20"/>
                <w:szCs w:val="20"/>
                <w:color w:val="auto"/>
              </w:rPr>
            </w:pPr>
            <w:r>
              <w:rPr>
                <w:rFonts w:ascii="Arial" w:cs="Arial" w:eastAsia="Arial" w:hAnsi="Arial"/>
                <w:sz w:val="18"/>
                <w:szCs w:val="18"/>
                <w:color w:val="auto"/>
                <w:w w:val="94"/>
              </w:rPr>
              <w:t>Chief Financial Officer</w:t>
            </w:r>
          </w:p>
        </w:tc>
        <w:tc>
          <w:tcPr>
            <w:tcW w:w="3680" w:type="dxa"/>
            <w:vAlign w:val="bottom"/>
            <w:vMerge w:val="restart"/>
          </w:tcPr>
          <w:p>
            <w:pPr>
              <w:jc w:val="center"/>
              <w:spacing w:after="0"/>
              <w:rPr>
                <w:sz w:val="20"/>
                <w:szCs w:val="20"/>
                <w:color w:val="auto"/>
              </w:rPr>
            </w:pPr>
            <w:r>
              <w:rPr>
                <w:rFonts w:ascii="Arial" w:cs="Arial" w:eastAsia="Arial" w:hAnsi="Arial"/>
                <w:sz w:val="18"/>
                <w:szCs w:val="18"/>
                <w:color w:val="auto"/>
                <w:w w:val="89"/>
              </w:rPr>
              <w:t>December 3, 2020</w:t>
            </w:r>
          </w:p>
        </w:tc>
        <w:tc>
          <w:tcPr>
            <w:tcW w:w="0" w:type="dxa"/>
            <w:vAlign w:val="bottom"/>
          </w:tcPr>
          <w:p>
            <w:pPr>
              <w:spacing w:after="0"/>
              <w:rPr>
                <w:sz w:val="1"/>
                <w:szCs w:val="1"/>
                <w:color w:val="auto"/>
              </w:rPr>
            </w:pPr>
          </w:p>
        </w:tc>
      </w:tr>
      <w:tr>
        <w:trPr>
          <w:trHeight w:val="148"/>
        </w:trPr>
        <w:tc>
          <w:tcPr>
            <w:tcW w:w="600" w:type="dxa"/>
            <w:vAlign w:val="bottom"/>
            <w:tcBorders>
              <w:bottom w:val="single" w:sz="8" w:color="auto"/>
            </w:tcBorders>
          </w:tcPr>
          <w:p>
            <w:pPr>
              <w:spacing w:after="0"/>
              <w:rPr>
                <w:sz w:val="12"/>
                <w:szCs w:val="12"/>
                <w:color w:val="auto"/>
              </w:rPr>
            </w:pPr>
          </w:p>
        </w:tc>
        <w:tc>
          <w:tcPr>
            <w:tcW w:w="3080" w:type="dxa"/>
            <w:vAlign w:val="bottom"/>
            <w:tcBorders>
              <w:bottom w:val="single" w:sz="8" w:color="auto"/>
            </w:tcBorders>
            <w:vMerge w:val="continue"/>
          </w:tcPr>
          <w:p>
            <w:pPr>
              <w:spacing w:after="0"/>
              <w:rPr>
                <w:sz w:val="12"/>
                <w:szCs w:val="12"/>
                <w:color w:val="auto"/>
              </w:rPr>
            </w:pPr>
          </w:p>
        </w:tc>
        <w:tc>
          <w:tcPr>
            <w:tcW w:w="300" w:type="dxa"/>
            <w:vAlign w:val="bottom"/>
            <w:gridSpan w:val="2"/>
            <w:vMerge w:val="continue"/>
          </w:tcPr>
          <w:p>
            <w:pPr>
              <w:spacing w:after="0"/>
              <w:rPr>
                <w:sz w:val="12"/>
                <w:szCs w:val="12"/>
                <w:color w:val="auto"/>
              </w:rPr>
            </w:pPr>
          </w:p>
        </w:tc>
        <w:tc>
          <w:tcPr>
            <w:tcW w:w="3580" w:type="dxa"/>
            <w:vAlign w:val="bottom"/>
            <w:gridSpan w:val="3"/>
          </w:tcPr>
          <w:p>
            <w:pPr>
              <w:jc w:val="center"/>
              <w:ind w:right="320"/>
              <w:spacing w:after="0" w:line="149" w:lineRule="exact"/>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Principal Financial Officer and Accounting</w:t>
            </w:r>
          </w:p>
        </w:tc>
        <w:tc>
          <w:tcPr>
            <w:tcW w:w="3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600" w:type="dxa"/>
            <w:vAlign w:val="bottom"/>
          </w:tcPr>
          <w:p>
            <w:pPr>
              <w:spacing w:after="0"/>
              <w:rPr>
                <w:sz w:val="20"/>
                <w:szCs w:val="20"/>
                <w:color w:val="auto"/>
              </w:rPr>
            </w:pPr>
          </w:p>
        </w:tc>
        <w:tc>
          <w:tcPr>
            <w:tcW w:w="3380" w:type="dxa"/>
            <w:vAlign w:val="bottom"/>
            <w:gridSpan w:val="3"/>
          </w:tcPr>
          <w:p>
            <w:pPr>
              <w:jc w:val="center"/>
              <w:ind w:right="880"/>
              <w:spacing w:after="0"/>
              <w:rPr>
                <w:sz w:val="20"/>
                <w:szCs w:val="20"/>
                <w:color w:val="auto"/>
              </w:rPr>
            </w:pPr>
            <w:r>
              <w:rPr>
                <w:rFonts w:ascii="Arial" w:cs="Arial" w:eastAsia="Arial" w:hAnsi="Arial"/>
                <w:sz w:val="18"/>
                <w:szCs w:val="18"/>
                <w:color w:val="auto"/>
                <w:w w:val="93"/>
              </w:rPr>
              <w:t>David R. Horn</w:t>
            </w:r>
          </w:p>
        </w:tc>
        <w:tc>
          <w:tcPr>
            <w:tcW w:w="3580" w:type="dxa"/>
            <w:vAlign w:val="bottom"/>
            <w:gridSpan w:val="3"/>
          </w:tcPr>
          <w:p>
            <w:pPr>
              <w:jc w:val="center"/>
              <w:ind w:right="300"/>
              <w:spacing w:after="0"/>
              <w:rPr>
                <w:sz w:val="20"/>
                <w:szCs w:val="20"/>
                <w:color w:val="auto"/>
              </w:rPr>
            </w:pPr>
            <w:r>
              <w:rPr>
                <w:rFonts w:ascii="Arial" w:cs="Arial" w:eastAsia="Arial" w:hAnsi="Arial"/>
                <w:sz w:val="18"/>
                <w:szCs w:val="18"/>
                <w:i w:val="1"/>
                <w:iCs w:val="1"/>
                <w:color w:val="auto"/>
                <w:w w:val="94"/>
              </w:rPr>
              <w:t>Officer</w:t>
            </w:r>
            <w:r>
              <w:rPr>
                <w:rFonts w:ascii="Arial" w:cs="Arial" w:eastAsia="Arial" w:hAnsi="Arial"/>
                <w:sz w:val="18"/>
                <w:szCs w:val="18"/>
                <w:color w:val="auto"/>
                <w:w w:val="94"/>
              </w:rPr>
              <w:t>)</w:t>
            </w:r>
          </w:p>
        </w:tc>
        <w:tc>
          <w:tcPr>
            <w:tcW w:w="3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60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jc w:val="center"/>
              <w:ind w:right="5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580" w:type="dxa"/>
            <w:vAlign w:val="bottom"/>
            <w:gridSpan w:val="3"/>
            <w:vMerge w:val="restart"/>
          </w:tcPr>
          <w:p>
            <w:pPr>
              <w:jc w:val="center"/>
              <w:ind w:right="320"/>
              <w:spacing w:after="0"/>
              <w:rPr>
                <w:sz w:val="20"/>
                <w:szCs w:val="20"/>
                <w:color w:val="auto"/>
              </w:rPr>
            </w:pPr>
            <w:r>
              <w:rPr>
                <w:rFonts w:ascii="Arial" w:cs="Arial" w:eastAsia="Arial" w:hAnsi="Arial"/>
                <w:sz w:val="18"/>
                <w:szCs w:val="18"/>
                <w:color w:val="auto"/>
                <w:w w:val="91"/>
              </w:rPr>
              <w:t>Lead Independent Director</w:t>
            </w:r>
          </w:p>
        </w:tc>
        <w:tc>
          <w:tcPr>
            <w:tcW w:w="3680" w:type="dxa"/>
            <w:vAlign w:val="bottom"/>
            <w:vMerge w:val="restart"/>
          </w:tcPr>
          <w:p>
            <w:pPr>
              <w:jc w:val="center"/>
              <w:spacing w:after="0"/>
              <w:rPr>
                <w:sz w:val="20"/>
                <w:szCs w:val="20"/>
                <w:color w:val="auto"/>
              </w:rPr>
            </w:pPr>
            <w:r>
              <w:rPr>
                <w:rFonts w:ascii="Arial" w:cs="Arial" w:eastAsia="Arial" w:hAnsi="Arial"/>
                <w:sz w:val="18"/>
                <w:szCs w:val="18"/>
                <w:color w:val="auto"/>
                <w:w w:val="89"/>
              </w:rPr>
              <w:t>December 3, 2020</w:t>
            </w:r>
          </w:p>
        </w:tc>
        <w:tc>
          <w:tcPr>
            <w:tcW w:w="0" w:type="dxa"/>
            <w:vAlign w:val="bottom"/>
          </w:tcPr>
          <w:p>
            <w:pPr>
              <w:spacing w:after="0"/>
              <w:rPr>
                <w:sz w:val="1"/>
                <w:szCs w:val="1"/>
                <w:color w:val="auto"/>
              </w:rPr>
            </w:pPr>
          </w:p>
        </w:tc>
      </w:tr>
      <w:tr>
        <w:trPr>
          <w:trHeight w:val="88"/>
        </w:trPr>
        <w:tc>
          <w:tcPr>
            <w:tcW w:w="600" w:type="dxa"/>
            <w:vAlign w:val="bottom"/>
          </w:tcPr>
          <w:p>
            <w:pPr>
              <w:spacing w:after="0"/>
              <w:rPr>
                <w:sz w:val="7"/>
                <w:szCs w:val="7"/>
                <w:color w:val="auto"/>
              </w:rPr>
            </w:pPr>
          </w:p>
        </w:tc>
        <w:tc>
          <w:tcPr>
            <w:tcW w:w="3380" w:type="dxa"/>
            <w:vAlign w:val="bottom"/>
            <w:gridSpan w:val="3"/>
            <w:vMerge w:val="restart"/>
          </w:tcPr>
          <w:p>
            <w:pPr>
              <w:jc w:val="center"/>
              <w:ind w:right="900"/>
              <w:spacing w:after="0"/>
              <w:rPr>
                <w:sz w:val="20"/>
                <w:szCs w:val="20"/>
                <w:color w:val="auto"/>
              </w:rPr>
            </w:pPr>
            <w:r>
              <w:rPr>
                <w:rFonts w:ascii="Arial" w:cs="Arial" w:eastAsia="Arial" w:hAnsi="Arial"/>
                <w:sz w:val="18"/>
                <w:szCs w:val="18"/>
                <w:color w:val="auto"/>
                <w:w w:val="95"/>
              </w:rPr>
              <w:t>David Hallal</w:t>
            </w:r>
          </w:p>
        </w:tc>
        <w:tc>
          <w:tcPr>
            <w:tcW w:w="3580" w:type="dxa"/>
            <w:vAlign w:val="bottom"/>
            <w:gridSpan w:val="3"/>
            <w:vMerge w:val="continue"/>
          </w:tcPr>
          <w:p>
            <w:pPr>
              <w:spacing w:after="0"/>
              <w:rPr>
                <w:sz w:val="7"/>
                <w:szCs w:val="7"/>
                <w:color w:val="auto"/>
              </w:rPr>
            </w:pPr>
          </w:p>
        </w:tc>
        <w:tc>
          <w:tcPr>
            <w:tcW w:w="3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600" w:type="dxa"/>
            <w:vAlign w:val="bottom"/>
          </w:tcPr>
          <w:p>
            <w:pPr>
              <w:spacing w:after="0"/>
              <w:rPr>
                <w:sz w:val="11"/>
                <w:szCs w:val="11"/>
                <w:color w:val="auto"/>
              </w:rPr>
            </w:pPr>
          </w:p>
        </w:tc>
        <w:tc>
          <w:tcPr>
            <w:tcW w:w="3380" w:type="dxa"/>
            <w:vAlign w:val="bottom"/>
            <w:gridSpan w:val="3"/>
            <w:vMerge w:val="continue"/>
          </w:tcPr>
          <w:p>
            <w:pPr>
              <w:spacing w:after="0"/>
              <w:rPr>
                <w:sz w:val="11"/>
                <w:szCs w:val="11"/>
                <w:color w:val="auto"/>
              </w:rPr>
            </w:pPr>
          </w:p>
        </w:tc>
        <w:tc>
          <w:tcPr>
            <w:tcW w:w="142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3"/>
        </w:trPr>
        <w:tc>
          <w:tcPr>
            <w:tcW w:w="60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jc w:val="center"/>
              <w:ind w:right="5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580" w:type="dxa"/>
            <w:vAlign w:val="bottom"/>
            <w:gridSpan w:val="3"/>
            <w:vMerge w:val="restart"/>
          </w:tcPr>
          <w:p>
            <w:pPr>
              <w:jc w:val="center"/>
              <w:ind w:right="300"/>
              <w:spacing w:after="0"/>
              <w:rPr>
                <w:sz w:val="20"/>
                <w:szCs w:val="20"/>
                <w:color w:val="auto"/>
              </w:rPr>
            </w:pPr>
            <w:r>
              <w:rPr>
                <w:rFonts w:ascii="Arial" w:cs="Arial" w:eastAsia="Arial" w:hAnsi="Arial"/>
                <w:sz w:val="18"/>
                <w:szCs w:val="18"/>
                <w:color w:val="auto"/>
                <w:w w:val="95"/>
              </w:rPr>
              <w:t>Director</w:t>
            </w:r>
          </w:p>
        </w:tc>
        <w:tc>
          <w:tcPr>
            <w:tcW w:w="3680" w:type="dxa"/>
            <w:vAlign w:val="bottom"/>
            <w:vMerge w:val="restart"/>
          </w:tcPr>
          <w:p>
            <w:pPr>
              <w:jc w:val="center"/>
              <w:spacing w:after="0"/>
              <w:rPr>
                <w:sz w:val="20"/>
                <w:szCs w:val="20"/>
                <w:color w:val="auto"/>
              </w:rPr>
            </w:pPr>
            <w:r>
              <w:rPr>
                <w:rFonts w:ascii="Arial" w:cs="Arial" w:eastAsia="Arial" w:hAnsi="Arial"/>
                <w:sz w:val="18"/>
                <w:szCs w:val="18"/>
                <w:color w:val="auto"/>
                <w:w w:val="89"/>
              </w:rPr>
              <w:t>December 3, 2020</w:t>
            </w:r>
          </w:p>
        </w:tc>
        <w:tc>
          <w:tcPr>
            <w:tcW w:w="0" w:type="dxa"/>
            <w:vAlign w:val="bottom"/>
          </w:tcPr>
          <w:p>
            <w:pPr>
              <w:spacing w:after="0"/>
              <w:rPr>
                <w:sz w:val="1"/>
                <w:szCs w:val="1"/>
                <w:color w:val="auto"/>
              </w:rPr>
            </w:pPr>
          </w:p>
        </w:tc>
      </w:tr>
      <w:tr>
        <w:trPr>
          <w:trHeight w:val="88"/>
        </w:trPr>
        <w:tc>
          <w:tcPr>
            <w:tcW w:w="600" w:type="dxa"/>
            <w:vAlign w:val="bottom"/>
          </w:tcPr>
          <w:p>
            <w:pPr>
              <w:spacing w:after="0"/>
              <w:rPr>
                <w:sz w:val="7"/>
                <w:szCs w:val="7"/>
                <w:color w:val="auto"/>
              </w:rPr>
            </w:pPr>
          </w:p>
        </w:tc>
        <w:tc>
          <w:tcPr>
            <w:tcW w:w="3380" w:type="dxa"/>
            <w:vAlign w:val="bottom"/>
            <w:gridSpan w:val="3"/>
            <w:vMerge w:val="restart"/>
          </w:tcPr>
          <w:p>
            <w:pPr>
              <w:jc w:val="center"/>
              <w:ind w:right="900"/>
              <w:spacing w:after="0"/>
              <w:rPr>
                <w:sz w:val="20"/>
                <w:szCs w:val="20"/>
                <w:color w:val="auto"/>
              </w:rPr>
            </w:pPr>
            <w:r>
              <w:rPr>
                <w:rFonts w:ascii="Arial" w:cs="Arial" w:eastAsia="Arial" w:hAnsi="Arial"/>
                <w:sz w:val="18"/>
                <w:szCs w:val="18"/>
                <w:color w:val="auto"/>
                <w:w w:val="90"/>
              </w:rPr>
              <w:t>Catherine Friedman</w:t>
            </w:r>
          </w:p>
        </w:tc>
        <w:tc>
          <w:tcPr>
            <w:tcW w:w="3580" w:type="dxa"/>
            <w:vAlign w:val="bottom"/>
            <w:gridSpan w:val="3"/>
            <w:vMerge w:val="continue"/>
          </w:tcPr>
          <w:p>
            <w:pPr>
              <w:spacing w:after="0"/>
              <w:rPr>
                <w:sz w:val="7"/>
                <w:szCs w:val="7"/>
                <w:color w:val="auto"/>
              </w:rPr>
            </w:pPr>
          </w:p>
        </w:tc>
        <w:tc>
          <w:tcPr>
            <w:tcW w:w="3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600" w:type="dxa"/>
            <w:vAlign w:val="bottom"/>
          </w:tcPr>
          <w:p>
            <w:pPr>
              <w:spacing w:after="0"/>
              <w:rPr>
                <w:sz w:val="11"/>
                <w:szCs w:val="11"/>
                <w:color w:val="auto"/>
              </w:rPr>
            </w:pPr>
          </w:p>
        </w:tc>
        <w:tc>
          <w:tcPr>
            <w:tcW w:w="3380" w:type="dxa"/>
            <w:vAlign w:val="bottom"/>
            <w:gridSpan w:val="3"/>
            <w:vMerge w:val="continue"/>
          </w:tcPr>
          <w:p>
            <w:pPr>
              <w:spacing w:after="0"/>
              <w:rPr>
                <w:sz w:val="11"/>
                <w:szCs w:val="11"/>
                <w:color w:val="auto"/>
              </w:rPr>
            </w:pPr>
          </w:p>
        </w:tc>
        <w:tc>
          <w:tcPr>
            <w:tcW w:w="142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3"/>
        </w:trPr>
        <w:tc>
          <w:tcPr>
            <w:tcW w:w="60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jc w:val="center"/>
              <w:ind w:right="5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580" w:type="dxa"/>
            <w:vAlign w:val="bottom"/>
            <w:gridSpan w:val="3"/>
            <w:vMerge w:val="restart"/>
          </w:tcPr>
          <w:p>
            <w:pPr>
              <w:jc w:val="center"/>
              <w:ind w:right="300"/>
              <w:spacing w:after="0"/>
              <w:rPr>
                <w:sz w:val="20"/>
                <w:szCs w:val="20"/>
                <w:color w:val="auto"/>
              </w:rPr>
            </w:pPr>
            <w:r>
              <w:rPr>
                <w:rFonts w:ascii="Arial" w:cs="Arial" w:eastAsia="Arial" w:hAnsi="Arial"/>
                <w:sz w:val="18"/>
                <w:szCs w:val="18"/>
                <w:color w:val="auto"/>
                <w:w w:val="95"/>
              </w:rPr>
              <w:t>Director</w:t>
            </w:r>
          </w:p>
        </w:tc>
        <w:tc>
          <w:tcPr>
            <w:tcW w:w="3680" w:type="dxa"/>
            <w:vAlign w:val="bottom"/>
            <w:vMerge w:val="restart"/>
          </w:tcPr>
          <w:p>
            <w:pPr>
              <w:jc w:val="center"/>
              <w:spacing w:after="0"/>
              <w:rPr>
                <w:sz w:val="20"/>
                <w:szCs w:val="20"/>
                <w:color w:val="auto"/>
              </w:rPr>
            </w:pPr>
            <w:r>
              <w:rPr>
                <w:rFonts w:ascii="Arial" w:cs="Arial" w:eastAsia="Arial" w:hAnsi="Arial"/>
                <w:sz w:val="18"/>
                <w:szCs w:val="18"/>
                <w:color w:val="auto"/>
                <w:w w:val="89"/>
              </w:rPr>
              <w:t>December 3, 2020</w:t>
            </w:r>
          </w:p>
        </w:tc>
        <w:tc>
          <w:tcPr>
            <w:tcW w:w="0" w:type="dxa"/>
            <w:vAlign w:val="bottom"/>
          </w:tcPr>
          <w:p>
            <w:pPr>
              <w:spacing w:after="0"/>
              <w:rPr>
                <w:sz w:val="1"/>
                <w:szCs w:val="1"/>
                <w:color w:val="auto"/>
              </w:rPr>
            </w:pPr>
          </w:p>
        </w:tc>
      </w:tr>
      <w:tr>
        <w:trPr>
          <w:trHeight w:val="88"/>
        </w:trPr>
        <w:tc>
          <w:tcPr>
            <w:tcW w:w="600" w:type="dxa"/>
            <w:vAlign w:val="bottom"/>
          </w:tcPr>
          <w:p>
            <w:pPr>
              <w:spacing w:after="0"/>
              <w:rPr>
                <w:sz w:val="7"/>
                <w:szCs w:val="7"/>
                <w:color w:val="auto"/>
              </w:rPr>
            </w:pPr>
          </w:p>
        </w:tc>
        <w:tc>
          <w:tcPr>
            <w:tcW w:w="3380" w:type="dxa"/>
            <w:vAlign w:val="bottom"/>
            <w:gridSpan w:val="3"/>
            <w:vMerge w:val="restart"/>
          </w:tcPr>
          <w:p>
            <w:pPr>
              <w:jc w:val="center"/>
              <w:ind w:right="900"/>
              <w:spacing w:after="0"/>
              <w:rPr>
                <w:sz w:val="20"/>
                <w:szCs w:val="20"/>
                <w:color w:val="auto"/>
              </w:rPr>
            </w:pPr>
            <w:r>
              <w:rPr>
                <w:rFonts w:ascii="Arial" w:cs="Arial" w:eastAsia="Arial" w:hAnsi="Arial"/>
                <w:sz w:val="18"/>
                <w:szCs w:val="18"/>
                <w:color w:val="auto"/>
                <w:w w:val="89"/>
              </w:rPr>
              <w:t>Robert Langer, Sc.D.</w:t>
            </w:r>
          </w:p>
        </w:tc>
        <w:tc>
          <w:tcPr>
            <w:tcW w:w="3580" w:type="dxa"/>
            <w:vAlign w:val="bottom"/>
            <w:gridSpan w:val="3"/>
            <w:vMerge w:val="continue"/>
          </w:tcPr>
          <w:p>
            <w:pPr>
              <w:spacing w:after="0"/>
              <w:rPr>
                <w:sz w:val="7"/>
                <w:szCs w:val="7"/>
                <w:color w:val="auto"/>
              </w:rPr>
            </w:pPr>
          </w:p>
        </w:tc>
        <w:tc>
          <w:tcPr>
            <w:tcW w:w="3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600" w:type="dxa"/>
            <w:vAlign w:val="bottom"/>
          </w:tcPr>
          <w:p>
            <w:pPr>
              <w:spacing w:after="0"/>
              <w:rPr>
                <w:sz w:val="11"/>
                <w:szCs w:val="11"/>
                <w:color w:val="auto"/>
              </w:rPr>
            </w:pPr>
          </w:p>
        </w:tc>
        <w:tc>
          <w:tcPr>
            <w:tcW w:w="3380" w:type="dxa"/>
            <w:vAlign w:val="bottom"/>
            <w:gridSpan w:val="3"/>
            <w:vMerge w:val="continue"/>
          </w:tcPr>
          <w:p>
            <w:pPr>
              <w:spacing w:after="0"/>
              <w:rPr>
                <w:sz w:val="11"/>
                <w:szCs w:val="11"/>
                <w:color w:val="auto"/>
              </w:rPr>
            </w:pPr>
          </w:p>
        </w:tc>
        <w:tc>
          <w:tcPr>
            <w:tcW w:w="142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3"/>
        </w:trPr>
        <w:tc>
          <w:tcPr>
            <w:tcW w:w="60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jc w:val="center"/>
              <w:ind w:right="5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580" w:type="dxa"/>
            <w:vAlign w:val="bottom"/>
            <w:gridSpan w:val="3"/>
            <w:vMerge w:val="restart"/>
          </w:tcPr>
          <w:p>
            <w:pPr>
              <w:jc w:val="center"/>
              <w:ind w:right="300"/>
              <w:spacing w:after="0"/>
              <w:rPr>
                <w:sz w:val="20"/>
                <w:szCs w:val="20"/>
                <w:color w:val="auto"/>
              </w:rPr>
            </w:pPr>
            <w:r>
              <w:rPr>
                <w:rFonts w:ascii="Arial" w:cs="Arial" w:eastAsia="Arial" w:hAnsi="Arial"/>
                <w:sz w:val="18"/>
                <w:szCs w:val="18"/>
                <w:color w:val="auto"/>
                <w:w w:val="95"/>
              </w:rPr>
              <w:t>Director</w:t>
            </w:r>
          </w:p>
        </w:tc>
        <w:tc>
          <w:tcPr>
            <w:tcW w:w="3680" w:type="dxa"/>
            <w:vAlign w:val="bottom"/>
            <w:vMerge w:val="restart"/>
          </w:tcPr>
          <w:p>
            <w:pPr>
              <w:jc w:val="center"/>
              <w:spacing w:after="0"/>
              <w:rPr>
                <w:sz w:val="20"/>
                <w:szCs w:val="20"/>
                <w:color w:val="auto"/>
              </w:rPr>
            </w:pPr>
            <w:r>
              <w:rPr>
                <w:rFonts w:ascii="Arial" w:cs="Arial" w:eastAsia="Arial" w:hAnsi="Arial"/>
                <w:sz w:val="18"/>
                <w:szCs w:val="18"/>
                <w:color w:val="auto"/>
                <w:w w:val="89"/>
              </w:rPr>
              <w:t>December 3, 2020</w:t>
            </w:r>
          </w:p>
        </w:tc>
        <w:tc>
          <w:tcPr>
            <w:tcW w:w="0" w:type="dxa"/>
            <w:vAlign w:val="bottom"/>
          </w:tcPr>
          <w:p>
            <w:pPr>
              <w:spacing w:after="0"/>
              <w:rPr>
                <w:sz w:val="1"/>
                <w:szCs w:val="1"/>
                <w:color w:val="auto"/>
              </w:rPr>
            </w:pPr>
          </w:p>
        </w:tc>
      </w:tr>
      <w:tr>
        <w:trPr>
          <w:trHeight w:val="88"/>
        </w:trPr>
        <w:tc>
          <w:tcPr>
            <w:tcW w:w="600" w:type="dxa"/>
            <w:vAlign w:val="bottom"/>
          </w:tcPr>
          <w:p>
            <w:pPr>
              <w:spacing w:after="0"/>
              <w:rPr>
                <w:sz w:val="7"/>
                <w:szCs w:val="7"/>
                <w:color w:val="auto"/>
              </w:rPr>
            </w:pPr>
          </w:p>
        </w:tc>
        <w:tc>
          <w:tcPr>
            <w:tcW w:w="3380" w:type="dxa"/>
            <w:vAlign w:val="bottom"/>
            <w:gridSpan w:val="3"/>
            <w:vMerge w:val="restart"/>
          </w:tcPr>
          <w:p>
            <w:pPr>
              <w:jc w:val="center"/>
              <w:ind w:right="900"/>
              <w:spacing w:after="0"/>
              <w:rPr>
                <w:sz w:val="20"/>
                <w:szCs w:val="20"/>
                <w:color w:val="auto"/>
              </w:rPr>
            </w:pPr>
            <w:r>
              <w:rPr>
                <w:rFonts w:ascii="Arial" w:cs="Arial" w:eastAsia="Arial" w:hAnsi="Arial"/>
                <w:sz w:val="18"/>
                <w:szCs w:val="18"/>
                <w:color w:val="auto"/>
                <w:w w:val="90"/>
              </w:rPr>
              <w:t>Terrance McGuire</w:t>
            </w:r>
          </w:p>
        </w:tc>
        <w:tc>
          <w:tcPr>
            <w:tcW w:w="3580" w:type="dxa"/>
            <w:vAlign w:val="bottom"/>
            <w:gridSpan w:val="3"/>
            <w:vMerge w:val="continue"/>
          </w:tcPr>
          <w:p>
            <w:pPr>
              <w:spacing w:after="0"/>
              <w:rPr>
                <w:sz w:val="7"/>
                <w:szCs w:val="7"/>
                <w:color w:val="auto"/>
              </w:rPr>
            </w:pPr>
          </w:p>
        </w:tc>
        <w:tc>
          <w:tcPr>
            <w:tcW w:w="3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600" w:type="dxa"/>
            <w:vAlign w:val="bottom"/>
          </w:tcPr>
          <w:p>
            <w:pPr>
              <w:spacing w:after="0"/>
              <w:rPr>
                <w:sz w:val="11"/>
                <w:szCs w:val="11"/>
                <w:color w:val="auto"/>
              </w:rPr>
            </w:pPr>
          </w:p>
        </w:tc>
        <w:tc>
          <w:tcPr>
            <w:tcW w:w="3380" w:type="dxa"/>
            <w:vAlign w:val="bottom"/>
            <w:gridSpan w:val="3"/>
            <w:vMerge w:val="continue"/>
          </w:tcPr>
          <w:p>
            <w:pPr>
              <w:spacing w:after="0"/>
              <w:rPr>
                <w:sz w:val="11"/>
                <w:szCs w:val="11"/>
                <w:color w:val="auto"/>
              </w:rPr>
            </w:pPr>
          </w:p>
        </w:tc>
        <w:tc>
          <w:tcPr>
            <w:tcW w:w="142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3"/>
        </w:trPr>
        <w:tc>
          <w:tcPr>
            <w:tcW w:w="60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jc w:val="center"/>
              <w:ind w:right="5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580" w:type="dxa"/>
            <w:vAlign w:val="bottom"/>
            <w:gridSpan w:val="3"/>
            <w:vMerge w:val="restart"/>
          </w:tcPr>
          <w:p>
            <w:pPr>
              <w:jc w:val="center"/>
              <w:ind w:right="300"/>
              <w:spacing w:after="0"/>
              <w:rPr>
                <w:sz w:val="20"/>
                <w:szCs w:val="20"/>
                <w:color w:val="auto"/>
              </w:rPr>
            </w:pPr>
            <w:r>
              <w:rPr>
                <w:rFonts w:ascii="Arial" w:cs="Arial" w:eastAsia="Arial" w:hAnsi="Arial"/>
                <w:sz w:val="18"/>
                <w:szCs w:val="18"/>
                <w:color w:val="auto"/>
                <w:w w:val="95"/>
              </w:rPr>
              <w:t>Director</w:t>
            </w:r>
          </w:p>
        </w:tc>
        <w:tc>
          <w:tcPr>
            <w:tcW w:w="3680" w:type="dxa"/>
            <w:vAlign w:val="bottom"/>
            <w:vMerge w:val="restart"/>
          </w:tcPr>
          <w:p>
            <w:pPr>
              <w:jc w:val="center"/>
              <w:spacing w:after="0"/>
              <w:rPr>
                <w:sz w:val="20"/>
                <w:szCs w:val="20"/>
                <w:color w:val="auto"/>
              </w:rPr>
            </w:pPr>
            <w:r>
              <w:rPr>
                <w:rFonts w:ascii="Arial" w:cs="Arial" w:eastAsia="Arial" w:hAnsi="Arial"/>
                <w:sz w:val="18"/>
                <w:szCs w:val="18"/>
                <w:color w:val="auto"/>
                <w:w w:val="89"/>
              </w:rPr>
              <w:t>December 3, 2020</w:t>
            </w:r>
          </w:p>
        </w:tc>
        <w:tc>
          <w:tcPr>
            <w:tcW w:w="0" w:type="dxa"/>
            <w:vAlign w:val="bottom"/>
          </w:tcPr>
          <w:p>
            <w:pPr>
              <w:spacing w:after="0"/>
              <w:rPr>
                <w:sz w:val="1"/>
                <w:szCs w:val="1"/>
                <w:color w:val="auto"/>
              </w:rPr>
            </w:pPr>
          </w:p>
        </w:tc>
      </w:tr>
      <w:tr>
        <w:trPr>
          <w:trHeight w:val="88"/>
        </w:trPr>
        <w:tc>
          <w:tcPr>
            <w:tcW w:w="600" w:type="dxa"/>
            <w:vAlign w:val="bottom"/>
          </w:tcPr>
          <w:p>
            <w:pPr>
              <w:spacing w:after="0"/>
              <w:rPr>
                <w:sz w:val="7"/>
                <w:szCs w:val="7"/>
                <w:color w:val="auto"/>
              </w:rPr>
            </w:pPr>
          </w:p>
        </w:tc>
        <w:tc>
          <w:tcPr>
            <w:tcW w:w="3380" w:type="dxa"/>
            <w:vAlign w:val="bottom"/>
            <w:gridSpan w:val="3"/>
            <w:vMerge w:val="restart"/>
          </w:tcPr>
          <w:p>
            <w:pPr>
              <w:jc w:val="center"/>
              <w:ind w:right="900"/>
              <w:spacing w:after="0"/>
              <w:rPr>
                <w:sz w:val="20"/>
                <w:szCs w:val="20"/>
                <w:color w:val="auto"/>
              </w:rPr>
            </w:pPr>
            <w:r>
              <w:rPr>
                <w:rFonts w:ascii="Arial" w:cs="Arial" w:eastAsia="Arial" w:hAnsi="Arial"/>
                <w:sz w:val="18"/>
                <w:szCs w:val="18"/>
                <w:color w:val="auto"/>
                <w:w w:val="87"/>
              </w:rPr>
              <w:t>Omead Ostadan</w:t>
            </w:r>
          </w:p>
        </w:tc>
        <w:tc>
          <w:tcPr>
            <w:tcW w:w="3580" w:type="dxa"/>
            <w:vAlign w:val="bottom"/>
            <w:gridSpan w:val="3"/>
            <w:vMerge w:val="continue"/>
          </w:tcPr>
          <w:p>
            <w:pPr>
              <w:spacing w:after="0"/>
              <w:rPr>
                <w:sz w:val="7"/>
                <w:szCs w:val="7"/>
                <w:color w:val="auto"/>
              </w:rPr>
            </w:pPr>
          </w:p>
        </w:tc>
        <w:tc>
          <w:tcPr>
            <w:tcW w:w="3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600" w:type="dxa"/>
            <w:vAlign w:val="bottom"/>
          </w:tcPr>
          <w:p>
            <w:pPr>
              <w:spacing w:after="0"/>
              <w:rPr>
                <w:sz w:val="11"/>
                <w:szCs w:val="11"/>
                <w:color w:val="auto"/>
              </w:rPr>
            </w:pPr>
          </w:p>
        </w:tc>
        <w:tc>
          <w:tcPr>
            <w:tcW w:w="3380" w:type="dxa"/>
            <w:vAlign w:val="bottom"/>
            <w:gridSpan w:val="3"/>
            <w:vMerge w:val="continue"/>
          </w:tcPr>
          <w:p>
            <w:pPr>
              <w:spacing w:after="0"/>
              <w:rPr>
                <w:sz w:val="11"/>
                <w:szCs w:val="11"/>
                <w:color w:val="auto"/>
              </w:rPr>
            </w:pPr>
          </w:p>
        </w:tc>
        <w:tc>
          <w:tcPr>
            <w:tcW w:w="142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3"/>
        </w:trPr>
        <w:tc>
          <w:tcPr>
            <w:tcW w:w="60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jc w:val="center"/>
              <w:ind w:right="5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580" w:type="dxa"/>
            <w:vAlign w:val="bottom"/>
            <w:gridSpan w:val="3"/>
            <w:vMerge w:val="restart"/>
          </w:tcPr>
          <w:p>
            <w:pPr>
              <w:jc w:val="center"/>
              <w:ind w:right="300"/>
              <w:spacing w:after="0"/>
              <w:rPr>
                <w:sz w:val="20"/>
                <w:szCs w:val="20"/>
                <w:color w:val="auto"/>
              </w:rPr>
            </w:pPr>
            <w:r>
              <w:rPr>
                <w:rFonts w:ascii="Arial" w:cs="Arial" w:eastAsia="Arial" w:hAnsi="Arial"/>
                <w:sz w:val="18"/>
                <w:szCs w:val="18"/>
                <w:color w:val="auto"/>
                <w:w w:val="95"/>
              </w:rPr>
              <w:t>Director</w:t>
            </w:r>
          </w:p>
        </w:tc>
        <w:tc>
          <w:tcPr>
            <w:tcW w:w="3680" w:type="dxa"/>
            <w:vAlign w:val="bottom"/>
            <w:vMerge w:val="restart"/>
          </w:tcPr>
          <w:p>
            <w:pPr>
              <w:jc w:val="center"/>
              <w:spacing w:after="0"/>
              <w:rPr>
                <w:sz w:val="20"/>
                <w:szCs w:val="20"/>
                <w:color w:val="auto"/>
              </w:rPr>
            </w:pPr>
            <w:r>
              <w:rPr>
                <w:rFonts w:ascii="Arial" w:cs="Arial" w:eastAsia="Arial" w:hAnsi="Arial"/>
                <w:sz w:val="18"/>
                <w:szCs w:val="18"/>
                <w:color w:val="auto"/>
                <w:w w:val="89"/>
              </w:rPr>
              <w:t>December 3, 2020</w:t>
            </w:r>
          </w:p>
        </w:tc>
        <w:tc>
          <w:tcPr>
            <w:tcW w:w="0" w:type="dxa"/>
            <w:vAlign w:val="bottom"/>
          </w:tcPr>
          <w:p>
            <w:pPr>
              <w:spacing w:after="0"/>
              <w:rPr>
                <w:sz w:val="1"/>
                <w:szCs w:val="1"/>
                <w:color w:val="auto"/>
              </w:rPr>
            </w:pPr>
          </w:p>
        </w:tc>
      </w:tr>
      <w:tr>
        <w:trPr>
          <w:trHeight w:val="88"/>
        </w:trPr>
        <w:tc>
          <w:tcPr>
            <w:tcW w:w="600" w:type="dxa"/>
            <w:vAlign w:val="bottom"/>
          </w:tcPr>
          <w:p>
            <w:pPr>
              <w:spacing w:after="0"/>
              <w:rPr>
                <w:sz w:val="7"/>
                <w:szCs w:val="7"/>
                <w:color w:val="auto"/>
              </w:rPr>
            </w:pPr>
          </w:p>
        </w:tc>
        <w:tc>
          <w:tcPr>
            <w:tcW w:w="3380" w:type="dxa"/>
            <w:vAlign w:val="bottom"/>
            <w:gridSpan w:val="3"/>
            <w:vMerge w:val="restart"/>
          </w:tcPr>
          <w:p>
            <w:pPr>
              <w:jc w:val="center"/>
              <w:ind w:right="900"/>
              <w:spacing w:after="0"/>
              <w:rPr>
                <w:sz w:val="20"/>
                <w:szCs w:val="20"/>
                <w:color w:val="auto"/>
              </w:rPr>
            </w:pPr>
            <w:r>
              <w:rPr>
                <w:rFonts w:ascii="Arial" w:cs="Arial" w:eastAsia="Arial" w:hAnsi="Arial"/>
                <w:sz w:val="18"/>
                <w:szCs w:val="18"/>
                <w:color w:val="auto"/>
                <w:w w:val="93"/>
              </w:rPr>
              <w:t>David Singer</w:t>
            </w:r>
          </w:p>
        </w:tc>
        <w:tc>
          <w:tcPr>
            <w:tcW w:w="3580" w:type="dxa"/>
            <w:vAlign w:val="bottom"/>
            <w:gridSpan w:val="3"/>
            <w:vMerge w:val="continue"/>
          </w:tcPr>
          <w:p>
            <w:pPr>
              <w:spacing w:after="0"/>
              <w:rPr>
                <w:sz w:val="7"/>
                <w:szCs w:val="7"/>
                <w:color w:val="auto"/>
              </w:rPr>
            </w:pPr>
          </w:p>
        </w:tc>
        <w:tc>
          <w:tcPr>
            <w:tcW w:w="3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600" w:type="dxa"/>
            <w:vAlign w:val="bottom"/>
          </w:tcPr>
          <w:p>
            <w:pPr>
              <w:spacing w:after="0"/>
              <w:rPr>
                <w:sz w:val="11"/>
                <w:szCs w:val="11"/>
                <w:color w:val="auto"/>
              </w:rPr>
            </w:pPr>
          </w:p>
        </w:tc>
        <w:tc>
          <w:tcPr>
            <w:tcW w:w="3380" w:type="dxa"/>
            <w:vAlign w:val="bottom"/>
            <w:gridSpan w:val="3"/>
            <w:vMerge w:val="continue"/>
          </w:tcPr>
          <w:p>
            <w:pPr>
              <w:spacing w:after="0"/>
              <w:rPr>
                <w:sz w:val="11"/>
                <w:szCs w:val="11"/>
                <w:color w:val="auto"/>
              </w:rPr>
            </w:pPr>
          </w:p>
        </w:tc>
        <w:tc>
          <w:tcPr>
            <w:tcW w:w="142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45"/>
        </w:trPr>
        <w:tc>
          <w:tcPr>
            <w:tcW w:w="600" w:type="dxa"/>
            <w:vAlign w:val="bottom"/>
          </w:tcPr>
          <w:p>
            <w:pPr>
              <w:ind w:left="20"/>
              <w:spacing w:after="0"/>
              <w:rPr>
                <w:sz w:val="20"/>
                <w:szCs w:val="20"/>
                <w:color w:val="auto"/>
              </w:rPr>
            </w:pPr>
            <w:r>
              <w:rPr>
                <w:rFonts w:ascii="Arial" w:cs="Arial" w:eastAsia="Arial" w:hAnsi="Arial"/>
                <w:sz w:val="18"/>
                <w:szCs w:val="18"/>
                <w:color w:val="auto"/>
              </w:rPr>
              <w:t>*By:</w:t>
            </w:r>
          </w:p>
        </w:tc>
        <w:tc>
          <w:tcPr>
            <w:tcW w:w="3380" w:type="dxa"/>
            <w:vAlign w:val="bottom"/>
            <w:gridSpan w:val="3"/>
          </w:tcPr>
          <w:p>
            <w:pPr>
              <w:jc w:val="center"/>
              <w:ind w:left="1311"/>
              <w:spacing w:after="0"/>
              <w:rPr>
                <w:sz w:val="20"/>
                <w:szCs w:val="20"/>
                <w:color w:val="auto"/>
              </w:rPr>
            </w:pPr>
            <w:r>
              <w:rPr>
                <w:rFonts w:ascii="Arial" w:cs="Arial" w:eastAsia="Arial" w:hAnsi="Arial"/>
                <w:sz w:val="18"/>
                <w:szCs w:val="18"/>
                <w:color w:val="auto"/>
                <w:w w:val="92"/>
              </w:rPr>
              <w:t>/s/ Omid Farokhzad, M.D.</w:t>
            </w:r>
          </w:p>
        </w:tc>
        <w:tc>
          <w:tcPr>
            <w:tcW w:w="14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00" w:type="dxa"/>
            <w:vAlign w:val="bottom"/>
          </w:tcPr>
          <w:p>
            <w:pPr>
              <w:spacing w:after="0"/>
              <w:rPr>
                <w:sz w:val="2"/>
                <w:szCs w:val="2"/>
                <w:color w:val="auto"/>
              </w:rPr>
            </w:pPr>
          </w:p>
        </w:tc>
        <w:tc>
          <w:tcPr>
            <w:tcW w:w="3380" w:type="dxa"/>
            <w:vAlign w:val="bottom"/>
            <w:tcBorders>
              <w:bottom w:val="single" w:sz="8" w:color="auto"/>
            </w:tcBorders>
            <w:gridSpan w:val="3"/>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0" w:type="dxa"/>
            <w:vAlign w:val="bottom"/>
          </w:tcPr>
          <w:p>
            <w:pPr>
              <w:spacing w:after="0"/>
              <w:rPr>
                <w:sz w:val="20"/>
                <w:szCs w:val="20"/>
                <w:color w:val="auto"/>
              </w:rPr>
            </w:pPr>
          </w:p>
        </w:tc>
        <w:tc>
          <w:tcPr>
            <w:tcW w:w="3380" w:type="dxa"/>
            <w:vAlign w:val="bottom"/>
            <w:gridSpan w:val="3"/>
          </w:tcPr>
          <w:p>
            <w:pPr>
              <w:jc w:val="center"/>
              <w:ind w:left="1331"/>
              <w:spacing w:after="0"/>
              <w:rPr>
                <w:sz w:val="20"/>
                <w:szCs w:val="20"/>
                <w:color w:val="auto"/>
              </w:rPr>
            </w:pPr>
            <w:r>
              <w:rPr>
                <w:rFonts w:ascii="Arial" w:cs="Arial" w:eastAsia="Arial" w:hAnsi="Arial"/>
                <w:sz w:val="18"/>
                <w:szCs w:val="18"/>
                <w:color w:val="auto"/>
                <w:w w:val="92"/>
              </w:rPr>
              <w:t>Omid Farokhzad, M.D.</w:t>
            </w:r>
          </w:p>
        </w:tc>
        <w:tc>
          <w:tcPr>
            <w:tcW w:w="14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00" w:type="dxa"/>
            <w:vAlign w:val="bottom"/>
          </w:tcPr>
          <w:p>
            <w:pPr>
              <w:spacing w:after="0"/>
              <w:rPr>
                <w:sz w:val="23"/>
                <w:szCs w:val="23"/>
                <w:color w:val="auto"/>
              </w:rPr>
            </w:pPr>
          </w:p>
        </w:tc>
        <w:tc>
          <w:tcPr>
            <w:tcW w:w="3380" w:type="dxa"/>
            <w:vAlign w:val="bottom"/>
            <w:gridSpan w:val="3"/>
          </w:tcPr>
          <w:p>
            <w:pPr>
              <w:jc w:val="center"/>
              <w:ind w:left="1331"/>
              <w:spacing w:after="0"/>
              <w:rPr>
                <w:sz w:val="20"/>
                <w:szCs w:val="20"/>
                <w:color w:val="auto"/>
              </w:rPr>
            </w:pPr>
            <w:r>
              <w:rPr>
                <w:rFonts w:ascii="Arial" w:cs="Arial" w:eastAsia="Arial" w:hAnsi="Arial"/>
                <w:sz w:val="18"/>
                <w:szCs w:val="18"/>
                <w:i w:val="1"/>
                <w:iCs w:val="1"/>
                <w:color w:val="auto"/>
                <w:w w:val="95"/>
              </w:rPr>
              <w:t>Attorney-in-fact</w:t>
            </w:r>
          </w:p>
        </w:tc>
        <w:tc>
          <w:tcPr>
            <w:tcW w:w="1420" w:type="dxa"/>
            <w:vAlign w:val="bottom"/>
          </w:tcPr>
          <w:p>
            <w:pPr>
              <w:spacing w:after="0"/>
              <w:rPr>
                <w:sz w:val="23"/>
                <w:szCs w:val="23"/>
                <w:color w:val="auto"/>
              </w:rPr>
            </w:pPr>
          </w:p>
        </w:tc>
        <w:tc>
          <w:tcPr>
            <w:tcW w:w="2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5" w:name="page6"/>
    <w:bookmarkEnd w:id="5"/>
    <w:p>
      <w:pPr>
        <w:ind w:left="10340"/>
        <w:spacing w:after="0"/>
        <w:rPr>
          <w:sz w:val="20"/>
          <w:szCs w:val="20"/>
          <w:color w:val="auto"/>
        </w:rPr>
      </w:pPr>
      <w:r>
        <w:rPr>
          <w:rFonts w:ascii="Arial" w:cs="Arial" w:eastAsia="Arial" w:hAnsi="Arial"/>
          <w:sz w:val="17"/>
          <w:szCs w:val="17"/>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341630</wp:posOffset>
            </wp:positionV>
            <wp:extent cx="1071245" cy="4114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71245" cy="411480"/>
                    </a:xfrm>
                    <a:prstGeom prst="rect">
                      <a:avLst/>
                    </a:prstGeom>
                    <a:noFill/>
                  </pic:spPr>
                </pic:pic>
              </a:graphicData>
            </a:graphic>
          </wp:anchor>
        </w:drawing>
      </w:r>
    </w:p>
    <w:p>
      <w:pPr>
        <w:spacing w:after="0" w:line="200" w:lineRule="exact"/>
        <w:rPr>
          <w:sz w:val="20"/>
          <w:szCs w:val="20"/>
          <w:color w:val="auto"/>
        </w:rPr>
      </w:pPr>
    </w:p>
    <w:p>
      <w:pPr>
        <w:spacing w:after="0" w:line="349" w:lineRule="exact"/>
        <w:rPr>
          <w:sz w:val="20"/>
          <w:szCs w:val="20"/>
          <w:color w:val="auto"/>
        </w:rPr>
      </w:pPr>
    </w:p>
    <w:p>
      <w:pPr>
        <w:ind w:left="8820"/>
        <w:spacing w:after="0"/>
        <w:rPr>
          <w:sz w:val="20"/>
          <w:szCs w:val="20"/>
          <w:color w:val="auto"/>
        </w:rPr>
      </w:pPr>
      <w:r>
        <w:rPr>
          <w:rFonts w:ascii="Arial" w:cs="Arial" w:eastAsia="Arial" w:hAnsi="Arial"/>
          <w:sz w:val="16"/>
          <w:szCs w:val="16"/>
          <w:color w:val="auto"/>
        </w:rPr>
        <w:t>Wilson Sonsini Goodrich &amp; Rosati</w:t>
      </w:r>
    </w:p>
    <w:p>
      <w:pPr>
        <w:spacing w:after="0" w:line="22" w:lineRule="exact"/>
        <w:rPr>
          <w:sz w:val="20"/>
          <w:szCs w:val="20"/>
          <w:color w:val="auto"/>
        </w:rPr>
      </w:pPr>
    </w:p>
    <w:p>
      <w:pPr>
        <w:ind w:left="9540"/>
        <w:spacing w:after="0"/>
        <w:rPr>
          <w:sz w:val="20"/>
          <w:szCs w:val="20"/>
          <w:color w:val="auto"/>
        </w:rPr>
      </w:pPr>
      <w:r>
        <w:rPr>
          <w:rFonts w:ascii="Arial" w:cs="Arial" w:eastAsia="Arial" w:hAnsi="Arial"/>
          <w:sz w:val="15"/>
          <w:szCs w:val="15"/>
          <w:color w:val="auto"/>
        </w:rPr>
        <w:t>Professional Corporation</w:t>
      </w:r>
    </w:p>
    <w:p>
      <w:pPr>
        <w:spacing w:after="0" w:line="30" w:lineRule="exact"/>
        <w:rPr>
          <w:sz w:val="20"/>
          <w:szCs w:val="20"/>
          <w:color w:val="auto"/>
        </w:rPr>
      </w:pPr>
    </w:p>
    <w:p>
      <w:pPr>
        <w:ind w:left="9780"/>
        <w:spacing w:after="0"/>
        <w:rPr>
          <w:sz w:val="20"/>
          <w:szCs w:val="20"/>
          <w:color w:val="auto"/>
        </w:rPr>
      </w:pPr>
      <w:r>
        <w:rPr>
          <w:rFonts w:ascii="Arial" w:cs="Arial" w:eastAsia="Arial" w:hAnsi="Arial"/>
          <w:sz w:val="16"/>
          <w:szCs w:val="16"/>
          <w:color w:val="auto"/>
        </w:rPr>
        <w:t>650 Page Mill Road</w:t>
      </w:r>
    </w:p>
    <w:p>
      <w:pPr>
        <w:spacing w:after="0" w:line="15" w:lineRule="exact"/>
        <w:rPr>
          <w:sz w:val="20"/>
          <w:szCs w:val="20"/>
          <w:color w:val="auto"/>
        </w:rPr>
      </w:pPr>
    </w:p>
    <w:p>
      <w:pPr>
        <w:ind w:left="8980"/>
        <w:spacing w:after="0"/>
        <w:rPr>
          <w:sz w:val="20"/>
          <w:szCs w:val="20"/>
          <w:color w:val="auto"/>
        </w:rPr>
      </w:pPr>
      <w:r>
        <w:rPr>
          <w:rFonts w:ascii="Arial" w:cs="Arial" w:eastAsia="Arial" w:hAnsi="Arial"/>
          <w:sz w:val="15"/>
          <w:szCs w:val="15"/>
          <w:color w:val="auto"/>
        </w:rPr>
        <w:t>Palo Alto, California 94304-1050</w:t>
      </w:r>
    </w:p>
    <w:p>
      <w:pPr>
        <w:spacing w:after="0" w:line="20" w:lineRule="exact"/>
        <w:rPr>
          <w:sz w:val="20"/>
          <w:szCs w:val="20"/>
          <w:color w:val="auto"/>
        </w:rPr>
      </w:pPr>
    </w:p>
    <w:p>
      <w:pPr>
        <w:ind w:left="10140"/>
        <w:spacing w:after="0"/>
        <w:rPr>
          <w:sz w:val="20"/>
          <w:szCs w:val="20"/>
          <w:color w:val="auto"/>
        </w:rPr>
      </w:pPr>
      <w:r>
        <w:rPr>
          <w:rFonts w:ascii="Arial" w:cs="Arial" w:eastAsia="Arial" w:hAnsi="Arial"/>
          <w:sz w:val="14"/>
          <w:szCs w:val="14"/>
          <w:b w:val="1"/>
          <w:bCs w:val="1"/>
          <w:color w:val="auto"/>
        </w:rPr>
        <w:t>o: 650.493.9300</w:t>
      </w:r>
    </w:p>
    <w:p>
      <w:pPr>
        <w:spacing w:after="0" w:line="22" w:lineRule="exact"/>
        <w:rPr>
          <w:sz w:val="20"/>
          <w:szCs w:val="20"/>
          <w:color w:val="auto"/>
        </w:rPr>
      </w:pPr>
    </w:p>
    <w:p>
      <w:pPr>
        <w:ind w:left="10240"/>
        <w:spacing w:after="0"/>
        <w:rPr>
          <w:sz w:val="20"/>
          <w:szCs w:val="20"/>
          <w:color w:val="auto"/>
        </w:rPr>
      </w:pPr>
      <w:r>
        <w:rPr>
          <w:rFonts w:ascii="Arial" w:cs="Arial" w:eastAsia="Arial" w:hAnsi="Arial"/>
          <w:sz w:val="14"/>
          <w:szCs w:val="14"/>
          <w:b w:val="1"/>
          <w:bCs w:val="1"/>
          <w:color w:val="auto"/>
        </w:rPr>
        <w:t>f: 650.493.6811</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December 3, 2020</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Seer, Inc.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3800 Bridge Parkway, Suite 102</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Redwood City, CA 94065</w:t>
      </w:r>
    </w:p>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Re: Securities Registered under Registration Statement on Form S-1 (File No. 333-250035) and Registration Statement filed pursuant to Rule 462(b) of the Securities Act of 1933, as amended (the “</w:t>
      </w:r>
      <w:r>
        <w:rPr>
          <w:rFonts w:ascii="Arial" w:cs="Arial" w:eastAsia="Arial" w:hAnsi="Arial"/>
          <w:sz w:val="22"/>
          <w:szCs w:val="22"/>
          <w:b w:val="1"/>
          <w:bCs w:val="1"/>
          <w:color w:val="auto"/>
        </w:rPr>
        <w:t>Securities Act</w:t>
      </w:r>
      <w:r>
        <w:rPr>
          <w:rFonts w:ascii="Arial" w:cs="Arial" w:eastAsia="Arial" w:hAnsi="Arial"/>
          <w:sz w:val="22"/>
          <w:szCs w:val="22"/>
          <w:color w:val="auto"/>
        </w:rPr>
        <w:t>”)</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14"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9"/>
          <w:szCs w:val="19"/>
          <w:color w:val="auto"/>
        </w:rPr>
        <w:t>This opinion is furnished to you in connection with the Registration Statement on Form S-1 (the “</w:t>
      </w:r>
      <w:r>
        <w:rPr>
          <w:rFonts w:ascii="Arial" w:cs="Arial" w:eastAsia="Arial" w:hAnsi="Arial"/>
          <w:sz w:val="19"/>
          <w:szCs w:val="19"/>
          <w:b w:val="1"/>
          <w:bCs w:val="1"/>
          <w:color w:val="auto"/>
        </w:rPr>
        <w:t>Registration</w:t>
      </w:r>
      <w:r>
        <w:rPr>
          <w:rFonts w:ascii="Arial" w:cs="Arial" w:eastAsia="Arial" w:hAnsi="Arial"/>
          <w:sz w:val="19"/>
          <w:szCs w:val="19"/>
          <w:color w:val="auto"/>
        </w:rPr>
        <w:t xml:space="preserve"> </w:t>
      </w:r>
      <w:r>
        <w:rPr>
          <w:rFonts w:ascii="Arial" w:cs="Arial" w:eastAsia="Arial" w:hAnsi="Arial"/>
          <w:sz w:val="19"/>
          <w:szCs w:val="19"/>
          <w:b w:val="1"/>
          <w:bCs w:val="1"/>
          <w:color w:val="auto"/>
        </w:rPr>
        <w:t>Statement</w:t>
      </w:r>
      <w:r>
        <w:rPr>
          <w:rFonts w:ascii="Arial" w:cs="Arial" w:eastAsia="Arial" w:hAnsi="Arial"/>
          <w:sz w:val="19"/>
          <w:szCs w:val="19"/>
          <w:color w:val="auto"/>
        </w:rPr>
        <w:t>”), filed by Seer, Inc. (the “</w:t>
      </w:r>
      <w:r>
        <w:rPr>
          <w:rFonts w:ascii="Arial" w:cs="Arial" w:eastAsia="Arial" w:hAnsi="Arial"/>
          <w:sz w:val="19"/>
          <w:szCs w:val="19"/>
          <w:b w:val="1"/>
          <w:bCs w:val="1"/>
          <w:color w:val="auto"/>
        </w:rPr>
        <w:t>Company</w:t>
      </w:r>
      <w:r>
        <w:rPr>
          <w:rFonts w:ascii="Arial" w:cs="Arial" w:eastAsia="Arial" w:hAnsi="Arial"/>
          <w:sz w:val="19"/>
          <w:szCs w:val="19"/>
          <w:color w:val="auto"/>
        </w:rPr>
        <w:t>”) with the Securities and Exchange Commission pursuant to Rule 462(b) of the</w:t>
      </w:r>
      <w:r>
        <w:rPr>
          <w:rFonts w:ascii="Arial" w:cs="Arial" w:eastAsia="Arial" w:hAnsi="Arial"/>
          <w:sz w:val="19"/>
          <w:szCs w:val="19"/>
          <w:b w:val="1"/>
          <w:bCs w:val="1"/>
          <w:color w:val="auto"/>
        </w:rPr>
        <w:t xml:space="preserve"> </w:t>
      </w:r>
      <w:r>
        <w:rPr>
          <w:rFonts w:ascii="Arial" w:cs="Arial" w:eastAsia="Arial" w:hAnsi="Arial"/>
          <w:sz w:val="19"/>
          <w:szCs w:val="19"/>
          <w:color w:val="auto"/>
        </w:rPr>
        <w:t>Securities Act in connection with the registration under the Securities Act of 443,356 shares of the Company’s Class A common stock, $0.00001 par value per share (the “</w:t>
      </w:r>
      <w:r>
        <w:rPr>
          <w:rFonts w:ascii="Arial" w:cs="Arial" w:eastAsia="Arial" w:hAnsi="Arial"/>
          <w:sz w:val="19"/>
          <w:szCs w:val="19"/>
          <w:b w:val="1"/>
          <w:bCs w:val="1"/>
          <w:color w:val="auto"/>
        </w:rPr>
        <w:t>Shares</w:t>
      </w:r>
      <w:r>
        <w:rPr>
          <w:rFonts w:ascii="Arial" w:cs="Arial" w:eastAsia="Arial" w:hAnsi="Arial"/>
          <w:sz w:val="19"/>
          <w:szCs w:val="19"/>
          <w:color w:val="auto"/>
        </w:rPr>
        <w:t>”), including up to 57,829 shares issuable upon exercise of an option to purchase additional shares granted by the Company. The Registration Statement incorporates by reference the Registration Statement on Form S-1 (No. 333-250035) (the “</w:t>
      </w:r>
      <w:r>
        <w:rPr>
          <w:rFonts w:ascii="Arial" w:cs="Arial" w:eastAsia="Arial" w:hAnsi="Arial"/>
          <w:sz w:val="19"/>
          <w:szCs w:val="19"/>
          <w:b w:val="1"/>
          <w:bCs w:val="1"/>
          <w:color w:val="auto"/>
        </w:rPr>
        <w:t>Prior Registration Statement</w:t>
      </w:r>
      <w:r>
        <w:rPr>
          <w:rFonts w:ascii="Arial" w:cs="Arial" w:eastAsia="Arial" w:hAnsi="Arial"/>
          <w:sz w:val="19"/>
          <w:szCs w:val="19"/>
          <w:color w:val="auto"/>
        </w:rPr>
        <w:t>”), which was declared effective on December 3, 2020, including the prospectus which forms part of the Registration Statement. We understand that the Shares are to be sold by the Company to the underwriters for resale to the public as described in the Registration Statement and the Prior Registration Statement and pursuant to an underwriting agreement, substantially in the form filed as an exhibit to the Prior Registration Statement, to be entered into by and among the Company and the underwriters (the “</w:t>
      </w:r>
      <w:r>
        <w:rPr>
          <w:rFonts w:ascii="Arial" w:cs="Arial" w:eastAsia="Arial" w:hAnsi="Arial"/>
          <w:sz w:val="19"/>
          <w:szCs w:val="19"/>
          <w:b w:val="1"/>
          <w:bCs w:val="1"/>
          <w:color w:val="auto"/>
        </w:rPr>
        <w:t>Underwriting Agreement</w:t>
      </w:r>
      <w:r>
        <w:rPr>
          <w:rFonts w:ascii="Arial" w:cs="Arial" w:eastAsia="Arial" w:hAnsi="Arial"/>
          <w:sz w:val="19"/>
          <w:szCs w:val="19"/>
          <w:color w:val="auto"/>
        </w:rPr>
        <w:t>”).</w:t>
      </w:r>
    </w:p>
    <w:p>
      <w:pPr>
        <w:spacing w:after="0" w:line="15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We are acting as counsel for the Company in connection with the sale of the Shares by the Company. In such capacity, we have examined originals or copies, certified or otherwise identified to our satisfaction, of such documents, corporate records, certificates of public officials and other instruments as we have deemed necessary for the purposes of rendering this opinion. In our examination, we have assumed the genuineness of all signatures, the authenticity of all documents submitted to us as originals, the conformity with the originals of all documents submitted to us as copies, the authenticity of the originals of such documents and the legal competence of all signatories to such documents.</w:t>
      </w:r>
    </w:p>
    <w:p>
      <w:pPr>
        <w:spacing w:after="0" w:line="179" w:lineRule="exact"/>
        <w:rPr>
          <w:sz w:val="20"/>
          <w:szCs w:val="20"/>
          <w:color w:val="auto"/>
        </w:rPr>
      </w:pPr>
    </w:p>
    <w:p>
      <w:pPr>
        <w:ind w:right="100" w:firstLine="648"/>
        <w:spacing w:after="0" w:line="253" w:lineRule="auto"/>
        <w:rPr>
          <w:sz w:val="20"/>
          <w:szCs w:val="20"/>
          <w:color w:val="auto"/>
        </w:rPr>
      </w:pPr>
      <w:r>
        <w:rPr>
          <w:rFonts w:ascii="Arial" w:cs="Arial" w:eastAsia="Arial" w:hAnsi="Arial"/>
          <w:sz w:val="22"/>
          <w:szCs w:val="22"/>
          <w:color w:val="auto"/>
        </w:rPr>
        <w:t>We express no opinion herein as to the laws of any state or jurisdiction other than the General Corporation Law of the State of Delaware (including the statutory provisions and all applicable judicial decisions interpreting those laws) and the federal laws of the United States of America.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tabs>
          <w:tab w:leader="none" w:pos="160" w:val="left"/>
          <w:tab w:leader="none" w:pos="160" w:val="left"/>
          <w:tab w:leader="none" w:pos="160" w:val="left"/>
          <w:tab w:leader="none" w:pos="160" w:val="left"/>
          <w:tab w:leader="none" w:pos="160" w:val="left"/>
          <w:tab w:leader="none" w:pos="160" w:val="left"/>
          <w:tab w:leader="none" w:pos="160" w:val="left"/>
          <w:tab w:leader="none" w:pos="160" w:val="left"/>
        </w:tabs>
        <w:rPr>
          <w:sz w:val="20"/>
          <w:szCs w:val="20"/>
          <w:color w:val="auto"/>
        </w:rPr>
      </w:pPr>
      <w:r>
        <w:rPr>
          <w:rFonts w:ascii="Arial" w:cs="Arial" w:eastAsia="Arial" w:hAnsi="Arial"/>
          <w:sz w:val="14"/>
          <w:szCs w:val="14"/>
          <w:b w:val="1"/>
          <w:bCs w:val="1"/>
          <w:color w:val="auto"/>
        </w:rPr>
        <w:t>AUSTIN</w:t>
        <w:tab/>
        <w:t>BEIJING</w:t>
        <w:tab/>
        <w:t>BOSTON</w:t>
        <w:tab/>
        <w:t>BRUSSELS</w:t>
        <w:tab/>
        <w:t>HONG KONG</w:t>
        <w:tab/>
        <w:t>LONDON</w:t>
        <w:tab/>
        <w:t>LOS ANGELES</w:t>
        <w:tab/>
        <w:t>NEW YORK</w:t>
        <w:tab/>
        <w:t>PALO ALTO</w:t>
      </w:r>
    </w:p>
    <w:p>
      <w:pPr>
        <w:spacing w:after="0" w:line="42" w:lineRule="exact"/>
        <w:rPr>
          <w:sz w:val="20"/>
          <w:szCs w:val="20"/>
          <w:color w:val="auto"/>
        </w:rPr>
      </w:pPr>
    </w:p>
    <w:p>
      <w:pPr>
        <w:jc w:val="center"/>
        <w:spacing w:after="0"/>
        <w:tabs>
          <w:tab w:leader="none" w:pos="160" w:val="left"/>
          <w:tab w:leader="none" w:pos="160" w:val="left"/>
          <w:tab w:leader="none" w:pos="160" w:val="left"/>
          <w:tab w:leader="none" w:pos="160" w:val="left"/>
          <w:tab w:leader="none" w:pos="160" w:val="left"/>
        </w:tabs>
        <w:rPr>
          <w:sz w:val="20"/>
          <w:szCs w:val="20"/>
          <w:color w:val="auto"/>
        </w:rPr>
      </w:pPr>
      <w:r>
        <w:rPr>
          <w:rFonts w:ascii="Arial" w:cs="Arial" w:eastAsia="Arial" w:hAnsi="Arial"/>
          <w:sz w:val="14"/>
          <w:szCs w:val="14"/>
          <w:b w:val="1"/>
          <w:bCs w:val="1"/>
          <w:color w:val="auto"/>
        </w:rPr>
        <w:t>SAN DIEGO</w:t>
        <w:tab/>
        <w:t>SAN FRANCISCO</w:t>
        <w:tab/>
        <w:t>SEATTLE</w:t>
        <w:tab/>
        <w:t>SHANGHAI</w:t>
        <w:tab/>
        <w:t>WASHINGTON, DC</w:t>
        <w:tab/>
        <w:t>WILMINGTON, DE</w:t>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514350" cy="1968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514350" cy="196850"/>
                    </a:xfrm>
                    <a:prstGeom prst="rect">
                      <a:avLst/>
                    </a:prstGeom>
                    <a:noFill/>
                  </pic:spPr>
                </pic:pic>
              </a:graphicData>
            </a:graphic>
          </wp:anchor>
        </w:drawing>
        <w:t>December 3, 2020</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On the basis of the foregoing, we are of the opinion that, upon the effectiveness of the Company’s Amended and Restated Certificate of Incorporation, a form of which has been filed as Exhibit 3.2 of the Prior Registration Statement, the Shares to be issued and sold by the Company have been duly authorized and, when such Shares are issued and paid for in accordance with the terms of the Underwriting Agreement, will be validly issued, fully paid and nonassessable.</w:t>
      </w:r>
    </w:p>
    <w:p>
      <w:pPr>
        <w:spacing w:after="0" w:line="175" w:lineRule="exact"/>
        <w:rPr>
          <w:sz w:val="20"/>
          <w:szCs w:val="20"/>
          <w:color w:val="auto"/>
        </w:rPr>
      </w:pPr>
    </w:p>
    <w:p>
      <w:pPr>
        <w:ind w:right="60" w:firstLine="648"/>
        <w:spacing w:after="0" w:line="253" w:lineRule="auto"/>
        <w:rPr>
          <w:sz w:val="20"/>
          <w:szCs w:val="20"/>
          <w:color w:val="auto"/>
        </w:rPr>
      </w:pPr>
      <w:r>
        <w:rPr>
          <w:rFonts w:ascii="Arial" w:cs="Arial" w:eastAsia="Arial" w:hAnsi="Arial"/>
          <w:sz w:val="22"/>
          <w:szCs w:val="22"/>
          <w:color w:val="auto"/>
        </w:rPr>
        <w:t>We consent to the use of this opinion as an exhibit to the Registration Statement, and we consent to the reference of our name under the caption “Legal Matters” in the prospectus forming part of the Prior Registration Statement, which is incorporated by reference into the Registration Statement.</w:t>
      </w:r>
    </w:p>
    <w:p>
      <w:pPr>
        <w:spacing w:after="0" w:line="239" w:lineRule="exact"/>
        <w:rPr>
          <w:sz w:val="20"/>
          <w:szCs w:val="20"/>
          <w:color w:val="auto"/>
        </w:rPr>
      </w:pPr>
    </w:p>
    <w:p>
      <w:pPr>
        <w:jc w:val="center"/>
        <w:ind w:right="260"/>
        <w:spacing w:after="0"/>
        <w:rPr>
          <w:sz w:val="20"/>
          <w:szCs w:val="20"/>
          <w:color w:val="auto"/>
        </w:rPr>
      </w:pPr>
      <w:r>
        <w:rPr>
          <w:rFonts w:ascii="Arial" w:cs="Arial" w:eastAsia="Arial" w:hAnsi="Arial"/>
          <w:sz w:val="22"/>
          <w:szCs w:val="22"/>
          <w:color w:val="auto"/>
        </w:rPr>
        <w:t>Very truly yours,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760"/>
        <w:spacing w:after="0"/>
        <w:rPr>
          <w:sz w:val="20"/>
          <w:szCs w:val="20"/>
          <w:color w:val="auto"/>
        </w:rPr>
      </w:pPr>
      <w:r>
        <w:rPr>
          <w:rFonts w:ascii="Arial" w:cs="Arial" w:eastAsia="Arial" w:hAnsi="Arial"/>
          <w:sz w:val="22"/>
          <w:szCs w:val="22"/>
          <w:color w:val="auto"/>
        </w:rPr>
        <w:t>/s/ WILSON SONSINI GOODRICH &amp; ROSATI, P.C.</w:t>
      </w:r>
    </w:p>
    <w:p>
      <w:pPr>
        <w:spacing w:after="0" w:line="200" w:lineRule="exact"/>
        <w:rPr>
          <w:sz w:val="20"/>
          <w:szCs w:val="20"/>
          <w:color w:val="auto"/>
        </w:rPr>
      </w:pPr>
    </w:p>
    <w:p>
      <w:pPr>
        <w:spacing w:after="0" w:line="398" w:lineRule="exact"/>
        <w:rPr>
          <w:sz w:val="20"/>
          <w:szCs w:val="20"/>
          <w:color w:val="auto"/>
        </w:rPr>
      </w:pPr>
    </w:p>
    <w:p>
      <w:pPr>
        <w:ind w:left="4760"/>
        <w:spacing w:after="0"/>
        <w:rPr>
          <w:sz w:val="20"/>
          <w:szCs w:val="20"/>
          <w:color w:val="auto"/>
        </w:rPr>
      </w:pPr>
      <w:r>
        <w:rPr>
          <w:rFonts w:ascii="Arial" w:cs="Arial" w:eastAsia="Arial" w:hAnsi="Arial"/>
          <w:sz w:val="22"/>
          <w:szCs w:val="22"/>
          <w:color w:val="auto"/>
        </w:rPr>
        <w:t>WILSON SONSINI GOODRICH &amp; ROSATI</w:t>
      </w:r>
    </w:p>
    <w:p>
      <w:pPr>
        <w:spacing w:after="0" w:line="58" w:lineRule="exact"/>
        <w:rPr>
          <w:sz w:val="20"/>
          <w:szCs w:val="20"/>
          <w:color w:val="auto"/>
        </w:rPr>
      </w:pPr>
    </w:p>
    <w:p>
      <w:pPr>
        <w:ind w:left="4760"/>
        <w:spacing w:after="0"/>
        <w:rPr>
          <w:sz w:val="20"/>
          <w:szCs w:val="20"/>
          <w:color w:val="auto"/>
        </w:rPr>
      </w:pPr>
      <w:r>
        <w:rPr>
          <w:rFonts w:ascii="Arial" w:cs="Arial" w:eastAsia="Arial" w:hAnsi="Arial"/>
          <w:sz w:val="22"/>
          <w:szCs w:val="22"/>
          <w:color w:val="auto"/>
        </w:rPr>
        <w:t>Professional Corporation</w:t>
      </w:r>
    </w:p>
    <w:p>
      <w:pPr>
        <w:sectPr>
          <w:pgSz w:w="11900" w:h="16838" w:orient="portrait"/>
          <w:cols w:equalWidth="0" w:num="1">
            <w:col w:w="11240"/>
          </w:cols>
          <w:pgMar w:left="320" w:top="753" w:right="33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8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consent to the incorporation by reference in this Registration Statement on Form S-1 of our report dated September 25, 2020 (November 30, 2020 as to the effects of the reverse stock split described in Note 2 and Note 14) relating to the financial statements of Seer, Inc. appearing in the Registration Statement No. 333-250035 on Form S-1, and to the reference to us under the heading "Experts" in Registration Statement No. 333-250035 incorporated by reference in this Registration Statement.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December 3, 2020</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jpeg"/><Relationship Id="rId15" Type="http://schemas.openxmlformats.org/officeDocument/2006/relationships/image" Target="media/image6.jpeg"/><Relationship Id="rId11" Type="http://schemas.openxmlformats.org/officeDocument/2006/relationships/hyperlink" Target="https://www.sec.gov/Archives/edgar/data/1726445/000162828020016325/seers-1.htm" TargetMode="External"/><Relationship Id="rId12" Type="http://schemas.openxmlformats.org/officeDocument/2006/relationships/hyperlink" Target="https://www.sec.gov/Archives/edgar/data/1726445/000162828020016325/seers-1.htm#i3bb4bcad4786441e8c1069024e05b818_20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2020-12-03T20:40:49Z</dcterms:created>
  <dcterms:modified xsi:type="dcterms:W3CDTF">2020-12-03T20:40:49Z</dcterms:modified>
</cp:coreProperties>
</file>