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November 12, 2020</w:t>
      </w:r>
    </w:p>
    <w:p>
      <w:pPr>
        <w:spacing w:after="0" w:line="78" w:lineRule="exact"/>
        <w:rPr>
          <w:sz w:val="24"/>
          <w:szCs w:val="24"/>
          <w:color w:val="auto"/>
        </w:rPr>
      </w:pPr>
    </w:p>
    <w:p>
      <w:pPr>
        <w:ind w:left="9649"/>
        <w:spacing w:after="0"/>
        <w:rPr>
          <w:sz w:val="20"/>
          <w:szCs w:val="20"/>
          <w:color w:val="auto"/>
        </w:rPr>
      </w:pPr>
      <w:r>
        <w:rPr>
          <w:rFonts w:ascii="Times New Roman" w:cs="Times New Roman" w:eastAsia="Times New Roman" w:hAnsi="Times New Roman"/>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-80645</wp:posOffset>
            </wp:positionV>
            <wp:extent cx="19253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53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84"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69850</wp:posOffset>
            </wp:positionV>
            <wp:extent cx="19253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5320" cy="6985"/>
                    </a:xfrm>
                    <a:prstGeom prst="rect">
                      <a:avLst/>
                    </a:prstGeom>
                    <a:noFill/>
                  </pic:spPr>
                </pic:pic>
              </a:graphicData>
            </a:graphic>
          </wp:anchor>
        </w:drawing>
      </w:r>
    </w:p>
    <w:p>
      <w:pPr>
        <w:spacing w:after="0" w:line="12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5"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i w:val="1"/>
          <w:iCs w:val="1"/>
          <w:color w:val="auto"/>
        </w:rPr>
        <w:t>Under</w:t>
      </w:r>
    </w:p>
    <w:p>
      <w:pPr>
        <w:jc w:val="center"/>
        <w:ind w:right="-8"/>
        <w:spacing w:after="0"/>
        <w:rPr>
          <w:sz w:val="20"/>
          <w:szCs w:val="20"/>
          <w:color w:val="auto"/>
        </w:rPr>
      </w:pPr>
      <w:r>
        <w:rPr>
          <w:rFonts w:ascii="Times New Roman" w:cs="Times New Roman" w:eastAsia="Times New Roman" w:hAnsi="Times New Roman"/>
          <w:sz w:val="17"/>
          <w:szCs w:val="17"/>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41910</wp:posOffset>
            </wp:positionV>
            <wp:extent cx="19253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5320" cy="6985"/>
                    </a:xfrm>
                    <a:prstGeom prst="rect">
                      <a:avLst/>
                    </a:prstGeom>
                    <a:noFill/>
                  </pic:spPr>
                </pic:pic>
              </a:graphicData>
            </a:graphic>
          </wp:anchor>
        </w:drawing>
      </w:r>
    </w:p>
    <w:p>
      <w:pPr>
        <w:spacing w:after="0" w:line="114"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3"/>
          <w:szCs w:val="33"/>
          <w:b w:val="1"/>
          <w:bCs w:val="1"/>
          <w:color w:val="auto"/>
        </w:rPr>
        <w:t>SEER, INC.</w:t>
      </w:r>
    </w:p>
    <w:p>
      <w:pPr>
        <w:spacing w:after="0" w:line="47"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45720</wp:posOffset>
            </wp:positionV>
            <wp:extent cx="19253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5320" cy="6985"/>
                    </a:xfrm>
                    <a:prstGeom prst="rect">
                      <a:avLst/>
                    </a:prstGeom>
                    <a:noFill/>
                  </pic:spPr>
                </pic:pic>
              </a:graphicData>
            </a:graphic>
          </wp:anchor>
        </w:drawing>
      </w:r>
    </w:p>
    <w:p>
      <w:pPr>
        <w:spacing w:after="0" w:line="167" w:lineRule="exact"/>
        <w:rPr>
          <w:sz w:val="24"/>
          <w:szCs w:val="24"/>
          <w:color w:val="auto"/>
        </w:rPr>
      </w:pPr>
    </w:p>
    <w:tbl>
      <w:tblPr>
        <w:tblLayout w:type="fixed"/>
        <w:tblInd w:w="329" w:type="dxa"/>
        <w:tblCellMar>
          <w:top w:w="0" w:type="dxa"/>
          <w:left w:w="0" w:type="dxa"/>
          <w:bottom w:w="0" w:type="dxa"/>
          <w:right w:w="0" w:type="dxa"/>
        </w:tblCellMar>
      </w:tblPr>
      <w:tr>
        <w:trPr>
          <w:trHeight w:val="159"/>
        </w:trPr>
        <w:tc>
          <w:tcPr>
            <w:tcW w:w="3440" w:type="dxa"/>
            <w:vAlign w:val="bottom"/>
          </w:tcPr>
          <w:p>
            <w:pPr>
              <w:jc w:val="center"/>
              <w:ind w:right="259"/>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000" w:type="dxa"/>
            <w:vAlign w:val="bottom"/>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9"/>
              </w:rPr>
              <w:t>3826</w:t>
            </w:r>
          </w:p>
        </w:tc>
        <w:tc>
          <w:tcPr>
            <w:tcW w:w="2680" w:type="dxa"/>
            <w:vAlign w:val="bottom"/>
          </w:tcPr>
          <w:p>
            <w:pPr>
              <w:jc w:val="right"/>
              <w:ind w:right="699"/>
              <w:spacing w:after="0"/>
              <w:rPr>
                <w:sz w:val="20"/>
                <w:szCs w:val="20"/>
                <w:color w:val="auto"/>
              </w:rPr>
            </w:pPr>
            <w:r>
              <w:rPr>
                <w:rFonts w:ascii="Times New Roman" w:cs="Times New Roman" w:eastAsia="Times New Roman" w:hAnsi="Times New Roman"/>
                <w:sz w:val="12"/>
                <w:szCs w:val="12"/>
                <w:b w:val="1"/>
                <w:bCs w:val="1"/>
                <w:color w:val="auto"/>
              </w:rPr>
              <w:t>82-1153150</w:t>
            </w:r>
          </w:p>
        </w:tc>
      </w:tr>
      <w:tr>
        <w:trPr>
          <w:trHeight w:val="183"/>
        </w:trPr>
        <w:tc>
          <w:tcPr>
            <w:tcW w:w="3440" w:type="dxa"/>
            <w:vAlign w:val="bottom"/>
          </w:tcPr>
          <w:p>
            <w:pPr>
              <w:jc w:val="center"/>
              <w:ind w:right="259"/>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tc>
        <w:tc>
          <w:tcPr>
            <w:tcW w:w="4000" w:type="dxa"/>
            <w:vAlign w:val="bottom"/>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(Primary Standard Industrial Classification Code Number)</w:t>
            </w:r>
          </w:p>
        </w:tc>
        <w:tc>
          <w:tcPr>
            <w:tcW w:w="2680" w:type="dxa"/>
            <w:vAlign w:val="bottom"/>
          </w:tcPr>
          <w:p>
            <w:pPr>
              <w:jc w:val="center"/>
              <w:ind w:left="519"/>
              <w:spacing w:after="0"/>
              <w:rPr>
                <w:sz w:val="20"/>
                <w:szCs w:val="20"/>
                <w:color w:val="auto"/>
              </w:rPr>
            </w:pPr>
            <w:r>
              <w:rPr>
                <w:rFonts w:ascii="Times New Roman" w:cs="Times New Roman" w:eastAsia="Times New Roman" w:hAnsi="Times New Roman"/>
                <w:sz w:val="12"/>
                <w:szCs w:val="12"/>
                <w:b w:val="1"/>
                <w:bCs w:val="1"/>
                <w:color w:val="auto"/>
              </w:rPr>
              <w:t>(I.R.S. Employer Identification Number)</w:t>
            </w:r>
          </w:p>
        </w:tc>
      </w:tr>
      <w:tr>
        <w:trPr>
          <w:trHeight w:val="260"/>
        </w:trPr>
        <w:tc>
          <w:tcPr>
            <w:tcW w:w="3440" w:type="dxa"/>
            <w:vAlign w:val="bottom"/>
          </w:tcPr>
          <w:p>
            <w:pPr>
              <w:spacing w:after="0"/>
              <w:rPr>
                <w:sz w:val="22"/>
                <w:szCs w:val="22"/>
                <w:color w:val="auto"/>
              </w:rPr>
            </w:pPr>
          </w:p>
        </w:tc>
        <w:tc>
          <w:tcPr>
            <w:tcW w:w="4000" w:type="dxa"/>
            <w:vAlign w:val="bottom"/>
          </w:tcPr>
          <w:p>
            <w:pPr>
              <w:jc w:val="center"/>
              <w:ind w:right="219"/>
              <w:spacing w:after="0"/>
              <w:rPr>
                <w:sz w:val="20"/>
                <w:szCs w:val="20"/>
                <w:color w:val="auto"/>
              </w:rPr>
            </w:pPr>
            <w:r>
              <w:rPr>
                <w:rFonts w:ascii="Times New Roman" w:cs="Times New Roman" w:eastAsia="Times New Roman" w:hAnsi="Times New Roman"/>
                <w:sz w:val="12"/>
                <w:szCs w:val="12"/>
                <w:b w:val="1"/>
                <w:bCs w:val="1"/>
                <w:color w:val="auto"/>
              </w:rPr>
              <w:t>3800 Bridge Parkway, Suite 102</w:t>
            </w:r>
          </w:p>
        </w:tc>
        <w:tc>
          <w:tcPr>
            <w:tcW w:w="2680" w:type="dxa"/>
            <w:vAlign w:val="bottom"/>
          </w:tcPr>
          <w:p>
            <w:pPr>
              <w:spacing w:after="0"/>
              <w:rPr>
                <w:sz w:val="22"/>
                <w:szCs w:val="22"/>
                <w:color w:val="auto"/>
              </w:rPr>
            </w:pPr>
          </w:p>
        </w:tc>
      </w:tr>
      <w:tr>
        <w:trPr>
          <w:trHeight w:val="136"/>
        </w:trPr>
        <w:tc>
          <w:tcPr>
            <w:tcW w:w="3440" w:type="dxa"/>
            <w:vAlign w:val="bottom"/>
          </w:tcPr>
          <w:p>
            <w:pPr>
              <w:spacing w:after="0"/>
              <w:rPr>
                <w:sz w:val="11"/>
                <w:szCs w:val="11"/>
                <w:color w:val="auto"/>
              </w:rPr>
            </w:pPr>
          </w:p>
        </w:tc>
        <w:tc>
          <w:tcPr>
            <w:tcW w:w="4000" w:type="dxa"/>
            <w:vAlign w:val="bottom"/>
          </w:tcPr>
          <w:p>
            <w:pPr>
              <w:jc w:val="center"/>
              <w:ind w:right="199"/>
              <w:spacing w:after="0" w:line="137" w:lineRule="exact"/>
              <w:rPr>
                <w:sz w:val="20"/>
                <w:szCs w:val="20"/>
                <w:color w:val="auto"/>
              </w:rPr>
            </w:pPr>
            <w:r>
              <w:rPr>
                <w:rFonts w:ascii="Times New Roman" w:cs="Times New Roman" w:eastAsia="Times New Roman" w:hAnsi="Times New Roman"/>
                <w:sz w:val="12"/>
                <w:szCs w:val="12"/>
                <w:b w:val="1"/>
                <w:bCs w:val="1"/>
                <w:color w:val="auto"/>
              </w:rPr>
              <w:t>Redwood City, California 94065</w:t>
            </w:r>
          </w:p>
        </w:tc>
        <w:tc>
          <w:tcPr>
            <w:tcW w:w="2680" w:type="dxa"/>
            <w:vAlign w:val="bottom"/>
          </w:tcPr>
          <w:p>
            <w:pPr>
              <w:spacing w:after="0"/>
              <w:rPr>
                <w:sz w:val="11"/>
                <w:szCs w:val="11"/>
                <w:color w:val="auto"/>
              </w:rPr>
            </w:pPr>
          </w:p>
        </w:tc>
      </w:tr>
      <w:tr>
        <w:trPr>
          <w:trHeight w:val="152"/>
        </w:trPr>
        <w:tc>
          <w:tcPr>
            <w:tcW w:w="3440" w:type="dxa"/>
            <w:vAlign w:val="bottom"/>
          </w:tcPr>
          <w:p>
            <w:pPr>
              <w:spacing w:after="0"/>
              <w:rPr>
                <w:sz w:val="13"/>
                <w:szCs w:val="13"/>
                <w:color w:val="auto"/>
              </w:rPr>
            </w:pPr>
          </w:p>
        </w:tc>
        <w:tc>
          <w:tcPr>
            <w:tcW w:w="4000" w:type="dxa"/>
            <w:vAlign w:val="bottom"/>
          </w:tcPr>
          <w:p>
            <w:pPr>
              <w:jc w:val="center"/>
              <w:ind w:right="219"/>
              <w:spacing w:after="0"/>
              <w:rPr>
                <w:sz w:val="20"/>
                <w:szCs w:val="20"/>
                <w:color w:val="auto"/>
              </w:rPr>
            </w:pPr>
            <w:r>
              <w:rPr>
                <w:rFonts w:ascii="Times New Roman" w:cs="Times New Roman" w:eastAsia="Times New Roman" w:hAnsi="Times New Roman"/>
                <w:sz w:val="12"/>
                <w:szCs w:val="12"/>
                <w:b w:val="1"/>
                <w:bCs w:val="1"/>
                <w:color w:val="auto"/>
                <w:w w:val="99"/>
              </w:rPr>
              <w:t>650-453-0000</w:t>
            </w:r>
          </w:p>
        </w:tc>
        <w:tc>
          <w:tcPr>
            <w:tcW w:w="2680" w:type="dxa"/>
            <w:vAlign w:val="bottom"/>
          </w:tcPr>
          <w:p>
            <w:pPr>
              <w:spacing w:after="0"/>
              <w:rPr>
                <w:sz w:val="13"/>
                <w:szCs w:val="13"/>
                <w:color w:val="auto"/>
              </w:rPr>
            </w:pPr>
          </w:p>
        </w:tc>
      </w:tr>
    </w:tbl>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45720</wp:posOffset>
            </wp:positionV>
            <wp:extent cx="19253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5320" cy="6985"/>
                    </a:xfrm>
                    <a:prstGeom prst="rect">
                      <a:avLst/>
                    </a:prstGeom>
                    <a:noFill/>
                  </pic:spPr>
                </pic:pic>
              </a:graphicData>
            </a:graphic>
          </wp:anchor>
        </w:drawing>
      </w:r>
    </w:p>
    <w:p>
      <w:pPr>
        <w:spacing w:after="0" w:line="13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Omid Farokhzad, M.D.</w:t>
      </w:r>
    </w:p>
    <w:p>
      <w:pPr>
        <w:spacing w:after="0" w:line="13"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jc w:val="center"/>
        <w:ind w:right="-8"/>
        <w:spacing w:after="0" w:line="237" w:lineRule="auto"/>
        <w:rPr>
          <w:sz w:val="20"/>
          <w:szCs w:val="20"/>
          <w:color w:val="auto"/>
        </w:rPr>
      </w:pPr>
      <w:r>
        <w:rPr>
          <w:rFonts w:ascii="Times New Roman" w:cs="Times New Roman" w:eastAsia="Times New Roman" w:hAnsi="Times New Roman"/>
          <w:sz w:val="12"/>
          <w:szCs w:val="12"/>
          <w:b w:val="1"/>
          <w:bCs w:val="1"/>
          <w:color w:val="auto"/>
        </w:rPr>
        <w:t>Seer, Inc.</w:t>
      </w:r>
    </w:p>
    <w:p>
      <w:pPr>
        <w:jc w:val="center"/>
        <w:ind w:right="-8"/>
        <w:spacing w:after="0" w:line="237" w:lineRule="auto"/>
        <w:rPr>
          <w:sz w:val="20"/>
          <w:szCs w:val="20"/>
          <w:color w:val="auto"/>
        </w:rPr>
      </w:pPr>
      <w:r>
        <w:rPr>
          <w:rFonts w:ascii="Times New Roman" w:cs="Times New Roman" w:eastAsia="Times New Roman" w:hAnsi="Times New Roman"/>
          <w:sz w:val="12"/>
          <w:szCs w:val="12"/>
          <w:b w:val="1"/>
          <w:bCs w:val="1"/>
          <w:color w:val="auto"/>
        </w:rPr>
        <w:t>3800 Bridge Parkway, Suite 102</w:t>
      </w:r>
    </w:p>
    <w:p>
      <w:pPr>
        <w:jc w:val="center"/>
        <w:ind w:right="-8"/>
        <w:spacing w:after="0" w:line="237" w:lineRule="auto"/>
        <w:rPr>
          <w:sz w:val="20"/>
          <w:szCs w:val="20"/>
          <w:color w:val="auto"/>
        </w:rPr>
      </w:pPr>
      <w:r>
        <w:rPr>
          <w:rFonts w:ascii="Times New Roman" w:cs="Times New Roman" w:eastAsia="Times New Roman" w:hAnsi="Times New Roman"/>
          <w:sz w:val="12"/>
          <w:szCs w:val="12"/>
          <w:b w:val="1"/>
          <w:bCs w:val="1"/>
          <w:color w:val="auto"/>
        </w:rPr>
        <w:t>Redwood City, California 94065</w:t>
      </w:r>
    </w:p>
    <w:p>
      <w:pPr>
        <w:jc w:val="center"/>
        <w:ind w:right="-8"/>
        <w:spacing w:after="0" w:line="237" w:lineRule="auto"/>
        <w:rPr>
          <w:sz w:val="20"/>
          <w:szCs w:val="20"/>
          <w:color w:val="auto"/>
        </w:rPr>
      </w:pPr>
      <w:r>
        <w:rPr>
          <w:rFonts w:ascii="Times New Roman" w:cs="Times New Roman" w:eastAsia="Times New Roman" w:hAnsi="Times New Roman"/>
          <w:sz w:val="12"/>
          <w:szCs w:val="12"/>
          <w:b w:val="1"/>
          <w:bCs w:val="1"/>
          <w:color w:val="auto"/>
        </w:rPr>
        <w:t>650-453-0000</w:t>
      </w:r>
    </w:p>
    <w:p>
      <w:pPr>
        <w:jc w:val="center"/>
        <w:ind w:right="-8"/>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45720</wp:posOffset>
            </wp:positionV>
            <wp:extent cx="19253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5320" cy="6985"/>
                    </a:xfrm>
                    <a:prstGeom prst="rect">
                      <a:avLst/>
                    </a:prstGeom>
                    <a:noFill/>
                  </pic:spPr>
                </pic:pic>
              </a:graphicData>
            </a:graphic>
          </wp:anchor>
        </w:drawing>
      </w:r>
    </w:p>
    <w:p>
      <w:pPr>
        <w:spacing w:after="0" w:line="142" w:lineRule="exact"/>
        <w:rPr>
          <w:sz w:val="24"/>
          <w:szCs w:val="24"/>
          <w:color w:val="auto"/>
        </w:rPr>
      </w:pPr>
    </w:p>
    <w:tbl>
      <w:tblPr>
        <w:tblLayout w:type="fixed"/>
        <w:tblInd w:w="989" w:type="dxa"/>
        <w:tblCellMar>
          <w:top w:w="0" w:type="dxa"/>
          <w:left w:w="0" w:type="dxa"/>
          <w:bottom w:w="0" w:type="dxa"/>
          <w:right w:w="0" w:type="dxa"/>
        </w:tblCellMar>
      </w:tblPr>
      <w:tr>
        <w:trPr>
          <w:trHeight w:val="177"/>
        </w:trPr>
        <w:tc>
          <w:tcPr>
            <w:tcW w:w="3220" w:type="dxa"/>
            <w:vAlign w:val="bottom"/>
          </w:tcPr>
          <w:p>
            <w:pPr>
              <w:spacing w:after="0"/>
              <w:rPr>
                <w:sz w:val="15"/>
                <w:szCs w:val="15"/>
                <w:color w:val="auto"/>
              </w:rPr>
            </w:pPr>
          </w:p>
        </w:tc>
        <w:tc>
          <w:tcPr>
            <w:tcW w:w="580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Copies to:</w:t>
            </w:r>
          </w:p>
        </w:tc>
      </w:tr>
      <w:tr>
        <w:trPr>
          <w:trHeight w:val="290"/>
        </w:trPr>
        <w:tc>
          <w:tcPr>
            <w:tcW w:w="3220" w:type="dxa"/>
            <w:vAlign w:val="bottom"/>
          </w:tcPr>
          <w:p>
            <w:pPr>
              <w:jc w:val="center"/>
              <w:ind w:right="1099"/>
              <w:spacing w:after="0"/>
              <w:rPr>
                <w:sz w:val="20"/>
                <w:szCs w:val="20"/>
                <w:color w:val="auto"/>
              </w:rPr>
            </w:pPr>
            <w:r>
              <w:rPr>
                <w:rFonts w:ascii="Times New Roman" w:cs="Times New Roman" w:eastAsia="Times New Roman" w:hAnsi="Times New Roman"/>
                <w:sz w:val="12"/>
                <w:szCs w:val="12"/>
                <w:b w:val="1"/>
                <w:bCs w:val="1"/>
                <w:color w:val="auto"/>
                <w:w w:val="97"/>
              </w:rPr>
              <w:t>Tony Jeffries</w:t>
            </w:r>
          </w:p>
        </w:tc>
        <w:tc>
          <w:tcPr>
            <w:tcW w:w="5800" w:type="dxa"/>
            <w:vAlign w:val="bottom"/>
          </w:tcPr>
          <w:p>
            <w:pPr>
              <w:jc w:val="center"/>
              <w:ind w:left="4198"/>
              <w:spacing w:after="0"/>
              <w:rPr>
                <w:sz w:val="20"/>
                <w:szCs w:val="20"/>
                <w:color w:val="auto"/>
              </w:rPr>
            </w:pPr>
            <w:r>
              <w:rPr>
                <w:rFonts w:ascii="Times New Roman" w:cs="Times New Roman" w:eastAsia="Times New Roman" w:hAnsi="Times New Roman"/>
                <w:sz w:val="12"/>
                <w:szCs w:val="12"/>
                <w:b w:val="1"/>
                <w:bCs w:val="1"/>
                <w:color w:val="auto"/>
              </w:rPr>
              <w:t>Alan F. Denenberg</w:t>
            </w:r>
          </w:p>
        </w:tc>
      </w:tr>
      <w:tr>
        <w:trPr>
          <w:trHeight w:val="136"/>
        </w:trPr>
        <w:tc>
          <w:tcPr>
            <w:tcW w:w="3220" w:type="dxa"/>
            <w:vAlign w:val="bottom"/>
          </w:tcPr>
          <w:p>
            <w:pPr>
              <w:jc w:val="center"/>
              <w:ind w:right="1099"/>
              <w:spacing w:after="0" w:line="137" w:lineRule="exact"/>
              <w:rPr>
                <w:sz w:val="20"/>
                <w:szCs w:val="20"/>
                <w:color w:val="auto"/>
              </w:rPr>
            </w:pPr>
            <w:r>
              <w:rPr>
                <w:rFonts w:ascii="Times New Roman" w:cs="Times New Roman" w:eastAsia="Times New Roman" w:hAnsi="Times New Roman"/>
                <w:sz w:val="12"/>
                <w:szCs w:val="12"/>
                <w:b w:val="1"/>
                <w:bCs w:val="1"/>
                <w:color w:val="auto"/>
              </w:rPr>
              <w:t>Christina L. Poulsen</w:t>
            </w:r>
          </w:p>
        </w:tc>
        <w:tc>
          <w:tcPr>
            <w:tcW w:w="5800" w:type="dxa"/>
            <w:vAlign w:val="bottom"/>
          </w:tcPr>
          <w:p>
            <w:pPr>
              <w:jc w:val="center"/>
              <w:ind w:left="4198"/>
              <w:spacing w:after="0" w:line="137" w:lineRule="exact"/>
              <w:rPr>
                <w:sz w:val="20"/>
                <w:szCs w:val="20"/>
                <w:color w:val="auto"/>
              </w:rPr>
            </w:pPr>
            <w:r>
              <w:rPr>
                <w:rFonts w:ascii="Times New Roman" w:cs="Times New Roman" w:eastAsia="Times New Roman" w:hAnsi="Times New Roman"/>
                <w:sz w:val="12"/>
                <w:szCs w:val="12"/>
                <w:b w:val="1"/>
                <w:bCs w:val="1"/>
                <w:color w:val="auto"/>
              </w:rPr>
              <w:t>Davis Polk &amp; Wardwell LLP</w:t>
            </w:r>
          </w:p>
        </w:tc>
      </w:tr>
      <w:tr>
        <w:trPr>
          <w:trHeight w:val="136"/>
        </w:trPr>
        <w:tc>
          <w:tcPr>
            <w:tcW w:w="3220" w:type="dxa"/>
            <w:vAlign w:val="bottom"/>
          </w:tcPr>
          <w:p>
            <w:pPr>
              <w:jc w:val="center"/>
              <w:ind w:right="1099"/>
              <w:spacing w:after="0" w:line="137" w:lineRule="exact"/>
              <w:rPr>
                <w:sz w:val="20"/>
                <w:szCs w:val="20"/>
                <w:color w:val="auto"/>
              </w:rPr>
            </w:pPr>
            <w:r>
              <w:rPr>
                <w:rFonts w:ascii="Times New Roman" w:cs="Times New Roman" w:eastAsia="Times New Roman" w:hAnsi="Times New Roman"/>
                <w:sz w:val="12"/>
                <w:szCs w:val="12"/>
                <w:b w:val="1"/>
                <w:bCs w:val="1"/>
                <w:color w:val="auto"/>
              </w:rPr>
              <w:t>Wilson Sonsini Goodrich &amp; Rosati, P.C.</w:t>
            </w:r>
          </w:p>
        </w:tc>
        <w:tc>
          <w:tcPr>
            <w:tcW w:w="5800" w:type="dxa"/>
            <w:vAlign w:val="bottom"/>
          </w:tcPr>
          <w:p>
            <w:pPr>
              <w:jc w:val="center"/>
              <w:ind w:left="4198"/>
              <w:spacing w:after="0" w:line="137" w:lineRule="exact"/>
              <w:rPr>
                <w:sz w:val="20"/>
                <w:szCs w:val="20"/>
                <w:color w:val="auto"/>
              </w:rPr>
            </w:pPr>
            <w:r>
              <w:rPr>
                <w:rFonts w:ascii="Times New Roman" w:cs="Times New Roman" w:eastAsia="Times New Roman" w:hAnsi="Times New Roman"/>
                <w:sz w:val="12"/>
                <w:szCs w:val="12"/>
                <w:b w:val="1"/>
                <w:bCs w:val="1"/>
                <w:color w:val="auto"/>
              </w:rPr>
              <w:t>1600 El Camino Real</w:t>
            </w:r>
          </w:p>
        </w:tc>
      </w:tr>
      <w:tr>
        <w:trPr>
          <w:trHeight w:val="136"/>
        </w:trPr>
        <w:tc>
          <w:tcPr>
            <w:tcW w:w="3220" w:type="dxa"/>
            <w:vAlign w:val="bottom"/>
          </w:tcPr>
          <w:p>
            <w:pPr>
              <w:jc w:val="center"/>
              <w:ind w:right="1099"/>
              <w:spacing w:after="0" w:line="137" w:lineRule="exact"/>
              <w:rPr>
                <w:sz w:val="20"/>
                <w:szCs w:val="20"/>
                <w:color w:val="auto"/>
              </w:rPr>
            </w:pPr>
            <w:r>
              <w:rPr>
                <w:rFonts w:ascii="Times New Roman" w:cs="Times New Roman" w:eastAsia="Times New Roman" w:hAnsi="Times New Roman"/>
                <w:sz w:val="12"/>
                <w:szCs w:val="12"/>
                <w:b w:val="1"/>
                <w:bCs w:val="1"/>
                <w:color w:val="auto"/>
              </w:rPr>
              <w:t>650 Page Mill Road</w:t>
            </w:r>
          </w:p>
        </w:tc>
        <w:tc>
          <w:tcPr>
            <w:tcW w:w="5800" w:type="dxa"/>
            <w:vAlign w:val="bottom"/>
          </w:tcPr>
          <w:p>
            <w:pPr>
              <w:jc w:val="center"/>
              <w:ind w:left="4198"/>
              <w:spacing w:after="0" w:line="137" w:lineRule="exact"/>
              <w:rPr>
                <w:sz w:val="20"/>
                <w:szCs w:val="20"/>
                <w:color w:val="auto"/>
              </w:rPr>
            </w:pPr>
            <w:r>
              <w:rPr>
                <w:rFonts w:ascii="Times New Roman" w:cs="Times New Roman" w:eastAsia="Times New Roman" w:hAnsi="Times New Roman"/>
                <w:sz w:val="12"/>
                <w:szCs w:val="12"/>
                <w:b w:val="1"/>
                <w:bCs w:val="1"/>
                <w:color w:val="auto"/>
              </w:rPr>
              <w:t>Menlo Park, California 94025</w:t>
            </w:r>
          </w:p>
        </w:tc>
      </w:tr>
      <w:tr>
        <w:trPr>
          <w:trHeight w:val="136"/>
        </w:trPr>
        <w:tc>
          <w:tcPr>
            <w:tcW w:w="3220" w:type="dxa"/>
            <w:vAlign w:val="bottom"/>
          </w:tcPr>
          <w:p>
            <w:pPr>
              <w:jc w:val="center"/>
              <w:ind w:right="1099"/>
              <w:spacing w:after="0" w:line="137" w:lineRule="exact"/>
              <w:rPr>
                <w:sz w:val="20"/>
                <w:szCs w:val="20"/>
                <w:color w:val="auto"/>
              </w:rPr>
            </w:pPr>
            <w:r>
              <w:rPr>
                <w:rFonts w:ascii="Times New Roman" w:cs="Times New Roman" w:eastAsia="Times New Roman" w:hAnsi="Times New Roman"/>
                <w:sz w:val="12"/>
                <w:szCs w:val="12"/>
                <w:b w:val="1"/>
                <w:bCs w:val="1"/>
                <w:color w:val="auto"/>
              </w:rPr>
              <w:t>Palo Alto, California 94304</w:t>
            </w:r>
          </w:p>
        </w:tc>
        <w:tc>
          <w:tcPr>
            <w:tcW w:w="5800" w:type="dxa"/>
            <w:vAlign w:val="bottom"/>
          </w:tcPr>
          <w:p>
            <w:pPr>
              <w:jc w:val="center"/>
              <w:ind w:left="4198"/>
              <w:spacing w:after="0" w:line="137" w:lineRule="exact"/>
              <w:rPr>
                <w:sz w:val="20"/>
                <w:szCs w:val="20"/>
                <w:color w:val="auto"/>
              </w:rPr>
            </w:pPr>
            <w:r>
              <w:rPr>
                <w:rFonts w:ascii="Times New Roman" w:cs="Times New Roman" w:eastAsia="Times New Roman" w:hAnsi="Times New Roman"/>
                <w:sz w:val="12"/>
                <w:szCs w:val="12"/>
                <w:b w:val="1"/>
                <w:bCs w:val="1"/>
                <w:color w:val="auto"/>
              </w:rPr>
              <w:t>650-752-2000</w:t>
            </w:r>
          </w:p>
        </w:tc>
      </w:tr>
      <w:tr>
        <w:trPr>
          <w:trHeight w:val="160"/>
        </w:trPr>
        <w:tc>
          <w:tcPr>
            <w:tcW w:w="3220" w:type="dxa"/>
            <w:vAlign w:val="bottom"/>
          </w:tcPr>
          <w:p>
            <w:pPr>
              <w:jc w:val="center"/>
              <w:ind w:right="1099"/>
              <w:spacing w:after="0"/>
              <w:rPr>
                <w:sz w:val="20"/>
                <w:szCs w:val="20"/>
                <w:color w:val="auto"/>
              </w:rPr>
            </w:pPr>
            <w:r>
              <w:rPr>
                <w:rFonts w:ascii="Times New Roman" w:cs="Times New Roman" w:eastAsia="Times New Roman" w:hAnsi="Times New Roman"/>
                <w:sz w:val="12"/>
                <w:szCs w:val="12"/>
                <w:b w:val="1"/>
                <w:bCs w:val="1"/>
                <w:color w:val="auto"/>
              </w:rPr>
              <w:t>650-493-9300</w:t>
            </w:r>
          </w:p>
        </w:tc>
        <w:tc>
          <w:tcPr>
            <w:tcW w:w="5800" w:type="dxa"/>
            <w:vAlign w:val="bottom"/>
          </w:tcPr>
          <w:p>
            <w:pPr>
              <w:spacing w:after="0"/>
              <w:rPr>
                <w:sz w:val="13"/>
                <w:szCs w:val="13"/>
                <w:color w:val="auto"/>
              </w:rPr>
            </w:pPr>
          </w:p>
        </w:tc>
      </w:tr>
    </w:tbl>
    <w:p>
      <w:pPr>
        <w:spacing w:after="0" w:line="42" w:lineRule="exact"/>
        <w:rPr>
          <w:sz w:val="24"/>
          <w:szCs w:val="24"/>
          <w:color w:val="auto"/>
        </w:rPr>
      </w:pPr>
    </w:p>
    <w:p>
      <w:pPr>
        <w:ind w:left="9"/>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 As soon as practicable after the effective date of this registration statement.</w:t>
      </w:r>
    </w:p>
    <w:p>
      <w:pPr>
        <w:spacing w:after="0" w:line="39" w:lineRule="exact"/>
        <w:rPr>
          <w:sz w:val="24"/>
          <w:szCs w:val="24"/>
          <w:color w:val="auto"/>
        </w:rPr>
      </w:pPr>
    </w:p>
    <w:p>
      <w:pPr>
        <w:ind w:left="9"/>
        <w:spacing w:after="0" w:line="12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73" w:lineRule="exact"/>
        <w:rPr>
          <w:sz w:val="24"/>
          <w:szCs w:val="24"/>
          <w:color w:val="auto"/>
        </w:rPr>
      </w:pPr>
    </w:p>
    <w:p>
      <w:pPr>
        <w:ind w:left="9" w:right="440"/>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3" w:lineRule="exact"/>
        <w:rPr>
          <w:sz w:val="24"/>
          <w:szCs w:val="24"/>
          <w:color w:val="auto"/>
        </w:rPr>
      </w:pPr>
    </w:p>
    <w:p>
      <w:pPr>
        <w:ind w:left="9" w:right="100"/>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0" w:lineRule="exact"/>
        <w:rPr>
          <w:sz w:val="24"/>
          <w:szCs w:val="24"/>
          <w:color w:val="auto"/>
        </w:rPr>
      </w:pPr>
    </w:p>
    <w:p>
      <w:pPr>
        <w:ind w:left="9" w:right="100"/>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0" w:lineRule="exact"/>
        <w:rPr>
          <w:sz w:val="24"/>
          <w:szCs w:val="24"/>
          <w:color w:val="auto"/>
        </w:rPr>
      </w:pPr>
    </w:p>
    <w:p>
      <w:pPr>
        <w:ind w:left="9" w:right="200"/>
        <w:spacing w:after="0" w:line="29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9" w:type="dxa"/>
        <w:tblCellMar>
          <w:top w:w="0" w:type="dxa"/>
          <w:left w:w="0" w:type="dxa"/>
          <w:bottom w:w="0" w:type="dxa"/>
          <w:right w:w="0" w:type="dxa"/>
        </w:tblCellMar>
      </w:tblPr>
      <w:tr>
        <w:trPr>
          <w:trHeight w:val="177"/>
        </w:trPr>
        <w:tc>
          <w:tcPr>
            <w:tcW w:w="16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940" w:type="dxa"/>
            <w:vAlign w:val="bottom"/>
          </w:tcPr>
          <w:p>
            <w:pPr>
              <w:ind w:left="56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260"/>
              <w:spacing w:after="0"/>
              <w:rPr>
                <w:sz w:val="20"/>
                <w:szCs w:val="20"/>
                <w:color w:val="auto"/>
              </w:rPr>
            </w:pPr>
            <w:r>
              <w:rPr>
                <w:rFonts w:ascii="Times New Roman" w:cs="Times New Roman" w:eastAsia="Times New Roman" w:hAnsi="Times New Roman"/>
                <w:sz w:val="11"/>
                <w:szCs w:val="11"/>
                <w:color w:val="auto"/>
              </w:rPr>
              <w:t>Accelerated filer</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2"/>
        </w:trPr>
        <w:tc>
          <w:tcPr>
            <w:tcW w:w="16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960" w:type="dxa"/>
            <w:vAlign w:val="bottom"/>
          </w:tcPr>
          <w:p>
            <w:pPr>
              <w:ind w:left="32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2"/>
        </w:trPr>
        <w:tc>
          <w:tcPr>
            <w:tcW w:w="16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940" w:type="dxa"/>
            <w:vAlign w:val="bottom"/>
          </w:tcPr>
          <w:p>
            <w:pPr>
              <w:ind w:left="56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260"/>
              <w:spacing w:after="0"/>
              <w:rPr>
                <w:sz w:val="20"/>
                <w:szCs w:val="20"/>
                <w:color w:val="auto"/>
              </w:rPr>
            </w:pPr>
            <w:r>
              <w:rPr>
                <w:rFonts w:ascii="Times New Roman" w:cs="Times New Roman" w:eastAsia="Times New Roman" w:hAnsi="Times New Roman"/>
                <w:sz w:val="11"/>
                <w:szCs w:val="11"/>
                <w:color w:val="auto"/>
              </w:rPr>
              <w:t>Emerging growth company</w:t>
            </w:r>
          </w:p>
        </w:tc>
        <w:tc>
          <w:tcPr>
            <w:tcW w:w="56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91" w:lineRule="exact"/>
        <w:rPr>
          <w:sz w:val="24"/>
          <w:szCs w:val="24"/>
          <w:color w:val="auto"/>
        </w:rPr>
      </w:pPr>
    </w:p>
    <w:p>
      <w:pPr>
        <w:ind w:left="9" w:right="280"/>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15"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2618105</wp:posOffset>
            </wp:positionH>
            <wp:positionV relativeFrom="paragraph">
              <wp:posOffset>60960</wp:posOffset>
            </wp:positionV>
            <wp:extent cx="19253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532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140335</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26" w:lineRule="exact"/>
        <w:rPr>
          <w:sz w:val="24"/>
          <w:szCs w:val="24"/>
          <w:color w:val="auto"/>
        </w:rPr>
      </w:pPr>
    </w:p>
    <w:tbl>
      <w:tblPr>
        <w:tblLayout w:type="fixed"/>
        <w:tblInd w:w="19" w:type="dxa"/>
        <w:tblCellMar>
          <w:top w:w="0" w:type="dxa"/>
          <w:left w:w="0" w:type="dxa"/>
          <w:bottom w:w="0" w:type="dxa"/>
          <w:right w:w="0" w:type="dxa"/>
        </w:tblCellMar>
      </w:tblPr>
      <w:tr>
        <w:trPr>
          <w:trHeight w:val="149"/>
        </w:trPr>
        <w:tc>
          <w:tcPr>
            <w:tcW w:w="7760" w:type="dxa"/>
            <w:vAlign w:val="bottom"/>
            <w:tcBorders>
              <w:top w:val="single" w:sz="8" w:color="auto"/>
              <w:left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rPr>
              <w:t>Proposed Maximum Aggregate</w:t>
            </w: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r>
      <w:tr>
        <w:trPr>
          <w:trHeight w:val="180"/>
        </w:trPr>
        <w:tc>
          <w:tcPr>
            <w:tcW w:w="7760" w:type="dxa"/>
            <w:vAlign w:val="bottom"/>
            <w:tcBorders>
              <w:left w:val="single" w:sz="8" w:color="auto"/>
              <w:bottom w:val="single" w:sz="8" w:color="auto"/>
              <w:right w:val="single" w:sz="8" w:color="auto"/>
            </w:tcBorders>
          </w:tcPr>
          <w:p>
            <w:pPr>
              <w:ind w:left="2680"/>
              <w:spacing w:after="0"/>
              <w:rPr>
                <w:sz w:val="20"/>
                <w:szCs w:val="20"/>
                <w:color w:val="auto"/>
              </w:rPr>
            </w:pPr>
            <w:r>
              <w:rPr>
                <w:rFonts w:ascii="Times New Roman" w:cs="Times New Roman" w:eastAsia="Times New Roman" w:hAnsi="Times New Roman"/>
                <w:sz w:val="12"/>
                <w:szCs w:val="12"/>
                <w:color w:val="auto"/>
              </w:rPr>
              <w:t>Title of Each Class of Securities to be Registered</w:t>
            </w: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w w:val="95"/>
              </w:rPr>
              <w:t>Offering Price</w:t>
            </w:r>
            <w:r>
              <w:rPr>
                <w:rFonts w:ascii="Times New Roman" w:cs="Times New Roman" w:eastAsia="Times New Roman" w:hAnsi="Times New Roman"/>
                <w:sz w:val="15"/>
                <w:szCs w:val="15"/>
                <w:color w:val="auto"/>
                <w:w w:val="95"/>
                <w:vertAlign w:val="superscript"/>
              </w:rPr>
              <w:t>(1)(2)</w:t>
            </w: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right"/>
              <w:ind w:right="161"/>
              <w:spacing w:after="0"/>
              <w:rPr>
                <w:sz w:val="20"/>
                <w:szCs w:val="20"/>
                <w:color w:val="auto"/>
              </w:rPr>
            </w:pPr>
            <w:r>
              <w:rPr>
                <w:rFonts w:ascii="Times New Roman" w:cs="Times New Roman" w:eastAsia="Times New Roman" w:hAnsi="Times New Roman"/>
                <w:sz w:val="12"/>
                <w:szCs w:val="12"/>
                <w:color w:val="auto"/>
              </w:rPr>
              <w:t>Amount of Registration Fee</w:t>
            </w:r>
          </w:p>
        </w:tc>
      </w:tr>
      <w:tr>
        <w:trPr>
          <w:trHeight w:val="150"/>
        </w:trPr>
        <w:tc>
          <w:tcPr>
            <w:tcW w:w="7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Class A Common Stock, $ 0.00001 par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rPr>
              <w:t>150,000,000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rPr>
              <w:t>16,365</w:t>
            </w:r>
          </w:p>
        </w:tc>
      </w:tr>
      <w:tr>
        <w:trPr>
          <w:trHeight w:val="23"/>
        </w:trPr>
        <w:tc>
          <w:tcPr>
            <w:tcW w:w="7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5"/>
        </w:trPr>
        <w:tc>
          <w:tcPr>
            <w:tcW w:w="7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ind w:left="269" w:hanging="269"/>
        <w:spacing w:after="0"/>
        <w:tabs>
          <w:tab w:leader="none" w:pos="269"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offering price of any additional shares of Class A common stock that the underwriters have the option to purchase.</w:t>
      </w:r>
    </w:p>
    <w:p>
      <w:pPr>
        <w:spacing w:after="0" w:line="9" w:lineRule="exact"/>
        <w:rPr>
          <w:rFonts w:ascii="Times New Roman" w:cs="Times New Roman" w:eastAsia="Times New Roman" w:hAnsi="Times New Roman"/>
          <w:sz w:val="11"/>
          <w:szCs w:val="11"/>
          <w:color w:val="auto"/>
        </w:rPr>
      </w:pPr>
    </w:p>
    <w:p>
      <w:pPr>
        <w:ind w:left="269" w:hanging="269"/>
        <w:spacing w:after="0"/>
        <w:tabs>
          <w:tab w:leader="none" w:pos="269"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Estimated solely for the purpose of calculating the registration fee pursuant to Rule 457(o) under the Securities Act of 1933, as amended.</w:t>
      </w:r>
    </w:p>
    <w:p>
      <w:pPr>
        <w:spacing w:after="0" w:line="34" w:lineRule="exact"/>
        <w:rPr>
          <w:sz w:val="24"/>
          <w:szCs w:val="24"/>
          <w:color w:val="auto"/>
        </w:rPr>
      </w:pPr>
    </w:p>
    <w:p>
      <w:pPr>
        <w:ind w:left="9" w:right="400"/>
        <w:spacing w:after="0" w:line="256"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69"/>
          </w:cols>
          <w:pgMar w:left="311" w:top="549" w:right="319" w:bottom="1440" w:gutter="0" w:footer="0" w:header="0"/>
        </w:sectPr>
      </w:pPr>
    </w:p>
    <w:bookmarkStart w:id="1" w:name="page2"/>
    <w:bookmarkEnd w:id="1"/>
    <w:p>
      <w:pPr>
        <w:ind w:right="40"/>
        <w:spacing w:after="0" w:line="261" w:lineRule="auto"/>
        <w:rPr>
          <w:sz w:val="20"/>
          <w:szCs w:val="20"/>
          <w:color w:val="auto"/>
        </w:rPr>
      </w:pPr>
      <w:r>
        <w:rPr>
          <w:rFonts w:ascii="Times New Roman" w:cs="Times New Roman" w:eastAsia="Times New Roman" w:hAnsi="Times New Roman"/>
          <w:sz w:val="15"/>
          <w:szCs w:val="15"/>
          <w:b w:val="1"/>
          <w:bCs w:val="1"/>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 w:lineRule="exact"/>
        <w:rPr>
          <w:sz w:val="20"/>
          <w:szCs w:val="20"/>
          <w:color w:val="auto"/>
        </w:rPr>
      </w:pPr>
    </w:p>
    <w:p>
      <w:pPr>
        <w:jc w:val="right"/>
        <w:spacing w:after="0"/>
        <w:tabs>
          <w:tab w:leader="none" w:pos="360" w:val="left"/>
        </w:tabs>
        <w:rPr>
          <w:sz w:val="20"/>
          <w:szCs w:val="20"/>
          <w:color w:val="auto"/>
        </w:rPr>
      </w:pPr>
      <w:r>
        <w:rPr>
          <w:rFonts w:ascii="Times New Roman" w:cs="Times New Roman" w:eastAsia="Times New Roman" w:hAnsi="Times New Roman"/>
          <w:sz w:val="15"/>
          <w:szCs w:val="15"/>
          <w:b w:val="1"/>
          <w:bCs w:val="1"/>
          <w:color w:val="F1665F"/>
        </w:rPr>
        <w:t>SUBJECT TO COMPLETION, DATED</w:t>
      </w:r>
      <w:r>
        <w:rPr>
          <w:sz w:val="20"/>
          <w:szCs w:val="20"/>
          <w:color w:val="auto"/>
        </w:rPr>
        <w:tab/>
      </w:r>
      <w:r>
        <w:rPr>
          <w:rFonts w:ascii="Times New Roman" w:cs="Times New Roman" w:eastAsia="Times New Roman" w:hAnsi="Times New Roman"/>
          <w:sz w:val="15"/>
          <w:szCs w:val="15"/>
          <w:b w:val="1"/>
          <w:bCs w:val="1"/>
          <w:color w:val="F1665F"/>
        </w:rPr>
        <w:t>,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PRELIMINARY PROSPECTUS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2489200</wp:posOffset>
            </wp:positionH>
            <wp:positionV relativeFrom="paragraph">
              <wp:posOffset>4445</wp:posOffset>
            </wp:positionV>
            <wp:extent cx="2163445" cy="706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3445" cy="70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Class A Common Stock</w:t>
      </w:r>
    </w:p>
    <w:p>
      <w:pPr>
        <w:spacing w:after="0" w:line="113" w:lineRule="exact"/>
        <w:rPr>
          <w:sz w:val="20"/>
          <w:szCs w:val="20"/>
          <w:color w:val="auto"/>
        </w:rPr>
      </w:pPr>
    </w:p>
    <w:p>
      <w:pPr>
        <w:ind w:left="260"/>
        <w:spacing w:after="0"/>
        <w:tabs>
          <w:tab w:leader="none" w:pos="2240" w:val="left"/>
        </w:tabs>
        <w:rPr>
          <w:sz w:val="20"/>
          <w:szCs w:val="20"/>
          <w:color w:val="auto"/>
        </w:rPr>
      </w:pPr>
      <w:r>
        <w:rPr>
          <w:rFonts w:ascii="Times New Roman" w:cs="Times New Roman" w:eastAsia="Times New Roman" w:hAnsi="Times New Roman"/>
          <w:sz w:val="15"/>
          <w:szCs w:val="15"/>
          <w:color w:val="auto"/>
        </w:rPr>
        <w:t>We are offering</w:t>
      </w:r>
      <w:r>
        <w:rPr>
          <w:sz w:val="20"/>
          <w:szCs w:val="20"/>
          <w:color w:val="auto"/>
        </w:rPr>
        <w:tab/>
      </w:r>
      <w:r>
        <w:rPr>
          <w:rFonts w:ascii="Times New Roman" w:cs="Times New Roman" w:eastAsia="Times New Roman" w:hAnsi="Times New Roman"/>
          <w:sz w:val="15"/>
          <w:szCs w:val="15"/>
          <w:color w:val="auto"/>
        </w:rPr>
        <w:t>shares of our Class A common stock. This is our initial public offering of our Class A common stock, and no public market currently exists for our</w:t>
      </w:r>
    </w:p>
    <w:p>
      <w:pPr>
        <w:spacing w:after="0" w:line="24" w:lineRule="exact"/>
        <w:rPr>
          <w:sz w:val="20"/>
          <w:szCs w:val="20"/>
          <w:color w:val="auto"/>
        </w:rPr>
      </w:pPr>
    </w:p>
    <w:p>
      <w:pPr>
        <w:jc w:val="both"/>
        <w:ind w:right="260"/>
        <w:spacing w:after="0" w:line="188" w:lineRule="auto"/>
        <w:rPr>
          <w:sz w:val="20"/>
          <w:szCs w:val="20"/>
          <w:color w:val="auto"/>
        </w:rPr>
      </w:pPr>
      <w:r>
        <w:rPr>
          <w:rFonts w:ascii="Times New Roman" w:cs="Times New Roman" w:eastAsia="Times New Roman" w:hAnsi="Times New Roman"/>
          <w:sz w:val="10"/>
          <w:szCs w:val="10"/>
          <w:color w:val="auto"/>
        </w:rPr>
        <w:t>Class A common stock. The rights of the holders of Class A common stock and Class B common stock are substantially identical, except with respect to voting and conversion. Each share of Class A common stock is entitled to one vote per share. Each share of Class B common stock is entitled to ten votes per share and is convertible at any time into one share of Class A common stock. Following this offering, the concurrent private placement and the secondary transaction, the outstanding shares of Class B common stock will represent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5"/>
          <w:szCs w:val="15"/>
          <w:color w:val="auto"/>
        </w:rPr>
        <w:t>approximately</w:t>
      </w:r>
      <w:r>
        <w:rPr>
          <w:sz w:val="20"/>
          <w:szCs w:val="20"/>
          <w:color w:val="auto"/>
        </w:rPr>
        <w:tab/>
      </w:r>
      <w:r>
        <w:rPr>
          <w:rFonts w:ascii="Times New Roman" w:cs="Times New Roman" w:eastAsia="Times New Roman" w:hAnsi="Times New Roman"/>
          <w:sz w:val="15"/>
          <w:szCs w:val="15"/>
          <w:color w:val="auto"/>
        </w:rPr>
        <w:t>% of the voting power of our outstanding capital stock.</w:t>
      </w:r>
    </w:p>
    <w:p>
      <w:pPr>
        <w:sectPr>
          <w:pgSz w:w="11900" w:h="16838" w:orient="portrait"/>
          <w:cols w:equalWidth="0" w:num="1">
            <w:col w:w="11260"/>
          </w:cols>
          <w:pgMar w:left="320" w:top="666" w:right="319" w:bottom="1440" w:gutter="0" w:footer="0" w:header="0"/>
        </w:sectPr>
      </w:pP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expect the initial public offering price to be between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 share. We have applied to list our Class A common stock on the Nasdaq Global Select Market under</w:t>
      </w:r>
    </w:p>
    <w:p>
      <w:pPr>
        <w:spacing w:after="0" w:line="24" w:lineRule="exact"/>
        <w:rPr>
          <w:sz w:val="20"/>
          <w:szCs w:val="20"/>
          <w:color w:val="auto"/>
        </w:rPr>
      </w:pPr>
    </w:p>
    <w:p>
      <w:pPr>
        <w:sectPr>
          <w:pgSz w:w="11900" w:h="16838" w:orient="portrait"/>
          <w:cols w:equalWidth="0" w:num="3">
            <w:col w:w="3780" w:space="380"/>
            <w:col w:w="320" w:space="460"/>
            <w:col w:w="6320"/>
          </w:cols>
          <w:pgMar w:left="320" w:top="6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the symbol “SEER.”</w:t>
      </w:r>
    </w:p>
    <w:p>
      <w:pPr>
        <w:sectPr>
          <w:pgSz w:w="11900" w:h="16838" w:orient="portrait"/>
          <w:cols w:equalWidth="0" w:num="1">
            <w:col w:w="11260"/>
          </w:cols>
          <w:pgMar w:left="320" w:top="666" w:right="319" w:bottom="1440" w:gutter="0" w:footer="0" w:header="0"/>
          <w:type w:val="continuous"/>
        </w:sectPr>
      </w:pPr>
    </w:p>
    <w:p>
      <w:pPr>
        <w:spacing w:after="0" w:line="130" w:lineRule="exact"/>
        <w:rPr>
          <w:sz w:val="20"/>
          <w:szCs w:val="20"/>
          <w:color w:val="auto"/>
        </w:rPr>
      </w:pPr>
    </w:p>
    <w:p>
      <w:pPr>
        <w:ind w:right="60" w:firstLine="273"/>
        <w:spacing w:after="0" w:line="286" w:lineRule="auto"/>
        <w:rPr>
          <w:sz w:val="20"/>
          <w:szCs w:val="20"/>
          <w:color w:val="auto"/>
        </w:rPr>
      </w:pPr>
      <w:r>
        <w:rPr>
          <w:rFonts w:ascii="Times New Roman" w:cs="Times New Roman" w:eastAsia="Times New Roman" w:hAnsi="Times New Roman"/>
          <w:sz w:val="15"/>
          <w:szCs w:val="15"/>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89" w:lineRule="exact"/>
        <w:rPr>
          <w:sz w:val="20"/>
          <w:szCs w:val="20"/>
          <w:color w:val="auto"/>
        </w:rPr>
      </w:pPr>
    </w:p>
    <w:p>
      <w:pPr>
        <w:jc w:val="both"/>
        <w:ind w:right="80" w:firstLine="273"/>
        <w:spacing w:after="0" w:line="269" w:lineRule="auto"/>
        <w:rPr>
          <w:sz w:val="20"/>
          <w:szCs w:val="20"/>
          <w:color w:val="auto"/>
        </w:rPr>
      </w:pPr>
      <w:r>
        <w:rPr>
          <w:rFonts w:ascii="Times New Roman" w:cs="Times New Roman" w:eastAsia="Times New Roman" w:hAnsi="Times New Roman"/>
          <w:sz w:val="15"/>
          <w:szCs w:val="15"/>
          <w:color w:val="auto"/>
        </w:rPr>
        <w:t>Fidelity Management &amp; Research Company LLC, SoftBank, certain funds and accounts advised by T. Rowe Price Associates, Inc. and aMoon Fund have entered into an agreement with us pursuant to which they have agreed, severally and not jointly, to purchase an aggregate of $135,000,000 of our Class A common stock in a private placement at a price per share equal to the initial public offering price. These transactions are contingent upon, and are scheduled to close immediately subsequent to, the closing of this offering.</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Investing in our Class A common stock involves a high degree of risk. Please read “Risk Factors” beginning on page 18 of this prospectus.</w:t>
      </w:r>
    </w:p>
    <w:p>
      <w:pPr>
        <w:spacing w:after="0" w:line="142" w:lineRule="exact"/>
        <w:rPr>
          <w:sz w:val="20"/>
          <w:szCs w:val="20"/>
          <w:color w:val="auto"/>
        </w:rPr>
      </w:pPr>
    </w:p>
    <w:p>
      <w:pPr>
        <w:ind w:right="160" w:firstLine="273"/>
        <w:spacing w:after="0" w:line="292"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1580" w:type="dxa"/>
            <w:vAlign w:val="bottom"/>
          </w:tcPr>
          <w:p>
            <w:pPr>
              <w:jc w:val="right"/>
              <w:ind w:right="50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9"/>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Initial Public Offering Price</w:t>
            </w:r>
          </w:p>
        </w:tc>
        <w:tc>
          <w:tcPr>
            <w:tcW w:w="156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5"/>
                <w:szCs w:val="15"/>
                <w:color w:val="auto"/>
              </w:rPr>
              <w:t>$</w:t>
            </w:r>
          </w:p>
        </w:tc>
      </w:tr>
      <w:tr>
        <w:trPr>
          <w:trHeight w:val="235"/>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Underwriting Discounts and Commissions</w:t>
            </w:r>
            <w:r>
              <w:rPr>
                <w:rFonts w:ascii="Times New Roman" w:cs="Times New Roman" w:eastAsia="Times New Roman" w:hAnsi="Times New Roman"/>
                <w:sz w:val="19"/>
                <w:szCs w:val="19"/>
                <w:color w:val="auto"/>
                <w:vertAlign w:val="superscript"/>
              </w:rPr>
              <w:t>(1)</w:t>
            </w:r>
          </w:p>
        </w:tc>
        <w:tc>
          <w:tcPr>
            <w:tcW w:w="1560" w:type="dxa"/>
            <w:vAlign w:val="bottom"/>
          </w:tcPr>
          <w:p>
            <w:pPr>
              <w:jc w:val="right"/>
              <w:ind w:right="1408"/>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20"/>
                <w:szCs w:val="20"/>
                <w:color w:val="auto"/>
              </w:rPr>
            </w:pPr>
          </w:p>
        </w:tc>
        <w:tc>
          <w:tcPr>
            <w:tcW w:w="1580" w:type="dxa"/>
            <w:vAlign w:val="bottom"/>
          </w:tcPr>
          <w:p>
            <w:pPr>
              <w:jc w:val="right"/>
              <w:ind w:right="1408"/>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Proceeds to Seer, Inc., before expenses</w:t>
            </w:r>
          </w:p>
        </w:tc>
        <w:tc>
          <w:tcPr>
            <w:tcW w:w="1560" w:type="dxa"/>
            <w:vAlign w:val="bottom"/>
          </w:tcPr>
          <w:p>
            <w:pPr>
              <w:jc w:val="right"/>
              <w:ind w:right="1408"/>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7"/>
                <w:szCs w:val="17"/>
                <w:color w:val="auto"/>
              </w:rPr>
            </w:pPr>
          </w:p>
        </w:tc>
        <w:tc>
          <w:tcPr>
            <w:tcW w:w="1580" w:type="dxa"/>
            <w:vAlign w:val="bottom"/>
          </w:tcPr>
          <w:p>
            <w:pPr>
              <w:jc w:val="right"/>
              <w:ind w:right="1408"/>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53910" cy="144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See “Underwriting” beginning on page 174 for additional information regarding underwriter compensation.</w:t>
      </w:r>
    </w:p>
    <w:p>
      <w:pPr>
        <w:spacing w:after="0" w:line="126" w:lineRule="exact"/>
        <w:rPr>
          <w:sz w:val="20"/>
          <w:szCs w:val="20"/>
          <w:color w:val="auto"/>
        </w:rPr>
      </w:pPr>
    </w:p>
    <w:p>
      <w:pPr>
        <w:ind w:right="40" w:firstLine="273"/>
        <w:spacing w:after="0" w:line="269" w:lineRule="auto"/>
        <w:rPr>
          <w:sz w:val="20"/>
          <w:szCs w:val="20"/>
          <w:color w:val="auto"/>
        </w:rPr>
      </w:pPr>
      <w:r>
        <w:rPr>
          <w:rFonts w:ascii="Times New Roman" w:cs="Times New Roman" w:eastAsia="Times New Roman" w:hAnsi="Times New Roman"/>
          <w:sz w:val="15"/>
          <w:szCs w:val="15"/>
          <w:color w:val="auto"/>
        </w:rPr>
        <w:t>Delivery of the shares of Class A common stock is expected to be made on or about , 2020. We have granted the underwriters an option for a period of 30 days to purchase an additional shares of our Class A common stock. If the underwriters exercise the option in full, the total underwriting discounts and commissions payable by us will be $ and the total proceeds to us, before expenses, will be $ .</w:t>
      </w:r>
    </w:p>
    <w:p>
      <w:pPr>
        <w:sectPr>
          <w:pgSz w:w="11900" w:h="16838" w:orient="portrait"/>
          <w:cols w:equalWidth="0" w:num="1">
            <w:col w:w="11260"/>
          </w:cols>
          <w:pgMar w:left="320" w:top="666" w:right="31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Morgan Stanley</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BofA Securities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Cowen</w:t>
      </w:r>
    </w:p>
    <w:p>
      <w:pPr>
        <w:spacing w:after="0" w:line="184" w:lineRule="exact"/>
        <w:rPr>
          <w:sz w:val="20"/>
          <w:szCs w:val="20"/>
          <w:color w:val="auto"/>
        </w:rPr>
      </w:pPr>
    </w:p>
    <w:p>
      <w:pPr>
        <w:sectPr>
          <w:pgSz w:w="11900" w:h="16838" w:orient="portrait"/>
          <w:cols w:equalWidth="0" w:num="4">
            <w:col w:w="2720" w:space="720"/>
            <w:col w:w="2600" w:space="720"/>
            <w:col w:w="3040" w:space="720"/>
            <w:col w:w="740"/>
          </w:cols>
          <w:pgMar w:left="320" w:top="666" w:right="319" w:bottom="1440" w:gutter="0" w:footer="0" w:header="0"/>
          <w:type w:val="continuous"/>
        </w:sectPr>
      </w:pPr>
    </w:p>
    <w:p>
      <w:pPr>
        <w:ind w:left="4120"/>
        <w:spacing w:after="0"/>
        <w:rPr>
          <w:sz w:val="20"/>
          <w:szCs w:val="20"/>
          <w:color w:val="auto"/>
        </w:rPr>
      </w:pPr>
      <w:r>
        <w:rPr>
          <w:rFonts w:ascii="Times New Roman" w:cs="Times New Roman" w:eastAsia="Times New Roman" w:hAnsi="Times New Roman"/>
          <w:sz w:val="15"/>
          <w:szCs w:val="15"/>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 2020</w:t>
      </w:r>
    </w:p>
    <w:p>
      <w:pPr>
        <w:sectPr>
          <w:pgSz w:w="11900" w:h="16838" w:orient="portrait"/>
          <w:cols w:equalWidth="0" w:num="2">
            <w:col w:w="6020" w:space="720"/>
            <w:col w:w="4520"/>
          </w:cols>
          <w:pgMar w:left="320" w:top="666"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1"/>
        </w:trPr>
        <w:tc>
          <w:tcPr>
            <w:tcW w:w="2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980" w:type="dxa"/>
            <w:vAlign w:val="bottom"/>
          </w:tcPr>
          <w:p>
            <w:pPr>
              <w:ind w:left="22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09"/>
        </w:trPr>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PAGE</w:t>
            </w:r>
          </w:p>
        </w:tc>
      </w:tr>
      <w:tr>
        <w:trPr>
          <w:trHeight w:val="190"/>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3">
              <w:r>
                <w:rPr>
                  <w:rFonts w:ascii="Times New Roman" w:cs="Times New Roman" w:eastAsia="Times New Roman" w:hAnsi="Times New Roman"/>
                  <w:sz w:val="15"/>
                  <w:szCs w:val="15"/>
                  <w:u w:val="single" w:color="auto"/>
                  <w:color w:val="0000FF"/>
                </w:rPr>
                <w:t>PROSPECTUS SUMMARY</w:t>
              </w:r>
            </w:hyperlink>
          </w:p>
        </w:tc>
        <w:tc>
          <w:tcPr>
            <w:tcW w:w="460" w:type="dxa"/>
            <w:vAlign w:val="bottom"/>
            <w:gridSpan w:val="2"/>
          </w:tcPr>
          <w:p>
            <w:pPr>
              <w:jc w:val="center"/>
              <w:ind w:left="185"/>
              <w:spacing w:after="0"/>
              <w:rPr>
                <w:rFonts w:ascii="Times New Roman" w:cs="Times New Roman" w:eastAsia="Times New Roman" w:hAnsi="Times New Roman"/>
                <w:sz w:val="15"/>
                <w:szCs w:val="15"/>
                <w:u w:val="single" w:color="auto"/>
                <w:color w:val="0000FF"/>
              </w:rPr>
            </w:pPr>
            <w:hyperlink w:anchor="page3">
              <w:r>
                <w:rPr>
                  <w:rFonts w:ascii="Times New Roman" w:cs="Times New Roman" w:eastAsia="Times New Roman" w:hAnsi="Times New Roman"/>
                  <w:sz w:val="15"/>
                  <w:szCs w:val="15"/>
                  <w:u w:val="single" w:color="auto"/>
                  <w:color w:val="0000FF"/>
                </w:rPr>
                <w:t>1</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7">
              <w:r>
                <w:rPr>
                  <w:rFonts w:ascii="Times New Roman" w:cs="Times New Roman" w:eastAsia="Times New Roman" w:hAnsi="Times New Roman"/>
                  <w:sz w:val="15"/>
                  <w:szCs w:val="15"/>
                  <w:u w:val="single" w:color="auto"/>
                  <w:color w:val="0000FF"/>
                </w:rPr>
                <w:t>GLOSSARY</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17">
              <w:r>
                <w:rPr>
                  <w:rFonts w:ascii="Times New Roman" w:cs="Times New Roman" w:eastAsia="Times New Roman" w:hAnsi="Times New Roman"/>
                  <w:sz w:val="15"/>
                  <w:szCs w:val="15"/>
                  <w:u w:val="single" w:color="auto"/>
                  <w:color w:val="0000FF"/>
                  <w:w w:val="92"/>
                </w:rPr>
                <w:t>15</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20">
              <w:r>
                <w:rPr>
                  <w:rFonts w:ascii="Times New Roman" w:cs="Times New Roman" w:eastAsia="Times New Roman" w:hAnsi="Times New Roman"/>
                  <w:sz w:val="15"/>
                  <w:szCs w:val="15"/>
                  <w:u w:val="single" w:color="auto"/>
                  <w:color w:val="0000FF"/>
                </w:rPr>
                <w:t>RISK FACTORS</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20">
              <w:r>
                <w:rPr>
                  <w:rFonts w:ascii="Times New Roman" w:cs="Times New Roman" w:eastAsia="Times New Roman" w:hAnsi="Times New Roman"/>
                  <w:sz w:val="15"/>
                  <w:szCs w:val="15"/>
                  <w:u w:val="single" w:color="auto"/>
                  <w:color w:val="0000FF"/>
                  <w:w w:val="92"/>
                </w:rPr>
                <w:t>18</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62">
              <w:r>
                <w:rPr>
                  <w:rFonts w:ascii="Times New Roman" w:cs="Times New Roman" w:eastAsia="Times New Roman" w:hAnsi="Times New Roman"/>
                  <w:sz w:val="15"/>
                  <w:szCs w:val="15"/>
                  <w:u w:val="single" w:color="auto"/>
                  <w:color w:val="0000FF"/>
                </w:rPr>
                <w:t>SPECIAL NOTE REGARDING FORWARD-LOOKING STATEMENTS</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62">
              <w:r>
                <w:rPr>
                  <w:rFonts w:ascii="Times New Roman" w:cs="Times New Roman" w:eastAsia="Times New Roman" w:hAnsi="Times New Roman"/>
                  <w:sz w:val="15"/>
                  <w:szCs w:val="15"/>
                  <w:u w:val="single" w:color="auto"/>
                  <w:color w:val="0000FF"/>
                  <w:w w:val="92"/>
                </w:rPr>
                <w:t>60</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64">
              <w:r>
                <w:rPr>
                  <w:rFonts w:ascii="Times New Roman" w:cs="Times New Roman" w:eastAsia="Times New Roman" w:hAnsi="Times New Roman"/>
                  <w:sz w:val="15"/>
                  <w:szCs w:val="15"/>
                  <w:u w:val="single" w:color="auto"/>
                  <w:color w:val="0000FF"/>
                </w:rPr>
                <w:t>MARKET, INDUSTRY AND OTHER DATA</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64">
              <w:r>
                <w:rPr>
                  <w:rFonts w:ascii="Times New Roman" w:cs="Times New Roman" w:eastAsia="Times New Roman" w:hAnsi="Times New Roman"/>
                  <w:sz w:val="15"/>
                  <w:szCs w:val="15"/>
                  <w:u w:val="single" w:color="auto"/>
                  <w:color w:val="0000FF"/>
                  <w:w w:val="92"/>
                </w:rPr>
                <w:t>62</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66">
              <w:r>
                <w:rPr>
                  <w:rFonts w:ascii="Times New Roman" w:cs="Times New Roman" w:eastAsia="Times New Roman" w:hAnsi="Times New Roman"/>
                  <w:sz w:val="15"/>
                  <w:szCs w:val="15"/>
                  <w:u w:val="single" w:color="auto"/>
                  <w:color w:val="0000FF"/>
                </w:rPr>
                <w:t>USE OF PROCEEDS</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66">
              <w:r>
                <w:rPr>
                  <w:rFonts w:ascii="Times New Roman" w:cs="Times New Roman" w:eastAsia="Times New Roman" w:hAnsi="Times New Roman"/>
                  <w:sz w:val="15"/>
                  <w:szCs w:val="15"/>
                  <w:u w:val="single" w:color="auto"/>
                  <w:color w:val="0000FF"/>
                  <w:w w:val="92"/>
                </w:rPr>
                <w:t>64</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67">
              <w:r>
                <w:rPr>
                  <w:rFonts w:ascii="Times New Roman" w:cs="Times New Roman" w:eastAsia="Times New Roman" w:hAnsi="Times New Roman"/>
                  <w:sz w:val="15"/>
                  <w:szCs w:val="15"/>
                  <w:u w:val="single" w:color="auto"/>
                  <w:color w:val="0000FF"/>
                </w:rPr>
                <w:t>DIVIDEND POLICY</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67">
              <w:r>
                <w:rPr>
                  <w:rFonts w:ascii="Times New Roman" w:cs="Times New Roman" w:eastAsia="Times New Roman" w:hAnsi="Times New Roman"/>
                  <w:sz w:val="15"/>
                  <w:szCs w:val="15"/>
                  <w:u w:val="single" w:color="auto"/>
                  <w:color w:val="0000FF"/>
                  <w:w w:val="92"/>
                </w:rPr>
                <w:t>65</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68">
              <w:r>
                <w:rPr>
                  <w:rFonts w:ascii="Times New Roman" w:cs="Times New Roman" w:eastAsia="Times New Roman" w:hAnsi="Times New Roman"/>
                  <w:sz w:val="15"/>
                  <w:szCs w:val="15"/>
                  <w:u w:val="single" w:color="auto"/>
                  <w:color w:val="0000FF"/>
                </w:rPr>
                <w:t>CAPITALIZATION</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68">
              <w:r>
                <w:rPr>
                  <w:rFonts w:ascii="Times New Roman" w:cs="Times New Roman" w:eastAsia="Times New Roman" w:hAnsi="Times New Roman"/>
                  <w:sz w:val="15"/>
                  <w:szCs w:val="15"/>
                  <w:u w:val="single" w:color="auto"/>
                  <w:color w:val="0000FF"/>
                  <w:w w:val="92"/>
                </w:rPr>
                <w:t>66</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71">
              <w:r>
                <w:rPr>
                  <w:rFonts w:ascii="Times New Roman" w:cs="Times New Roman" w:eastAsia="Times New Roman" w:hAnsi="Times New Roman"/>
                  <w:sz w:val="15"/>
                  <w:szCs w:val="15"/>
                  <w:u w:val="single" w:color="auto"/>
                  <w:color w:val="0000FF"/>
                </w:rPr>
                <w:t>DILUTION</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71">
              <w:r>
                <w:rPr>
                  <w:rFonts w:ascii="Times New Roman" w:cs="Times New Roman" w:eastAsia="Times New Roman" w:hAnsi="Times New Roman"/>
                  <w:sz w:val="15"/>
                  <w:szCs w:val="15"/>
                  <w:u w:val="single" w:color="auto"/>
                  <w:color w:val="0000FF"/>
                  <w:w w:val="92"/>
                </w:rPr>
                <w:t>69</w:t>
              </w:r>
            </w:hyperlink>
          </w:p>
        </w:tc>
        <w:tc>
          <w:tcPr>
            <w:tcW w:w="260" w:type="dxa"/>
            <w:vAlign w:val="bottom"/>
          </w:tcPr>
          <w:p>
            <w:pPr>
              <w:spacing w:after="0"/>
              <w:rPr>
                <w:sz w:val="16"/>
                <w:szCs w:val="16"/>
                <w:color w:val="auto"/>
              </w:rPr>
            </w:pPr>
          </w:p>
        </w:tc>
      </w:tr>
      <w:tr>
        <w:trPr>
          <w:trHeight w:val="162"/>
        </w:trPr>
        <w:tc>
          <w:tcPr>
            <w:tcW w:w="10540" w:type="dxa"/>
            <w:vAlign w:val="bottom"/>
            <w:gridSpan w:val="3"/>
          </w:tcPr>
          <w:p>
            <w:pPr>
              <w:spacing w:after="0" w:line="162" w:lineRule="exact"/>
              <w:rPr>
                <w:rFonts w:ascii="Times New Roman" w:cs="Times New Roman" w:eastAsia="Times New Roman" w:hAnsi="Times New Roman"/>
                <w:sz w:val="15"/>
                <w:szCs w:val="15"/>
                <w:color w:val="0000FF"/>
              </w:rPr>
            </w:pPr>
            <w:hyperlink w:anchor="page74">
              <w:r>
                <w:rPr>
                  <w:rFonts w:ascii="Times New Roman" w:cs="Times New Roman" w:eastAsia="Times New Roman" w:hAnsi="Times New Roman"/>
                  <w:sz w:val="15"/>
                  <w:szCs w:val="15"/>
                  <w:color w:val="0000FF"/>
                </w:rPr>
                <w:t>SELECTED FINANCIAL DATA</w:t>
              </w:r>
            </w:hyperlink>
          </w:p>
        </w:tc>
        <w:tc>
          <w:tcPr>
            <w:tcW w:w="460" w:type="dxa"/>
            <w:vAlign w:val="bottom"/>
            <w:gridSpan w:val="2"/>
          </w:tcPr>
          <w:p>
            <w:pPr>
              <w:jc w:val="center"/>
              <w:ind w:left="165"/>
              <w:spacing w:after="0" w:line="162" w:lineRule="exact"/>
              <w:rPr>
                <w:rFonts w:ascii="Times New Roman" w:cs="Times New Roman" w:eastAsia="Times New Roman" w:hAnsi="Times New Roman"/>
                <w:sz w:val="15"/>
                <w:szCs w:val="15"/>
                <w:u w:val="single" w:color="auto"/>
                <w:color w:val="0000FF"/>
                <w:w w:val="92"/>
              </w:rPr>
            </w:pPr>
            <w:hyperlink w:anchor="page74">
              <w:r>
                <w:rPr>
                  <w:rFonts w:ascii="Times New Roman" w:cs="Times New Roman" w:eastAsia="Times New Roman" w:hAnsi="Times New Roman"/>
                  <w:sz w:val="15"/>
                  <w:szCs w:val="15"/>
                  <w:u w:val="single" w:color="auto"/>
                  <w:color w:val="0000FF"/>
                  <w:w w:val="92"/>
                </w:rPr>
                <w:t>72</w:t>
              </w:r>
            </w:hyperlink>
          </w:p>
        </w:tc>
        <w:tc>
          <w:tcPr>
            <w:tcW w:w="260" w:type="dxa"/>
            <w:vAlign w:val="bottom"/>
          </w:tcPr>
          <w:p>
            <w:pPr>
              <w:spacing w:after="0"/>
              <w:rPr>
                <w:sz w:val="14"/>
                <w:szCs w:val="14"/>
                <w:color w:val="auto"/>
              </w:rPr>
            </w:pPr>
          </w:p>
        </w:tc>
      </w:tr>
      <w:tr>
        <w:trPr>
          <w:trHeight w:val="20"/>
        </w:trPr>
        <w:tc>
          <w:tcPr>
            <w:tcW w:w="20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4"/>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76">
              <w:r>
                <w:rPr>
                  <w:rFonts w:ascii="Times New Roman" w:cs="Times New Roman" w:eastAsia="Times New Roman" w:hAnsi="Times New Roman"/>
                  <w:sz w:val="15"/>
                  <w:szCs w:val="15"/>
                  <w:u w:val="single" w:color="auto"/>
                  <w:color w:val="0000FF"/>
                </w:rPr>
                <w:t>MANAGEMENT’S DISCUSSION AND ANALYSIS OF FINANCIAL CONDITION AND RESULTS OF OPERATIONS</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76">
              <w:r>
                <w:rPr>
                  <w:rFonts w:ascii="Times New Roman" w:cs="Times New Roman" w:eastAsia="Times New Roman" w:hAnsi="Times New Roman"/>
                  <w:sz w:val="15"/>
                  <w:szCs w:val="15"/>
                  <w:u w:val="single" w:color="auto"/>
                  <w:color w:val="0000FF"/>
                  <w:w w:val="92"/>
                </w:rPr>
                <w:t>74</w:t>
              </w:r>
            </w:hyperlink>
          </w:p>
        </w:tc>
        <w:tc>
          <w:tcPr>
            <w:tcW w:w="260" w:type="dxa"/>
            <w:vAlign w:val="bottom"/>
          </w:tcPr>
          <w:p>
            <w:pPr>
              <w:spacing w:after="0"/>
              <w:rPr>
                <w:sz w:val="17"/>
                <w:szCs w:val="17"/>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91">
              <w:r>
                <w:rPr>
                  <w:rFonts w:ascii="Times New Roman" w:cs="Times New Roman" w:eastAsia="Times New Roman" w:hAnsi="Times New Roman"/>
                  <w:sz w:val="15"/>
                  <w:szCs w:val="15"/>
                  <w:u w:val="single" w:color="auto"/>
                  <w:color w:val="0000FF"/>
                </w:rPr>
                <w:t>BUSINESS</w:t>
              </w:r>
            </w:hyperlink>
          </w:p>
        </w:tc>
        <w:tc>
          <w:tcPr>
            <w:tcW w:w="460" w:type="dxa"/>
            <w:vAlign w:val="bottom"/>
            <w:gridSpan w:val="2"/>
          </w:tcPr>
          <w:p>
            <w:pPr>
              <w:jc w:val="center"/>
              <w:ind w:left="165"/>
              <w:spacing w:after="0"/>
              <w:rPr>
                <w:rFonts w:ascii="Times New Roman" w:cs="Times New Roman" w:eastAsia="Times New Roman" w:hAnsi="Times New Roman"/>
                <w:sz w:val="15"/>
                <w:szCs w:val="15"/>
                <w:u w:val="single" w:color="auto"/>
                <w:color w:val="0000FF"/>
                <w:w w:val="92"/>
              </w:rPr>
            </w:pPr>
            <w:hyperlink w:anchor="page91">
              <w:r>
                <w:rPr>
                  <w:rFonts w:ascii="Times New Roman" w:cs="Times New Roman" w:eastAsia="Times New Roman" w:hAnsi="Times New Roman"/>
                  <w:sz w:val="15"/>
                  <w:szCs w:val="15"/>
                  <w:u w:val="single" w:color="auto"/>
                  <w:color w:val="0000FF"/>
                  <w:w w:val="92"/>
                </w:rPr>
                <w:t>89</w:t>
              </w:r>
            </w:hyperlink>
          </w:p>
        </w:tc>
        <w:tc>
          <w:tcPr>
            <w:tcW w:w="260" w:type="dxa"/>
            <w:vAlign w:val="bottom"/>
          </w:tcPr>
          <w:p>
            <w:pPr>
              <w:spacing w:after="0"/>
              <w:rPr>
                <w:sz w:val="16"/>
                <w:szCs w:val="16"/>
                <w:color w:val="auto"/>
              </w:rPr>
            </w:pPr>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27">
              <w:r>
                <w:rPr>
                  <w:rFonts w:ascii="Times New Roman" w:cs="Times New Roman" w:eastAsia="Times New Roman" w:hAnsi="Times New Roman"/>
                  <w:sz w:val="15"/>
                  <w:szCs w:val="15"/>
                  <w:u w:val="single" w:color="auto"/>
                  <w:color w:val="0000FF"/>
                </w:rPr>
                <w:t>MANAGEMENT</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27">
              <w:r>
                <w:rPr>
                  <w:rFonts w:ascii="Times New Roman" w:cs="Times New Roman" w:eastAsia="Times New Roman" w:hAnsi="Times New Roman"/>
                  <w:sz w:val="15"/>
                  <w:szCs w:val="15"/>
                  <w:u w:val="single" w:color="auto"/>
                  <w:color w:val="0000FF"/>
                  <w:w w:val="97"/>
                </w:rPr>
                <w:t>125</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37">
              <w:r>
                <w:rPr>
                  <w:rFonts w:ascii="Times New Roman" w:cs="Times New Roman" w:eastAsia="Times New Roman" w:hAnsi="Times New Roman"/>
                  <w:sz w:val="15"/>
                  <w:szCs w:val="15"/>
                  <w:u w:val="single" w:color="auto"/>
                  <w:color w:val="0000FF"/>
                </w:rPr>
                <w:t>EXECUTIVE COMPENSATION</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37">
              <w:r>
                <w:rPr>
                  <w:rFonts w:ascii="Times New Roman" w:cs="Times New Roman" w:eastAsia="Times New Roman" w:hAnsi="Times New Roman"/>
                  <w:sz w:val="15"/>
                  <w:szCs w:val="15"/>
                  <w:u w:val="single" w:color="auto"/>
                  <w:color w:val="0000FF"/>
                  <w:w w:val="97"/>
                </w:rPr>
                <w:t>135</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54">
              <w:r>
                <w:rPr>
                  <w:rFonts w:ascii="Times New Roman" w:cs="Times New Roman" w:eastAsia="Times New Roman" w:hAnsi="Times New Roman"/>
                  <w:sz w:val="15"/>
                  <w:szCs w:val="15"/>
                  <w:u w:val="single" w:color="auto"/>
                  <w:color w:val="0000FF"/>
                </w:rPr>
                <w:t>CERTAIN RELATIONSHIPS AND RELATED-PARTY TRANSACTIONS</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54">
              <w:r>
                <w:rPr>
                  <w:rFonts w:ascii="Times New Roman" w:cs="Times New Roman" w:eastAsia="Times New Roman" w:hAnsi="Times New Roman"/>
                  <w:sz w:val="15"/>
                  <w:szCs w:val="15"/>
                  <w:u w:val="single" w:color="auto"/>
                  <w:color w:val="0000FF"/>
                  <w:w w:val="97"/>
                </w:rPr>
                <w:t>152</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60">
              <w:r>
                <w:rPr>
                  <w:rFonts w:ascii="Times New Roman" w:cs="Times New Roman" w:eastAsia="Times New Roman" w:hAnsi="Times New Roman"/>
                  <w:sz w:val="15"/>
                  <w:szCs w:val="15"/>
                  <w:u w:val="single" w:color="auto"/>
                  <w:color w:val="0000FF"/>
                </w:rPr>
                <w:t>PRINCIPAL STOCKHOLDERS</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60">
              <w:r>
                <w:rPr>
                  <w:rFonts w:ascii="Times New Roman" w:cs="Times New Roman" w:eastAsia="Times New Roman" w:hAnsi="Times New Roman"/>
                  <w:sz w:val="15"/>
                  <w:szCs w:val="15"/>
                  <w:u w:val="single" w:color="auto"/>
                  <w:color w:val="0000FF"/>
                  <w:w w:val="97"/>
                </w:rPr>
                <w:t>158</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63">
              <w:r>
                <w:rPr>
                  <w:rFonts w:ascii="Times New Roman" w:cs="Times New Roman" w:eastAsia="Times New Roman" w:hAnsi="Times New Roman"/>
                  <w:sz w:val="15"/>
                  <w:szCs w:val="15"/>
                  <w:u w:val="single" w:color="auto"/>
                  <w:color w:val="0000FF"/>
                </w:rPr>
                <w:t>DESCRIPTION OF CAPITAL STOCK</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63">
              <w:r>
                <w:rPr>
                  <w:rFonts w:ascii="Times New Roman" w:cs="Times New Roman" w:eastAsia="Times New Roman" w:hAnsi="Times New Roman"/>
                  <w:sz w:val="15"/>
                  <w:szCs w:val="15"/>
                  <w:u w:val="single" w:color="auto"/>
                  <w:color w:val="0000FF"/>
                  <w:w w:val="97"/>
                </w:rPr>
                <w:t>161</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69">
              <w:r>
                <w:rPr>
                  <w:rFonts w:ascii="Times New Roman" w:cs="Times New Roman" w:eastAsia="Times New Roman" w:hAnsi="Times New Roman"/>
                  <w:sz w:val="15"/>
                  <w:szCs w:val="15"/>
                  <w:u w:val="single" w:color="auto"/>
                  <w:color w:val="0000FF"/>
                </w:rPr>
                <w:t>SHARES ELIGIBLE FOR FUTURE SALE</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69">
              <w:r>
                <w:rPr>
                  <w:rFonts w:ascii="Times New Roman" w:cs="Times New Roman" w:eastAsia="Times New Roman" w:hAnsi="Times New Roman"/>
                  <w:sz w:val="15"/>
                  <w:szCs w:val="15"/>
                  <w:u w:val="single" w:color="auto"/>
                  <w:color w:val="0000FF"/>
                  <w:w w:val="97"/>
                </w:rPr>
                <w:t>167</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72">
              <w:r>
                <w:rPr>
                  <w:rFonts w:ascii="Times New Roman" w:cs="Times New Roman" w:eastAsia="Times New Roman" w:hAnsi="Times New Roman"/>
                  <w:sz w:val="15"/>
                  <w:szCs w:val="15"/>
                  <w:u w:val="single" w:color="auto"/>
                  <w:color w:val="0000FF"/>
                </w:rPr>
                <w:t>MATERIAL U.S. FEDERAL INCOME AND TAX CONSIDERATIONS FOR NON-U.S. HOLDERS OF OUR COMMON STOCK</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72">
              <w:r>
                <w:rPr>
                  <w:rFonts w:ascii="Times New Roman" w:cs="Times New Roman" w:eastAsia="Times New Roman" w:hAnsi="Times New Roman"/>
                  <w:sz w:val="15"/>
                  <w:szCs w:val="15"/>
                  <w:u w:val="single" w:color="auto"/>
                  <w:color w:val="0000FF"/>
                  <w:w w:val="97"/>
                </w:rPr>
                <w:t>170</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76">
              <w:r>
                <w:rPr>
                  <w:rFonts w:ascii="Times New Roman" w:cs="Times New Roman" w:eastAsia="Times New Roman" w:hAnsi="Times New Roman"/>
                  <w:sz w:val="15"/>
                  <w:szCs w:val="15"/>
                  <w:u w:val="single" w:color="auto"/>
                  <w:color w:val="0000FF"/>
                </w:rPr>
                <w:t>UNDERWRITING</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76">
              <w:r>
                <w:rPr>
                  <w:rFonts w:ascii="Times New Roman" w:cs="Times New Roman" w:eastAsia="Times New Roman" w:hAnsi="Times New Roman"/>
                  <w:sz w:val="15"/>
                  <w:szCs w:val="15"/>
                  <w:u w:val="single" w:color="auto"/>
                  <w:color w:val="0000FF"/>
                  <w:w w:val="97"/>
                </w:rPr>
                <w:t>174</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86">
              <w:r>
                <w:rPr>
                  <w:rFonts w:ascii="Times New Roman" w:cs="Times New Roman" w:eastAsia="Times New Roman" w:hAnsi="Times New Roman"/>
                  <w:sz w:val="15"/>
                  <w:szCs w:val="15"/>
                  <w:u w:val="single" w:color="auto"/>
                  <w:color w:val="0000FF"/>
                </w:rPr>
                <w:t>CONCURRENT PRIVATE PLACEMENT</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86">
              <w:r>
                <w:rPr>
                  <w:rFonts w:ascii="Times New Roman" w:cs="Times New Roman" w:eastAsia="Times New Roman" w:hAnsi="Times New Roman"/>
                  <w:sz w:val="15"/>
                  <w:szCs w:val="15"/>
                  <w:u w:val="single" w:color="auto"/>
                  <w:color w:val="0000FF"/>
                  <w:w w:val="97"/>
                </w:rPr>
                <w:t>184</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87">
              <w:r>
                <w:rPr>
                  <w:rFonts w:ascii="Times New Roman" w:cs="Times New Roman" w:eastAsia="Times New Roman" w:hAnsi="Times New Roman"/>
                  <w:sz w:val="15"/>
                  <w:szCs w:val="15"/>
                  <w:u w:val="single" w:color="auto"/>
                  <w:color w:val="0000FF"/>
                </w:rPr>
                <w:t>LEGAL MATTERS</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87">
              <w:r>
                <w:rPr>
                  <w:rFonts w:ascii="Times New Roman" w:cs="Times New Roman" w:eastAsia="Times New Roman" w:hAnsi="Times New Roman"/>
                  <w:sz w:val="15"/>
                  <w:szCs w:val="15"/>
                  <w:u w:val="single" w:color="auto"/>
                  <w:color w:val="0000FF"/>
                  <w:w w:val="97"/>
                </w:rPr>
                <w:t>185</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88">
              <w:r>
                <w:rPr>
                  <w:rFonts w:ascii="Times New Roman" w:cs="Times New Roman" w:eastAsia="Times New Roman" w:hAnsi="Times New Roman"/>
                  <w:sz w:val="15"/>
                  <w:szCs w:val="15"/>
                  <w:u w:val="single" w:color="auto"/>
                  <w:color w:val="0000FF"/>
                </w:rPr>
                <w:t>EXPERTS</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88">
              <w:r>
                <w:rPr>
                  <w:rFonts w:ascii="Times New Roman" w:cs="Times New Roman" w:eastAsia="Times New Roman" w:hAnsi="Times New Roman"/>
                  <w:sz w:val="15"/>
                  <w:szCs w:val="15"/>
                  <w:u w:val="single" w:color="auto"/>
                  <w:color w:val="0000FF"/>
                  <w:w w:val="97"/>
                </w:rPr>
                <w:t>185</w:t>
              </w:r>
            </w:hyperlink>
          </w:p>
        </w:tc>
      </w:tr>
      <w:tr>
        <w:trPr>
          <w:trHeight w:val="193"/>
        </w:trPr>
        <w:tc>
          <w:tcPr>
            <w:tcW w:w="10540" w:type="dxa"/>
            <w:vAlign w:val="bottom"/>
            <w:gridSpan w:val="3"/>
          </w:tcPr>
          <w:p>
            <w:pPr>
              <w:spacing w:after="0"/>
              <w:rPr>
                <w:rFonts w:ascii="Times New Roman" w:cs="Times New Roman" w:eastAsia="Times New Roman" w:hAnsi="Times New Roman"/>
                <w:sz w:val="15"/>
                <w:szCs w:val="15"/>
                <w:u w:val="single" w:color="auto"/>
                <w:color w:val="0000FF"/>
              </w:rPr>
            </w:pPr>
            <w:hyperlink w:anchor="page188">
              <w:r>
                <w:rPr>
                  <w:rFonts w:ascii="Times New Roman" w:cs="Times New Roman" w:eastAsia="Times New Roman" w:hAnsi="Times New Roman"/>
                  <w:sz w:val="15"/>
                  <w:szCs w:val="15"/>
                  <w:u w:val="single" w:color="auto"/>
                  <w:color w:val="0000FF"/>
                </w:rPr>
                <w:t>WHERE YOU CAN FIND ADDITIONAL INFORMATION</w:t>
              </w:r>
            </w:hyperlink>
          </w:p>
        </w:tc>
        <w:tc>
          <w:tcPr>
            <w:tcW w:w="720" w:type="dxa"/>
            <w:vAlign w:val="bottom"/>
            <w:gridSpan w:val="3"/>
          </w:tcPr>
          <w:p>
            <w:pPr>
              <w:jc w:val="center"/>
              <w:ind w:right="20"/>
              <w:spacing w:after="0"/>
              <w:rPr>
                <w:rFonts w:ascii="Times New Roman" w:cs="Times New Roman" w:eastAsia="Times New Roman" w:hAnsi="Times New Roman"/>
                <w:sz w:val="15"/>
                <w:szCs w:val="15"/>
                <w:u w:val="single" w:color="auto"/>
                <w:color w:val="0000FF"/>
                <w:w w:val="97"/>
              </w:rPr>
            </w:pPr>
            <w:hyperlink w:anchor="page188">
              <w:r>
                <w:rPr>
                  <w:rFonts w:ascii="Times New Roman" w:cs="Times New Roman" w:eastAsia="Times New Roman" w:hAnsi="Times New Roman"/>
                  <w:sz w:val="15"/>
                  <w:szCs w:val="15"/>
                  <w:u w:val="single" w:color="auto"/>
                  <w:color w:val="0000FF"/>
                  <w:w w:val="97"/>
                </w:rPr>
                <w:t>185</w:t>
              </w:r>
            </w:hyperlink>
          </w:p>
        </w:tc>
      </w:tr>
      <w:tr>
        <w:trPr>
          <w:trHeight w:val="162"/>
        </w:trPr>
        <w:tc>
          <w:tcPr>
            <w:tcW w:w="2560" w:type="dxa"/>
            <w:vAlign w:val="bottom"/>
            <w:tcBorders>
              <w:bottom w:val="single" w:sz="8" w:color="0000FF"/>
            </w:tcBorders>
            <w:gridSpan w:val="2"/>
          </w:tcPr>
          <w:p>
            <w:pPr>
              <w:spacing w:after="0" w:line="162" w:lineRule="exact"/>
              <w:rPr>
                <w:rFonts w:ascii="Times New Roman" w:cs="Times New Roman" w:eastAsia="Times New Roman" w:hAnsi="Times New Roman"/>
                <w:sz w:val="15"/>
                <w:szCs w:val="15"/>
                <w:color w:val="0000FF"/>
                <w:w w:val="99"/>
              </w:rPr>
            </w:pPr>
            <w:hyperlink w:anchor="page188">
              <w:r>
                <w:rPr>
                  <w:rFonts w:ascii="Times New Roman" w:cs="Times New Roman" w:eastAsia="Times New Roman" w:hAnsi="Times New Roman"/>
                  <w:sz w:val="15"/>
                  <w:szCs w:val="15"/>
                  <w:color w:val="0000FF"/>
                  <w:w w:val="99"/>
                </w:rPr>
                <w:t>INDEX TO FINANCIAL STATEMENTS</w:t>
              </w:r>
            </w:hyperlink>
          </w:p>
        </w:tc>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0000FF"/>
            </w:tcBorders>
          </w:tcPr>
          <w:p>
            <w:pPr>
              <w:jc w:val="center"/>
              <w:spacing w:after="0" w:line="162" w:lineRule="exact"/>
              <w:rPr>
                <w:rFonts w:ascii="Times New Roman" w:cs="Times New Roman" w:eastAsia="Times New Roman" w:hAnsi="Times New Roman"/>
                <w:sz w:val="15"/>
                <w:szCs w:val="15"/>
                <w:color w:val="0000FF"/>
              </w:rPr>
            </w:pPr>
            <w:hyperlink w:anchor="page188">
              <w:r>
                <w:rPr>
                  <w:rFonts w:ascii="Times New Roman" w:cs="Times New Roman" w:eastAsia="Times New Roman" w:hAnsi="Times New Roman"/>
                  <w:sz w:val="15"/>
                  <w:szCs w:val="15"/>
                  <w:color w:val="0000FF"/>
                </w:rPr>
                <w:t>F-1</w:t>
              </w:r>
            </w:hyperlink>
          </w:p>
        </w:tc>
        <w:tc>
          <w:tcPr>
            <w:tcW w:w="260" w:type="dxa"/>
            <w:vAlign w:val="bottom"/>
          </w:tcPr>
          <w:p>
            <w:pPr>
              <w:spacing w:after="0"/>
              <w:rPr>
                <w:sz w:val="14"/>
                <w:szCs w:val="14"/>
                <w:color w:val="auto"/>
              </w:rPr>
            </w:pPr>
          </w:p>
        </w:tc>
      </w:tr>
    </w:tbl>
    <w:p>
      <w:pPr>
        <w:spacing w:after="0" w:line="140" w:lineRule="exact"/>
        <w:rPr>
          <w:sz w:val="20"/>
          <w:szCs w:val="20"/>
          <w:color w:val="auto"/>
        </w:rPr>
      </w:pPr>
    </w:p>
    <w:p>
      <w:pPr>
        <w:ind w:right="260" w:firstLine="273"/>
        <w:spacing w:after="0" w:line="272" w:lineRule="auto"/>
        <w:rPr>
          <w:sz w:val="20"/>
          <w:szCs w:val="20"/>
          <w:color w:val="auto"/>
        </w:rPr>
      </w:pPr>
      <w:r>
        <w:rPr>
          <w:rFonts w:ascii="Times New Roman" w:cs="Times New Roman" w:eastAsia="Times New Roman" w:hAnsi="Times New Roman"/>
          <w:sz w:val="15"/>
          <w:szCs w:val="15"/>
          <w:b w:val="1"/>
          <w:bCs w:val="1"/>
          <w:color w:val="auto"/>
        </w:rPr>
        <w:t>Through and including , 2020 (the 25th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99"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07" w:lineRule="exact"/>
        <w:rPr>
          <w:sz w:val="20"/>
          <w:szCs w:val="20"/>
          <w:color w:val="auto"/>
        </w:rPr>
      </w:pPr>
    </w:p>
    <w:p>
      <w:pPr>
        <w:jc w:val="both"/>
        <w:ind w:right="120" w:firstLine="273"/>
        <w:spacing w:after="0" w:line="269" w:lineRule="auto"/>
        <w:rPr>
          <w:sz w:val="20"/>
          <w:szCs w:val="20"/>
          <w:color w:val="auto"/>
        </w:rPr>
      </w:pPr>
      <w:r>
        <w:rPr>
          <w:rFonts w:ascii="Times New Roman" w:cs="Times New Roman" w:eastAsia="Times New Roman" w:hAnsi="Times New Roman"/>
          <w:sz w:val="15"/>
          <w:szCs w:val="15"/>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60"/>
          </w:cols>
          <w:pgMar w:left="320" w:top="1347" w:right="319"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4267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6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48" w:lineRule="exact"/>
        <w:rPr>
          <w:sz w:val="20"/>
          <w:szCs w:val="20"/>
          <w:color w:val="auto"/>
        </w:rPr>
      </w:pPr>
    </w:p>
    <w:p>
      <w:pPr>
        <w:ind w:left="300" w:firstLine="273"/>
        <w:spacing w:after="0" w:line="262"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50" w:lineRule="exact"/>
        <w:rPr>
          <w:sz w:val="20"/>
          <w:szCs w:val="20"/>
          <w:color w:val="auto"/>
        </w:rPr>
      </w:pPr>
    </w:p>
    <w:p>
      <w:pPr>
        <w:ind w:left="300" w:right="80" w:firstLine="273"/>
        <w:spacing w:after="0" w:line="256" w:lineRule="auto"/>
        <w:rPr>
          <w:sz w:val="20"/>
          <w:szCs w:val="20"/>
          <w:color w:val="auto"/>
        </w:rPr>
      </w:pPr>
      <w:r>
        <w:rPr>
          <w:rFonts w:ascii="Times New Roman" w:cs="Times New Roman" w:eastAsia="Times New Roman" w:hAnsi="Times New Roman"/>
          <w:sz w:val="15"/>
          <w:szCs w:val="15"/>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14" w:lineRule="exact"/>
        <w:rPr>
          <w:sz w:val="20"/>
          <w:szCs w:val="20"/>
          <w:color w:val="auto"/>
        </w:rPr>
      </w:pPr>
    </w:p>
    <w:p>
      <w:pPr>
        <w:ind w:left="300" w:right="80" w:firstLine="273"/>
        <w:spacing w:after="0" w:line="256" w:lineRule="auto"/>
        <w:rPr>
          <w:sz w:val="20"/>
          <w:szCs w:val="20"/>
          <w:color w:val="auto"/>
        </w:rPr>
      </w:pPr>
      <w:r>
        <w:rPr>
          <w:rFonts w:ascii="Times New Roman" w:cs="Times New Roman" w:eastAsia="Times New Roman" w:hAnsi="Times New Roman"/>
          <w:sz w:val="15"/>
          <w:szCs w:val="15"/>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Times New Roman" w:cs="Times New Roman" w:eastAsia="Times New Roman" w:hAnsi="Times New Roman"/>
          <w:sz w:val="15"/>
          <w:szCs w:val="15"/>
          <w:i w:val="1"/>
          <w:iCs w:val="1"/>
          <w:color w:val="auto"/>
        </w:rPr>
        <w:t>de novo</w:t>
      </w:r>
      <w:r>
        <w:rPr>
          <w:rFonts w:ascii="Times New Roman" w:cs="Times New Roman" w:eastAsia="Times New Roman" w:hAnsi="Times New Roman"/>
          <w:sz w:val="15"/>
          <w:szCs w:val="15"/>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420"/>
          </w:cols>
          <w:pgMar w:left="580" w:top="121" w:right="899"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5695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569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firstLine="273"/>
        <w:spacing w:after="0" w:line="255" w:lineRule="auto"/>
        <w:rPr>
          <w:sz w:val="20"/>
          <w:szCs w:val="20"/>
          <w:color w:val="auto"/>
        </w:rPr>
      </w:pPr>
      <w:r>
        <w:rPr>
          <w:rFonts w:ascii="Times New Roman" w:cs="Times New Roman" w:eastAsia="Times New Roman" w:hAnsi="Times New Roman"/>
          <w:sz w:val="15"/>
          <w:szCs w:val="15"/>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pending any COVID-19-related delays.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i w:val="1"/>
          <w:iCs w:val="1"/>
          <w:color w:val="auto"/>
        </w:rPr>
        <w:t>Challenges of Accessing the Proteome</w:t>
      </w:r>
    </w:p>
    <w:p>
      <w:pPr>
        <w:spacing w:after="0" w:line="150" w:lineRule="exact"/>
        <w:rPr>
          <w:sz w:val="20"/>
          <w:szCs w:val="20"/>
          <w:color w:val="auto"/>
        </w:rPr>
      </w:pPr>
    </w:p>
    <w:p>
      <w:pPr>
        <w:ind w:left="300" w:right="60" w:firstLine="273"/>
        <w:spacing w:after="0" w:line="257" w:lineRule="auto"/>
        <w:rPr>
          <w:sz w:val="20"/>
          <w:szCs w:val="20"/>
          <w:color w:val="auto"/>
        </w:rPr>
      </w:pPr>
      <w:r>
        <w:rPr>
          <w:rFonts w:ascii="Times New Roman" w:cs="Times New Roman" w:eastAsia="Times New Roman" w:hAnsi="Times New Roman"/>
          <w:sz w:val="15"/>
          <w:szCs w:val="15"/>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420"/>
          </w:cols>
          <w:pgMar w:left="580" w:top="121" w:right="899"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5046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504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i w:val="1"/>
          <w:iCs w:val="1"/>
          <w:color w:val="auto"/>
        </w:rPr>
        <w:t>Background of Massively Parallel Sampling</w:t>
      </w:r>
    </w:p>
    <w:p>
      <w:pPr>
        <w:spacing w:after="0" w:line="150" w:lineRule="exact"/>
        <w:rPr>
          <w:sz w:val="20"/>
          <w:szCs w:val="20"/>
          <w:color w:val="auto"/>
        </w:rPr>
      </w:pPr>
    </w:p>
    <w:p>
      <w:pPr>
        <w:ind w:left="300" w:right="100" w:firstLine="273"/>
        <w:spacing w:after="0" w:line="256" w:lineRule="auto"/>
        <w:rPr>
          <w:sz w:val="20"/>
          <w:szCs w:val="20"/>
          <w:color w:val="auto"/>
        </w:rPr>
      </w:pPr>
      <w:r>
        <w:rPr>
          <w:rFonts w:ascii="Times New Roman" w:cs="Times New Roman" w:eastAsia="Times New Roman" w:hAnsi="Times New Roman"/>
          <w:sz w:val="15"/>
          <w:szCs w:val="15"/>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i w:val="1"/>
          <w:iCs w:val="1"/>
          <w:color w:val="auto"/>
        </w:rPr>
        <w:t>Our Proprietary Engineered Nanoparticle Technology</w:t>
      </w:r>
    </w:p>
    <w:p>
      <w:pPr>
        <w:spacing w:after="0" w:line="150" w:lineRule="exact"/>
        <w:rPr>
          <w:sz w:val="20"/>
          <w:szCs w:val="20"/>
          <w:color w:val="auto"/>
        </w:rPr>
      </w:pPr>
    </w:p>
    <w:p>
      <w:pPr>
        <w:ind w:left="300" w:right="80" w:firstLine="273"/>
        <w:spacing w:after="0" w:line="261" w:lineRule="auto"/>
        <w:rPr>
          <w:sz w:val="20"/>
          <w:szCs w:val="20"/>
          <w:color w:val="auto"/>
        </w:rPr>
      </w:pPr>
      <w:r>
        <w:rPr>
          <w:rFonts w:ascii="Times New Roman" w:cs="Times New Roman" w:eastAsia="Times New Roman" w:hAnsi="Times New Roman"/>
          <w:sz w:val="15"/>
          <w:szCs w:val="15"/>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07" w:lineRule="exact"/>
        <w:rPr>
          <w:sz w:val="20"/>
          <w:szCs w:val="20"/>
          <w:color w:val="auto"/>
        </w:rPr>
      </w:pPr>
    </w:p>
    <w:p>
      <w:pPr>
        <w:ind w:left="300" w:firstLine="273"/>
        <w:spacing w:after="0" w:line="259" w:lineRule="auto"/>
        <w:rPr>
          <w:sz w:val="20"/>
          <w:szCs w:val="20"/>
          <w:color w:val="auto"/>
        </w:rPr>
      </w:pPr>
      <w:r>
        <w:rPr>
          <w:rFonts w:ascii="Times New Roman" w:cs="Times New Roman" w:eastAsia="Times New Roman" w:hAnsi="Times New Roman"/>
          <w:sz w:val="15"/>
          <w:szCs w:val="15"/>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10" w:lineRule="exact"/>
        <w:rPr>
          <w:sz w:val="20"/>
          <w:szCs w:val="20"/>
          <w:color w:val="auto"/>
        </w:rPr>
      </w:pPr>
    </w:p>
    <w:p>
      <w:pPr>
        <w:ind w:left="300" w:right="40" w:firstLine="273"/>
        <w:spacing w:after="0" w:line="256" w:lineRule="auto"/>
        <w:rPr>
          <w:sz w:val="20"/>
          <w:szCs w:val="20"/>
          <w:color w:val="auto"/>
        </w:rPr>
      </w:pPr>
      <w:r>
        <w:rPr>
          <w:rFonts w:ascii="Times New Roman" w:cs="Times New Roman" w:eastAsia="Times New Roman" w:hAnsi="Times New Roman"/>
          <w:sz w:val="15"/>
          <w:szCs w:val="15"/>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440"/>
          </w:cols>
          <w:pgMar w:left="580" w:top="121" w:right="879"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6301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630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Our NPs enable the unique capabilities of our Proteograph Product Suite, including the ability to:</w:t>
      </w:r>
    </w:p>
    <w:p>
      <w:pPr>
        <w:spacing w:after="0" w:line="146" w:lineRule="exact"/>
        <w:rPr>
          <w:sz w:val="20"/>
          <w:szCs w:val="20"/>
          <w:color w:val="auto"/>
        </w:rPr>
      </w:pPr>
    </w:p>
    <w:p>
      <w:pPr>
        <w:ind w:left="840" w:hanging="276"/>
        <w:spacing w:after="0"/>
        <w:tabs>
          <w:tab w:leader="none" w:pos="8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eliminate complex biofluid processing workflows required by other unbiased proteomic approaches;</w:t>
      </w:r>
    </w:p>
    <w:p>
      <w:pPr>
        <w:spacing w:after="0" w:line="145" w:lineRule="exact"/>
        <w:rPr>
          <w:rFonts w:ascii="Times New Roman" w:cs="Times New Roman" w:eastAsia="Times New Roman" w:hAnsi="Times New Roman"/>
          <w:sz w:val="15"/>
          <w:szCs w:val="15"/>
          <w:color w:val="auto"/>
        </w:rPr>
      </w:pPr>
    </w:p>
    <w:p>
      <w:pPr>
        <w:ind w:left="840" w:right="120" w:hanging="276"/>
        <w:spacing w:after="0" w:line="286" w:lineRule="auto"/>
        <w:tabs>
          <w:tab w:leader="none" w:pos="836"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88"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distinguish protein variants at the peptide level;</w:t>
      </w:r>
    </w:p>
    <w:p>
      <w:pPr>
        <w:spacing w:after="0" w:line="145"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quantify protein variants and PPIs;</w:t>
      </w:r>
    </w:p>
    <w:p>
      <w:pPr>
        <w:spacing w:after="0" w:line="145"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machine learning to design, synthesize and select different NPs and NP panels to create multiple products and applications; and</w:t>
      </w:r>
    </w:p>
    <w:p>
      <w:pPr>
        <w:spacing w:after="0" w:line="145" w:lineRule="exact"/>
        <w:rPr>
          <w:rFonts w:ascii="Times New Roman" w:cs="Times New Roman" w:eastAsia="Times New Roman" w:hAnsi="Times New Roman"/>
          <w:sz w:val="15"/>
          <w:szCs w:val="15"/>
          <w:color w:val="auto"/>
        </w:rPr>
      </w:pPr>
    </w:p>
    <w:p>
      <w:pPr>
        <w:ind w:left="840" w:right="140" w:hanging="276"/>
        <w:spacing w:after="0" w:line="286" w:lineRule="auto"/>
        <w:tabs>
          <w:tab w:leader="none" w:pos="836"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compatible across a wide range of laboratory workflows, automation equipment and sample processing and detection methods, lowering the hurdle for product adoption.</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Our Proteograph Product Suite</w:t>
      </w:r>
    </w:p>
    <w:p>
      <w:pPr>
        <w:spacing w:after="0" w:line="150" w:lineRule="exact"/>
        <w:rPr>
          <w:sz w:val="20"/>
          <w:szCs w:val="20"/>
          <w:color w:val="auto"/>
        </w:rPr>
      </w:pPr>
    </w:p>
    <w:p>
      <w:pPr>
        <w:ind w:left="300" w:firstLine="273"/>
        <w:spacing w:after="0" w:line="264" w:lineRule="auto"/>
        <w:rPr>
          <w:sz w:val="20"/>
          <w:szCs w:val="20"/>
          <w:color w:val="auto"/>
        </w:rPr>
      </w:pPr>
      <w:r>
        <w:rPr>
          <w:rFonts w:ascii="Times New Roman" w:cs="Times New Roman" w:eastAsia="Times New Roman" w:hAnsi="Times New Roman"/>
          <w:sz w:val="15"/>
          <w:szCs w:val="15"/>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280"/>
          </w:cols>
          <w:pgMar w:left="580" w:top="121" w:right="1039"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559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559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Our Proteograph’s key components are the following:</w:t>
      </w:r>
    </w:p>
    <w:p>
      <w:pPr>
        <w:spacing w:after="0" w:line="146" w:lineRule="exact"/>
        <w:rPr>
          <w:sz w:val="20"/>
          <w:szCs w:val="20"/>
          <w:color w:val="auto"/>
        </w:rPr>
      </w:pPr>
    </w:p>
    <w:p>
      <w:pPr>
        <w:ind w:left="840" w:hanging="27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Consumables: Our Proteograph consumables consist of our NP panel and all other consumables necessary to assay samples on our automation instrument.</w:t>
      </w:r>
    </w:p>
    <w:p>
      <w:pPr>
        <w:spacing w:after="0" w:line="145" w:lineRule="exact"/>
        <w:rPr>
          <w:rFonts w:ascii="Times New Roman" w:cs="Times New Roman" w:eastAsia="Times New Roman" w:hAnsi="Times New Roman"/>
          <w:sz w:val="15"/>
          <w:szCs w:val="15"/>
          <w:color w:val="auto"/>
        </w:rPr>
      </w:pPr>
    </w:p>
    <w:p>
      <w:pPr>
        <w:jc w:val="both"/>
        <w:ind w:left="840" w:right="60" w:hanging="276"/>
        <w:spacing w:after="0" w:line="269" w:lineRule="auto"/>
        <w:tabs>
          <w:tab w:leader="none" w:pos="83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01" w:lineRule="exact"/>
        <w:rPr>
          <w:rFonts w:ascii="Times New Roman" w:cs="Times New Roman" w:eastAsia="Times New Roman" w:hAnsi="Times New Roman"/>
          <w:sz w:val="15"/>
          <w:szCs w:val="15"/>
          <w:color w:val="auto"/>
        </w:rPr>
      </w:pPr>
    </w:p>
    <w:p>
      <w:pPr>
        <w:ind w:left="840" w:hanging="276"/>
        <w:spacing w:after="0" w:line="286" w:lineRule="auto"/>
        <w:tabs>
          <w:tab w:leader="none" w:pos="83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Software: Our Proteograph software was designed for ease-of-use and was developed to help users arrive at insights quickly and efficiently following peptide detection by an MS instrument.</w:t>
      </w:r>
    </w:p>
    <w:p>
      <w:pPr>
        <w:spacing w:after="0" w:line="89" w:lineRule="exact"/>
        <w:rPr>
          <w:sz w:val="20"/>
          <w:szCs w:val="20"/>
          <w:color w:val="auto"/>
        </w:rPr>
      </w:pPr>
    </w:p>
    <w:p>
      <w:pPr>
        <w:ind w:left="300" w:right="160" w:firstLine="273"/>
        <w:spacing w:after="0" w:line="261" w:lineRule="auto"/>
        <w:rPr>
          <w:sz w:val="20"/>
          <w:szCs w:val="20"/>
          <w:color w:val="auto"/>
        </w:rPr>
      </w:pPr>
      <w:r>
        <w:rPr>
          <w:rFonts w:ascii="Times New Roman" w:cs="Times New Roman" w:eastAsia="Times New Roman" w:hAnsi="Times New Roman"/>
          <w:sz w:val="15"/>
          <w:szCs w:val="15"/>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w:t>
      </w:r>
    </w:p>
    <w:p>
      <w:pPr>
        <w:spacing w:after="0" w:line="107" w:lineRule="exact"/>
        <w:rPr>
          <w:sz w:val="20"/>
          <w:szCs w:val="20"/>
          <w:color w:val="auto"/>
        </w:rPr>
      </w:pPr>
    </w:p>
    <w:p>
      <w:pPr>
        <w:ind w:left="300" w:right="40" w:firstLine="273"/>
        <w:spacing w:after="0" w:line="269" w:lineRule="auto"/>
        <w:rPr>
          <w:sz w:val="20"/>
          <w:szCs w:val="20"/>
          <w:color w:val="auto"/>
        </w:rPr>
      </w:pPr>
      <w:r>
        <w:rPr>
          <w:rFonts w:ascii="Times New Roman" w:cs="Times New Roman" w:eastAsia="Times New Roman" w:hAnsi="Times New Roman"/>
          <w:sz w:val="15"/>
          <w:szCs w:val="15"/>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i w:val="1"/>
          <w:iCs w:val="1"/>
          <w:color w:val="auto"/>
        </w:rPr>
        <w:t>Proteograph Product Suite Performance</w:t>
      </w:r>
    </w:p>
    <w:p>
      <w:pPr>
        <w:spacing w:after="0" w:line="148" w:lineRule="exact"/>
        <w:rPr>
          <w:sz w:val="20"/>
          <w:szCs w:val="20"/>
          <w:color w:val="auto"/>
        </w:rPr>
      </w:pPr>
    </w:p>
    <w:p>
      <w:pPr>
        <w:ind w:left="300" w:right="20" w:firstLine="273"/>
        <w:spacing w:after="0" w:line="264" w:lineRule="auto"/>
        <w:rPr>
          <w:sz w:val="20"/>
          <w:szCs w:val="20"/>
          <w:color w:val="auto"/>
        </w:rPr>
      </w:pPr>
      <w:r>
        <w:rPr>
          <w:rFonts w:ascii="Times New Roman" w:cs="Times New Roman" w:eastAsia="Times New Roman" w:hAnsi="Times New Roman"/>
          <w:sz w:val="15"/>
          <w:szCs w:val="15"/>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00" w:lineRule="exact"/>
        <w:rPr>
          <w:sz w:val="20"/>
          <w:szCs w:val="20"/>
          <w:color w:val="auto"/>
        </w:rPr>
      </w:pPr>
    </w:p>
    <w:p>
      <w:pPr>
        <w:ind w:left="840" w:hanging="276"/>
        <w:spacing w:after="0" w:line="260" w:lineRule="auto"/>
        <w:tabs>
          <w:tab w:leader="none" w:pos="8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Breadth of protein sampling. </w:t>
      </w:r>
      <w:r>
        <w:rPr>
          <w:rFonts w:ascii="Times New Roman" w:cs="Times New Roman" w:eastAsia="Times New Roman" w:hAnsi="Times New Roman"/>
          <w:sz w:val="15"/>
          <w:szCs w:val="15"/>
          <w:color w:val="auto"/>
        </w:rPr>
        <w:t>Breadth of protein sampling refers to our Proteograph Product Suite’s ability to conduct unbiased, highly parallel sampling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05" w:lineRule="exact"/>
        <w:rPr>
          <w:rFonts w:ascii="Times New Roman" w:cs="Times New Roman" w:eastAsia="Times New Roman" w:hAnsi="Times New Roman"/>
          <w:sz w:val="15"/>
          <w:szCs w:val="15"/>
          <w:color w:val="auto"/>
        </w:rPr>
      </w:pPr>
    </w:p>
    <w:p>
      <w:pPr>
        <w:ind w:left="840" w:right="100" w:hanging="276"/>
        <w:spacing w:after="0" w:line="262" w:lineRule="auto"/>
        <w:tabs>
          <w:tab w:leader="none" w:pos="8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Depth of coverage. </w:t>
      </w:r>
      <w:r>
        <w:rPr>
          <w:rFonts w:ascii="Times New Roman" w:cs="Times New Roman" w:eastAsia="Times New Roman" w:hAnsi="Times New Roman"/>
          <w:sz w:val="15"/>
          <w:szCs w:val="15"/>
          <w:color w:val="auto"/>
        </w:rPr>
        <w:t>Depth of coverage refers to our Proteograph’s ability to evaluate the proteome across the wide dynamic range of abundance of proteins.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03" w:lineRule="exact"/>
        <w:rPr>
          <w:rFonts w:ascii="Times New Roman" w:cs="Times New Roman" w:eastAsia="Times New Roman" w:hAnsi="Times New Roman"/>
          <w:sz w:val="15"/>
          <w:szCs w:val="15"/>
          <w:color w:val="auto"/>
        </w:rPr>
      </w:pPr>
    </w:p>
    <w:p>
      <w:pPr>
        <w:ind w:left="840" w:right="320" w:hanging="276"/>
        <w:spacing w:after="0" w:line="272" w:lineRule="auto"/>
        <w:tabs>
          <w:tab w:leader="none" w:pos="83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Accuracy of measurement. </w:t>
      </w:r>
      <w:r>
        <w:rPr>
          <w:rFonts w:ascii="Times New Roman" w:cs="Times New Roman" w:eastAsia="Times New Roman" w:hAnsi="Times New Roman"/>
          <w:sz w:val="15"/>
          <w:szCs w:val="15"/>
          <w:color w:val="auto"/>
        </w:rPr>
        <w:t>Accuracy refers to how close the measured abundance of a protein is to the true abundance in a sample. Accuracy of protein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abundance measurement can be demonstrated by MS signal intensity of the proteins sampled with our Proteograph, and comparing these values with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380"/>
          </w:cols>
          <w:pgMar w:left="580" w:top="121" w:right="93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4815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81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obtained directly by immuno-assay (ELISA). Our Proteograph assay can distinguish changes in protein abundance with significant accuracy.</w:t>
      </w:r>
    </w:p>
    <w:p>
      <w:pPr>
        <w:spacing w:after="0" w:line="142" w:lineRule="exact"/>
        <w:rPr>
          <w:sz w:val="20"/>
          <w:szCs w:val="20"/>
          <w:color w:val="auto"/>
        </w:rPr>
      </w:pPr>
    </w:p>
    <w:p>
      <w:pPr>
        <w:ind w:left="840" w:hanging="276"/>
        <w:spacing w:after="0" w:line="262" w:lineRule="auto"/>
        <w:tabs>
          <w:tab w:leader="none" w:pos="83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Precision of measurement. </w:t>
      </w:r>
      <w:r>
        <w:rPr>
          <w:rFonts w:ascii="Times New Roman" w:cs="Times New Roman" w:eastAsia="Times New Roman" w:hAnsi="Times New Roman"/>
          <w:sz w:val="15"/>
          <w:szCs w:val="15"/>
          <w:color w:val="auto"/>
        </w:rPr>
        <w:t>Precision refers to how close several measurements of protein abundance in the same sample are to each other. Less precision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03" w:lineRule="exact"/>
        <w:rPr>
          <w:rFonts w:ascii="Times New Roman" w:cs="Times New Roman" w:eastAsia="Times New Roman" w:hAnsi="Times New Roman"/>
          <w:sz w:val="15"/>
          <w:szCs w:val="15"/>
          <w:color w:val="auto"/>
        </w:rPr>
      </w:pPr>
    </w:p>
    <w:p>
      <w:pPr>
        <w:jc w:val="both"/>
        <w:ind w:left="840" w:right="200" w:hanging="276"/>
        <w:spacing w:after="0" w:line="272" w:lineRule="auto"/>
        <w:tabs>
          <w:tab w:leader="none" w:pos="83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Rapid and large-scale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Proteograph enables rapid and large-scale proteomic sample processing in a seven-hour workflow, compared to other unbiased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solutions that can take days to weeks. We believe this increased throughput will enable researchers to perform large-scale proteomics studies that were not previously accessible, but are needed for a more complete characterization of the proteome, and thus biology.</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Markets</w:t>
      </w:r>
    </w:p>
    <w:p>
      <w:pPr>
        <w:spacing w:after="0" w:line="150" w:lineRule="exact"/>
        <w:rPr>
          <w:sz w:val="20"/>
          <w:szCs w:val="20"/>
          <w:color w:val="auto"/>
        </w:rPr>
      </w:pPr>
    </w:p>
    <w:p>
      <w:pPr>
        <w:ind w:left="300" w:firstLine="273"/>
        <w:spacing w:after="0" w:line="259" w:lineRule="auto"/>
        <w:rPr>
          <w:sz w:val="20"/>
          <w:szCs w:val="20"/>
          <w:color w:val="auto"/>
        </w:rPr>
      </w:pPr>
      <w:r>
        <w:rPr>
          <w:rFonts w:ascii="Times New Roman" w:cs="Times New Roman" w:eastAsia="Times New Roman" w:hAnsi="Times New Roman"/>
          <w:sz w:val="15"/>
          <w:szCs w:val="15"/>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10" w:lineRule="exact"/>
        <w:rPr>
          <w:sz w:val="20"/>
          <w:szCs w:val="20"/>
          <w:color w:val="auto"/>
        </w:rPr>
      </w:pPr>
    </w:p>
    <w:p>
      <w:pPr>
        <w:ind w:left="300" w:firstLine="273"/>
        <w:spacing w:after="0" w:line="255" w:lineRule="auto"/>
        <w:rPr>
          <w:sz w:val="20"/>
          <w:szCs w:val="20"/>
          <w:color w:val="auto"/>
        </w:rPr>
      </w:pPr>
      <w:r>
        <w:rPr>
          <w:rFonts w:ascii="Times New Roman" w:cs="Times New Roman" w:eastAsia="Times New Roman" w:hAnsi="Times New Roman"/>
          <w:sz w:val="15"/>
          <w:szCs w:val="15"/>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420"/>
          </w:cols>
          <w:pgMar w:left="580" w:top="121" w:right="899"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5565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556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The Advantages of Our Proteograph Product Suite</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We believe our proprietary engineered NP technology and Proteograph Product Suite have the following advantages:</w:t>
      </w:r>
    </w:p>
    <w:p>
      <w:pPr>
        <w:spacing w:after="0" w:line="146" w:lineRule="exact"/>
        <w:rPr>
          <w:sz w:val="20"/>
          <w:szCs w:val="20"/>
          <w:color w:val="auto"/>
        </w:rPr>
      </w:pPr>
    </w:p>
    <w:p>
      <w:pPr>
        <w:ind w:left="840" w:right="60" w:hanging="276"/>
        <w:spacing w:after="0" w:line="286" w:lineRule="auto"/>
        <w:tabs>
          <w:tab w:leader="none" w:pos="8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Proteograph Product Suite is expected to be the first commercially available solution to provide the combination of unbiased, deep, rapid and large-scale access to the proteome.</w:t>
      </w:r>
    </w:p>
    <w:p>
      <w:pPr>
        <w:spacing w:after="0" w:line="88" w:lineRule="exact"/>
        <w:rPr>
          <w:rFonts w:ascii="Times New Roman" w:cs="Times New Roman" w:eastAsia="Times New Roman" w:hAnsi="Times New Roman"/>
          <w:sz w:val="15"/>
          <w:szCs w:val="15"/>
          <w:color w:val="auto"/>
        </w:rPr>
      </w:pPr>
    </w:p>
    <w:p>
      <w:pPr>
        <w:ind w:left="840" w:right="40" w:hanging="276"/>
        <w:spacing w:after="0" w:line="286" w:lineRule="auto"/>
        <w:tabs>
          <w:tab w:leader="none" w:pos="8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88"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Proteograph Product Suite was designed to enable broad adoption across a wide variety of customers in both decentralized and centralized settings.</w:t>
      </w:r>
    </w:p>
    <w:p>
      <w:pPr>
        <w:spacing w:after="0" w:line="145"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proprietary engineered NPs are a core technology from which we can develop a range of products, applications and platforms.</w:t>
      </w:r>
    </w:p>
    <w:p>
      <w:pPr>
        <w:spacing w:after="0" w:line="145"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NP technology inherently provides significant operational leverage in research and development, manufacturing and commercialization.</w:t>
      </w:r>
    </w:p>
    <w:p>
      <w:pPr>
        <w:spacing w:after="0" w:line="145"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Proteograph Product Suite has the potential to provide sustainable differentiation.</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We aim to enable exceptional scientific outcomes by commercializing transformative products for researchers to unlock deep, unbiased biological information.</w:t>
      </w:r>
    </w:p>
    <w:p>
      <w:pPr>
        <w:spacing w:after="0" w:line="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Our growth strategy is to:</w:t>
      </w:r>
    </w:p>
    <w:p>
      <w:pPr>
        <w:spacing w:after="0" w:line="130" w:lineRule="exact"/>
        <w:rPr>
          <w:sz w:val="20"/>
          <w:szCs w:val="20"/>
          <w:color w:val="auto"/>
        </w:rPr>
      </w:pPr>
    </w:p>
    <w:p>
      <w:pPr>
        <w:ind w:left="840" w:hanging="276"/>
        <w:spacing w:after="0" w:line="286" w:lineRule="auto"/>
        <w:tabs>
          <w:tab w:leader="none" w:pos="8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Drive adoption of our Proteograph Product Suite to enable researchers to create large-scale unbiased proteomic datasets that generate transformative scientific insights.</w:t>
      </w:r>
    </w:p>
    <w:p>
      <w:pPr>
        <w:spacing w:after="0" w:line="88"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 in market development activities to increase awareness of the importance of large-scale proteomic data and the ability to access it.</w:t>
      </w:r>
    </w:p>
    <w:p>
      <w:pPr>
        <w:spacing w:after="0" w:line="145"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Continually innovate to develop and commercialize additional transformative products to access the proteome and accelerate our understanding of biology.</w:t>
      </w:r>
    </w:p>
    <w:p>
      <w:pPr>
        <w:spacing w:after="0" w:line="145"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Rapidly build our commercial infrastructure and NP manufacturing capabilities to provide for our commercial launch in the United States and internationally.</w:t>
      </w:r>
    </w:p>
    <w:p>
      <w:pPr>
        <w:spacing w:after="0" w:line="145" w:lineRule="exact"/>
        <w:rPr>
          <w:rFonts w:ascii="Times New Roman" w:cs="Times New Roman" w:eastAsia="Times New Roman" w:hAnsi="Times New Roman"/>
          <w:sz w:val="15"/>
          <w:szCs w:val="15"/>
          <w:color w:val="auto"/>
        </w:rPr>
      </w:pPr>
    </w:p>
    <w:p>
      <w:pPr>
        <w:ind w:left="840" w:right="80" w:hanging="276"/>
        <w:spacing w:after="0" w:line="286" w:lineRule="auto"/>
        <w:tabs>
          <w:tab w:leader="none" w:pos="8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Foster the creation of an ecosystem of customers, partners and collaborators whose expertise and offerings complement and enhance the power and utility of our products.</w:t>
      </w:r>
    </w:p>
    <w:p>
      <w:pPr>
        <w:spacing w:after="0" w:line="88"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 our proprietary engineered NP technology to analyze molecules beyond proteins.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Risks Associated with Our Business</w:t>
      </w:r>
    </w:p>
    <w:p>
      <w:pPr>
        <w:spacing w:after="0" w:line="150" w:lineRule="exact"/>
        <w:rPr>
          <w:sz w:val="20"/>
          <w:szCs w:val="20"/>
          <w:color w:val="auto"/>
        </w:rPr>
      </w:pPr>
    </w:p>
    <w:p>
      <w:pPr>
        <w:ind w:left="300" w:right="100" w:firstLine="273"/>
        <w:spacing w:after="0" w:line="286" w:lineRule="auto"/>
        <w:rPr>
          <w:sz w:val="20"/>
          <w:szCs w:val="20"/>
          <w:color w:val="auto"/>
        </w:rPr>
      </w:pPr>
      <w:r>
        <w:rPr>
          <w:rFonts w:ascii="Times New Roman" w:cs="Times New Roman" w:eastAsia="Times New Roman" w:hAnsi="Times New Roman"/>
          <w:sz w:val="15"/>
          <w:szCs w:val="15"/>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89" w:lineRule="exact"/>
        <w:rPr>
          <w:sz w:val="20"/>
          <w:szCs w:val="20"/>
          <w:color w:val="auto"/>
        </w:rPr>
      </w:pPr>
    </w:p>
    <w:p>
      <w:pPr>
        <w:ind w:left="840" w:right="500" w:hanging="276"/>
        <w:spacing w:after="0" w:line="286" w:lineRule="auto"/>
        <w:tabs>
          <w:tab w:leader="none" w:pos="83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early-stage life sciences technology company with a history of net losses, which we expect to continue, and we may not be able to generate meaningful revenues or achieve and sustain profitability in the future.</w:t>
      </w:r>
    </w:p>
    <w:p>
      <w:pPr>
        <w:spacing w:after="0" w:line="88"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limited operating history, which may make it difficult to evaluate the prospects for our future viability and predict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400"/>
          </w:cols>
          <w:pgMar w:left="580" w:top="121" w:right="91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5883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588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40" w:right="360" w:hanging="276"/>
        <w:spacing w:after="0" w:line="286"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88" w:lineRule="exact"/>
        <w:rPr>
          <w:rFonts w:ascii="Times New Roman" w:cs="Times New Roman" w:eastAsia="Times New Roman" w:hAnsi="Times New Roman"/>
          <w:sz w:val="15"/>
          <w:szCs w:val="15"/>
          <w:color w:val="auto"/>
        </w:rPr>
      </w:pPr>
    </w:p>
    <w:p>
      <w:pPr>
        <w:ind w:left="840" w:right="260" w:hanging="276"/>
        <w:spacing w:after="0" w:line="286"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88" w:lineRule="exact"/>
        <w:rPr>
          <w:rFonts w:ascii="Times New Roman" w:cs="Times New Roman" w:eastAsia="Times New Roman" w:hAnsi="Times New Roman"/>
          <w:sz w:val="15"/>
          <w:szCs w:val="15"/>
          <w:color w:val="auto"/>
        </w:rPr>
      </w:pPr>
    </w:p>
    <w:p>
      <w:pPr>
        <w:ind w:left="840" w:right="360" w:hanging="276"/>
        <w:spacing w:after="0" w:line="286"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not yet commercially launched our Proteograph Product Suite, and we may not be able to successfully commercially launch our Proteograph as planned.</w:t>
      </w:r>
    </w:p>
    <w:p>
      <w:pPr>
        <w:spacing w:after="0" w:line="88" w:lineRule="exact"/>
        <w:rPr>
          <w:rFonts w:ascii="Times New Roman" w:cs="Times New Roman" w:eastAsia="Times New Roman" w:hAnsi="Times New Roman"/>
          <w:sz w:val="15"/>
          <w:szCs w:val="15"/>
          <w:color w:val="auto"/>
        </w:rPr>
      </w:pPr>
    </w:p>
    <w:p>
      <w:pPr>
        <w:ind w:left="840" w:right="40" w:hanging="276"/>
        <w:spacing w:after="0" w:line="286"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we commercially launch our Proteograph Product Suite, our success depends on broad scientific and market acceptance of our Proteograph, which we may fail to achieve.</w:t>
      </w:r>
    </w:p>
    <w:p>
      <w:pPr>
        <w:spacing w:after="0" w:line="88" w:lineRule="exact"/>
        <w:rPr>
          <w:rFonts w:ascii="Times New Roman" w:cs="Times New Roman" w:eastAsia="Times New Roman" w:hAnsi="Times New Roman"/>
          <w:sz w:val="15"/>
          <w:szCs w:val="15"/>
          <w:color w:val="auto"/>
        </w:rPr>
      </w:pPr>
    </w:p>
    <w:p>
      <w:pPr>
        <w:ind w:left="840" w:hanging="276"/>
        <w:spacing w:after="0" w:line="286"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our Proteograph Product Suite is commercialized and achieves broad scientific and market acceptance, if we fail to improve it or introduce compelling new products, our revenues and our prospects could be harmed.</w:t>
      </w:r>
    </w:p>
    <w:p>
      <w:pPr>
        <w:spacing w:after="0" w:line="88" w:lineRule="exact"/>
        <w:rPr>
          <w:rFonts w:ascii="Times New Roman" w:cs="Times New Roman" w:eastAsia="Times New Roman" w:hAnsi="Times New Roman"/>
          <w:sz w:val="15"/>
          <w:szCs w:val="15"/>
          <w:color w:val="auto"/>
        </w:rPr>
      </w:pPr>
    </w:p>
    <w:p>
      <w:pPr>
        <w:ind w:left="840" w:right="380" w:hanging="276"/>
        <w:spacing w:after="0" w:line="286"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COVID-19 pandemic and efforts to reduce its spread have adversely impacted, and are expected to continue to materially and adversely impact, our business and operations.</w:t>
      </w:r>
    </w:p>
    <w:p>
      <w:pPr>
        <w:spacing w:after="0" w:line="88" w:lineRule="exact"/>
        <w:rPr>
          <w:rFonts w:ascii="Times New Roman" w:cs="Times New Roman" w:eastAsia="Times New Roman" w:hAnsi="Times New Roman"/>
          <w:sz w:val="15"/>
          <w:szCs w:val="15"/>
          <w:color w:val="auto"/>
        </w:rPr>
      </w:pPr>
    </w:p>
    <w:p>
      <w:pPr>
        <w:ind w:left="840" w:right="160" w:hanging="276"/>
        <w:spacing w:after="0" w:line="269"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01" w:lineRule="exact"/>
        <w:rPr>
          <w:rFonts w:ascii="Times New Roman" w:cs="Times New Roman" w:eastAsia="Times New Roman" w:hAnsi="Times New Roman"/>
          <w:sz w:val="15"/>
          <w:szCs w:val="15"/>
          <w:color w:val="auto"/>
        </w:rPr>
      </w:pPr>
    </w:p>
    <w:p>
      <w:pPr>
        <w:ind w:left="840" w:right="60" w:hanging="276"/>
        <w:spacing w:after="0" w:line="264" w:lineRule="auto"/>
        <w:tabs>
          <w:tab w:leader="none" w:pos="8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Corporate Information and History</w:t>
      </w:r>
    </w:p>
    <w:p>
      <w:pPr>
        <w:spacing w:after="0" w:line="150" w:lineRule="exact"/>
        <w:rPr>
          <w:sz w:val="20"/>
          <w:szCs w:val="20"/>
          <w:color w:val="auto"/>
        </w:rPr>
      </w:pPr>
    </w:p>
    <w:p>
      <w:pPr>
        <w:ind w:left="300" w:right="60" w:firstLine="273"/>
        <w:spacing w:after="0" w:line="264" w:lineRule="auto"/>
        <w:rPr>
          <w:sz w:val="20"/>
          <w:szCs w:val="20"/>
          <w:color w:val="auto"/>
        </w:rPr>
      </w:pPr>
      <w:r>
        <w:rPr>
          <w:rFonts w:ascii="Times New Roman" w:cs="Times New Roman" w:eastAsia="Times New Roman" w:hAnsi="Times New Roman"/>
          <w:sz w:val="15"/>
          <w:szCs w:val="15"/>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04" w:lineRule="exact"/>
        <w:rPr>
          <w:sz w:val="20"/>
          <w:szCs w:val="20"/>
          <w:color w:val="auto"/>
        </w:rPr>
      </w:pPr>
    </w:p>
    <w:p>
      <w:pPr>
        <w:ind w:left="300" w:right="80" w:firstLine="273"/>
        <w:spacing w:after="0" w:line="261" w:lineRule="auto"/>
        <w:rPr>
          <w:sz w:val="20"/>
          <w:szCs w:val="20"/>
          <w:color w:val="auto"/>
        </w:rPr>
      </w:pPr>
      <w:r>
        <w:rPr>
          <w:rFonts w:ascii="Times New Roman" w:cs="Times New Roman" w:eastAsia="Times New Roman" w:hAnsi="Times New Roman"/>
          <w:sz w:val="15"/>
          <w:szCs w:val="15"/>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w:t>
      </w:r>
    </w:p>
    <w:p>
      <w:pPr>
        <w:spacing w:after="0" w:line="150" w:lineRule="exact"/>
        <w:rPr>
          <w:sz w:val="20"/>
          <w:szCs w:val="20"/>
          <w:color w:val="auto"/>
        </w:rPr>
      </w:pPr>
    </w:p>
    <w:p>
      <w:pPr>
        <w:ind w:left="300" w:right="20" w:firstLine="273"/>
        <w:spacing w:after="0" w:line="261"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440"/>
          </w:cols>
          <w:pgMar w:left="580" w:top="121" w:right="879"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2046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5"/>
          <w:szCs w:val="15"/>
          <w:color w:val="auto"/>
        </w:rPr>
        <w:t>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10" w:lineRule="exact"/>
        <w:rPr>
          <w:sz w:val="20"/>
          <w:szCs w:val="20"/>
          <w:color w:val="auto"/>
        </w:rPr>
      </w:pPr>
    </w:p>
    <w:p>
      <w:pPr>
        <w:jc w:val="both"/>
        <w:ind w:left="300" w:right="20" w:firstLine="273"/>
        <w:spacing w:after="0" w:line="269" w:lineRule="auto"/>
        <w:rPr>
          <w:sz w:val="20"/>
          <w:szCs w:val="20"/>
          <w:color w:val="auto"/>
        </w:rPr>
      </w:pPr>
      <w:r>
        <w:rPr>
          <w:rFonts w:ascii="Times New Roman" w:cs="Times New Roman" w:eastAsia="Times New Roman" w:hAnsi="Times New Roman"/>
          <w:sz w:val="15"/>
          <w:szCs w:val="15"/>
          <w:color w:val="auto"/>
        </w:rPr>
        <w:t>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400"/>
          </w:cols>
          <w:pgMar w:left="580" w:top="121" w:right="919"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5161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516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b w:val="1"/>
          <w:bCs w:val="1"/>
          <w:color w:val="auto"/>
        </w:rPr>
        <w:t>THE OFFERING</w:t>
      </w:r>
    </w:p>
    <w:p>
      <w:pPr>
        <w:sectPr>
          <w:pgSz w:w="11900" w:h="16838" w:orient="portrait"/>
          <w:cols w:equalWidth="0" w:num="1">
            <w:col w:w="10400"/>
          </w:cols>
          <w:pgMar w:left="580" w:top="121" w:right="919" w:bottom="1440" w:gutter="0" w:footer="0" w:header="0"/>
        </w:sectPr>
      </w:pP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Class A common stock offered by us in this offering</w:t>
      </w:r>
    </w:p>
    <w:p>
      <w:pPr>
        <w:spacing w:after="0" w:line="66" w:lineRule="exact"/>
        <w:rPr>
          <w:sz w:val="20"/>
          <w:szCs w:val="20"/>
          <w:color w:val="auto"/>
        </w:rPr>
      </w:pPr>
    </w:p>
    <w:p>
      <w:pPr>
        <w:ind w:left="440" w:hanging="135"/>
        <w:spacing w:after="0" w:line="239" w:lineRule="auto"/>
        <w:rPr>
          <w:sz w:val="20"/>
          <w:szCs w:val="20"/>
          <w:color w:val="auto"/>
        </w:rPr>
      </w:pPr>
      <w:r>
        <w:rPr>
          <w:rFonts w:ascii="Times New Roman" w:cs="Times New Roman" w:eastAsia="Times New Roman" w:hAnsi="Times New Roman"/>
          <w:sz w:val="15"/>
          <w:szCs w:val="15"/>
          <w:color w:val="auto"/>
        </w:rPr>
        <w:t>Underwriter’s option to purchase additional shares of Class A common stock from us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Class A common stock to be sold in concurrent transactions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shares</w:t>
      </w:r>
    </w:p>
    <w:p>
      <w:pPr>
        <w:spacing w:after="0" w:line="57" w:lineRule="exact"/>
        <w:rPr>
          <w:sz w:val="20"/>
          <w:szCs w:val="20"/>
          <w:color w:val="auto"/>
        </w:rPr>
      </w:pPr>
    </w:p>
    <w:p>
      <w:pPr>
        <w:spacing w:after="0"/>
        <w:tabs>
          <w:tab w:leader="none" w:pos="4340" w:val="left"/>
        </w:tabs>
        <w:rPr>
          <w:sz w:val="20"/>
          <w:szCs w:val="20"/>
          <w:color w:val="auto"/>
        </w:rPr>
      </w:pPr>
      <w:r>
        <w:rPr>
          <w:rFonts w:ascii="Times New Roman" w:cs="Times New Roman" w:eastAsia="Times New Roman" w:hAnsi="Times New Roman"/>
          <w:sz w:val="15"/>
          <w:szCs w:val="15"/>
          <w:color w:val="auto"/>
        </w:rPr>
        <w:t>The underwriters have been granted an option to purchase up to</w:t>
      </w:r>
      <w:r>
        <w:rPr>
          <w:sz w:val="20"/>
          <w:szCs w:val="20"/>
          <w:color w:val="auto"/>
        </w:rPr>
        <w:tab/>
      </w:r>
      <w:r>
        <w:rPr>
          <w:rFonts w:ascii="Times New Roman" w:cs="Times New Roman" w:eastAsia="Times New Roman" w:hAnsi="Times New Roman"/>
          <w:sz w:val="15"/>
          <w:szCs w:val="15"/>
          <w:color w:val="auto"/>
        </w:rPr>
        <w:t>additional</w:t>
      </w:r>
    </w:p>
    <w:p>
      <w:pPr>
        <w:ind w:right="40"/>
        <w:spacing w:after="0" w:line="228" w:lineRule="auto"/>
        <w:rPr>
          <w:sz w:val="20"/>
          <w:szCs w:val="20"/>
          <w:color w:val="auto"/>
        </w:rPr>
      </w:pPr>
      <w:r>
        <w:rPr>
          <w:rFonts w:ascii="Times New Roman" w:cs="Times New Roman" w:eastAsia="Times New Roman" w:hAnsi="Times New Roman"/>
          <w:sz w:val="15"/>
          <w:szCs w:val="15"/>
          <w:color w:val="auto"/>
        </w:rPr>
        <w:t>shares of Class A common stock from us at any time within 30 days from the date of this prospectus.</w:t>
      </w:r>
    </w:p>
    <w:p>
      <w:pPr>
        <w:spacing w:after="0" w:line="42"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5"/>
          <w:szCs w:val="15"/>
          <w:color w:val="auto"/>
        </w:rPr>
        <w:t>Immediately subsequent to the closing of this offering, each of Fidelity Management &amp; Research Company LLC, SoftBank, certain funds and accounts advised by T. Rowe Price Associates, Inc. and aMoon Fund will purchase from us, severally and not jointly, in a private placement $135.0 million of our Class A common stock at a price per share equal to the initial public offering price. Based</w:t>
      </w:r>
    </w:p>
    <w:p>
      <w:pPr>
        <w:spacing w:after="0" w:line="3" w:lineRule="exact"/>
        <w:rPr>
          <w:sz w:val="20"/>
          <w:szCs w:val="20"/>
          <w:color w:val="auto"/>
        </w:rPr>
      </w:pPr>
    </w:p>
    <w:p>
      <w:pPr>
        <w:ind w:right="40"/>
        <w:spacing w:after="0" w:line="205" w:lineRule="auto"/>
        <w:rPr>
          <w:sz w:val="20"/>
          <w:szCs w:val="20"/>
          <w:color w:val="auto"/>
        </w:rPr>
      </w:pPr>
      <w:r>
        <w:rPr>
          <w:rFonts w:ascii="Times New Roman" w:cs="Times New Roman" w:eastAsia="Times New Roman" w:hAnsi="Times New Roman"/>
          <w:sz w:val="15"/>
          <w:szCs w:val="15"/>
          <w:color w:val="auto"/>
        </w:rPr>
        <w:t>on an assumed initial public offering price of $ per share, which is the midpoint of the price range set forth on the cover page of this prospectus, each of Fidelity Management &amp; Research Company LLC, SoftBank and certain funds and accounts advised by T. Rowe Price Associates, Inc. would each</w:t>
      </w:r>
    </w:p>
    <w:p>
      <w:pPr>
        <w:spacing w:after="0" w:line="207" w:lineRule="auto"/>
        <w:tabs>
          <w:tab w:leader="none" w:pos="940" w:val="left"/>
        </w:tabs>
        <w:rPr>
          <w:sz w:val="20"/>
          <w:szCs w:val="20"/>
          <w:color w:val="auto"/>
        </w:rPr>
      </w:pPr>
      <w:r>
        <w:rPr>
          <w:rFonts w:ascii="Times New Roman" w:cs="Times New Roman" w:eastAsia="Times New Roman" w:hAnsi="Times New Roman"/>
          <w:sz w:val="15"/>
          <w:szCs w:val="15"/>
          <w:color w:val="auto"/>
        </w:rPr>
        <w:t>purchase</w:t>
      </w:r>
      <w:r>
        <w:rPr>
          <w:sz w:val="20"/>
          <w:szCs w:val="20"/>
          <w:color w:val="auto"/>
        </w:rPr>
        <w:tab/>
      </w:r>
      <w:r>
        <w:rPr>
          <w:rFonts w:ascii="Times New Roman" w:cs="Times New Roman" w:eastAsia="Times New Roman" w:hAnsi="Times New Roman"/>
          <w:sz w:val="15"/>
          <w:szCs w:val="15"/>
          <w:color w:val="auto"/>
        </w:rPr>
        <w:t>shares of our Class A common stock and aMoon Fund would</w:t>
      </w:r>
    </w:p>
    <w:p>
      <w:pPr>
        <w:spacing w:after="0" w:line="205" w:lineRule="auto"/>
        <w:tabs>
          <w:tab w:leader="none" w:pos="780" w:val="left"/>
        </w:tabs>
        <w:rPr>
          <w:sz w:val="20"/>
          <w:szCs w:val="20"/>
          <w:color w:val="auto"/>
        </w:rPr>
      </w:pPr>
      <w:r>
        <w:rPr>
          <w:rFonts w:ascii="Times New Roman" w:cs="Times New Roman" w:eastAsia="Times New Roman" w:hAnsi="Times New Roman"/>
          <w:sz w:val="15"/>
          <w:szCs w:val="15"/>
          <w:color w:val="auto"/>
        </w:rPr>
        <w:t>purchase</w:t>
      </w:r>
      <w:r>
        <w:rPr>
          <w:sz w:val="20"/>
          <w:szCs w:val="20"/>
          <w:color w:val="auto"/>
        </w:rPr>
        <w:tab/>
      </w:r>
      <w:r>
        <w:rPr>
          <w:rFonts w:ascii="Times New Roman" w:cs="Times New Roman" w:eastAsia="Times New Roman" w:hAnsi="Times New Roman"/>
          <w:sz w:val="15"/>
          <w:szCs w:val="15"/>
          <w:color w:val="auto"/>
        </w:rPr>
        <w:t>shares of our Class A common stock, for an aggregate of</w:t>
      </w:r>
    </w:p>
    <w:p>
      <w:pPr>
        <w:ind w:firstLine="416"/>
        <w:spacing w:after="0" w:line="209" w:lineRule="auto"/>
        <w:rPr>
          <w:sz w:val="20"/>
          <w:szCs w:val="20"/>
          <w:color w:val="auto"/>
        </w:rPr>
      </w:pPr>
      <w:r>
        <w:rPr>
          <w:rFonts w:ascii="Times New Roman" w:cs="Times New Roman" w:eastAsia="Times New Roman" w:hAnsi="Times New Roman"/>
          <w:sz w:val="15"/>
          <w:szCs w:val="15"/>
          <w:color w:val="auto"/>
        </w:rPr>
        <w:t>shares of our Class A common stock. We will pay J.P. Morgan Securities LLC, Morgan Stanley &amp; Co. LLC, BofA Securities Inc. and Cowen and Company, LLC an aggregate commission of $4.725 million with respect to the shares that are sold in the private placement. The sale of the shares in the private placement is contingent upon the completion of this offering. The sale of these shares will not be registered in this offering and will be subject to a lock-up agreement with the underwriters for a period of 180 days after the date of this prospectus. See “Shares Eligible for Future Sale—Lock-Up and Market Standoff Agreements” for additional information regarding such restrictions. We refer to the private placement of these shares of Class A common stock as the concurrent private placement.</w:t>
      </w:r>
    </w:p>
    <w:p>
      <w:pPr>
        <w:spacing w:after="0" w:line="192" w:lineRule="exact"/>
        <w:rPr>
          <w:sz w:val="20"/>
          <w:szCs w:val="20"/>
          <w:color w:val="auto"/>
        </w:rPr>
      </w:pPr>
    </w:p>
    <w:p>
      <w:pPr>
        <w:sectPr>
          <w:pgSz w:w="11900" w:h="16838" w:orient="portrait"/>
          <w:cols w:equalWidth="0" w:num="2">
            <w:col w:w="5300" w:space="80"/>
            <w:col w:w="5020"/>
          </w:cols>
          <w:pgMar w:left="580" w:top="121" w:right="919" w:bottom="1440" w:gutter="0" w:footer="0" w:header="0"/>
          <w:type w:val="continuous"/>
        </w:sectPr>
      </w:pPr>
    </w:p>
    <w:tbl>
      <w:tblPr>
        <w:tblLayout w:type="fixed"/>
        <w:tblInd w:w="300" w:type="dxa"/>
        <w:tblCellMar>
          <w:top w:w="0" w:type="dxa"/>
          <w:left w:w="0" w:type="dxa"/>
          <w:bottom w:w="0" w:type="dxa"/>
          <w:right w:w="0" w:type="dxa"/>
        </w:tblCellMar>
      </w:tblPr>
      <w:tr>
        <w:trPr>
          <w:trHeight w:val="172"/>
        </w:trPr>
        <w:tc>
          <w:tcPr>
            <w:tcW w:w="4960" w:type="dxa"/>
            <w:vAlign w:val="bottom"/>
          </w:tcPr>
          <w:p>
            <w:pPr>
              <w:spacing w:after="0"/>
              <w:rPr>
                <w:sz w:val="15"/>
                <w:szCs w:val="15"/>
                <w:color w:val="auto"/>
              </w:rPr>
            </w:pP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 addition, SoftBank has agreed to purchase</w:t>
            </w:r>
          </w:p>
        </w:tc>
        <w:tc>
          <w:tcPr>
            <w:tcW w:w="2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shares of our Class A common</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5140" w:type="dxa"/>
            <w:vAlign w:val="bottom"/>
            <w:gridSpan w:val="3"/>
          </w:tcPr>
          <w:p>
            <w:pPr>
              <w:ind w:left="120"/>
              <w:spacing w:after="0" w:line="171" w:lineRule="exact"/>
              <w:rPr>
                <w:sz w:val="20"/>
                <w:szCs w:val="20"/>
                <w:color w:val="auto"/>
              </w:rPr>
            </w:pPr>
            <w:r>
              <w:rPr>
                <w:rFonts w:ascii="Times New Roman" w:cs="Times New Roman" w:eastAsia="Times New Roman" w:hAnsi="Times New Roman"/>
                <w:sz w:val="15"/>
                <w:szCs w:val="15"/>
                <w:color w:val="auto"/>
              </w:rPr>
              <w:t>stock from Dynamics Group LLC, for which our Chief Executive Officer, Omid</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5140" w:type="dxa"/>
            <w:vAlign w:val="bottom"/>
            <w:gridSpan w:val="3"/>
          </w:tcPr>
          <w:p>
            <w:pPr>
              <w:ind w:left="120"/>
              <w:spacing w:after="0" w:line="171" w:lineRule="exact"/>
              <w:rPr>
                <w:sz w:val="20"/>
                <w:szCs w:val="20"/>
                <w:color w:val="auto"/>
              </w:rPr>
            </w:pPr>
            <w:r>
              <w:rPr>
                <w:rFonts w:ascii="Times New Roman" w:cs="Times New Roman" w:eastAsia="Times New Roman" w:hAnsi="Times New Roman"/>
                <w:sz w:val="15"/>
                <w:szCs w:val="15"/>
                <w:color w:val="auto"/>
              </w:rPr>
              <w:t>Farokhzad, M.D., is the sole member, at a price per share equal to the initial public</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5140" w:type="dxa"/>
            <w:vAlign w:val="bottom"/>
            <w:gridSpan w:val="3"/>
          </w:tcPr>
          <w:p>
            <w:pPr>
              <w:ind w:left="120"/>
              <w:spacing w:after="0" w:line="171" w:lineRule="exact"/>
              <w:rPr>
                <w:sz w:val="20"/>
                <w:szCs w:val="20"/>
                <w:color w:val="auto"/>
              </w:rPr>
            </w:pPr>
            <w:r>
              <w:rPr>
                <w:rFonts w:ascii="Times New Roman" w:cs="Times New Roman" w:eastAsia="Times New Roman" w:hAnsi="Times New Roman"/>
                <w:sz w:val="15"/>
                <w:szCs w:val="15"/>
                <w:color w:val="auto"/>
              </w:rPr>
              <w:t>offering price, which will concurrently close with the private placement. We refer</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5140" w:type="dxa"/>
            <w:vAlign w:val="bottom"/>
            <w:gridSpan w:val="3"/>
          </w:tcPr>
          <w:p>
            <w:pPr>
              <w:ind w:left="120"/>
              <w:spacing w:after="0" w:line="171" w:lineRule="exact"/>
              <w:rPr>
                <w:sz w:val="20"/>
                <w:szCs w:val="20"/>
                <w:color w:val="auto"/>
              </w:rPr>
            </w:pPr>
            <w:r>
              <w:rPr>
                <w:rFonts w:ascii="Times New Roman" w:cs="Times New Roman" w:eastAsia="Times New Roman" w:hAnsi="Times New Roman"/>
                <w:sz w:val="15"/>
                <w:szCs w:val="15"/>
                <w:color w:val="auto"/>
              </w:rPr>
              <w:t>to the sale of these shares of Class A common stock by Dynamics Group LLC as</w:t>
            </w: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1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secondary transaction.</w:t>
            </w:r>
          </w:p>
        </w:tc>
        <w:tc>
          <w:tcPr>
            <w:tcW w:w="1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Class A common stock to be outstanding after this offering and the concurrent</w:t>
            </w:r>
          </w:p>
        </w:tc>
        <w:tc>
          <w:tcPr>
            <w:tcW w:w="1780" w:type="dxa"/>
            <w:vAlign w:val="bottom"/>
          </w:tcPr>
          <w:p>
            <w:pPr>
              <w:ind w:left="880"/>
              <w:spacing w:after="0"/>
              <w:rPr>
                <w:sz w:val="20"/>
                <w:szCs w:val="20"/>
                <w:color w:val="auto"/>
              </w:rPr>
            </w:pPr>
            <w:r>
              <w:rPr>
                <w:rFonts w:ascii="Times New Roman" w:cs="Times New Roman" w:eastAsia="Times New Roman" w:hAnsi="Times New Roman"/>
                <w:sz w:val="15"/>
                <w:szCs w:val="15"/>
                <w:color w:val="auto"/>
              </w:rPr>
              <w:t>shares (or</w:t>
            </w: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shares if the underwriters exercise their option to</w:t>
            </w:r>
          </w:p>
        </w:tc>
        <w:tc>
          <w:tcPr>
            <w:tcW w:w="0" w:type="dxa"/>
            <w:vAlign w:val="bottom"/>
          </w:tcPr>
          <w:p>
            <w:pPr>
              <w:spacing w:after="0"/>
              <w:rPr>
                <w:sz w:val="1"/>
                <w:szCs w:val="1"/>
                <w:color w:val="auto"/>
              </w:rPr>
            </w:pPr>
          </w:p>
        </w:tc>
      </w:tr>
      <w:tr>
        <w:trPr>
          <w:trHeight w:val="197"/>
        </w:trPr>
        <w:tc>
          <w:tcPr>
            <w:tcW w:w="49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private placement and secondary transaction</w:t>
            </w: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 additional shares in full)</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Class B common stock to be outstanding after this offering and the concurrent</w:t>
            </w:r>
          </w:p>
        </w:tc>
        <w:tc>
          <w:tcPr>
            <w:tcW w:w="1780" w:type="dxa"/>
            <w:vAlign w:val="bottom"/>
            <w:vMerge w:val="restart"/>
          </w:tcPr>
          <w:p>
            <w:pPr>
              <w:ind w:left="880"/>
              <w:spacing w:after="0"/>
              <w:rPr>
                <w:sz w:val="20"/>
                <w:szCs w:val="20"/>
                <w:color w:val="auto"/>
              </w:rPr>
            </w:pPr>
            <w:r>
              <w:rPr>
                <w:rFonts w:ascii="Times New Roman" w:cs="Times New Roman" w:eastAsia="Times New Roman" w:hAnsi="Times New Roman"/>
                <w:sz w:val="15"/>
                <w:szCs w:val="15"/>
                <w:color w:val="auto"/>
              </w:rPr>
              <w:t>shares</w:t>
            </w:r>
          </w:p>
        </w:tc>
        <w:tc>
          <w:tcPr>
            <w:tcW w:w="1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private placement and secondary transaction</w:t>
            </w:r>
          </w:p>
        </w:tc>
        <w:tc>
          <w:tcPr>
            <w:tcW w:w="17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Total Class A common stock and Class B common stock to be outstanding after</w:t>
            </w:r>
          </w:p>
        </w:tc>
        <w:tc>
          <w:tcPr>
            <w:tcW w:w="1780" w:type="dxa"/>
            <w:vAlign w:val="bottom"/>
            <w:vMerge w:val="restart"/>
          </w:tcPr>
          <w:p>
            <w:pPr>
              <w:ind w:left="880"/>
              <w:spacing w:after="0"/>
              <w:rPr>
                <w:sz w:val="20"/>
                <w:szCs w:val="20"/>
                <w:color w:val="auto"/>
              </w:rPr>
            </w:pPr>
            <w:r>
              <w:rPr>
                <w:rFonts w:ascii="Times New Roman" w:cs="Times New Roman" w:eastAsia="Times New Roman" w:hAnsi="Times New Roman"/>
                <w:sz w:val="15"/>
                <w:szCs w:val="15"/>
                <w:color w:val="auto"/>
              </w:rPr>
              <w:t>shares</w:t>
            </w:r>
          </w:p>
        </w:tc>
        <w:tc>
          <w:tcPr>
            <w:tcW w:w="1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this offering and the concurrent private placement and secondary transaction</w:t>
            </w:r>
          </w:p>
        </w:tc>
        <w:tc>
          <w:tcPr>
            <w:tcW w:w="17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400"/>
          </w:cols>
          <w:pgMar w:left="580" w:top="121" w:right="919" w:bottom="1440" w:gutter="0" w:footer="0" w:header="0"/>
          <w:type w:val="continuous"/>
        </w:sectPr>
      </w:pPr>
    </w:p>
    <w:bookmarkStart w:id="13" w:name="page14"/>
    <w:bookmarkEnd w:id="13"/>
    <w:p>
      <w:pPr>
        <w:ind w:left="28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731"/>
        </w:trPr>
        <w:tc>
          <w:tcPr>
            <w:tcW w:w="4800" w:type="dxa"/>
            <w:vAlign w:val="bottom"/>
            <w:tcBorders>
              <w:top w:val="single" w:sz="8" w:color="auto"/>
              <w:left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Use of proceeds</w:t>
            </w:r>
          </w:p>
        </w:tc>
        <w:tc>
          <w:tcPr>
            <w:tcW w:w="6480" w:type="dxa"/>
            <w:vAlign w:val="bottom"/>
            <w:tcBorders>
              <w:top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We estimate that the net proceeds to us from this offering and the concurrent</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private placement will be approximately $   million (or approximately $</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900"/>
              <w:spacing w:after="0" w:line="148" w:lineRule="exact"/>
              <w:rPr>
                <w:sz w:val="20"/>
                <w:szCs w:val="20"/>
                <w:color w:val="auto"/>
              </w:rPr>
            </w:pPr>
            <w:r>
              <w:rPr>
                <w:rFonts w:ascii="Times New Roman" w:cs="Times New Roman" w:eastAsia="Times New Roman" w:hAnsi="Times New Roman"/>
                <w:sz w:val="15"/>
                <w:szCs w:val="15"/>
                <w:color w:val="auto"/>
              </w:rPr>
              <w:t>million if the underwriters exercise their option to purchase additional shares in</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full), based upon the assumed initial public offering price of $   per share, which</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is the midpoint of the price range set forth on the cover page of this prospectus,</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after deducting the underwriting discounts and commissions and estimated</w:t>
            </w:r>
          </w:p>
        </w:tc>
      </w:tr>
      <w:tr>
        <w:trPr>
          <w:trHeight w:val="197"/>
        </w:trPr>
        <w:tc>
          <w:tcPr>
            <w:tcW w:w="480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offering expenses payable by us.</w:t>
            </w:r>
          </w:p>
        </w:tc>
      </w:tr>
      <w:tr>
        <w:trPr>
          <w:trHeight w:val="189"/>
        </w:trPr>
        <w:tc>
          <w:tcPr>
            <w:tcW w:w="4800" w:type="dxa"/>
            <w:vAlign w:val="bottom"/>
            <w:tcBorders>
              <w:left w:val="single" w:sz="8" w:color="auto"/>
            </w:tcBorders>
          </w:tcPr>
          <w:p>
            <w:pPr>
              <w:spacing w:after="0"/>
              <w:rPr>
                <w:sz w:val="16"/>
                <w:szCs w:val="16"/>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The principal purposes of this offering and the concurrent private placement are to</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obtain additional capital to support our operations, establish a public market for</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our Class A common stock and facilitate our future access to the public capital</w:t>
            </w:r>
          </w:p>
        </w:tc>
      </w:tr>
      <w:tr>
        <w:trPr>
          <w:trHeight w:val="197"/>
        </w:trPr>
        <w:tc>
          <w:tcPr>
            <w:tcW w:w="4800" w:type="dxa"/>
            <w:vAlign w:val="bottom"/>
            <w:tcBorders>
              <w:left w:val="single" w:sz="8" w:color="auto"/>
            </w:tcBorders>
          </w:tcPr>
          <w:p>
            <w:pPr>
              <w:spacing w:after="0"/>
              <w:rPr>
                <w:sz w:val="17"/>
                <w:szCs w:val="17"/>
                <w:color w:val="auto"/>
              </w:rPr>
            </w:pPr>
          </w:p>
        </w:tc>
        <w:tc>
          <w:tcPr>
            <w:tcW w:w="244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markets.</w:t>
            </w:r>
          </w:p>
        </w:tc>
        <w:tc>
          <w:tcPr>
            <w:tcW w:w="4040" w:type="dxa"/>
            <w:vAlign w:val="bottom"/>
            <w:tcBorders>
              <w:right w:val="single" w:sz="8" w:color="auto"/>
            </w:tcBorders>
          </w:tcPr>
          <w:p>
            <w:pPr>
              <w:spacing w:after="0"/>
              <w:rPr>
                <w:sz w:val="17"/>
                <w:szCs w:val="17"/>
                <w:color w:val="auto"/>
              </w:rPr>
            </w:pPr>
          </w:p>
        </w:tc>
      </w:tr>
      <w:tr>
        <w:trPr>
          <w:trHeight w:val="189"/>
        </w:trPr>
        <w:tc>
          <w:tcPr>
            <w:tcW w:w="4800" w:type="dxa"/>
            <w:vAlign w:val="bottom"/>
            <w:tcBorders>
              <w:left w:val="single" w:sz="8" w:color="auto"/>
            </w:tcBorders>
          </w:tcPr>
          <w:p>
            <w:pPr>
              <w:spacing w:after="0"/>
              <w:rPr>
                <w:sz w:val="16"/>
                <w:szCs w:val="16"/>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We currently intend to use the net proceeds from this offering and the concurrent</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private placement, together with our existing cash, to commercialize our</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Proteograph Product Suite, ongoing sales and marketing activities, and for other</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development work associated with advancing our Proteograph Product Suite,</w:t>
            </w:r>
          </w:p>
        </w:tc>
      </w:tr>
      <w:tr>
        <w:trPr>
          <w:trHeight w:val="197"/>
        </w:trPr>
        <w:tc>
          <w:tcPr>
            <w:tcW w:w="480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research and development and general corporate purposes.</w:t>
            </w:r>
          </w:p>
        </w:tc>
      </w:tr>
      <w:tr>
        <w:trPr>
          <w:trHeight w:val="280"/>
        </w:trPr>
        <w:tc>
          <w:tcPr>
            <w:tcW w:w="4800" w:type="dxa"/>
            <w:vAlign w:val="bottom"/>
            <w:tcBorders>
              <w:left w:val="single" w:sz="8" w:color="auto"/>
            </w:tcBorders>
          </w:tcPr>
          <w:p>
            <w:pPr>
              <w:spacing w:after="0"/>
              <w:rPr>
                <w:sz w:val="24"/>
                <w:szCs w:val="24"/>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We may also use a portion of the proceeds to in-license, acquire or invest in</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additional businesses, technologies, products or assets. Although we have no</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specific agreements, commitments or understandings with respect to any in-</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licensing activity or acquisitions, we evaluate these opportunities and engage in</w:t>
            </w:r>
          </w:p>
        </w:tc>
      </w:tr>
      <w:tr>
        <w:trPr>
          <w:trHeight w:val="197"/>
        </w:trPr>
        <w:tc>
          <w:tcPr>
            <w:tcW w:w="480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related discussions with other companies from time-to-time.</w:t>
            </w:r>
          </w:p>
        </w:tc>
      </w:tr>
      <w:tr>
        <w:trPr>
          <w:trHeight w:val="280"/>
        </w:trPr>
        <w:tc>
          <w:tcPr>
            <w:tcW w:w="4800" w:type="dxa"/>
            <w:vAlign w:val="bottom"/>
            <w:tcBorders>
              <w:left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Risk factors</w:t>
            </w: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See “Risk Factors” beginning on page 18 and other information included in this</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prospectus for a discussion of factors that you should consider carefully before</w:t>
            </w:r>
          </w:p>
        </w:tc>
      </w:tr>
      <w:tr>
        <w:trPr>
          <w:trHeight w:val="197"/>
        </w:trPr>
        <w:tc>
          <w:tcPr>
            <w:tcW w:w="480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deciding to invest in our Class A common stock.</w:t>
            </w:r>
          </w:p>
        </w:tc>
      </w:tr>
      <w:tr>
        <w:trPr>
          <w:trHeight w:val="235"/>
        </w:trPr>
        <w:tc>
          <w:tcPr>
            <w:tcW w:w="4800" w:type="dxa"/>
            <w:vAlign w:val="bottom"/>
            <w:tcBorders>
              <w:left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Voting rights</w:t>
            </w: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Shares of Class A common stock are entitled to one vote per share.</w:t>
            </w:r>
          </w:p>
        </w:tc>
      </w:tr>
      <w:tr>
        <w:trPr>
          <w:trHeight w:val="284"/>
        </w:trPr>
        <w:tc>
          <w:tcPr>
            <w:tcW w:w="4800" w:type="dxa"/>
            <w:vAlign w:val="bottom"/>
            <w:tcBorders>
              <w:left w:val="single" w:sz="8" w:color="auto"/>
            </w:tcBorders>
          </w:tcPr>
          <w:p>
            <w:pPr>
              <w:spacing w:after="0"/>
              <w:rPr>
                <w:sz w:val="24"/>
                <w:szCs w:val="24"/>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Shares of Class B common stock are entitled to ten votes per share.</w:t>
            </w:r>
          </w:p>
        </w:tc>
      </w:tr>
      <w:tr>
        <w:trPr>
          <w:trHeight w:val="238"/>
        </w:trPr>
        <w:tc>
          <w:tcPr>
            <w:tcW w:w="4800" w:type="dxa"/>
            <w:vAlign w:val="bottom"/>
            <w:tcBorders>
              <w:left w:val="single" w:sz="8" w:color="auto"/>
            </w:tcBorders>
          </w:tcPr>
          <w:p>
            <w:pPr>
              <w:spacing w:after="0"/>
              <w:rPr>
                <w:sz w:val="20"/>
                <w:szCs w:val="20"/>
                <w:color w:val="auto"/>
              </w:rPr>
            </w:pPr>
          </w:p>
        </w:tc>
        <w:tc>
          <w:tcPr>
            <w:tcW w:w="648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5"/>
                <w:szCs w:val="15"/>
                <w:color w:val="auto"/>
              </w:rPr>
              <w:t>Holders of our Class A common stock and Class B common stock will generally</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vote together as a single class, unless otherwise required by law or our amended</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and restated certificate of incorporation. Upon completion of this offering, the</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concurrent private placement and the secondary transaction, holders of our</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outstanding Class B common stock, which includes our Chief Executive Officer,</w:t>
            </w:r>
          </w:p>
        </w:tc>
      </w:tr>
      <w:tr>
        <w:trPr>
          <w:trHeight w:val="148"/>
        </w:trPr>
        <w:tc>
          <w:tcPr>
            <w:tcW w:w="4800" w:type="dxa"/>
            <w:vAlign w:val="bottom"/>
            <w:tcBorders>
              <w:left w:val="single" w:sz="8" w:color="auto"/>
            </w:tcBorders>
          </w:tcPr>
          <w:p>
            <w:pPr>
              <w:spacing w:after="0"/>
              <w:rPr>
                <w:sz w:val="12"/>
                <w:szCs w:val="12"/>
                <w:color w:val="auto"/>
              </w:rPr>
            </w:pPr>
          </w:p>
        </w:tc>
        <w:tc>
          <w:tcPr>
            <w:tcW w:w="2440" w:type="dxa"/>
            <w:vAlign w:val="bottom"/>
          </w:tcPr>
          <w:p>
            <w:pPr>
              <w:ind w:left="860"/>
              <w:spacing w:after="0" w:line="148" w:lineRule="exact"/>
              <w:rPr>
                <w:sz w:val="20"/>
                <w:szCs w:val="20"/>
                <w:color w:val="auto"/>
              </w:rPr>
            </w:pPr>
            <w:r>
              <w:rPr>
                <w:rFonts w:ascii="Times New Roman" w:cs="Times New Roman" w:eastAsia="Times New Roman" w:hAnsi="Times New Roman"/>
                <w:sz w:val="15"/>
                <w:szCs w:val="15"/>
                <w:color w:val="auto"/>
              </w:rPr>
              <w:t>will hold approximately</w:t>
            </w:r>
          </w:p>
        </w:tc>
        <w:tc>
          <w:tcPr>
            <w:tcW w:w="4040" w:type="dxa"/>
            <w:vAlign w:val="bottom"/>
            <w:tcBorders>
              <w:right w:val="single" w:sz="8" w:color="auto"/>
            </w:tcBorders>
          </w:tcPr>
          <w:p>
            <w:pPr>
              <w:ind w:left="100"/>
              <w:spacing w:after="0" w:line="148" w:lineRule="exact"/>
              <w:rPr>
                <w:sz w:val="20"/>
                <w:szCs w:val="20"/>
                <w:color w:val="auto"/>
              </w:rPr>
            </w:pPr>
            <w:r>
              <w:rPr>
                <w:rFonts w:ascii="Times New Roman" w:cs="Times New Roman" w:eastAsia="Times New Roman" w:hAnsi="Times New Roman"/>
                <w:sz w:val="15"/>
                <w:szCs w:val="15"/>
                <w:color w:val="auto"/>
              </w:rPr>
              <w:t>% of the voting power of our outstanding capital stock</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and will have the ability to control the outcome of matters submitted to our</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stockholders for approval, including the election of our directors, amendments of</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our organizational documents and any merger, consolidation, sale of all or</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substantially all of our assets or other major corporate transactions. See the</w:t>
            </w:r>
          </w:p>
        </w:tc>
      </w:tr>
      <w:tr>
        <w:trPr>
          <w:trHeight w:val="148"/>
        </w:trPr>
        <w:tc>
          <w:tcPr>
            <w:tcW w:w="4800" w:type="dxa"/>
            <w:vAlign w:val="bottom"/>
            <w:tcBorders>
              <w:left w:val="single" w:sz="8" w:color="auto"/>
            </w:tcBorders>
          </w:tcPr>
          <w:p>
            <w:pPr>
              <w:spacing w:after="0"/>
              <w:rPr>
                <w:sz w:val="12"/>
                <w:szCs w:val="12"/>
                <w:color w:val="auto"/>
              </w:rPr>
            </w:pPr>
          </w:p>
        </w:tc>
        <w:tc>
          <w:tcPr>
            <w:tcW w:w="6480" w:type="dxa"/>
            <w:vAlign w:val="bottom"/>
            <w:tcBorders>
              <w:right w:val="single" w:sz="8" w:color="auto"/>
            </w:tcBorders>
            <w:gridSpan w:val="2"/>
          </w:tcPr>
          <w:p>
            <w:pPr>
              <w:ind w:left="860"/>
              <w:spacing w:after="0" w:line="148" w:lineRule="exact"/>
              <w:rPr>
                <w:sz w:val="20"/>
                <w:szCs w:val="20"/>
                <w:color w:val="auto"/>
              </w:rPr>
            </w:pPr>
            <w:r>
              <w:rPr>
                <w:rFonts w:ascii="Times New Roman" w:cs="Times New Roman" w:eastAsia="Times New Roman" w:hAnsi="Times New Roman"/>
                <w:sz w:val="15"/>
                <w:szCs w:val="15"/>
                <w:color w:val="auto"/>
              </w:rPr>
              <w:t>sections titled “Principal Stockholders” and “Description of Capital Stock” for</w:t>
            </w:r>
          </w:p>
        </w:tc>
      </w:tr>
      <w:tr>
        <w:trPr>
          <w:trHeight w:val="197"/>
        </w:trPr>
        <w:tc>
          <w:tcPr>
            <w:tcW w:w="4800" w:type="dxa"/>
            <w:vAlign w:val="bottom"/>
            <w:tcBorders>
              <w:left w:val="single" w:sz="8" w:color="auto"/>
            </w:tcBorders>
          </w:tcPr>
          <w:p>
            <w:pPr>
              <w:spacing w:after="0"/>
              <w:rPr>
                <w:sz w:val="17"/>
                <w:szCs w:val="17"/>
                <w:color w:val="auto"/>
              </w:rPr>
            </w:pPr>
          </w:p>
        </w:tc>
        <w:tc>
          <w:tcPr>
            <w:tcW w:w="244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additional information.</w:t>
            </w:r>
          </w:p>
        </w:tc>
        <w:tc>
          <w:tcPr>
            <w:tcW w:w="4040" w:type="dxa"/>
            <w:vAlign w:val="bottom"/>
            <w:tcBorders>
              <w:right w:val="single" w:sz="8" w:color="auto"/>
            </w:tcBorders>
          </w:tcPr>
          <w:p>
            <w:pPr>
              <w:spacing w:after="0"/>
              <w:rPr>
                <w:sz w:val="17"/>
                <w:szCs w:val="17"/>
                <w:color w:val="auto"/>
              </w:rPr>
            </w:pPr>
          </w:p>
        </w:tc>
      </w:tr>
      <w:tr>
        <w:trPr>
          <w:trHeight w:val="235"/>
        </w:trPr>
        <w:tc>
          <w:tcPr>
            <w:tcW w:w="4800" w:type="dxa"/>
            <w:vAlign w:val="bottom"/>
            <w:tcBorders>
              <w:left w:val="single" w:sz="8" w:color="auto"/>
            </w:tcBorders>
          </w:tcPr>
          <w:p>
            <w:pPr>
              <w:ind w:left="580"/>
              <w:spacing w:after="0"/>
              <w:rPr>
                <w:sz w:val="20"/>
                <w:szCs w:val="20"/>
                <w:color w:val="auto"/>
              </w:rPr>
            </w:pPr>
            <w:r>
              <w:rPr>
                <w:rFonts w:ascii="Times New Roman" w:cs="Times New Roman" w:eastAsia="Times New Roman" w:hAnsi="Times New Roman"/>
                <w:sz w:val="15"/>
                <w:szCs w:val="15"/>
                <w:color w:val="auto"/>
              </w:rPr>
              <w:t>Proposed Nasdaq Global Select Market trading symbol</w:t>
            </w:r>
          </w:p>
        </w:tc>
        <w:tc>
          <w:tcPr>
            <w:tcW w:w="244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“SEER”</w:t>
            </w:r>
          </w:p>
        </w:tc>
        <w:tc>
          <w:tcPr>
            <w:tcW w:w="4040" w:type="dxa"/>
            <w:vAlign w:val="bottom"/>
            <w:tcBorders>
              <w:right w:val="single" w:sz="8" w:color="auto"/>
            </w:tcBorders>
          </w:tcPr>
          <w:p>
            <w:pPr>
              <w:spacing w:after="0"/>
              <w:rPr>
                <w:sz w:val="20"/>
                <w:szCs w:val="20"/>
                <w:color w:val="auto"/>
              </w:rPr>
            </w:pPr>
          </w:p>
        </w:tc>
      </w:tr>
      <w:tr>
        <w:trPr>
          <w:trHeight w:val="688"/>
        </w:trPr>
        <w:tc>
          <w:tcPr>
            <w:tcW w:w="4800" w:type="dxa"/>
            <w:vAlign w:val="bottom"/>
            <w:tcBorders>
              <w:left w:val="single" w:sz="8" w:color="auto"/>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21" w:right="319"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4959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959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right="20" w:firstLine="273"/>
        <w:spacing w:after="0" w:line="269" w:lineRule="auto"/>
        <w:rPr>
          <w:sz w:val="20"/>
          <w:szCs w:val="20"/>
          <w:color w:val="auto"/>
        </w:rPr>
      </w:pPr>
      <w:r>
        <w:rPr>
          <w:rFonts w:ascii="Times New Roman" w:cs="Times New Roman" w:eastAsia="Times New Roman" w:hAnsi="Times New Roman"/>
          <w:sz w:val="15"/>
          <w:szCs w:val="15"/>
          <w:color w:val="auto"/>
        </w:rPr>
        <w:t>The number of shares of our common stock that will be outstanding after this offering, the concurrent private placement and the secondary transaction is based on 69,172,104 shares of our Class A common stock and 20,000,000 shares of our Class B common stock outstanding as of September 30, 2020, and excludes the following:</w:t>
      </w:r>
    </w:p>
    <w:p>
      <w:pPr>
        <w:spacing w:after="0" w:line="101" w:lineRule="exact"/>
        <w:rPr>
          <w:sz w:val="20"/>
          <w:szCs w:val="20"/>
          <w:color w:val="auto"/>
        </w:rPr>
      </w:pPr>
    </w:p>
    <w:p>
      <w:pPr>
        <w:ind w:left="840" w:right="300" w:hanging="276"/>
        <w:spacing w:after="0" w:line="286" w:lineRule="auto"/>
        <w:tabs>
          <w:tab w:leader="none" w:pos="83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16,164,706 shares of our Class A common stock issuable upon the exercise of options to purchase shares of our Class A common stock outstanding as of September 30, 2020, with a weighted-average exercise price of $1.17 per share;</w:t>
      </w:r>
    </w:p>
    <w:p>
      <w:pPr>
        <w:spacing w:after="0" w:line="88" w:lineRule="exact"/>
        <w:rPr>
          <w:rFonts w:ascii="Times New Roman" w:cs="Times New Roman" w:eastAsia="Times New Roman" w:hAnsi="Times New Roman"/>
          <w:sz w:val="15"/>
          <w:szCs w:val="15"/>
          <w:color w:val="auto"/>
        </w:rPr>
      </w:pPr>
    </w:p>
    <w:p>
      <w:pPr>
        <w:ind w:left="840" w:hanging="276"/>
        <w:spacing w:after="0"/>
        <w:tabs>
          <w:tab w:leader="none" w:pos="8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717,319 shares of our Class A common stock issuable upon the vesting of restricted stock units (RSUs) outstanding as of September 30, 2020; and</w:t>
      </w:r>
    </w:p>
    <w:p>
      <w:pPr>
        <w:spacing w:after="0" w:line="145" w:lineRule="exact"/>
        <w:rPr>
          <w:rFonts w:ascii="Times New Roman" w:cs="Times New Roman" w:eastAsia="Times New Roman" w:hAnsi="Times New Roman"/>
          <w:sz w:val="15"/>
          <w:szCs w:val="15"/>
          <w:color w:val="auto"/>
        </w:rPr>
      </w:pPr>
    </w:p>
    <w:p>
      <w:pPr>
        <w:ind w:left="1220" w:hanging="656"/>
        <w:spacing w:after="0"/>
        <w:tabs>
          <w:tab w:leader="none" w:pos="12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Class A common stock reserved for future issuance under our equity compensation plans, consisting of:</w:t>
      </w:r>
    </w:p>
    <w:p>
      <w:pPr>
        <w:spacing w:after="0" w:line="145" w:lineRule="exact"/>
        <w:rPr>
          <w:rFonts w:ascii="Times New Roman" w:cs="Times New Roman" w:eastAsia="Times New Roman" w:hAnsi="Times New Roman"/>
          <w:sz w:val="15"/>
          <w:szCs w:val="15"/>
          <w:color w:val="auto"/>
        </w:rPr>
      </w:pPr>
    </w:p>
    <w:p>
      <w:pPr>
        <w:ind w:left="1100" w:right="40" w:hanging="264"/>
        <w:spacing w:after="0" w:line="269" w:lineRule="auto"/>
        <w:tabs>
          <w:tab w:leader="none" w:pos="1475"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Class A common stock to be reserved for future issuance under our 2020 Equity Incentive Plan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101" w:lineRule="exact"/>
        <w:rPr>
          <w:rFonts w:ascii="Times New Roman" w:cs="Times New Roman" w:eastAsia="Times New Roman" w:hAnsi="Times New Roman"/>
          <w:sz w:val="15"/>
          <w:szCs w:val="15"/>
          <w:color w:val="auto"/>
        </w:rPr>
      </w:pPr>
    </w:p>
    <w:p>
      <w:pPr>
        <w:ind w:left="1100" w:right="60" w:hanging="264"/>
        <w:spacing w:after="0" w:line="269" w:lineRule="auto"/>
        <w:tabs>
          <w:tab w:leader="none" w:pos="1475"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reserved for future issuance under our 2020 Employee Stock Purchase Plan (our ESPP) which will become effective in connection with this offering, and any additional shares that become available under our ESPP pursuant to provisions thereof that automatically increase the share reserve under the plan each year; and</w:t>
      </w:r>
    </w:p>
    <w:p>
      <w:pPr>
        <w:spacing w:after="0" w:line="101" w:lineRule="exact"/>
        <w:rPr>
          <w:rFonts w:ascii="Times New Roman" w:cs="Times New Roman" w:eastAsia="Times New Roman" w:hAnsi="Times New Roman"/>
          <w:sz w:val="15"/>
          <w:szCs w:val="15"/>
          <w:color w:val="auto"/>
        </w:rPr>
      </w:pPr>
    </w:p>
    <w:p>
      <w:pPr>
        <w:ind w:left="1100" w:right="80" w:hanging="264"/>
        <w:spacing w:after="0" w:line="264" w:lineRule="auto"/>
        <w:tabs>
          <w:tab w:leader="none" w:pos="1097"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2,551,205 shares of our Class A common stock reserved for future issuance under our 2017 Stock Incentive Plan (our 2017 Plan) (and no shares of our Class A common stock reserved for future issuance under our 2020 RSU Equity Incentive Plan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Except as otherwise indicated, all information in this prospectus assumes:</w:t>
      </w:r>
    </w:p>
    <w:p>
      <w:pPr>
        <w:spacing w:after="0" w:line="146" w:lineRule="exact"/>
        <w:rPr>
          <w:sz w:val="20"/>
          <w:szCs w:val="20"/>
          <w:color w:val="auto"/>
        </w:rPr>
      </w:pPr>
    </w:p>
    <w:p>
      <w:pPr>
        <w:ind w:left="840" w:hanging="276"/>
        <w:spacing w:after="0" w:line="269" w:lineRule="auto"/>
        <w:tabs>
          <w:tab w:leader="none" w:pos="83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62,117,410 shares of convertible preferred stock that will automatically convert into shares of Class A common stock immediately prior to the completion of this offering pursuant to the terms of our amended and restated certificate of incorporation; the filing and effectiveness of our amended and restated certificate of incorporation in Delaware and the effectiveness of our amended and restated bylaws will each occur immediately prior to the completion of this offering;</w:t>
      </w:r>
    </w:p>
    <w:p>
      <w:pPr>
        <w:sectPr>
          <w:pgSz w:w="11900" w:h="16838" w:orient="portrait"/>
          <w:cols w:equalWidth="0" w:num="1">
            <w:col w:w="10400"/>
          </w:cols>
          <w:pgMar w:left="580" w:top="121" w:right="919" w:bottom="1440" w:gutter="0" w:footer="0" w:header="0"/>
        </w:sectPr>
      </w:pPr>
    </w:p>
    <w:p>
      <w:pPr>
        <w:spacing w:after="0" w:line="1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hanging="3"/>
        <w:spacing w:after="0" w:line="286" w:lineRule="auto"/>
        <w:rPr>
          <w:sz w:val="20"/>
          <w:szCs w:val="20"/>
          <w:color w:val="auto"/>
        </w:rPr>
      </w:pPr>
      <w:r>
        <w:rPr>
          <w:rFonts w:ascii="Times New Roman" w:cs="Times New Roman" w:eastAsia="Times New Roman" w:hAnsi="Times New Roman"/>
          <w:sz w:val="15"/>
          <w:szCs w:val="15"/>
          <w:color w:val="auto"/>
        </w:rPr>
        <w:t>the issuance of an aggregate of initial public offering price of $</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100" w:firstLine="221"/>
        <w:spacing w:after="0" w:line="286" w:lineRule="auto"/>
        <w:rPr>
          <w:sz w:val="20"/>
          <w:szCs w:val="20"/>
          <w:color w:val="auto"/>
        </w:rPr>
      </w:pPr>
      <w:r>
        <w:rPr>
          <w:rFonts w:ascii="Times New Roman" w:cs="Times New Roman" w:eastAsia="Times New Roman" w:hAnsi="Times New Roman"/>
          <w:sz w:val="15"/>
          <w:szCs w:val="15"/>
          <w:color w:val="auto"/>
        </w:rPr>
        <w:t>shares of our Class A common stock upon the closing of the concurrent private placement, based upon the assumed per share, which is the midpoint of the price range set forth on the cover page of this prospectus;</w:t>
      </w:r>
    </w:p>
    <w:p>
      <w:pPr>
        <w:spacing w:after="0" w:line="89" w:lineRule="exact"/>
        <w:rPr>
          <w:sz w:val="20"/>
          <w:szCs w:val="20"/>
          <w:color w:val="auto"/>
        </w:rPr>
      </w:pPr>
    </w:p>
    <w:p>
      <w:pPr>
        <w:sectPr>
          <w:pgSz w:w="11900" w:h="16838" w:orient="portrait"/>
          <w:cols w:equalWidth="0" w:num="3">
            <w:col w:w="620" w:space="220"/>
            <w:col w:w="1900" w:space="340"/>
            <w:col w:w="7320"/>
          </w:cols>
          <w:pgMar w:left="580" w:top="121" w:right="9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hanging="3"/>
        <w:spacing w:after="0" w:line="286" w:lineRule="auto"/>
        <w:rPr>
          <w:sz w:val="20"/>
          <w:szCs w:val="20"/>
          <w:color w:val="auto"/>
        </w:rPr>
      </w:pPr>
      <w:r>
        <w:rPr>
          <w:rFonts w:ascii="Times New Roman" w:cs="Times New Roman" w:eastAsia="Times New Roman" w:hAnsi="Times New Roman"/>
          <w:sz w:val="15"/>
          <w:szCs w:val="15"/>
          <w:color w:val="auto"/>
        </w:rPr>
        <w:t>the conversion of 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shares of our Class B common stock into Class A common stock in connection with the sale of such shares in the secondary</w:t>
      </w:r>
    </w:p>
    <w:p>
      <w:pPr>
        <w:spacing w:after="0" w:line="327" w:lineRule="exact"/>
        <w:rPr>
          <w:sz w:val="20"/>
          <w:szCs w:val="20"/>
          <w:color w:val="auto"/>
        </w:rPr>
      </w:pPr>
    </w:p>
    <w:p>
      <w:pPr>
        <w:sectPr>
          <w:pgSz w:w="11900" w:h="16838" w:orient="portrait"/>
          <w:cols w:equalWidth="0" w:num="3">
            <w:col w:w="620" w:space="220"/>
            <w:col w:w="1040" w:space="600"/>
            <w:col w:w="7920"/>
          </w:cols>
          <w:pgMar w:left="580" w:top="121" w:right="919" w:bottom="1440" w:gutter="0" w:footer="0" w:header="0"/>
          <w:type w:val="continuous"/>
        </w:sectPr>
      </w:pPr>
    </w:p>
    <w:p>
      <w:pPr>
        <w:ind w:left="840" w:hanging="276"/>
        <w:spacing w:after="0"/>
        <w:tabs>
          <w:tab w:leader="none" w:pos="8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outstanding stock options or settlement of outstanding RSUs subsequent to October 26, 2020; and</w:t>
      </w:r>
    </w:p>
    <w:p>
      <w:pPr>
        <w:spacing w:after="0" w:line="146" w:lineRule="exact"/>
        <w:rPr>
          <w:sz w:val="20"/>
          <w:szCs w:val="20"/>
          <w:color w:val="auto"/>
        </w:rPr>
      </w:pPr>
    </w:p>
    <w:p>
      <w:pPr>
        <w:ind w:left="560"/>
        <w:spacing w:after="0"/>
        <w:tabs>
          <w:tab w:leader="none" w:pos="820" w:val="left"/>
          <w:tab w:leader="none" w:pos="5940" w:val="left"/>
        </w:tabs>
        <w:rPr>
          <w:sz w:val="20"/>
          <w:szCs w:val="20"/>
          <w:color w:val="auto"/>
        </w:rPr>
      </w:pPr>
      <w:r>
        <w:rPr>
          <w:rFonts w:ascii="Times New Roman" w:cs="Times New Roman" w:eastAsia="Times New Roman" w:hAnsi="Times New Roman"/>
          <w:sz w:val="15"/>
          <w:szCs w:val="15"/>
          <w:color w:val="auto"/>
        </w:rPr>
        <w:t>•</w:t>
        <w:tab/>
        <w:t>no exercise by the underwriters of their option to purchase up to an additional</w:t>
      </w:r>
      <w:r>
        <w:rPr>
          <w:sz w:val="20"/>
          <w:szCs w:val="20"/>
          <w:color w:val="auto"/>
        </w:rPr>
        <w:tab/>
      </w:r>
      <w:r>
        <w:rPr>
          <w:rFonts w:ascii="Times New Roman" w:cs="Times New Roman" w:eastAsia="Times New Roman" w:hAnsi="Times New Roman"/>
          <w:sz w:val="15"/>
          <w:szCs w:val="15"/>
          <w:color w:val="auto"/>
        </w:rPr>
        <w:t>shares of our Class A common stock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400"/>
          </w:cols>
          <w:pgMar w:left="580" w:top="121" w:right="919" w:bottom="1440" w:gutter="0" w:footer="0" w:header="0"/>
          <w:type w:val="continuous"/>
        </w:sectPr>
      </w:pPr>
    </w:p>
    <w:bookmarkStart w:id="15" w:name="page16"/>
    <w:bookmarkEnd w:id="15"/>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6135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613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SUMMARY FINANCIAL AND OTHER DATA</w:t>
      </w:r>
    </w:p>
    <w:p>
      <w:pPr>
        <w:spacing w:after="0" w:line="150" w:lineRule="exact"/>
        <w:rPr>
          <w:sz w:val="20"/>
          <w:szCs w:val="20"/>
          <w:color w:val="auto"/>
        </w:rPr>
      </w:pPr>
    </w:p>
    <w:p>
      <w:pPr>
        <w:ind w:left="300" w:right="40" w:firstLine="273"/>
        <w:spacing w:after="0" w:line="257" w:lineRule="auto"/>
        <w:rPr>
          <w:sz w:val="20"/>
          <w:szCs w:val="20"/>
          <w:color w:val="auto"/>
        </w:rPr>
      </w:pPr>
      <w:r>
        <w:rPr>
          <w:rFonts w:ascii="Times New Roman" w:cs="Times New Roman" w:eastAsia="Times New Roman" w:hAnsi="Times New Roman"/>
          <w:sz w:val="15"/>
          <w:szCs w:val="15"/>
          <w:color w:val="auto"/>
        </w:rPr>
        <w:t>The following tables summarize our financial and other data. We have derived the summary statement of operations data for the years ended December 31, 2018 and 2019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generally accepted accounting principles in the United States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Statement of Operations Data</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160"/>
        </w:trPr>
        <w:tc>
          <w:tcPr>
            <w:tcW w:w="4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4"/>
          </w:tcPr>
          <w:p>
            <w:pPr>
              <w:jc w:val="right"/>
              <w:ind w:right="708"/>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60" w:type="dxa"/>
            <w:vAlign w:val="bottom"/>
            <w:gridSpan w:val="4"/>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07"/>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ind w:right="507"/>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86"/>
              <w:spacing w:after="0"/>
              <w:rPr>
                <w:sz w:val="20"/>
                <w:szCs w:val="20"/>
                <w:color w:val="auto"/>
              </w:rPr>
            </w:pPr>
            <w:r>
              <w:rPr>
                <w:rFonts w:ascii="Times New Roman" w:cs="Times New Roman" w:eastAsia="Times New Roman" w:hAnsi="Times New Roman"/>
                <w:sz w:val="12"/>
                <w:szCs w:val="12"/>
                <w:b w:val="1"/>
                <w:bCs w:val="1"/>
                <w:color w:val="auto"/>
              </w:rPr>
              <w:t>2020</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5"/>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1"/>
                <w:szCs w:val="11"/>
                <w:i w:val="1"/>
                <w:iCs w:val="1"/>
                <w:color w:val="auto"/>
              </w:rPr>
              <w:t>(in thousands, except share and per share data)</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5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0" w:type="dxa"/>
            <w:vAlign w:val="bottom"/>
          </w:tcPr>
          <w:p>
            <w:pPr>
              <w:spacing w:after="0"/>
              <w:rPr>
                <w:sz w:val="1"/>
                <w:szCs w:val="1"/>
                <w:color w:val="auto"/>
              </w:rPr>
            </w:pPr>
          </w:p>
        </w:tc>
      </w:tr>
      <w:tr>
        <w:trPr>
          <w:trHeight w:val="185"/>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80" w:type="dxa"/>
            <w:vAlign w:val="bottom"/>
            <w:shd w:val="clear" w:color="auto" w:fill="CCEEFF"/>
          </w:tcPr>
          <w:p>
            <w:pPr>
              <w:ind w:left="200"/>
              <w:spacing w:after="0" w:line="193" w:lineRule="exact"/>
              <w:rPr>
                <w:sz w:val="20"/>
                <w:szCs w:val="20"/>
                <w:color w:val="auto"/>
              </w:rPr>
            </w:pPr>
            <w:r>
              <w:rPr>
                <w:rFonts w:ascii="Times New Roman" w:cs="Times New Roman" w:eastAsia="Times New Roman" w:hAnsi="Times New Roman"/>
                <w:sz w:val="15"/>
                <w:szCs w:val="15"/>
                <w:color w:val="auto"/>
              </w:rPr>
              <w:t>Research and development</w:t>
            </w:r>
            <w:r>
              <w:rPr>
                <w:rFonts w:ascii="Times New Roman" w:cs="Times New Roman" w:eastAsia="Times New Roman" w:hAnsi="Times New Roman"/>
                <w:sz w:val="19"/>
                <w:szCs w:val="19"/>
                <w:color w:val="auto"/>
                <w:vertAlign w:val="superscript"/>
              </w:rPr>
              <w:t>(1)</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13,520</w:t>
            </w:r>
          </w:p>
        </w:tc>
        <w:tc>
          <w:tcPr>
            <w:tcW w:w="0" w:type="dxa"/>
            <w:vAlign w:val="bottom"/>
          </w:tcPr>
          <w:p>
            <w:pPr>
              <w:spacing w:after="0"/>
              <w:rPr>
                <w:sz w:val="1"/>
                <w:szCs w:val="1"/>
                <w:color w:val="auto"/>
              </w:rPr>
            </w:pPr>
          </w:p>
        </w:tc>
      </w:tr>
      <w:tr>
        <w:trPr>
          <w:trHeight w:val="193"/>
        </w:trPr>
        <w:tc>
          <w:tcPr>
            <w:tcW w:w="4280" w:type="dxa"/>
            <w:vAlign w:val="bottom"/>
            <w:tcBorders>
              <w:bottom w:val="single" w:sz="8" w:color="CCEEFF"/>
            </w:tcBorders>
          </w:tcPr>
          <w:p>
            <w:pPr>
              <w:ind w:left="200"/>
              <w:spacing w:after="0" w:line="193" w:lineRule="exact"/>
              <w:rPr>
                <w:sz w:val="20"/>
                <w:szCs w:val="20"/>
                <w:color w:val="auto"/>
              </w:rPr>
            </w:pPr>
            <w:r>
              <w:rPr>
                <w:rFonts w:ascii="Times New Roman" w:cs="Times New Roman" w:eastAsia="Times New Roman" w:hAnsi="Times New Roman"/>
                <w:sz w:val="15"/>
                <w:szCs w:val="15"/>
                <w:color w:val="auto"/>
              </w:rPr>
              <w:t>General and administrative</w:t>
            </w:r>
            <w:r>
              <w:rPr>
                <w:rFonts w:ascii="Times New Roman" w:cs="Times New Roman" w:eastAsia="Times New Roman" w:hAnsi="Times New Roman"/>
                <w:sz w:val="19"/>
                <w:szCs w:val="19"/>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0" w:type="dxa"/>
            <w:vAlign w:val="bottom"/>
          </w:tcPr>
          <w:p>
            <w:pPr>
              <w:spacing w:after="0"/>
              <w:rPr>
                <w:sz w:val="1"/>
                <w:szCs w:val="1"/>
                <w:color w:val="auto"/>
              </w:rPr>
            </w:pPr>
          </w:p>
        </w:tc>
      </w:tr>
      <w:tr>
        <w:trPr>
          <w:trHeight w:val="20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20,928</w:t>
            </w: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(20,608)</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42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expense</w:t>
            </w:r>
          </w:p>
        </w:tc>
        <w:tc>
          <w:tcPr>
            <w:tcW w:w="3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7"/>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other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0" w:type="dxa"/>
            <w:vAlign w:val="bottom"/>
          </w:tcPr>
          <w:p>
            <w:pPr>
              <w:spacing w:after="0"/>
              <w:rPr>
                <w:sz w:val="1"/>
                <w:szCs w:val="1"/>
                <w:color w:val="auto"/>
              </w:rPr>
            </w:pP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(6,307)</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(16,038)</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(10,892)</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(19,839)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28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color w:val="auto"/>
              </w:rPr>
              <w:t>Net loss per share attributable to common stockholders, basic and</w:t>
            </w:r>
          </w:p>
        </w:tc>
        <w:tc>
          <w:tcPr>
            <w:tcW w:w="340" w:type="dxa"/>
            <w:vAlign w:val="bottom"/>
            <w:vMerge w:val="restart"/>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500" w:type="dxa"/>
            <w:vAlign w:val="bottom"/>
            <w:gridSpan w:val="2"/>
            <w:vMerge w:val="restart"/>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0" w:type="dxa"/>
            <w:vAlign w:val="bottom"/>
          </w:tcPr>
          <w:p>
            <w:pPr>
              <w:spacing w:after="0"/>
              <w:rPr>
                <w:sz w:val="1"/>
                <w:szCs w:val="1"/>
                <w:color w:val="auto"/>
              </w:rPr>
            </w:pPr>
          </w:p>
        </w:tc>
      </w:tr>
      <w:tr>
        <w:trPr>
          <w:trHeight w:val="190"/>
        </w:trPr>
        <w:tc>
          <w:tcPr>
            <w:tcW w:w="428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5"/>
                <w:szCs w:val="15"/>
                <w:color w:val="auto"/>
              </w:rPr>
              <w:t>diluted</w:t>
            </w:r>
            <w:r>
              <w:rPr>
                <w:rFonts w:ascii="Times New Roman" w:cs="Times New Roman" w:eastAsia="Times New Roman" w:hAnsi="Times New Roman"/>
                <w:sz w:val="19"/>
                <w:szCs w:val="19"/>
                <w:color w:val="auto"/>
                <w:vertAlign w:val="superscript"/>
              </w:rPr>
              <w:t>(2)</w:t>
            </w:r>
          </w:p>
        </w:tc>
        <w:tc>
          <w:tcPr>
            <w:tcW w:w="3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tcPr>
          <w:p>
            <w:pPr>
              <w:ind w:left="20"/>
              <w:spacing w:after="0" w:line="170" w:lineRule="exact"/>
              <w:rPr>
                <w:sz w:val="20"/>
                <w:szCs w:val="20"/>
                <w:color w:val="auto"/>
              </w:rPr>
            </w:pPr>
            <w:r>
              <w:rPr>
                <w:rFonts w:ascii="Times New Roman" w:cs="Times New Roman" w:eastAsia="Times New Roman" w:hAnsi="Times New Roman"/>
                <w:sz w:val="15"/>
                <w:szCs w:val="15"/>
                <w:color w:val="auto"/>
              </w:rPr>
              <w:t>Weighted-average common shares outstanding, basic and diluted</w:t>
            </w:r>
            <w:r>
              <w:rPr>
                <w:rFonts w:ascii="Times New Roman" w:cs="Times New Roman" w:eastAsia="Times New Roman" w:hAnsi="Times New Roman"/>
                <w:sz w:val="19"/>
                <w:szCs w:val="19"/>
                <w:color w:val="auto"/>
                <w:vertAlign w:val="superscript"/>
              </w:rPr>
              <w:t>(2)</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8,502,926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14,878,157</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13,987,682</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20,778,317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8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Pro forma net loss per common share, basic and diluted</w:t>
            </w:r>
            <w:r>
              <w:rPr>
                <w:rFonts w:ascii="Times New Roman" w:cs="Times New Roman" w:eastAsia="Times New Roman" w:hAnsi="Times New Roman"/>
                <w:sz w:val="18"/>
                <w:szCs w:val="18"/>
                <w:color w:val="auto"/>
                <w:vertAlign w:val="superscript"/>
              </w:rPr>
              <w:t>(2)</w:t>
            </w: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(0.35)</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31" w:lineRule="exact"/>
              <w:rPr>
                <w:sz w:val="20"/>
                <w:szCs w:val="20"/>
                <w:color w:val="auto"/>
              </w:rPr>
            </w:pPr>
            <w:r>
              <w:rPr>
                <w:rFonts w:ascii="Times New Roman" w:cs="Times New Roman" w:eastAsia="Times New Roman" w:hAnsi="Times New Roman"/>
                <w:sz w:val="15"/>
                <w:szCs w:val="15"/>
                <w:color w:val="auto"/>
              </w:rPr>
              <w:t>Pro forma weighted-average common shares used to compute basic</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2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45,913,238</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75,804,154</w:t>
            </w:r>
          </w:p>
        </w:tc>
        <w:tc>
          <w:tcPr>
            <w:tcW w:w="0" w:type="dxa"/>
            <w:vAlign w:val="bottom"/>
          </w:tcPr>
          <w:p>
            <w:pPr>
              <w:spacing w:after="0"/>
              <w:rPr>
                <w:sz w:val="1"/>
                <w:szCs w:val="1"/>
                <w:color w:val="auto"/>
              </w:rPr>
            </w:pPr>
          </w:p>
        </w:tc>
      </w:tr>
      <w:tr>
        <w:trPr>
          <w:trHeight w:val="170"/>
        </w:trPr>
        <w:tc>
          <w:tcPr>
            <w:tcW w:w="4280" w:type="dxa"/>
            <w:vAlign w:val="bottom"/>
          </w:tcPr>
          <w:p>
            <w:pPr>
              <w:ind w:left="160"/>
              <w:spacing w:after="0" w:line="171" w:lineRule="exact"/>
              <w:rPr>
                <w:sz w:val="20"/>
                <w:szCs w:val="20"/>
                <w:color w:val="auto"/>
              </w:rPr>
            </w:pPr>
            <w:r>
              <w:rPr>
                <w:rFonts w:ascii="Times New Roman" w:cs="Times New Roman" w:eastAsia="Times New Roman" w:hAnsi="Times New Roman"/>
                <w:sz w:val="15"/>
                <w:szCs w:val="15"/>
                <w:color w:val="auto"/>
              </w:rPr>
              <w:t>and diluted net loss per common share</w:t>
            </w:r>
            <w:r>
              <w:rPr>
                <w:rFonts w:ascii="Times New Roman" w:cs="Times New Roman" w:eastAsia="Times New Roman" w:hAnsi="Times New Roman"/>
                <w:sz w:val="19"/>
                <w:szCs w:val="19"/>
                <w:color w:val="auto"/>
                <w:vertAlign w:val="superscript"/>
              </w:rPr>
              <w:t>(2)</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2"/>
                <w:szCs w:val="12"/>
                <w:color w:val="auto"/>
              </w:rPr>
              <w:t>__________________</w:t>
            </w: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2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  Costs and expenses include stock-based compensation as follows: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4"/>
          </w:tcPr>
          <w:p>
            <w:pPr>
              <w:jc w:val="right"/>
              <w:ind w:right="708"/>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gridSpan w:val="4"/>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07"/>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ind w:right="507"/>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86"/>
              <w:spacing w:after="0"/>
              <w:rPr>
                <w:sz w:val="20"/>
                <w:szCs w:val="20"/>
                <w:color w:val="auto"/>
              </w:rPr>
            </w:pPr>
            <w:r>
              <w:rPr>
                <w:rFonts w:ascii="Times New Roman" w:cs="Times New Roman" w:eastAsia="Times New Roman" w:hAnsi="Times New Roman"/>
                <w:sz w:val="12"/>
                <w:szCs w:val="12"/>
                <w:b w:val="1"/>
                <w:bCs w:val="1"/>
                <w:color w:val="auto"/>
              </w:rPr>
              <w:t>2020</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right"/>
              <w:ind w:right="44"/>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500" w:type="dxa"/>
            <w:vAlign w:val="bottom"/>
            <w:tcBorders>
              <w:bottom w:val="single" w:sz="8" w:color="CCEEFF"/>
            </w:tcBorders>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0" w:type="dxa"/>
            <w:vAlign w:val="bottom"/>
          </w:tcPr>
          <w:p>
            <w:pPr>
              <w:spacing w:after="0"/>
              <w:rPr>
                <w:sz w:val="1"/>
                <w:szCs w:val="1"/>
                <w:color w:val="auto"/>
              </w:rPr>
            </w:pPr>
          </w:p>
        </w:tc>
      </w:tr>
      <w:tr>
        <w:trPr>
          <w:trHeight w:val="205"/>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2,003</w:t>
            </w:r>
          </w:p>
        </w:tc>
        <w:tc>
          <w:tcPr>
            <w:tcW w:w="0" w:type="dxa"/>
            <w:vAlign w:val="bottom"/>
          </w:tcPr>
          <w:p>
            <w:pPr>
              <w:spacing w:after="0"/>
              <w:rPr>
                <w:sz w:val="1"/>
                <w:szCs w:val="1"/>
                <w:color w:val="auto"/>
              </w:rPr>
            </w:pPr>
          </w:p>
        </w:tc>
      </w:tr>
      <w:tr>
        <w:trPr>
          <w:trHeight w:val="22"/>
        </w:trPr>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500" w:type="dxa"/>
            <w:vAlign w:val="bottom"/>
            <w:tcBorders>
              <w:bottom w:val="single" w:sz="8" w:color="CCEEFF"/>
            </w:tcBorders>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420"/>
          </w:cols>
          <w:pgMar w:left="580" w:top="121" w:right="899"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678180</wp:posOffset>
            </wp:positionV>
            <wp:extent cx="7159625" cy="366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 w:right="180" w:hanging="269"/>
        <w:spacing w:after="0" w:line="271" w:lineRule="auto"/>
        <w:tabs>
          <w:tab w:leader="none" w:pos="553"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Balance Sheet Data</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160"/>
        </w:trPr>
        <w:tc>
          <w:tcPr>
            <w:tcW w:w="5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5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restart"/>
          </w:tcPr>
          <w:p>
            <w:pPr>
              <w:jc w:val="right"/>
              <w:ind w:right="506"/>
              <w:spacing w:after="0"/>
              <w:rPr>
                <w:sz w:val="20"/>
                <w:szCs w:val="20"/>
                <w:color w:val="auto"/>
              </w:rPr>
            </w:pPr>
            <w:r>
              <w:rPr>
                <w:rFonts w:ascii="Times New Roman" w:cs="Times New Roman" w:eastAsia="Times New Roman" w:hAnsi="Times New Roman"/>
                <w:sz w:val="12"/>
                <w:szCs w:val="12"/>
                <w:b w:val="1"/>
                <w:bCs w:val="1"/>
                <w:color w:val="auto"/>
              </w:rPr>
              <w:t>Actual</w:t>
            </w:r>
          </w:p>
        </w:tc>
        <w:tc>
          <w:tcPr>
            <w:tcW w:w="260" w:type="dxa"/>
            <w:vAlign w:val="bottom"/>
          </w:tcPr>
          <w:p>
            <w:pPr>
              <w:spacing w:after="0"/>
              <w:rPr>
                <w:sz w:val="9"/>
                <w:szCs w:val="9"/>
                <w:color w:val="auto"/>
              </w:rPr>
            </w:pPr>
          </w:p>
        </w:tc>
        <w:tc>
          <w:tcPr>
            <w:tcW w:w="12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2"/>
                <w:szCs w:val="12"/>
                <w:b w:val="1"/>
                <w:bCs w:val="1"/>
                <w:color w:val="auto"/>
                <w:w w:val="99"/>
              </w:rPr>
              <w:t>Pro Forma</w:t>
            </w:r>
            <w:r>
              <w:rPr>
                <w:rFonts w:ascii="Times New Roman" w:cs="Times New Roman" w:eastAsia="Times New Roman" w:hAnsi="Times New Roman"/>
                <w:sz w:val="7"/>
                <w:szCs w:val="7"/>
                <w:b w:val="1"/>
                <w:bCs w:val="1"/>
                <w:color w:val="auto"/>
                <w:w w:val="99"/>
              </w:rPr>
              <w:t>(1)</w:t>
            </w:r>
          </w:p>
        </w:tc>
        <w:tc>
          <w:tcPr>
            <w:tcW w:w="142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 Forma as Adjusted</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09"/>
        </w:trPr>
        <w:tc>
          <w:tcPr>
            <w:tcW w:w="57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208"/>
              <w:spacing w:after="0"/>
              <w:rPr>
                <w:sz w:val="20"/>
                <w:szCs w:val="20"/>
                <w:color w:val="auto"/>
              </w:rPr>
            </w:pPr>
            <w:r>
              <w:rPr>
                <w:rFonts w:ascii="Times New Roman" w:cs="Times New Roman" w:eastAsia="Times New Roman" w:hAnsi="Times New Roman"/>
                <w:sz w:val="12"/>
                <w:szCs w:val="12"/>
                <w:i w:val="1"/>
                <w:iCs w:val="1"/>
                <w:color w:val="auto"/>
                <w:w w:val="98"/>
              </w:rPr>
              <w:t>(in thousands)</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investments</w:t>
            </w:r>
          </w:p>
        </w:tc>
        <w:tc>
          <w:tcPr>
            <w:tcW w:w="32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121,506</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121,506</w:t>
            </w: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Working capital</w:t>
            </w:r>
            <w:r>
              <w:rPr>
                <w:rFonts w:ascii="Times New Roman" w:cs="Times New Roman" w:eastAsia="Times New Roman" w:hAnsi="Times New Roman"/>
                <w:sz w:val="19"/>
                <w:szCs w:val="19"/>
                <w:color w:val="auto"/>
                <w:vertAlign w:val="superscript"/>
              </w:rPr>
              <w:t>(4)</w:t>
            </w:r>
          </w:p>
        </w:tc>
        <w:tc>
          <w:tcPr>
            <w:tcW w:w="320" w:type="dxa"/>
            <w:vAlign w:val="bottom"/>
          </w:tcPr>
          <w:p>
            <w:pPr>
              <w:spacing w:after="0"/>
              <w:rPr>
                <w:sz w:val="19"/>
                <w:szCs w:val="19"/>
                <w:color w:val="auto"/>
              </w:rPr>
            </w:pP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117,451</w:t>
            </w:r>
          </w:p>
        </w:tc>
        <w:tc>
          <w:tcPr>
            <w:tcW w:w="260" w:type="dxa"/>
            <w:vAlign w:val="bottom"/>
          </w:tcPr>
          <w:p>
            <w:pPr>
              <w:spacing w:after="0"/>
              <w:rPr>
                <w:sz w:val="19"/>
                <w:szCs w:val="19"/>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117,451</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133,890</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133,890</w:t>
            </w: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w:t>
            </w:r>
          </w:p>
        </w:tc>
        <w:tc>
          <w:tcPr>
            <w:tcW w:w="320" w:type="dxa"/>
            <w:vAlign w:val="bottom"/>
          </w:tcPr>
          <w:p>
            <w:pPr>
              <w:spacing w:after="0"/>
              <w:rPr>
                <w:sz w:val="17"/>
                <w:szCs w:val="17"/>
                <w:color w:val="auto"/>
              </w:rPr>
            </w:pP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8,354</w:t>
            </w:r>
          </w:p>
        </w:tc>
        <w:tc>
          <w:tcPr>
            <w:tcW w:w="2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8,354</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(42,425)</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(42,600)</w:t>
            </w: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320" w:type="dxa"/>
            <w:vAlign w:val="bottom"/>
          </w:tcPr>
          <w:p>
            <w:pPr>
              <w:spacing w:after="0"/>
              <w:rPr>
                <w:sz w:val="17"/>
                <w:szCs w:val="17"/>
                <w:color w:val="auto"/>
              </w:rPr>
            </w:pPr>
          </w:p>
        </w:tc>
        <w:tc>
          <w:tcPr>
            <w:tcW w:w="11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125,536</w:t>
            </w:r>
          </w:p>
        </w:tc>
        <w:tc>
          <w:tcPr>
            <w:tcW w:w="26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125,536</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__________________</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60" w:hanging="269"/>
        <w:spacing w:after="0" w:line="237" w:lineRule="auto"/>
        <w:tabs>
          <w:tab w:leader="none" w:pos="553"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column in the balance sheet data table above reflects (i) the automatic conversion of all shares of our convertible preferred stock into 62,117,410 shares of Class A common stock, as if such conversions had occurred on September 30, 2020, and (ii) 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w:t>
      </w:r>
    </w:p>
    <w:p>
      <w:pPr>
        <w:ind w:left="300"/>
        <w:spacing w:after="0" w:line="237" w:lineRule="auto"/>
        <w:tabs>
          <w:tab w:leader="none" w:pos="540" w:val="left"/>
          <w:tab w:leader="none" w:pos="8340" w:val="left"/>
        </w:tabs>
        <w:rPr>
          <w:sz w:val="20"/>
          <w:szCs w:val="20"/>
          <w:color w:val="auto"/>
        </w:rPr>
      </w:pPr>
      <w:r>
        <w:rPr>
          <w:rFonts w:ascii="Times New Roman" w:cs="Times New Roman" w:eastAsia="Times New Roman" w:hAnsi="Times New Roman"/>
          <w:sz w:val="12"/>
          <w:szCs w:val="12"/>
          <w:color w:val="auto"/>
        </w:rPr>
        <w:t>(2)</w:t>
        <w:tab/>
        <w:t>The pro forma as adjusted column in the balance sheet data table above gives effect to (i) the pro forma adjustments set forth above and (ii) the receipt of $</w:t>
      </w:r>
      <w:r>
        <w:rPr>
          <w:sz w:val="20"/>
          <w:szCs w:val="20"/>
          <w:color w:val="auto"/>
        </w:rPr>
        <w:tab/>
      </w:r>
      <w:r>
        <w:rPr>
          <w:rFonts w:ascii="Times New Roman" w:cs="Times New Roman" w:eastAsia="Times New Roman" w:hAnsi="Times New Roman"/>
          <w:sz w:val="12"/>
          <w:szCs w:val="12"/>
          <w:color w:val="auto"/>
        </w:rPr>
        <w:t>million in net proceeds from the sale and</w:t>
      </w:r>
    </w:p>
    <w:p>
      <w:pPr>
        <w:ind w:left="560"/>
        <w:spacing w:after="0" w:line="237" w:lineRule="auto"/>
        <w:tabs>
          <w:tab w:leader="none" w:pos="8840" w:val="left"/>
        </w:tabs>
        <w:rPr>
          <w:sz w:val="20"/>
          <w:szCs w:val="20"/>
          <w:color w:val="auto"/>
        </w:rPr>
      </w:pPr>
      <w:r>
        <w:rPr>
          <w:rFonts w:ascii="Times New Roman" w:cs="Times New Roman" w:eastAsia="Times New Roman" w:hAnsi="Times New Roman"/>
          <w:sz w:val="12"/>
          <w:szCs w:val="12"/>
          <w:color w:val="auto"/>
        </w:rPr>
        <w:t>issuance by us of shares of our Class A common stock in this offering and the concurrent private placement, based upon the assumed initial public offering price of $</w:t>
      </w:r>
      <w:r>
        <w:rPr>
          <w:sz w:val="20"/>
          <w:szCs w:val="20"/>
          <w:color w:val="auto"/>
        </w:rPr>
        <w:tab/>
      </w:r>
      <w:r>
        <w:rPr>
          <w:rFonts w:ascii="Times New Roman" w:cs="Times New Roman" w:eastAsia="Times New Roman" w:hAnsi="Times New Roman"/>
          <w:sz w:val="12"/>
          <w:szCs w:val="12"/>
          <w:color w:val="auto"/>
        </w:rPr>
        <w:t>per share, which is the midpoint</w:t>
      </w:r>
    </w:p>
    <w:p>
      <w:pPr>
        <w:ind w:left="560"/>
        <w:spacing w:after="0" w:line="237" w:lineRule="auto"/>
        <w:rPr>
          <w:sz w:val="20"/>
          <w:szCs w:val="20"/>
          <w:color w:val="auto"/>
        </w:rPr>
      </w:pPr>
      <w:r>
        <w:rPr>
          <w:rFonts w:ascii="Times New Roman" w:cs="Times New Roman" w:eastAsia="Times New Roman" w:hAnsi="Times New Roman"/>
          <w:sz w:val="12"/>
          <w:szCs w:val="12"/>
          <w:color w:val="auto"/>
        </w:rPr>
        <w:t>of the estimated offering price range set forth on the cover page of this prospectus, and after deducting estimated underwriting discounts and commissions and estimated offering expenses payable by us.</w:t>
      </w:r>
    </w:p>
    <w:p>
      <w:pPr>
        <w:ind w:left="560" w:hanging="269"/>
        <w:spacing w:after="0" w:line="237" w:lineRule="auto"/>
        <w:tabs>
          <w:tab w:leader="none" w:pos="5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$1.00 increase or decrease in the assumed initial public offering price of $per share, which is the midpoint of the estimated offering price range set forth on the cover page of this prospectus,</w:t>
      </w:r>
    </w:p>
    <w:p>
      <w:pPr>
        <w:ind w:left="560" w:right="20"/>
        <w:spacing w:after="0" w:line="632" w:lineRule="auto"/>
        <w:rPr>
          <w:sz w:val="20"/>
          <w:szCs w:val="20"/>
          <w:color w:val="auto"/>
        </w:rPr>
      </w:pPr>
      <w:r>
        <w:rPr>
          <w:rFonts w:ascii="Times New Roman" w:cs="Times New Roman" w:eastAsia="Times New Roman" w:hAnsi="Times New Roman"/>
          <w:sz w:val="12"/>
          <w:szCs w:val="12"/>
          <w:color w:val="auto"/>
        </w:rPr>
        <w:t>would increase or decrease, as applicable, the amount of our pro forma as adjusted cash, cash equivalents and investments, working capital, total assets and total stockholders’ equity by $ , assuming that the number of shares of Class A common stock offered by us, as set forth on the cover page of this prospectus, remains the same, after deducting estimated underwriting discounts and commissions payable by us. An increase or decrease of 1.0 million shares in the number of shares of Class A common stock offered by us would increase or decrease, as applicable, the amount of our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right="340"/>
        <w:spacing w:after="0" w:line="249" w:lineRule="auto"/>
        <w:rPr>
          <w:sz w:val="20"/>
          <w:szCs w:val="20"/>
          <w:color w:val="auto"/>
        </w:rPr>
      </w:pPr>
      <w:r>
        <w:rPr>
          <w:rFonts w:ascii="Times New Roman" w:cs="Times New Roman" w:eastAsia="Times New Roman" w:hAnsi="Times New Roman"/>
          <w:sz w:val="12"/>
          <w:szCs w:val="12"/>
          <w:color w:val="auto"/>
        </w:rPr>
        <w:t>adjusted cash, cash equivalents and investments, working capital, total assets and total stockholders’ equity by $ assuming the assumed initial public offering price remains the same, and after deducting estimated underwriting discounts and commissions payable by us.</w:t>
      </w:r>
    </w:p>
    <w:p>
      <w:pPr>
        <w:ind w:left="560" w:hanging="269"/>
        <w:spacing w:after="0"/>
        <w:tabs>
          <w:tab w:leader="none" w:pos="56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420"/>
          </w:cols>
          <w:pgMar w:left="580" w:top="121" w:right="899" w:bottom="1440" w:gutter="0" w:footer="0" w:header="0"/>
        </w:sectPr>
      </w:pPr>
    </w:p>
    <w:bookmarkStart w:id="17" w:name="page18"/>
    <w:bookmarkEnd w:id="1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GLOSSARY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Key Terms Used in this Prospectus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Accuracy.  </w:t>
      </w:r>
      <w:r>
        <w:rPr>
          <w:rFonts w:ascii="Times New Roman" w:cs="Times New Roman" w:eastAsia="Times New Roman" w:hAnsi="Times New Roman"/>
          <w:sz w:val="15"/>
          <w:szCs w:val="15"/>
          <w:color w:val="auto"/>
        </w:rPr>
        <w:t>In the context of proteomics studies, accuracy of measurement refers to how close the measured abundance of a protein is to the true abundance in a sample.</w:t>
      </w:r>
    </w:p>
    <w:p>
      <w:pPr>
        <w:spacing w:after="0" w:line="146" w:lineRule="exact"/>
        <w:rPr>
          <w:sz w:val="20"/>
          <w:szCs w:val="20"/>
          <w:color w:val="auto"/>
        </w:rPr>
      </w:pPr>
    </w:p>
    <w:p>
      <w:pPr>
        <w:jc w:val="both"/>
        <w:ind w:right="260"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Biased. </w:t>
      </w:r>
      <w:r>
        <w:rPr>
          <w:rFonts w:ascii="Times New Roman" w:cs="Times New Roman" w:eastAsia="Times New Roman" w:hAnsi="Times New Roman"/>
          <w:sz w:val="15"/>
          <w:szCs w:val="15"/>
          <w:color w:val="auto"/>
        </w:rPr>
        <w:t>Biased refers to molecular analyses that depend upon specific ligands that are targeted to specific proteins in the case of biased proteomics, or to specific genes or gene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mutations in the case of biased genomics. Biased contrasts with unbiased, which does not require specific ligands to target molecules. Biased is also referred to as targeted since the ligands used are directed against specific target molecules.</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Breadth. </w:t>
      </w:r>
      <w:r>
        <w:rPr>
          <w:rFonts w:ascii="Times New Roman" w:cs="Times New Roman" w:eastAsia="Times New Roman" w:hAnsi="Times New Roman"/>
          <w:sz w:val="15"/>
          <w:szCs w:val="15"/>
          <w:color w:val="auto"/>
        </w:rPr>
        <w:t>In the context of proteomics studies, breadth of sampling refers to the number of proteins that are sampled in a proteomics study.</w:t>
      </w:r>
    </w:p>
    <w:p>
      <w:pPr>
        <w:spacing w:after="0" w:line="146" w:lineRule="exact"/>
        <w:rPr>
          <w:sz w:val="20"/>
          <w:szCs w:val="20"/>
          <w:color w:val="auto"/>
        </w:rPr>
      </w:pPr>
    </w:p>
    <w:p>
      <w:pPr>
        <w:ind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Centralized. </w:t>
      </w:r>
      <w:r>
        <w:rPr>
          <w:rFonts w:ascii="Times New Roman" w:cs="Times New Roman" w:eastAsia="Times New Roman" w:hAnsi="Times New Roman"/>
          <w:sz w:val="15"/>
          <w:szCs w:val="15"/>
          <w:color w:val="auto"/>
        </w:rPr>
        <w:t>Centralized refers to a centralized laboratory in an institution where services, often highly technical or requiring specific capabilities and equipment, are performed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others in the institution. Examples of centralized laboratories include core labs for proteomics and genomics. Centralized contrasts with decentralized laboratories where technology and/or equipment is dispersed in an institution.</w:t>
      </w:r>
    </w:p>
    <w:p>
      <w:pPr>
        <w:spacing w:after="0" w:line="95" w:lineRule="exact"/>
        <w:rPr>
          <w:sz w:val="20"/>
          <w:szCs w:val="20"/>
          <w:color w:val="auto"/>
        </w:rPr>
      </w:pPr>
    </w:p>
    <w:p>
      <w:pPr>
        <w:ind w:right="2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Consumables. </w:t>
      </w:r>
      <w:r>
        <w:rPr>
          <w:rFonts w:ascii="Times New Roman" w:cs="Times New Roman" w:eastAsia="Times New Roman" w:hAnsi="Times New Roman"/>
          <w:sz w:val="15"/>
          <w:szCs w:val="15"/>
          <w:color w:val="auto"/>
        </w:rPr>
        <w:t>Our consumables refer to the nanoparticle formulations, related reagents and disposable items in our assays that are provided to our customers to conduct proteomic</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assays using our Proteograph Product Suite.</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Decentralized. </w:t>
      </w:r>
      <w:r>
        <w:rPr>
          <w:rFonts w:ascii="Times New Roman" w:cs="Times New Roman" w:eastAsia="Times New Roman" w:hAnsi="Times New Roman"/>
          <w:sz w:val="15"/>
          <w:szCs w:val="15"/>
          <w:color w:val="auto"/>
        </w:rPr>
        <w:t>Decentralized refers to a laboratory configuration in an institution where a specific technology, capabilities and equipment is dispersed throughout the institution.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Decentralized contrasts with centralized where technology, capabilities and/or equipment is centralized in an institution, often in a core laboratory.</w:t>
      </w:r>
    </w:p>
    <w:p>
      <w:pPr>
        <w:spacing w:after="0" w:line="126" w:lineRule="exact"/>
        <w:rPr>
          <w:sz w:val="20"/>
          <w:szCs w:val="20"/>
          <w:color w:val="auto"/>
        </w:rPr>
      </w:pPr>
    </w:p>
    <w:p>
      <w:pPr>
        <w:ind w:right="20"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Depth. </w:t>
      </w:r>
      <w:r>
        <w:rPr>
          <w:rFonts w:ascii="Times New Roman" w:cs="Times New Roman" w:eastAsia="Times New Roman" w:hAnsi="Times New Roman"/>
          <w:sz w:val="15"/>
          <w:szCs w:val="15"/>
          <w:color w:val="auto"/>
        </w:rPr>
        <w:t>In the context of proteomics studies, depth of coverage refers to the magnitude of the range of protein concentrations that are represented in a data set of proteomic</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95" w:lineRule="exact"/>
        <w:rPr>
          <w:sz w:val="20"/>
          <w:szCs w:val="20"/>
          <w:color w:val="auto"/>
        </w:rPr>
      </w:pPr>
    </w:p>
    <w:p>
      <w:pPr>
        <w:ind w:right="20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Functional context/characterization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Functional context/characterization, in the case of genes, refers to the details of how genes are hypothesized to interact biologically, either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directly or through the mRNA or protein molecules that derive from the genes. The interactions of these molecules produce a specific biological function.</w:t>
      </w:r>
    </w:p>
    <w:p>
      <w:pPr>
        <w:spacing w:after="0" w:line="80" w:lineRule="exact"/>
        <w:rPr>
          <w:sz w:val="20"/>
          <w:szCs w:val="20"/>
          <w:color w:val="auto"/>
        </w:rPr>
      </w:pPr>
    </w:p>
    <w:p>
      <w:pPr>
        <w:ind w:right="10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Genomics. </w:t>
      </w:r>
      <w:r>
        <w:rPr>
          <w:rFonts w:ascii="Times New Roman" w:cs="Times New Roman" w:eastAsia="Times New Roman" w:hAnsi="Times New Roman"/>
          <w:sz w:val="15"/>
          <w:szCs w:val="15"/>
          <w:color w:val="auto"/>
        </w:rPr>
        <w:t>Genomics refers to the study of all an organism’s genes and their interactions to influence the organism. Large-scale studies are required to understand how changes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 organism’s genes influence the organism.</w:t>
      </w:r>
    </w:p>
    <w:p>
      <w:pPr>
        <w:spacing w:after="0" w:line="80" w:lineRule="exact"/>
        <w:rPr>
          <w:sz w:val="20"/>
          <w:szCs w:val="20"/>
          <w:color w:val="auto"/>
        </w:rPr>
      </w:pPr>
    </w:p>
    <w:p>
      <w:pPr>
        <w:ind w:right="32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Instrument. </w:t>
      </w:r>
      <w:r>
        <w:rPr>
          <w:rFonts w:ascii="Times New Roman" w:cs="Times New Roman" w:eastAsia="Times New Roman" w:hAnsi="Times New Roman"/>
          <w:sz w:val="15"/>
          <w:szCs w:val="15"/>
          <w:color w:val="auto"/>
        </w:rPr>
        <w:t>In the context of our Proteograph, our instrument refers to the automated, robotic, liquid handling workstation that is used along with our consumables to conduct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proteomic assays using our Proteograph Product Suite.</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Interactome. </w:t>
      </w:r>
      <w:r>
        <w:rPr>
          <w:rFonts w:ascii="Times New Roman" w:cs="Times New Roman" w:eastAsia="Times New Roman" w:hAnsi="Times New Roman"/>
          <w:sz w:val="15"/>
          <w:szCs w:val="15"/>
          <w:color w:val="auto"/>
        </w:rPr>
        <w:t>Interactome refers to the broad set of interaction networks among molecules, such PPIs. Other interactions may include those between small molecules and proteins.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Interrogation. </w:t>
      </w:r>
      <w:r>
        <w:rPr>
          <w:rFonts w:ascii="Times New Roman" w:cs="Times New Roman" w:eastAsia="Times New Roman" w:hAnsi="Times New Roman"/>
          <w:sz w:val="15"/>
          <w:szCs w:val="15"/>
          <w:color w:val="auto"/>
        </w:rPr>
        <w:t>In the context of our Proteograph, interrogation refers to analyses of one of more samples to explore the proteomic information contained in those samples.</w:t>
      </w:r>
    </w:p>
    <w:p>
      <w:pPr>
        <w:spacing w:after="0" w:line="146" w:lineRule="exact"/>
        <w:rPr>
          <w:sz w:val="20"/>
          <w:szCs w:val="20"/>
          <w:color w:val="auto"/>
        </w:rPr>
      </w:pPr>
    </w:p>
    <w:p>
      <w:pPr>
        <w:ind w:right="20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Large-scale. </w:t>
      </w:r>
      <w:r>
        <w:rPr>
          <w:rFonts w:ascii="Times New Roman" w:cs="Times New Roman" w:eastAsia="Times New Roman" w:hAnsi="Times New Roman"/>
          <w:sz w:val="15"/>
          <w:szCs w:val="15"/>
          <w:color w:val="auto"/>
        </w:rPr>
        <w:t>In the context of proteomics studies, large-scale refers to studies of more than 100 samples, given that most proteomics studies, particularly those that cover a wide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range of protein concentrations (i.e. deep studies) are in the range of less than 50 samples.</w:t>
      </w:r>
    </w:p>
    <w:p>
      <w:pPr>
        <w:spacing w:after="0" w:line="80" w:lineRule="exact"/>
        <w:rPr>
          <w:sz w:val="20"/>
          <w:szCs w:val="20"/>
          <w:color w:val="auto"/>
        </w:rPr>
      </w:pPr>
    </w:p>
    <w:p>
      <w:pPr>
        <w:ind w:right="22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-omics. </w:t>
      </w:r>
      <w:r>
        <w:rPr>
          <w:rFonts w:ascii="Times New Roman" w:cs="Times New Roman" w:eastAsia="Times New Roman" w:hAnsi="Times New Roman"/>
          <w:sz w:val="15"/>
          <w:szCs w:val="15"/>
          <w:color w:val="auto"/>
        </w:rPr>
        <w:t>This term refers to various different biological analyses approaches whereby researchers can analyze complex biological data, often in high throughput methods, to find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180"/>
          </w:cols>
          <w:pgMar w:left="320" w:top="121" w:right="399" w:bottom="1440" w:gutter="0" w:footer="0" w:header="0"/>
        </w:sectPr>
      </w:pPr>
    </w:p>
    <w:bookmarkStart w:id="18" w:name="page19"/>
    <w:bookmarkEnd w:id="1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5"/>
          <w:szCs w:val="15"/>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85" w:lineRule="exact"/>
        <w:rPr>
          <w:sz w:val="20"/>
          <w:szCs w:val="20"/>
          <w:color w:val="auto"/>
        </w:rPr>
      </w:pPr>
    </w:p>
    <w:p>
      <w:pPr>
        <w:ind w:right="40" w:firstLine="273"/>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Mass spectrometry (MS)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Mass spectrometry refers to an analytical technique that can be used to accurately measure the mass-to-charge ratio of different ions within a sample.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98" w:lineRule="exact"/>
        <w:rPr>
          <w:sz w:val="20"/>
          <w:szCs w:val="20"/>
          <w:color w:val="auto"/>
        </w:rPr>
      </w:pPr>
    </w:p>
    <w:p>
      <w:pPr>
        <w:ind w:right="20"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Nanoparticle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Nanoparticle refers to a particle of matter that is generally tens to hundreds of nanometers in diameter. The small size of nanoparticles, which is between atomic scale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Peptide. </w:t>
      </w:r>
      <w:r>
        <w:rPr>
          <w:rFonts w:ascii="Times New Roman" w:cs="Times New Roman" w:eastAsia="Times New Roman" w:hAnsi="Times New Roman"/>
          <w:sz w:val="15"/>
          <w:szCs w:val="15"/>
          <w:color w:val="auto"/>
        </w:rPr>
        <w:t>Peptide refers to a chemical entity that is between two and 50 amino acids. A polypeptide that contains more than 50 amino acids is labelled as a protein.</w:t>
      </w:r>
    </w:p>
    <w:p>
      <w:pPr>
        <w:spacing w:after="0" w:line="146" w:lineRule="exact"/>
        <w:rPr>
          <w:sz w:val="20"/>
          <w:szCs w:val="20"/>
          <w:color w:val="auto"/>
        </w:rPr>
      </w:pPr>
    </w:p>
    <w:p>
      <w:pPr>
        <w:ind w:right="14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Phenotype</w:t>
      </w:r>
      <w:r>
        <w:rPr>
          <w:rFonts w:ascii="Times New Roman" w:cs="Times New Roman" w:eastAsia="Times New Roman" w:hAnsi="Times New Roman"/>
          <w:sz w:val="15"/>
          <w:szCs w:val="15"/>
          <w:color w:val="auto"/>
        </w:rPr>
        <w:t>. Phenotype refers to the observable characteristics or traits of an organism, which can be manifested in form or structure by biochemical or physiological properties,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by behavior.</w:t>
      </w:r>
    </w:p>
    <w:p>
      <w:pPr>
        <w:spacing w:after="0" w:line="80" w:lineRule="exact"/>
        <w:rPr>
          <w:sz w:val="20"/>
          <w:szCs w:val="20"/>
          <w:color w:val="auto"/>
        </w:rPr>
      </w:pPr>
    </w:p>
    <w:p>
      <w:pPr>
        <w:ind w:right="20"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Polymorphism. </w:t>
      </w:r>
      <w:r>
        <w:rPr>
          <w:rFonts w:ascii="Times New Roman" w:cs="Times New Roman" w:eastAsia="Times New Roman" w:hAnsi="Times New Roman"/>
          <w:sz w:val="15"/>
          <w:szCs w:val="15"/>
          <w:color w:val="auto"/>
        </w:rPr>
        <w:t>Polymorphism refers to the occurrence of two or more forms or morphs of genes that are seen across a population. Polymorphisms can be, but are not always,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95" w:lineRule="exact"/>
        <w:rPr>
          <w:sz w:val="20"/>
          <w:szCs w:val="20"/>
          <w:color w:val="auto"/>
        </w:rPr>
      </w:pPr>
    </w:p>
    <w:p>
      <w:pPr>
        <w:ind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Post-translational modifications (PTMs). </w:t>
      </w:r>
      <w:r>
        <w:rPr>
          <w:rFonts w:ascii="Times New Roman" w:cs="Times New Roman" w:eastAsia="Times New Roman" w:hAnsi="Times New Roman"/>
          <w:sz w:val="15"/>
          <w:szCs w:val="15"/>
          <w:color w:val="auto"/>
        </w:rPr>
        <w:t>Post-translational modifications refer to the covalent and generally enzymatic modifications of proteins following protein synthesis.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Examples of PTMs include phosphorylation, which is the addition of a phosphate group to an amino acid within a protein, or glycosylation, which refers to the addition of a carbohydrate group to an amino acid within a protein.</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Precision. </w:t>
      </w:r>
      <w:r>
        <w:rPr>
          <w:rFonts w:ascii="Times New Roman" w:cs="Times New Roman" w:eastAsia="Times New Roman" w:hAnsi="Times New Roman"/>
          <w:sz w:val="15"/>
          <w:szCs w:val="15"/>
          <w:color w:val="auto"/>
        </w:rPr>
        <w:t>In the context of proteomics studies, precision of measurement refers to how close several measurements of protein abundance in the same sample are to each other.</w:t>
      </w:r>
    </w:p>
    <w:p>
      <w:pPr>
        <w:spacing w:after="0" w:line="146" w:lineRule="exact"/>
        <w:rPr>
          <w:sz w:val="20"/>
          <w:szCs w:val="20"/>
          <w:color w:val="auto"/>
        </w:rPr>
      </w:pPr>
    </w:p>
    <w:p>
      <w:pPr>
        <w:jc w:val="both"/>
        <w:ind w:right="40"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Protein. </w:t>
      </w:r>
      <w:r>
        <w:rPr>
          <w:rFonts w:ascii="Times New Roman" w:cs="Times New Roman" w:eastAsia="Times New Roman" w:hAnsi="Times New Roman"/>
          <w:sz w:val="15"/>
          <w:szCs w:val="15"/>
          <w:color w:val="auto"/>
        </w:rPr>
        <w:t>Protein refers to a polypeptide of more than 50 amino acids. Proteins conduct a vast array of functions within an organism, including catalyzing enzymatic reactions, other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95" w:lineRule="exact"/>
        <w:rPr>
          <w:sz w:val="20"/>
          <w:szCs w:val="20"/>
          <w:color w:val="auto"/>
        </w:rPr>
      </w:pPr>
    </w:p>
    <w:p>
      <w:pPr>
        <w:ind w:right="12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Protein-protein interactions (PPIs). </w:t>
      </w:r>
      <w:r>
        <w:rPr>
          <w:rFonts w:ascii="Times New Roman" w:cs="Times New Roman" w:eastAsia="Times New Roman" w:hAnsi="Times New Roman"/>
          <w:sz w:val="15"/>
          <w:szCs w:val="15"/>
          <w:color w:val="auto"/>
        </w:rPr>
        <w:t>Protein-protein interactions refer to specific physical interactions between two or more proteins driven by physicochemical forces, and which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are the result of molecular mechanisms that mediate biological function.</w:t>
      </w:r>
    </w:p>
    <w:p>
      <w:pPr>
        <w:spacing w:after="0" w:line="80" w:lineRule="exact"/>
        <w:rPr>
          <w:sz w:val="20"/>
          <w:szCs w:val="20"/>
          <w:color w:val="auto"/>
        </w:rPr>
      </w:pPr>
    </w:p>
    <w:p>
      <w:pPr>
        <w:ind w:right="56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Protein variant. </w:t>
      </w:r>
      <w:r>
        <w:rPr>
          <w:rFonts w:ascii="Times New Roman" w:cs="Times New Roman" w:eastAsia="Times New Roman" w:hAnsi="Times New Roman"/>
          <w:sz w:val="15"/>
          <w:szCs w:val="15"/>
          <w:color w:val="auto"/>
        </w:rPr>
        <w:t>Protein variant, also known as a protein isoform, refers to a set of similar proteins that originate from a single gene or gene family. These variations can be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generated by different molecular mechanisms, including alternative splicing of RNAs, various expression patterns of RNAs and post-translational modifications.</w:t>
      </w:r>
    </w:p>
    <w:p>
      <w:pPr>
        <w:spacing w:after="0" w:line="80" w:lineRule="exact"/>
        <w:rPr>
          <w:sz w:val="20"/>
          <w:szCs w:val="20"/>
          <w:color w:val="auto"/>
        </w:rPr>
      </w:pPr>
    </w:p>
    <w:p>
      <w:pPr>
        <w:ind w:right="8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Proteograph Product Suite. </w:t>
      </w:r>
      <w:r>
        <w:rPr>
          <w:rFonts w:ascii="Times New Roman" w:cs="Times New Roman" w:eastAsia="Times New Roman" w:hAnsi="Times New Roman"/>
          <w:sz w:val="15"/>
          <w:szCs w:val="15"/>
          <w:color w:val="auto"/>
        </w:rPr>
        <w:t>Our Proteograph Product Suite refers to an integrated solution consisting of consumables, which includes our nanoparticles, our automatic instrument,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our data analysis software.</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Proteomic(s). </w:t>
      </w:r>
      <w:r>
        <w:rPr>
          <w:rFonts w:ascii="Times New Roman" w:cs="Times New Roman" w:eastAsia="Times New Roman" w:hAnsi="Times New Roman"/>
          <w:sz w:val="15"/>
          <w:szCs w:val="15"/>
          <w:color w:val="auto"/>
        </w:rPr>
        <w:t>Proteomic(s) refers to the large-scale study of proteins. The proteome is the entire set of proteins that is produced or modified in an 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0"/>
          </w:cols>
          <w:pgMar w:left="320" w:top="121" w:right="339" w:bottom="1440" w:gutter="0" w:footer="0" w:header="0"/>
        </w:sectPr>
      </w:pPr>
    </w:p>
    <w:bookmarkStart w:id="19" w:name="page20"/>
    <w:bookmarkEnd w:id="1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Software. </w:t>
      </w:r>
      <w:r>
        <w:rPr>
          <w:rFonts w:ascii="Times New Roman" w:cs="Times New Roman" w:eastAsia="Times New Roman" w:hAnsi="Times New Roman"/>
          <w:sz w:val="15"/>
          <w:szCs w:val="15"/>
          <w:color w:val="auto"/>
        </w:rPr>
        <w:t>Our software refers to our integrated software suite that helps our customers process and interrogate the data that is generated by MS instruments after a proteomic assay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has been performed using our Proteograph Product Suite.</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Throughput. </w:t>
      </w:r>
      <w:r>
        <w:rPr>
          <w:rFonts w:ascii="Times New Roman" w:cs="Times New Roman" w:eastAsia="Times New Roman" w:hAnsi="Times New Roman"/>
          <w:sz w:val="15"/>
          <w:szCs w:val="15"/>
          <w:color w:val="auto"/>
        </w:rPr>
        <w:t>Throughput refers to the rate at which an assay can be performed on during a given time period.</w:t>
      </w:r>
    </w:p>
    <w:p>
      <w:pPr>
        <w:spacing w:after="0" w:line="146" w:lineRule="exact"/>
        <w:rPr>
          <w:sz w:val="20"/>
          <w:szCs w:val="20"/>
          <w:color w:val="auto"/>
        </w:rPr>
      </w:pPr>
    </w:p>
    <w:p>
      <w:pPr>
        <w:ind w:right="320" w:firstLine="273"/>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 xml:space="preserve">Transcriptome. </w:t>
      </w:r>
      <w:r>
        <w:rPr>
          <w:rFonts w:ascii="Times New Roman" w:cs="Times New Roman" w:eastAsia="Times New Roman" w:hAnsi="Times New Roman"/>
          <w:sz w:val="15"/>
          <w:szCs w:val="15"/>
          <w:color w:val="auto"/>
        </w:rPr>
        <w:t>Transcriptome refers to the sum total of all messenger RNA (mRNA) molecules that are expressed from the genes of an organism, as the result of a biological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process called “transcription” whereby the information in a strand of DNA is copied into a new molecule of mRNA.</w:t>
      </w:r>
    </w:p>
    <w:p>
      <w:pPr>
        <w:spacing w:after="0" w:line="80" w:lineRule="exact"/>
        <w:rPr>
          <w:sz w:val="20"/>
          <w:szCs w:val="20"/>
          <w:color w:val="auto"/>
        </w:rPr>
      </w:pPr>
    </w:p>
    <w:p>
      <w:pPr>
        <w:jc w:val="both"/>
        <w:ind w:firstLine="273"/>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 xml:space="preserve">Unbiased. </w:t>
      </w:r>
      <w:r>
        <w:rPr>
          <w:rFonts w:ascii="Times New Roman" w:cs="Times New Roman" w:eastAsia="Times New Roman" w:hAnsi="Times New Roman"/>
          <w:sz w:val="15"/>
          <w:szCs w:val="15"/>
          <w:color w:val="auto"/>
        </w:rPr>
        <w:t>Unbiased refers to molecular analyses that does not depend upon specific ligands that are targeted to specific proteins, genes or gene mutations. Unbiased contrasts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biased, which requires specific ligands to target molecules. Unbiased is also referred to as </w:t>
      </w:r>
      <w:r>
        <w:rPr>
          <w:rFonts w:ascii="Times New Roman" w:cs="Times New Roman" w:eastAsia="Times New Roman" w:hAnsi="Times New Roman"/>
          <w:sz w:val="15"/>
          <w:szCs w:val="15"/>
          <w:i w:val="1"/>
          <w:iCs w:val="1"/>
          <w:color w:val="auto"/>
        </w:rPr>
        <w:t>de novo</w:t>
      </w:r>
      <w:r>
        <w:rPr>
          <w:rFonts w:ascii="Times New Roman" w:cs="Times New Roman" w:eastAsia="Times New Roman" w:hAnsi="Times New Roman"/>
          <w:sz w:val="15"/>
          <w:szCs w:val="15"/>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160"/>
          </w:cols>
          <w:pgMar w:left="320" w:top="121" w:right="419" w:bottom="1440" w:gutter="0" w:footer="0" w:header="0"/>
        </w:sectPr>
      </w:pPr>
    </w:p>
    <w:bookmarkStart w:id="20" w:name="page21"/>
    <w:bookmarkEnd w:id="2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48" w:lineRule="exact"/>
        <w:rPr>
          <w:sz w:val="20"/>
          <w:szCs w:val="20"/>
          <w:color w:val="auto"/>
        </w:rPr>
      </w:pPr>
    </w:p>
    <w:p>
      <w:pPr>
        <w:ind w:right="40" w:firstLine="273"/>
        <w:spacing w:after="0" w:line="262" w:lineRule="auto"/>
        <w:rPr>
          <w:sz w:val="20"/>
          <w:szCs w:val="20"/>
          <w:color w:val="auto"/>
        </w:rPr>
      </w:pPr>
      <w:r>
        <w:rPr>
          <w:rFonts w:ascii="Times New Roman" w:cs="Times New Roman" w:eastAsia="Times New Roman" w:hAnsi="Times New Roman"/>
          <w:sz w:val="15"/>
          <w:szCs w:val="15"/>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Risk Factor</w:t>
      </w:r>
    </w:p>
    <w:p>
      <w:pPr>
        <w:spacing w:after="0" w:line="146" w:lineRule="exact"/>
        <w:rPr>
          <w:sz w:val="20"/>
          <w:szCs w:val="20"/>
          <w:color w:val="auto"/>
        </w:rPr>
      </w:pPr>
    </w:p>
    <w:p>
      <w:pPr>
        <w:ind w:right="7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84" w:lineRule="exact"/>
        <w:rPr>
          <w:sz w:val="20"/>
          <w:szCs w:val="20"/>
          <w:color w:val="auto"/>
        </w:rPr>
      </w:pPr>
    </w:p>
    <w:p>
      <w:pPr>
        <w:ind w:left="540" w:right="200" w:hanging="277"/>
        <w:spacing w:after="0" w:line="286"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early-stage life sciences technology company with a history of net losses, which we expect to continue, and we may not be able to generate meaningful revenues or achieve and sustain profitability in the future;</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limited operating history, which may make it difficult to evaluate the prospects for our future viability and predict our future performance;</w:t>
      </w:r>
    </w:p>
    <w:p>
      <w:pPr>
        <w:spacing w:after="0" w:line="145" w:lineRule="exact"/>
        <w:rPr>
          <w:rFonts w:ascii="Times New Roman" w:cs="Times New Roman" w:eastAsia="Times New Roman" w:hAnsi="Times New Roman"/>
          <w:sz w:val="15"/>
          <w:szCs w:val="15"/>
          <w:color w:val="auto"/>
        </w:rPr>
      </w:pPr>
    </w:p>
    <w:p>
      <w:pPr>
        <w:ind w:left="540" w:right="240" w:hanging="277"/>
        <w:spacing w:after="0" w:line="286"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88" w:lineRule="exact"/>
        <w:rPr>
          <w:rFonts w:ascii="Times New Roman" w:cs="Times New Roman" w:eastAsia="Times New Roman" w:hAnsi="Times New Roman"/>
          <w:sz w:val="15"/>
          <w:szCs w:val="15"/>
          <w:color w:val="auto"/>
        </w:rPr>
      </w:pPr>
    </w:p>
    <w:p>
      <w:pPr>
        <w:ind w:left="540" w:right="400" w:hanging="277"/>
        <w:spacing w:after="0" w:line="286"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not yet commercially launched our Proteograph Product Suite, and we may not be able to successfully commercially launch our Proteograph as planned;</w:t>
      </w:r>
    </w:p>
    <w:p>
      <w:pPr>
        <w:spacing w:after="0" w:line="145" w:lineRule="exact"/>
        <w:rPr>
          <w:rFonts w:ascii="Times New Roman" w:cs="Times New Roman" w:eastAsia="Times New Roman" w:hAnsi="Times New Roman"/>
          <w:sz w:val="15"/>
          <w:szCs w:val="15"/>
          <w:color w:val="auto"/>
        </w:rPr>
      </w:pPr>
    </w:p>
    <w:p>
      <w:pPr>
        <w:ind w:left="540" w:right="480" w:hanging="277"/>
        <w:spacing w:after="0" w:line="286"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we commercially launch our Proteograph Product Suite, our success depends on broad scientific and market acceptance of our Proteograph, which we may fail to achieve;</w:t>
      </w:r>
    </w:p>
    <w:p>
      <w:pPr>
        <w:spacing w:after="0" w:line="88" w:lineRule="exact"/>
        <w:rPr>
          <w:rFonts w:ascii="Times New Roman" w:cs="Times New Roman" w:eastAsia="Times New Roman" w:hAnsi="Times New Roman"/>
          <w:sz w:val="15"/>
          <w:szCs w:val="15"/>
          <w:color w:val="auto"/>
        </w:rPr>
      </w:pPr>
    </w:p>
    <w:p>
      <w:pPr>
        <w:ind w:left="540" w:hanging="277"/>
        <w:spacing w:after="0" w:line="286"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our Proteograph Product Suite is commercialized and achieves broad scientific and market acceptance, if we fail to improve it or introduce compelling new products, our revenues and our prospects could be harmed;</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COVID-19 pandemic and efforts to reduce its spread have adversely impacted, and are expected to continue to materially and adversely impact, our business and operations;</w:t>
      </w:r>
    </w:p>
    <w:p>
      <w:pPr>
        <w:spacing w:after="0" w:line="145" w:lineRule="exact"/>
        <w:rPr>
          <w:rFonts w:ascii="Times New Roman" w:cs="Times New Roman" w:eastAsia="Times New Roman" w:hAnsi="Times New Roman"/>
          <w:sz w:val="15"/>
          <w:szCs w:val="15"/>
          <w:color w:val="auto"/>
        </w:rPr>
      </w:pPr>
    </w:p>
    <w:p>
      <w:pPr>
        <w:jc w:val="both"/>
        <w:ind w:left="540" w:right="40" w:hanging="277"/>
        <w:spacing w:after="0" w:line="269"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01" w:lineRule="exact"/>
        <w:rPr>
          <w:rFonts w:ascii="Times New Roman" w:cs="Times New Roman" w:eastAsia="Times New Roman" w:hAnsi="Times New Roman"/>
          <w:sz w:val="15"/>
          <w:szCs w:val="15"/>
          <w:color w:val="auto"/>
        </w:rPr>
      </w:pPr>
    </w:p>
    <w:p>
      <w:pPr>
        <w:ind w:left="540" w:right="320" w:hanging="277"/>
        <w:spacing w:after="0" w:line="269" w:lineRule="auto"/>
        <w:tabs>
          <w:tab w:leader="none" w:pos="53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40"/>
          </w:cols>
          <w:pgMar w:left="320" w:top="121" w:right="339" w:bottom="1440" w:gutter="0" w:footer="0" w:header="0"/>
        </w:sectPr>
      </w:pPr>
    </w:p>
    <w:bookmarkStart w:id="21" w:name="page22"/>
    <w:bookmarkEnd w:id="2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46"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84"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and $10.9 million and $19.8 million in the nine months ended September 30, 2019 and 2020, respectively. As of September 30, 2020, we had an accumulated deficit of $42.4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a limited operating history, which may make it difficult to evaluate the prospects for our future viability and predict our future performance.</w:t>
      </w:r>
    </w:p>
    <w:p>
      <w:pPr>
        <w:spacing w:after="0" w:line="150" w:lineRule="exact"/>
        <w:rPr>
          <w:sz w:val="20"/>
          <w:szCs w:val="20"/>
          <w:color w:val="auto"/>
        </w:rPr>
      </w:pPr>
    </w:p>
    <w:p>
      <w:pPr>
        <w:ind w:right="220" w:firstLine="273"/>
        <w:spacing w:after="0" w:line="261" w:lineRule="auto"/>
        <w:rPr>
          <w:sz w:val="20"/>
          <w:szCs w:val="20"/>
          <w:color w:val="auto"/>
        </w:rPr>
      </w:pPr>
      <w:r>
        <w:rPr>
          <w:rFonts w:ascii="Times New Roman" w:cs="Times New Roman" w:eastAsia="Times New Roman" w:hAnsi="Times New Roman"/>
          <w:sz w:val="15"/>
          <w:szCs w:val="15"/>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07" w:lineRule="exact"/>
        <w:rPr>
          <w:sz w:val="20"/>
          <w:szCs w:val="20"/>
          <w:color w:val="auto"/>
        </w:rPr>
      </w:pPr>
    </w:p>
    <w:p>
      <w:pPr>
        <w:ind w:right="100" w:firstLine="273"/>
        <w:spacing w:after="0" w:line="259" w:lineRule="auto"/>
        <w:rPr>
          <w:sz w:val="20"/>
          <w:szCs w:val="20"/>
          <w:color w:val="auto"/>
        </w:rPr>
      </w:pPr>
      <w:r>
        <w:rPr>
          <w:rFonts w:ascii="Times New Roman" w:cs="Times New Roman" w:eastAsia="Times New Roman" w:hAnsi="Times New Roman"/>
          <w:sz w:val="15"/>
          <w:szCs w:val="15"/>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06"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84" w:lineRule="exact"/>
        <w:rPr>
          <w:sz w:val="20"/>
          <w:szCs w:val="20"/>
          <w:color w:val="auto"/>
        </w:rPr>
      </w:pPr>
    </w:p>
    <w:p>
      <w:pPr>
        <w:ind w:right="160" w:firstLine="273"/>
        <w:spacing w:after="0" w:line="286" w:lineRule="auto"/>
        <w:rPr>
          <w:sz w:val="20"/>
          <w:szCs w:val="20"/>
          <w:color w:val="auto"/>
        </w:rPr>
      </w:pPr>
      <w:r>
        <w:rPr>
          <w:rFonts w:ascii="Times New Roman" w:cs="Times New Roman" w:eastAsia="Times New Roman" w:hAnsi="Times New Roman"/>
          <w:sz w:val="15"/>
          <w:szCs w:val="15"/>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89" w:lineRule="exact"/>
        <w:rPr>
          <w:sz w:val="20"/>
          <w:szCs w:val="20"/>
          <w:color w:val="auto"/>
        </w:rPr>
      </w:pPr>
    </w:p>
    <w:p>
      <w:pPr>
        <w:ind w:left="540" w:hanging="277"/>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commercialize our Proteograph Product Suite on our anticipated timeline;</w:t>
      </w:r>
    </w:p>
    <w:p>
      <w:pPr>
        <w:spacing w:after="0" w:line="145" w:lineRule="exact"/>
        <w:rPr>
          <w:rFonts w:ascii="Times New Roman" w:cs="Times New Roman" w:eastAsia="Times New Roman" w:hAnsi="Times New Roman"/>
          <w:sz w:val="15"/>
          <w:szCs w:val="15"/>
          <w:color w:val="auto"/>
        </w:rPr>
      </w:pPr>
    </w:p>
    <w:p>
      <w:pPr>
        <w:ind w:left="540" w:right="620" w:hanging="277"/>
        <w:spacing w:after="0" w:line="286" w:lineRule="auto"/>
        <w:tabs>
          <w:tab w:leader="none" w:pos="53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demand for any products we are able to commercialize, particularly our Proteograph,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00"/>
          </w:cols>
          <w:pgMar w:left="320" w:top="121" w:right="379" w:bottom="1440" w:gutter="0" w:footer="0" w:header="0"/>
        </w:sectPr>
      </w:pPr>
    </w:p>
    <w:bookmarkStart w:id="22" w:name="page23"/>
    <w:bookmarkEnd w:id="2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drive adoption of our Proteograph in our target markets and our ability to expand into any future target markets;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prices at which we will be able to sell our Proteograph;</w:t>
      </w:r>
    </w:p>
    <w:p>
      <w:pPr>
        <w:spacing w:after="0" w:line="145" w:lineRule="exact"/>
        <w:rPr>
          <w:rFonts w:ascii="Times New Roman" w:cs="Times New Roman" w:eastAsia="Times New Roman" w:hAnsi="Times New Roman"/>
          <w:sz w:val="15"/>
          <w:szCs w:val="15"/>
          <w:color w:val="auto"/>
        </w:rPr>
      </w:pPr>
    </w:p>
    <w:p>
      <w:pPr>
        <w:ind w:left="540" w:right="360" w:hanging="277"/>
        <w:spacing w:after="0" w:line="286"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volume and mix of our sales between our Proteograph consumables, automation instruments and software, or changes in the manufacturing or sales costs related to our products;</w:t>
      </w:r>
    </w:p>
    <w:p>
      <w:pPr>
        <w:spacing w:after="0" w:line="88" w:lineRule="exact"/>
        <w:rPr>
          <w:rFonts w:ascii="Times New Roman" w:cs="Times New Roman" w:eastAsia="Times New Roman" w:hAnsi="Times New Roman"/>
          <w:sz w:val="15"/>
          <w:szCs w:val="15"/>
          <w:color w:val="auto"/>
        </w:rPr>
      </w:pPr>
    </w:p>
    <w:p>
      <w:pPr>
        <w:ind w:left="540" w:right="140" w:hanging="277"/>
        <w:spacing w:after="0" w:line="286"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length of time of the sales cycle for purchases of our Proteograph, including lead time needed to procure Proteograph automation instruments from our third-party contract manufacturer;</w:t>
      </w:r>
    </w:p>
    <w:p>
      <w:pPr>
        <w:spacing w:after="0" w:line="88" w:lineRule="exact"/>
        <w:rPr>
          <w:rFonts w:ascii="Times New Roman" w:cs="Times New Roman" w:eastAsia="Times New Roman" w:hAnsi="Times New Roman"/>
          <w:sz w:val="15"/>
          <w:szCs w:val="15"/>
          <w:color w:val="auto"/>
        </w:rPr>
      </w:pPr>
    </w:p>
    <w:p>
      <w:pPr>
        <w:ind w:left="540" w:hanging="277"/>
        <w:spacing w:after="0" w:line="286"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amount of expenditures that we may incur to develop, commercialize or acquire additional products and technologies or for other purposes, such as the expansion of our facilities;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governmental funding of life sciences research and development or changes that impact budgets, budget cycles;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seasonal spending patterns of our customers;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when we recognize any revenues;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accounting pronouncements or changes in our accounting policies;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outcome of any future litigation or governmental investigations involving us, our industry or both;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than anticipated service, replacement and warranty costs;</w:t>
      </w:r>
    </w:p>
    <w:p>
      <w:pPr>
        <w:spacing w:after="0" w:line="145" w:lineRule="exact"/>
        <w:rPr>
          <w:rFonts w:ascii="Times New Roman" w:cs="Times New Roman" w:eastAsia="Times New Roman" w:hAnsi="Times New Roman"/>
          <w:sz w:val="15"/>
          <w:szCs w:val="15"/>
          <w:color w:val="auto"/>
        </w:rPr>
      </w:pPr>
    </w:p>
    <w:p>
      <w:pPr>
        <w:ind w:left="540" w:right="520" w:hanging="277"/>
        <w:spacing w:after="0" w:line="286" w:lineRule="auto"/>
        <w:tabs>
          <w:tab w:leader="none" w:pos="53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COVID-19 pandemic on the economy, investment in life sciences and research industries, our business operations, and resources and operations of our customers, suppliers, and distributors; and</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industry, economic and market conditions and other factors, including factors unrelated to our operating performance or the operating performance of our competitors.</w:t>
      </w:r>
    </w:p>
    <w:p>
      <w:pPr>
        <w:spacing w:after="0" w:line="146"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89"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97"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84"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40"/>
          </w:cols>
          <w:pgMar w:left="320" w:top="121" w:right="339" w:bottom="1440" w:gutter="0" w:footer="0" w:header="0"/>
        </w:sectPr>
      </w:pPr>
    </w:p>
    <w:bookmarkStart w:id="23" w:name="page24"/>
    <w:bookmarkEnd w:id="2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09"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not yet commercially launched our Proteograph Product Suite, and we may not be able to successfully commercially launch our Proteograph as planned.</w:t>
      </w:r>
    </w:p>
    <w:p>
      <w:pPr>
        <w:spacing w:after="0" w:line="150" w:lineRule="exact"/>
        <w:rPr>
          <w:sz w:val="20"/>
          <w:szCs w:val="20"/>
          <w:color w:val="auto"/>
        </w:rPr>
      </w:pPr>
    </w:p>
    <w:p>
      <w:pPr>
        <w:ind w:right="260" w:firstLine="273"/>
        <w:spacing w:after="0" w:line="269" w:lineRule="auto"/>
        <w:rPr>
          <w:sz w:val="20"/>
          <w:szCs w:val="20"/>
          <w:color w:val="auto"/>
        </w:rPr>
      </w:pPr>
      <w:r>
        <w:rPr>
          <w:rFonts w:ascii="Times New Roman" w:cs="Times New Roman" w:eastAsia="Times New Roman" w:hAnsi="Times New Roman"/>
          <w:sz w:val="15"/>
          <w:szCs w:val="15"/>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01" w:lineRule="exact"/>
        <w:rPr>
          <w:sz w:val="20"/>
          <w:szCs w:val="20"/>
          <w:color w:val="auto"/>
        </w:rPr>
      </w:pPr>
    </w:p>
    <w:p>
      <w:pPr>
        <w:ind w:left="540" w:hanging="277"/>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establish the capabilities and value proposition of our Proteograph with key opinion leaders in a timely fashion;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need or desire to modify aspects of our Proteograph prior to entering into the second or third phases of our commercial launch plan;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changing industry or market conditions, customer requirements or competitor offerings over the span of our commercial launch plan;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building out our sales, customer support and marketing organization as needed for each of the phases of our commercial launch plan; and</w:t>
      </w:r>
    </w:p>
    <w:p>
      <w:pPr>
        <w:spacing w:after="0" w:line="145" w:lineRule="exact"/>
        <w:rPr>
          <w:rFonts w:ascii="Times New Roman" w:cs="Times New Roman" w:eastAsia="Times New Roman" w:hAnsi="Times New Roman"/>
          <w:sz w:val="15"/>
          <w:szCs w:val="15"/>
          <w:color w:val="auto"/>
        </w:rPr>
      </w:pPr>
    </w:p>
    <w:p>
      <w:pPr>
        <w:ind w:left="260" w:right="900" w:firstLine="3"/>
        <w:spacing w:after="0" w:line="439" w:lineRule="auto"/>
        <w:tabs>
          <w:tab w:leader="none" w:pos="52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ramping up manufacturing, either internally or through our suppliers to meet the expected demand in each of the phases of our commercial launch plan. To the extent our commercial launch plan is delayed or unsuccessful, our financial results will be adversely impacted.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Even if we commercially launch our Proteograph Product Suite, our success depends on broad scientific and market acceptance of our Proteograph, which we may fail to achieve.</w:t>
      </w:r>
    </w:p>
    <w:p>
      <w:pPr>
        <w:spacing w:after="0" w:line="150" w:lineRule="exact"/>
        <w:rPr>
          <w:sz w:val="20"/>
          <w:szCs w:val="20"/>
          <w:color w:val="auto"/>
        </w:rPr>
      </w:pPr>
    </w:p>
    <w:p>
      <w:pPr>
        <w:ind w:right="220" w:firstLine="273"/>
        <w:spacing w:after="0" w:line="269" w:lineRule="auto"/>
        <w:rPr>
          <w:sz w:val="20"/>
          <w:szCs w:val="20"/>
          <w:color w:val="auto"/>
        </w:rPr>
      </w:pPr>
      <w:r>
        <w:rPr>
          <w:rFonts w:ascii="Times New Roman" w:cs="Times New Roman" w:eastAsia="Times New Roman" w:hAnsi="Times New Roman"/>
          <w:sz w:val="15"/>
          <w:szCs w:val="15"/>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00"/>
          </w:cols>
          <w:pgMar w:left="320" w:top="121" w:right="379" w:bottom="1440" w:gutter="0" w:footer="0" w:header="0"/>
        </w:sectPr>
      </w:pPr>
    </w:p>
    <w:bookmarkStart w:id="24" w:name="page25"/>
    <w:bookmarkEnd w:id="2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273"/>
        <w:spacing w:after="0" w:line="256" w:lineRule="auto"/>
        <w:rPr>
          <w:sz w:val="20"/>
          <w:szCs w:val="20"/>
          <w:color w:val="auto"/>
        </w:rPr>
      </w:pPr>
      <w:r>
        <w:rPr>
          <w:rFonts w:ascii="Times New Roman" w:cs="Times New Roman" w:eastAsia="Times New Roman" w:hAnsi="Times New Roman"/>
          <w:sz w:val="15"/>
          <w:szCs w:val="15"/>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Other factors in achieving commercial market acceptance, include:</w:t>
      </w:r>
    </w:p>
    <w:p>
      <w:pPr>
        <w:spacing w:after="0" w:line="146" w:lineRule="exact"/>
        <w:rPr>
          <w:sz w:val="20"/>
          <w:szCs w:val="20"/>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market and increase awareness of the capabilities of our Proteograph;</w:t>
      </w:r>
    </w:p>
    <w:p>
      <w:pPr>
        <w:spacing w:after="0" w:line="145" w:lineRule="exact"/>
        <w:rPr>
          <w:rFonts w:ascii="Times New Roman" w:cs="Times New Roman" w:eastAsia="Times New Roman" w:hAnsi="Times New Roman"/>
          <w:sz w:val="15"/>
          <w:szCs w:val="15"/>
          <w:color w:val="auto"/>
        </w:rPr>
      </w:pPr>
    </w:p>
    <w:p>
      <w:pPr>
        <w:ind w:left="540" w:right="100" w:hanging="277"/>
        <w:spacing w:after="0" w:line="286" w:lineRule="auto"/>
        <w:tabs>
          <w:tab w:leader="none" w:pos="53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customers’ willingness to adopt new products and workflows;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Proteograph’s ease of use and whether it reliably provides advantages over other alternative technologies;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of adoption of our Proteograph by academic institutions, laboratories, biopharmaceutical companies and others;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prices we charge for our Proteograph;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new products and workflows and solutions for customers;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competitors develop and commercialize products that perform similar functions as our Proteograph;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our investments in product innovation and commercial growth.</w:t>
      </w:r>
    </w:p>
    <w:p>
      <w:pPr>
        <w:spacing w:after="0" w:line="146"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establish sales and marketing capabilities, we may not be successful in commercializing our Proteograph Product Suite.</w:t>
      </w:r>
    </w:p>
    <w:p>
      <w:pPr>
        <w:spacing w:after="0" w:line="150" w:lineRule="exact"/>
        <w:rPr>
          <w:sz w:val="20"/>
          <w:szCs w:val="20"/>
          <w:color w:val="auto"/>
        </w:rPr>
      </w:pPr>
    </w:p>
    <w:p>
      <w:pPr>
        <w:ind w:right="200" w:firstLine="273"/>
        <w:spacing w:after="0" w:line="269" w:lineRule="auto"/>
        <w:rPr>
          <w:sz w:val="20"/>
          <w:szCs w:val="20"/>
          <w:color w:val="auto"/>
        </w:rPr>
      </w:pPr>
      <w:r>
        <w:rPr>
          <w:rFonts w:ascii="Times New Roman" w:cs="Times New Roman" w:eastAsia="Times New Roman" w:hAnsi="Times New Roman"/>
          <w:sz w:val="15"/>
          <w:szCs w:val="15"/>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60"/>
          </w:cols>
          <w:pgMar w:left="320" w:top="121" w:right="319" w:bottom="1440" w:gutter="0" w:footer="0" w:header="0"/>
        </w:sectPr>
      </w:pPr>
    </w:p>
    <w:bookmarkStart w:id="25" w:name="page26"/>
    <w:bookmarkEnd w:id="2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launch of our Proteograph. To perform sales, marketing, distribution, and customer service and support successfully, we will face a number of risks, including:</w:t>
      </w:r>
    </w:p>
    <w:p>
      <w:pPr>
        <w:spacing w:after="0" w:line="146" w:lineRule="exact"/>
        <w:rPr>
          <w:sz w:val="20"/>
          <w:szCs w:val="20"/>
          <w:color w:val="auto"/>
        </w:rPr>
      </w:pPr>
    </w:p>
    <w:p>
      <w:pPr>
        <w:ind w:left="540" w:hanging="277"/>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retain and manage the sales, marketing and customer service and support force necessary to commercialize and gain market acceptance for our technology;</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time and cost of establishing a specialized sales, marketing and customer service and support force;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sales, marketing and customer service and support force may be unable to initiate and execute successful commercialization activities.</w:t>
      </w:r>
    </w:p>
    <w:p>
      <w:pPr>
        <w:spacing w:after="0" w:line="146"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00"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84"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07"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COVID-19 pandemic and efforts to reduce its spread have adversely impacted, and are expected to continue to materially and adversely impact, our business and operations.</w:t>
      </w:r>
    </w:p>
    <w:p>
      <w:pPr>
        <w:spacing w:after="0" w:line="150" w:lineRule="exact"/>
        <w:rPr>
          <w:sz w:val="20"/>
          <w:szCs w:val="20"/>
          <w:color w:val="auto"/>
        </w:rPr>
      </w:pPr>
    </w:p>
    <w:p>
      <w:pPr>
        <w:ind w:right="40" w:firstLine="273"/>
        <w:spacing w:after="0" w:line="257" w:lineRule="auto"/>
        <w:rPr>
          <w:sz w:val="20"/>
          <w:szCs w:val="20"/>
          <w:color w:val="auto"/>
        </w:rPr>
      </w:pPr>
      <w:r>
        <w:rPr>
          <w:rFonts w:ascii="Times New Roman" w:cs="Times New Roman" w:eastAsia="Times New Roman" w:hAnsi="Times New Roman"/>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240"/>
          </w:cols>
          <w:pgMar w:left="320" w:top="121" w:right="339" w:bottom="1440" w:gutter="0" w:footer="0" w:header="0"/>
        </w:sectPr>
      </w:pPr>
    </w:p>
    <w:bookmarkStart w:id="26" w:name="page27"/>
    <w:bookmarkEnd w:id="2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04"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10" w:lineRule="exact"/>
        <w:rPr>
          <w:sz w:val="20"/>
          <w:szCs w:val="20"/>
          <w:color w:val="auto"/>
        </w:rPr>
      </w:pPr>
    </w:p>
    <w:p>
      <w:pPr>
        <w:ind w:left="540" w:hanging="277"/>
        <w:spacing w:after="0" w:line="269" w:lineRule="auto"/>
        <w:tabs>
          <w:tab w:leader="none" w:pos="53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0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decreases in government funding of research and development; and</w:t>
      </w:r>
    </w:p>
    <w:p>
      <w:pPr>
        <w:spacing w:after="0" w:line="145" w:lineRule="exact"/>
        <w:rPr>
          <w:rFonts w:ascii="Times New Roman" w:cs="Times New Roman" w:eastAsia="Times New Roman" w:hAnsi="Times New Roman"/>
          <w:sz w:val="15"/>
          <w:szCs w:val="15"/>
          <w:color w:val="auto"/>
        </w:rPr>
      </w:pPr>
    </w:p>
    <w:p>
      <w:pPr>
        <w:ind w:left="540" w:right="20" w:hanging="277"/>
        <w:spacing w:after="0" w:line="286" w:lineRule="auto"/>
        <w:tabs>
          <w:tab w:leader="none" w:pos="53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89" w:lineRule="exact"/>
        <w:rPr>
          <w:sz w:val="20"/>
          <w:szCs w:val="20"/>
          <w:color w:val="auto"/>
        </w:rPr>
      </w:pPr>
    </w:p>
    <w:p>
      <w:pPr>
        <w:ind w:right="240" w:firstLine="273"/>
        <w:spacing w:after="0" w:line="264" w:lineRule="auto"/>
        <w:rPr>
          <w:sz w:val="20"/>
          <w:szCs w:val="20"/>
          <w:color w:val="auto"/>
        </w:rPr>
      </w:pPr>
      <w:r>
        <w:rPr>
          <w:rFonts w:ascii="Times New Roman" w:cs="Times New Roman" w:eastAsia="Times New Roman" w:hAnsi="Times New Roman"/>
          <w:sz w:val="15"/>
          <w:szCs w:val="15"/>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04"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03"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84" w:lineRule="exact"/>
        <w:rPr>
          <w:sz w:val="20"/>
          <w:szCs w:val="20"/>
          <w:color w:val="auto"/>
        </w:rPr>
      </w:pPr>
    </w:p>
    <w:p>
      <w:pPr>
        <w:ind w:right="180" w:firstLine="273"/>
        <w:spacing w:after="0" w:line="259" w:lineRule="auto"/>
        <w:rPr>
          <w:sz w:val="20"/>
          <w:szCs w:val="20"/>
          <w:color w:val="auto"/>
        </w:rPr>
      </w:pPr>
      <w:r>
        <w:rPr>
          <w:rFonts w:ascii="Times New Roman" w:cs="Times New Roman" w:eastAsia="Times New Roman" w:hAnsi="Times New Roman"/>
          <w:sz w:val="15"/>
          <w:szCs w:val="15"/>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260"/>
          </w:cols>
          <w:pgMar w:left="320" w:top="121" w:right="319" w:bottom="1440" w:gutter="0" w:footer="0" w:header="0"/>
        </w:sectPr>
      </w:pPr>
    </w:p>
    <w:bookmarkStart w:id="27" w:name="page28"/>
    <w:bookmarkEnd w:id="2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5"/>
          <w:szCs w:val="15"/>
          <w:color w:val="auto"/>
        </w:rPr>
        <w:t>harm our business, and we cannot anticipate all of the ways in which the current economic climate and financial market conditions could adversely impact our ability to raise capital, business, results of operations and financial condition.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do not sustain or successfully manage our anticipated growth, our business and prospects will be harmed.</w:t>
      </w:r>
    </w:p>
    <w:p>
      <w:pPr>
        <w:spacing w:after="0" w:line="150"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Our anticipated growth will place significant strains on our management, operational and manufacturing systems and processes, sales and marketing team, financial systems and internal controls and other aspects of our business. As of September 30, 2020, we had 60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Once public,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depend on our key personnel and other highly qualified personnel, and if we are unable to recruit, train and retain our personnel, we may not achieve our goals.</w:t>
      </w:r>
    </w:p>
    <w:p>
      <w:pPr>
        <w:spacing w:after="0" w:line="150" w:lineRule="exact"/>
        <w:rPr>
          <w:sz w:val="20"/>
          <w:szCs w:val="20"/>
          <w:color w:val="auto"/>
        </w:rPr>
      </w:pPr>
    </w:p>
    <w:p>
      <w:pPr>
        <w:ind w:right="180" w:firstLine="273"/>
        <w:spacing w:after="0" w:line="264" w:lineRule="auto"/>
        <w:rPr>
          <w:sz w:val="20"/>
          <w:szCs w:val="20"/>
          <w:color w:val="auto"/>
        </w:rPr>
      </w:pPr>
      <w:r>
        <w:rPr>
          <w:rFonts w:ascii="Times New Roman" w:cs="Times New Roman" w:eastAsia="Times New Roman" w:hAnsi="Times New Roman"/>
          <w:sz w:val="15"/>
          <w:szCs w:val="15"/>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04" w:lineRule="exact"/>
        <w:rPr>
          <w:sz w:val="20"/>
          <w:szCs w:val="20"/>
          <w:color w:val="auto"/>
        </w:rPr>
      </w:pPr>
    </w:p>
    <w:p>
      <w:pPr>
        <w:ind w:right="80" w:firstLine="273"/>
        <w:spacing w:after="0" w:line="256" w:lineRule="auto"/>
        <w:rPr>
          <w:sz w:val="20"/>
          <w:szCs w:val="20"/>
          <w:color w:val="auto"/>
        </w:rPr>
      </w:pPr>
      <w:r>
        <w:rPr>
          <w:rFonts w:ascii="Times New Roman" w:cs="Times New Roman" w:eastAsia="Times New Roman" w:hAnsi="Times New Roman"/>
          <w:sz w:val="15"/>
          <w:szCs w:val="15"/>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administration has made restricting immigration and reforming the work visa process a key focus of its initiatives and these efforts may adversely affect our ability to find qualified personnel.</w:t>
      </w:r>
    </w:p>
    <w:p>
      <w:pPr>
        <w:spacing w:after="0" w:line="114" w:lineRule="exact"/>
        <w:rPr>
          <w:sz w:val="20"/>
          <w:szCs w:val="20"/>
          <w:color w:val="auto"/>
        </w:rPr>
      </w:pPr>
    </w:p>
    <w:p>
      <w:pPr>
        <w:ind w:right="20" w:firstLine="273"/>
        <w:spacing w:after="0" w:line="286" w:lineRule="auto"/>
        <w:rPr>
          <w:sz w:val="20"/>
          <w:szCs w:val="20"/>
          <w:color w:val="auto"/>
        </w:rPr>
      </w:pPr>
      <w:r>
        <w:rPr>
          <w:rFonts w:ascii="Times New Roman" w:cs="Times New Roman" w:eastAsia="Times New Roman" w:hAnsi="Times New Roman"/>
          <w:sz w:val="15"/>
          <w:szCs w:val="15"/>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260"/>
          </w:cols>
          <w:pgMar w:left="320" w:top="121" w:right="319" w:bottom="1440" w:gutter="0" w:footer="0" w:header="0"/>
        </w:sectPr>
      </w:pPr>
    </w:p>
    <w:bookmarkStart w:id="28" w:name="page29"/>
    <w:bookmarkEnd w:id="2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failure to attract, train, retain and motivate qualified personnel could materially harm our business, results of operations, financial condition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expect to be dependent upon revenue generated from the sale of our Proteograph Product Suite from the time it is commercialized through the foreseeable future.</w:t>
      </w:r>
    </w:p>
    <w:p>
      <w:pPr>
        <w:spacing w:after="0" w:line="150" w:lineRule="exact"/>
        <w:rPr>
          <w:sz w:val="20"/>
          <w:szCs w:val="20"/>
          <w:color w:val="auto"/>
        </w:rPr>
      </w:pPr>
    </w:p>
    <w:p>
      <w:pPr>
        <w:ind w:right="20" w:firstLine="273"/>
        <w:spacing w:after="0" w:line="257" w:lineRule="auto"/>
        <w:rPr>
          <w:sz w:val="20"/>
          <w:szCs w:val="20"/>
          <w:color w:val="auto"/>
        </w:rPr>
      </w:pPr>
      <w:r>
        <w:rPr>
          <w:rFonts w:ascii="Times New Roman" w:cs="Times New Roman" w:eastAsia="Times New Roman" w:hAnsi="Times New Roman"/>
          <w:sz w:val="15"/>
          <w:szCs w:val="15"/>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12" w:lineRule="exact"/>
        <w:rPr>
          <w:sz w:val="20"/>
          <w:szCs w:val="20"/>
          <w:color w:val="auto"/>
        </w:rPr>
      </w:pPr>
    </w:p>
    <w:p>
      <w:pPr>
        <w:jc w:val="both"/>
        <w:ind w:firstLine="273"/>
        <w:spacing w:after="0" w:line="269" w:lineRule="auto"/>
        <w:rPr>
          <w:sz w:val="20"/>
          <w:szCs w:val="20"/>
          <w:color w:val="auto"/>
        </w:rPr>
      </w:pPr>
      <w:r>
        <w:rPr>
          <w:rFonts w:ascii="Times New Roman" w:cs="Times New Roman" w:eastAsia="Times New Roman" w:hAnsi="Times New Roman"/>
          <w:sz w:val="15"/>
          <w:szCs w:val="15"/>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97"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84" w:lineRule="exact"/>
        <w:rPr>
          <w:sz w:val="20"/>
          <w:szCs w:val="20"/>
          <w:color w:val="auto"/>
        </w:rPr>
      </w:pPr>
    </w:p>
    <w:p>
      <w:pPr>
        <w:ind w:right="140" w:firstLine="273"/>
        <w:spacing w:after="0" w:line="269" w:lineRule="auto"/>
        <w:rPr>
          <w:sz w:val="20"/>
          <w:szCs w:val="20"/>
          <w:color w:val="auto"/>
        </w:rPr>
      </w:pPr>
      <w:r>
        <w:rPr>
          <w:rFonts w:ascii="Times New Roman" w:cs="Times New Roman" w:eastAsia="Times New Roman" w:hAnsi="Times New Roman"/>
          <w:sz w:val="15"/>
          <w:szCs w:val="15"/>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01" w:lineRule="exact"/>
        <w:rPr>
          <w:sz w:val="20"/>
          <w:szCs w:val="20"/>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decreases in government funding of research and development;</w:t>
      </w:r>
    </w:p>
    <w:p>
      <w:pPr>
        <w:spacing w:after="0" w:line="145" w:lineRule="exact"/>
        <w:rPr>
          <w:rFonts w:ascii="Times New Roman" w:cs="Times New Roman" w:eastAsia="Times New Roman" w:hAnsi="Times New Roman"/>
          <w:sz w:val="15"/>
          <w:szCs w:val="15"/>
          <w:color w:val="auto"/>
        </w:rPr>
      </w:pPr>
    </w:p>
    <w:p>
      <w:pPr>
        <w:ind w:left="540" w:right="160" w:hanging="277"/>
        <w:spacing w:after="0" w:line="286" w:lineRule="auto"/>
        <w:tabs>
          <w:tab w:leader="none" w:pos="536"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macroeconomic conditions and the political climate;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researchers’ opinions of the utility of our Proteograph;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citation of our Proteograph in published research;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changes in the regulatory environment;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differences in budgetary cycles, especially government- or grant-funded customers, whose cycles often coincide with government fiscal year ends;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competitor product offerings or pricing;</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market-driven pressures to consolidate operations and reduce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260"/>
          </w:cols>
          <w:pgMar w:left="320" w:top="121" w:right="319" w:bottom="1440" w:gutter="0" w:footer="0" w:header="0"/>
        </w:sectPr>
      </w:pPr>
    </w:p>
    <w:bookmarkStart w:id="29" w:name="page30"/>
    <w:bookmarkEnd w:id="2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acceptance of relatively new technologies, such as our Proteograph.</w:t>
      </w:r>
    </w:p>
    <w:p>
      <w:pPr>
        <w:spacing w:after="0" w:line="146"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07"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84" w:lineRule="exact"/>
        <w:rPr>
          <w:sz w:val="20"/>
          <w:szCs w:val="20"/>
          <w:color w:val="auto"/>
        </w:rPr>
      </w:pPr>
    </w:p>
    <w:p>
      <w:pPr>
        <w:jc w:val="both"/>
        <w:ind w:right="40" w:firstLine="273"/>
        <w:spacing w:after="0" w:line="258" w:lineRule="auto"/>
        <w:rPr>
          <w:sz w:val="20"/>
          <w:szCs w:val="20"/>
          <w:color w:val="auto"/>
        </w:rPr>
      </w:pPr>
      <w:r>
        <w:rPr>
          <w:rFonts w:ascii="Times New Roman" w:cs="Times New Roman" w:eastAsia="Times New Roman" w:hAnsi="Times New Roman"/>
          <w:sz w:val="15"/>
          <w:szCs w:val="15"/>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w:t>
      </w:r>
    </w:p>
    <w:p>
      <w:pPr>
        <w:ind w:right="240"/>
        <w:spacing w:after="0" w:line="265" w:lineRule="auto"/>
        <w:rPr>
          <w:sz w:val="20"/>
          <w:szCs w:val="20"/>
          <w:color w:val="auto"/>
        </w:rPr>
      </w:pPr>
      <w:r>
        <w:rPr>
          <w:rFonts w:ascii="Times New Roman" w:cs="Times New Roman" w:eastAsia="Times New Roman" w:hAnsi="Times New Roman"/>
          <w:sz w:val="15"/>
          <w:szCs w:val="15"/>
          <w:color w:val="auto"/>
        </w:rPr>
        <w:t>Further, if Hamilton is unable to obtain critical components used in our Proteograph or supply our instruments on the timelines we require, our business and commercialization efforts would be harmed.</w:t>
      </w:r>
    </w:p>
    <w:p>
      <w:pPr>
        <w:spacing w:after="0" w:line="104"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01"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260"/>
          </w:cols>
          <w:pgMar w:left="320" w:top="121" w:right="319" w:bottom="1440" w:gutter="0" w:footer="0" w:header="0"/>
        </w:sectPr>
      </w:pPr>
    </w:p>
    <w:bookmarkStart w:id="30" w:name="page31"/>
    <w:bookmarkEnd w:id="3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84"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07"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04" w:lineRule="exact"/>
        <w:rPr>
          <w:sz w:val="20"/>
          <w:szCs w:val="20"/>
          <w:color w:val="auto"/>
        </w:rPr>
      </w:pPr>
    </w:p>
    <w:p>
      <w:pPr>
        <w:ind w:right="20" w:firstLine="273"/>
        <w:spacing w:after="0" w:line="256" w:lineRule="auto"/>
        <w:rPr>
          <w:sz w:val="20"/>
          <w:szCs w:val="20"/>
          <w:color w:val="auto"/>
        </w:rPr>
      </w:pPr>
      <w:r>
        <w:rPr>
          <w:rFonts w:ascii="Times New Roman" w:cs="Times New Roman" w:eastAsia="Times New Roman" w:hAnsi="Times New Roman"/>
          <w:sz w:val="15"/>
          <w:szCs w:val="15"/>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14" w:lineRule="exact"/>
        <w:rPr>
          <w:sz w:val="20"/>
          <w:szCs w:val="20"/>
          <w:color w:val="auto"/>
        </w:rPr>
      </w:pPr>
    </w:p>
    <w:p>
      <w:pPr>
        <w:ind w:right="300" w:firstLine="273"/>
        <w:spacing w:after="0" w:line="264" w:lineRule="auto"/>
        <w:rPr>
          <w:sz w:val="20"/>
          <w:szCs w:val="20"/>
          <w:color w:val="auto"/>
        </w:rPr>
      </w:pPr>
      <w:r>
        <w:rPr>
          <w:rFonts w:ascii="Times New Roman" w:cs="Times New Roman" w:eastAsia="Times New Roman" w:hAnsi="Times New Roman"/>
          <w:sz w:val="15"/>
          <w:szCs w:val="15"/>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04" w:lineRule="exact"/>
        <w:rPr>
          <w:sz w:val="20"/>
          <w:szCs w:val="20"/>
          <w:color w:val="auto"/>
        </w:rPr>
      </w:pPr>
    </w:p>
    <w:p>
      <w:pPr>
        <w:ind w:right="100" w:firstLine="273"/>
        <w:spacing w:after="0" w:line="286" w:lineRule="auto"/>
        <w:rPr>
          <w:sz w:val="20"/>
          <w:szCs w:val="20"/>
          <w:color w:val="auto"/>
        </w:rPr>
      </w:pPr>
      <w:r>
        <w:rPr>
          <w:rFonts w:ascii="Times New Roman" w:cs="Times New Roman" w:eastAsia="Times New Roman" w:hAnsi="Times New Roman"/>
          <w:sz w:val="15"/>
          <w:szCs w:val="15"/>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260"/>
          </w:cols>
          <w:pgMar w:left="320" w:top="121" w:right="319" w:bottom="1440" w:gutter="0" w:footer="0" w:header="0"/>
        </w:sectPr>
      </w:pPr>
    </w:p>
    <w:bookmarkStart w:id="31" w:name="page32"/>
    <w:bookmarkEnd w:id="3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84" w:lineRule="exact"/>
        <w:rPr>
          <w:sz w:val="20"/>
          <w:szCs w:val="20"/>
          <w:color w:val="auto"/>
        </w:rPr>
      </w:pPr>
    </w:p>
    <w:p>
      <w:pPr>
        <w:ind w:right="100" w:firstLine="273"/>
        <w:spacing w:after="0" w:line="269" w:lineRule="auto"/>
        <w:rPr>
          <w:sz w:val="20"/>
          <w:szCs w:val="20"/>
          <w:color w:val="auto"/>
        </w:rPr>
      </w:pPr>
      <w:r>
        <w:rPr>
          <w:rFonts w:ascii="Times New Roman" w:cs="Times New Roman" w:eastAsia="Times New Roman" w:hAnsi="Times New Roman"/>
          <w:sz w:val="15"/>
          <w:szCs w:val="15"/>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01"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In manufacturing our Proteograph, we depend upon third parties for the supply of our instruments and various components, many of which require a significant degree of technical expertise to produce. If our suppliers fail to 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If our Proteograph contain defects, we may experience:</w:t>
      </w:r>
    </w:p>
    <w:p>
      <w:pPr>
        <w:spacing w:after="0" w:line="146" w:lineRule="exact"/>
        <w:rPr>
          <w:sz w:val="20"/>
          <w:szCs w:val="20"/>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failure to achieve market acceptance for our Proteograph or expansion of our Proteograph sales;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customer orders and delay in order fulfillment;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damage to our brand reputation;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warranty and customer service and support costs due to product repair or replacement;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recalls or replacements;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attract new customers;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resources from our manufacturing and research and development departments into our service department;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claims against us, including product liability claims, which could be costly and time consuming to defend and result in substantial damages.</w:t>
      </w:r>
    </w:p>
    <w:p>
      <w:pPr>
        <w:spacing w:after="0" w:line="146"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do not successfully develop and deploy our Proteograph software, our commercialization efforts and therefore business and results of operations could suffer.</w:t>
      </w:r>
    </w:p>
    <w:p>
      <w:pPr>
        <w:spacing w:after="0" w:line="15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01" w:lineRule="exact"/>
        <w:rPr>
          <w:sz w:val="20"/>
          <w:szCs w:val="20"/>
          <w:color w:val="auto"/>
        </w:rPr>
      </w:pPr>
    </w:p>
    <w:p>
      <w:pPr>
        <w:ind w:right="420" w:firstLine="273"/>
        <w:spacing w:after="0" w:line="286" w:lineRule="auto"/>
        <w:rPr>
          <w:sz w:val="20"/>
          <w:szCs w:val="20"/>
          <w:color w:val="auto"/>
        </w:rPr>
      </w:pPr>
      <w:r>
        <w:rPr>
          <w:rFonts w:ascii="Times New Roman" w:cs="Times New Roman" w:eastAsia="Times New Roman" w:hAnsi="Times New Roman"/>
          <w:sz w:val="15"/>
          <w:szCs w:val="15"/>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240"/>
          </w:cols>
          <w:pgMar w:left="320" w:top="121" w:right="339" w:bottom="1440" w:gutter="0" w:footer="0" w:header="0"/>
        </w:sectPr>
      </w:pPr>
    </w:p>
    <w:bookmarkStart w:id="32" w:name="page33"/>
    <w:bookmarkEnd w:id="3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97"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Engaging in international business inherently involves a number of difficulties and risks, including:</w:t>
      </w:r>
    </w:p>
    <w:p>
      <w:pPr>
        <w:spacing w:after="0" w:line="146" w:lineRule="exact"/>
        <w:rPr>
          <w:sz w:val="20"/>
          <w:szCs w:val="20"/>
          <w:color w:val="auto"/>
        </w:rPr>
      </w:pPr>
    </w:p>
    <w:p>
      <w:pPr>
        <w:ind w:left="540" w:right="240" w:hanging="277"/>
        <w:spacing w:after="0" w:line="264" w:lineRule="auto"/>
        <w:tabs>
          <w:tab w:leader="none" w:pos="536"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0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compliance with U.S. laws such as the Foreign Corrupt Practices Act, and other U.S. federal laws and regulations established by the office of Foreign Asset Control;</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export requirements and import or trade restrictions;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and business practices favoring local companies;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exchange, longer payment cycles and difficulties in enforcing agreements and collecting receivables through certain foreign legal systems;</w:t>
      </w:r>
    </w:p>
    <w:p>
      <w:pPr>
        <w:spacing w:after="0" w:line="145" w:lineRule="exact"/>
        <w:rPr>
          <w:rFonts w:ascii="Times New Roman" w:cs="Times New Roman" w:eastAsia="Times New Roman" w:hAnsi="Times New Roman"/>
          <w:sz w:val="15"/>
          <w:szCs w:val="15"/>
          <w:color w:val="auto"/>
        </w:rPr>
      </w:pPr>
    </w:p>
    <w:p>
      <w:pPr>
        <w:ind w:left="540" w:right="200" w:hanging="277"/>
        <w:spacing w:after="0" w:line="269" w:lineRule="auto"/>
        <w:tabs>
          <w:tab w:leader="none" w:pos="536"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0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adverse tax consequences, tariffs, customs charges, bureaucratic requirements, and other trade barriers;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and costs of staffing and managing foreign operations;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protecting, maintaining, enforcing or procuring intellectual property rights.</w:t>
      </w:r>
    </w:p>
    <w:p>
      <w:pPr>
        <w:spacing w:after="0" w:line="146" w:lineRule="exact"/>
        <w:rPr>
          <w:sz w:val="20"/>
          <w:szCs w:val="20"/>
          <w:color w:val="auto"/>
        </w:rPr>
      </w:pPr>
    </w:p>
    <w:p>
      <w:pPr>
        <w:ind w:right="240" w:firstLine="273"/>
        <w:spacing w:after="0" w:line="286" w:lineRule="auto"/>
        <w:rPr>
          <w:sz w:val="20"/>
          <w:szCs w:val="20"/>
          <w:color w:val="auto"/>
        </w:rPr>
      </w:pPr>
      <w:r>
        <w:rPr>
          <w:rFonts w:ascii="Times New Roman" w:cs="Times New Roman" w:eastAsia="Times New Roman" w:hAnsi="Times New Roman"/>
          <w:sz w:val="15"/>
          <w:szCs w:val="15"/>
          <w:color w:val="auto"/>
        </w:rPr>
        <w:t>If one or more of these risks occurs, it could require us to dedicate significant resources to remedy such occurrence, and if we are unsuccessful in finding a solution, our financial results will suffer.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life sciences technology market is highly competitive. If we fail to compete effectively, our business and results of operation will suffer.</w:t>
      </w:r>
    </w:p>
    <w:p>
      <w:pPr>
        <w:spacing w:after="0" w:line="150" w:lineRule="exact"/>
        <w:rPr>
          <w:sz w:val="20"/>
          <w:szCs w:val="20"/>
          <w:color w:val="auto"/>
        </w:rPr>
      </w:pPr>
    </w:p>
    <w:p>
      <w:pPr>
        <w:ind w:right="360" w:firstLine="273"/>
        <w:spacing w:after="0" w:line="264" w:lineRule="auto"/>
        <w:rPr>
          <w:sz w:val="20"/>
          <w:szCs w:val="20"/>
          <w:color w:val="auto"/>
        </w:rPr>
      </w:pPr>
      <w:r>
        <w:rPr>
          <w:rFonts w:ascii="Times New Roman" w:cs="Times New Roman" w:eastAsia="Times New Roman" w:hAnsi="Times New Roman"/>
          <w:sz w:val="15"/>
          <w:szCs w:val="15"/>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04" w:lineRule="exact"/>
        <w:rPr>
          <w:sz w:val="20"/>
          <w:szCs w:val="20"/>
          <w:color w:val="auto"/>
        </w:rPr>
      </w:pPr>
    </w:p>
    <w:p>
      <w:pPr>
        <w:ind w:right="140" w:firstLine="273"/>
        <w:spacing w:after="0" w:line="286" w:lineRule="auto"/>
        <w:rPr>
          <w:sz w:val="20"/>
          <w:szCs w:val="20"/>
          <w:color w:val="auto"/>
        </w:rPr>
      </w:pPr>
      <w:r>
        <w:rPr>
          <w:rFonts w:ascii="Times New Roman" w:cs="Times New Roman" w:eastAsia="Times New Roman" w:hAnsi="Times New Roman"/>
          <w:sz w:val="15"/>
          <w:szCs w:val="15"/>
          <w:color w:val="auto"/>
        </w:rPr>
        <w:t>Some of our current competitors are large publicly-traded companies, or are divisions of large publicly-traded companies, and may enjoy a number of competitive advantages over us, including:</w:t>
      </w:r>
    </w:p>
    <w:p>
      <w:pPr>
        <w:spacing w:after="0" w:line="89" w:lineRule="exact"/>
        <w:rPr>
          <w:sz w:val="20"/>
          <w:szCs w:val="20"/>
          <w:color w:val="auto"/>
        </w:rPr>
      </w:pPr>
    </w:p>
    <w:p>
      <w:pPr>
        <w:ind w:left="540" w:hanging="277"/>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greater name and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240"/>
          </w:cols>
          <w:pgMar w:left="320" w:top="121" w:right="339" w:bottom="1440" w:gutter="0" w:footer="0" w:header="0"/>
        </w:sectPr>
      </w:pPr>
    </w:p>
    <w:bookmarkStart w:id="33" w:name="page34"/>
    <w:bookmarkEnd w:id="3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greater financial and human resources;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broader product lines;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larger sales forces and more established distributor networks;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intellectual property portfolios;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larger and more established customer bases and relationships;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better established, larger scale and lower cost manufacturing capabilities.</w:t>
      </w:r>
    </w:p>
    <w:p>
      <w:pPr>
        <w:spacing w:after="0" w:line="146" w:lineRule="exact"/>
        <w:rPr>
          <w:sz w:val="20"/>
          <w:szCs w:val="20"/>
          <w:color w:val="auto"/>
        </w:rPr>
      </w:pPr>
    </w:p>
    <w:p>
      <w:pPr>
        <w:ind w:right="80" w:firstLine="273"/>
        <w:spacing w:after="0" w:line="264" w:lineRule="auto"/>
        <w:rPr>
          <w:sz w:val="20"/>
          <w:szCs w:val="20"/>
          <w:color w:val="auto"/>
        </w:rPr>
      </w:pPr>
      <w:r>
        <w:rPr>
          <w:rFonts w:ascii="Times New Roman" w:cs="Times New Roman" w:eastAsia="Times New Roman" w:hAnsi="Times New Roman"/>
          <w:sz w:val="15"/>
          <w:szCs w:val="15"/>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04"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3" w:lineRule="exact"/>
        <w:rPr>
          <w:sz w:val="20"/>
          <w:szCs w:val="20"/>
          <w:color w:val="auto"/>
        </w:rPr>
      </w:pPr>
    </w:p>
    <w:p>
      <w:pPr>
        <w:jc w:val="both"/>
        <w:ind w:right="56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99"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04" w:lineRule="exact"/>
        <w:rPr>
          <w:sz w:val="20"/>
          <w:szCs w:val="20"/>
          <w:color w:val="auto"/>
        </w:rPr>
      </w:pPr>
    </w:p>
    <w:p>
      <w:pPr>
        <w:ind w:left="540" w:hanging="277"/>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insufficient accounting personnel to enable segregation of duties relating to the general ledger, disbursement, and certain accounting functions;</w:t>
      </w:r>
    </w:p>
    <w:p>
      <w:pPr>
        <w:spacing w:after="0" w:line="145" w:lineRule="exact"/>
        <w:rPr>
          <w:rFonts w:ascii="Times New Roman" w:cs="Times New Roman" w:eastAsia="Times New Roman" w:hAnsi="Times New Roman"/>
          <w:sz w:val="15"/>
          <w:szCs w:val="15"/>
          <w:color w:val="auto"/>
        </w:rPr>
      </w:pPr>
    </w:p>
    <w:p>
      <w:pPr>
        <w:ind w:left="540" w:right="100" w:hanging="277"/>
        <w:spacing w:after="0" w:line="286" w:lineRule="auto"/>
        <w:tabs>
          <w:tab w:leader="none" w:pos="536"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88" w:lineRule="exact"/>
        <w:rPr>
          <w:rFonts w:ascii="Times New Roman" w:cs="Times New Roman" w:eastAsia="Times New Roman" w:hAnsi="Times New Roman"/>
          <w:sz w:val="15"/>
          <w:szCs w:val="15"/>
          <w:color w:val="auto"/>
        </w:rPr>
      </w:pPr>
    </w:p>
    <w:p>
      <w:pPr>
        <w:ind w:left="540" w:right="440" w:hanging="277"/>
        <w:spacing w:after="0" w:line="286" w:lineRule="auto"/>
        <w:tabs>
          <w:tab w:leader="none" w:pos="536"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89" w:lineRule="exact"/>
        <w:rPr>
          <w:sz w:val="20"/>
          <w:szCs w:val="20"/>
          <w:color w:val="auto"/>
        </w:rPr>
      </w:pPr>
    </w:p>
    <w:p>
      <w:pPr>
        <w:ind w:right="760" w:firstLine="273"/>
        <w:spacing w:after="0" w:line="286" w:lineRule="auto"/>
        <w:rPr>
          <w:sz w:val="20"/>
          <w:szCs w:val="20"/>
          <w:color w:val="auto"/>
        </w:rPr>
      </w:pPr>
      <w:r>
        <w:rPr>
          <w:rFonts w:ascii="Times New Roman" w:cs="Times New Roman" w:eastAsia="Times New Roman" w:hAnsi="Times New Roman"/>
          <w:sz w:val="15"/>
          <w:szCs w:val="15"/>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260"/>
          </w:cols>
          <w:pgMar w:left="320" w:top="121" w:right="319" w:bottom="1440" w:gutter="0" w:footer="0" w:header="0"/>
        </w:sectPr>
      </w:pPr>
    </w:p>
    <w:bookmarkStart w:id="34" w:name="page35"/>
    <w:bookmarkEnd w:id="3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the hiring of an additional two finance and accounting personnel during 2021 to assist in executing on these specific functions.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1"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03"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84"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2"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07" w:lineRule="exact"/>
        <w:rPr>
          <w:sz w:val="20"/>
          <w:szCs w:val="20"/>
          <w:color w:val="auto"/>
        </w:rPr>
      </w:pPr>
    </w:p>
    <w:p>
      <w:pPr>
        <w:ind w:right="260" w:firstLine="273"/>
        <w:spacing w:after="0" w:line="286" w:lineRule="auto"/>
        <w:rPr>
          <w:sz w:val="20"/>
          <w:szCs w:val="20"/>
          <w:color w:val="auto"/>
        </w:rPr>
      </w:pPr>
      <w:r>
        <w:rPr>
          <w:rFonts w:ascii="Times New Roman" w:cs="Times New Roman" w:eastAsia="Times New Roman" w:hAnsi="Times New Roman"/>
          <w:sz w:val="15"/>
          <w:szCs w:val="15"/>
          <w:color w:val="auto"/>
        </w:rPr>
        <w:t>To achieve compliance with Section 404(a) within the prescribed period, we will be engaging in a process to document and evaluate our internal control over financial reporting, which is both costly and challenging.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240"/>
          </w:cols>
          <w:pgMar w:left="320" w:top="121" w:right="339" w:bottom="1440" w:gutter="0" w:footer="0" w:header="0"/>
        </w:sectPr>
      </w:pPr>
    </w:p>
    <w:bookmarkStart w:id="35" w:name="page36"/>
    <w:bookmarkEnd w:id="3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15"/>
          <w:szCs w:val="15"/>
          <w:color w:val="auto"/>
        </w:rPr>
        <w:t>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01" w:lineRule="exact"/>
        <w:rPr>
          <w:sz w:val="20"/>
          <w:szCs w:val="20"/>
          <w:color w:val="auto"/>
        </w:rPr>
      </w:pPr>
    </w:p>
    <w:p>
      <w:pPr>
        <w:ind w:right="140" w:firstLine="273"/>
        <w:spacing w:after="0" w:line="269" w:lineRule="auto"/>
        <w:rPr>
          <w:sz w:val="20"/>
          <w:szCs w:val="20"/>
          <w:color w:val="auto"/>
        </w:rPr>
      </w:pPr>
      <w:r>
        <w:rPr>
          <w:rFonts w:ascii="Times New Roman" w:cs="Times New Roman" w:eastAsia="Times New Roman" w:hAnsi="Times New Roman"/>
          <w:sz w:val="15"/>
          <w:szCs w:val="15"/>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97"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84"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05"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84"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04" w:lineRule="exact"/>
        <w:rPr>
          <w:sz w:val="20"/>
          <w:szCs w:val="20"/>
          <w:color w:val="auto"/>
        </w:rPr>
      </w:pPr>
    </w:p>
    <w:p>
      <w:pPr>
        <w:ind w:right="140" w:firstLine="273"/>
        <w:spacing w:after="0" w:line="261" w:lineRule="auto"/>
        <w:rPr>
          <w:sz w:val="20"/>
          <w:szCs w:val="20"/>
          <w:color w:val="auto"/>
        </w:rPr>
      </w:pPr>
      <w:r>
        <w:rPr>
          <w:rFonts w:ascii="Times New Roman" w:cs="Times New Roman" w:eastAsia="Times New Roman" w:hAnsi="Times New Roman"/>
          <w:sz w:val="15"/>
          <w:szCs w:val="15"/>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07"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5"/>
          <w:szCs w:val="15"/>
          <w:i w:val="1"/>
          <w:iCs w:val="1"/>
          <w:color w:val="auto"/>
        </w:rPr>
        <w:t>de novo</w:t>
      </w:r>
      <w:r>
        <w:rPr>
          <w:rFonts w:ascii="Times New Roman" w:cs="Times New Roman" w:eastAsia="Times New Roman" w:hAnsi="Times New Roman"/>
          <w:sz w:val="15"/>
          <w:szCs w:val="15"/>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240"/>
          </w:cols>
          <w:pgMar w:left="320" w:top="121" w:right="339" w:bottom="1440" w:gutter="0" w:footer="0" w:header="0"/>
        </w:sectPr>
      </w:pPr>
    </w:p>
    <w:bookmarkStart w:id="36" w:name="page37"/>
    <w:bookmarkEnd w:id="3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09" w:lineRule="exact"/>
        <w:rPr>
          <w:sz w:val="20"/>
          <w:szCs w:val="20"/>
          <w:color w:val="auto"/>
        </w:rPr>
      </w:pPr>
    </w:p>
    <w:p>
      <w:pPr>
        <w:ind w:right="240" w:firstLine="273"/>
        <w:spacing w:after="0" w:line="258" w:lineRule="auto"/>
        <w:rPr>
          <w:sz w:val="20"/>
          <w:szCs w:val="20"/>
          <w:color w:val="auto"/>
        </w:rPr>
      </w:pPr>
      <w:r>
        <w:rPr>
          <w:rFonts w:ascii="Times New Roman" w:cs="Times New Roman" w:eastAsia="Times New Roman" w:hAnsi="Times New Roman"/>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1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02" w:lineRule="exact"/>
        <w:rPr>
          <w:sz w:val="20"/>
          <w:szCs w:val="20"/>
          <w:color w:val="auto"/>
        </w:rPr>
      </w:pPr>
    </w:p>
    <w:p>
      <w:pPr>
        <w:ind w:right="100" w:firstLine="273"/>
        <w:spacing w:after="0" w:line="258" w:lineRule="auto"/>
        <w:rPr>
          <w:sz w:val="20"/>
          <w:szCs w:val="20"/>
          <w:color w:val="auto"/>
        </w:rPr>
      </w:pPr>
      <w:r>
        <w:rPr>
          <w:rFonts w:ascii="Times New Roman" w:cs="Times New Roman" w:eastAsia="Times New Roman" w:hAnsi="Times New Roman"/>
          <w:sz w:val="15"/>
          <w:szCs w:val="15"/>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260"/>
          </w:cols>
          <w:pgMar w:left="320" w:top="121" w:right="319" w:bottom="1440" w:gutter="0" w:footer="0" w:header="0"/>
        </w:sectPr>
      </w:pPr>
    </w:p>
    <w:bookmarkStart w:id="37" w:name="page38"/>
    <w:bookmarkEnd w:id="3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5"/>
          <w:szCs w:val="15"/>
          <w:color w:val="auto"/>
        </w:rPr>
        <w:t>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1"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12" w:lineRule="exact"/>
        <w:rPr>
          <w:sz w:val="20"/>
          <w:szCs w:val="20"/>
          <w:color w:val="auto"/>
        </w:rPr>
      </w:pPr>
    </w:p>
    <w:p>
      <w:pPr>
        <w:ind w:right="20" w:firstLine="273"/>
        <w:spacing w:after="0" w:line="259" w:lineRule="auto"/>
        <w:rPr>
          <w:sz w:val="20"/>
          <w:szCs w:val="20"/>
          <w:color w:val="auto"/>
        </w:rPr>
      </w:pPr>
      <w:r>
        <w:rPr>
          <w:rFonts w:ascii="Times New Roman" w:cs="Times New Roman" w:eastAsia="Times New Roman" w:hAnsi="Times New Roman"/>
          <w:sz w:val="15"/>
          <w:szCs w:val="15"/>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10" w:lineRule="exact"/>
        <w:rPr>
          <w:sz w:val="20"/>
          <w:szCs w:val="20"/>
          <w:color w:val="auto"/>
        </w:rPr>
      </w:pPr>
    </w:p>
    <w:p>
      <w:pPr>
        <w:ind w:right="40" w:firstLine="273"/>
        <w:spacing w:after="0" w:line="257" w:lineRule="auto"/>
        <w:rPr>
          <w:sz w:val="20"/>
          <w:szCs w:val="20"/>
          <w:color w:val="auto"/>
        </w:rPr>
      </w:pPr>
      <w:r>
        <w:rPr>
          <w:rFonts w:ascii="Times New Roman" w:cs="Times New Roman" w:eastAsia="Times New Roman" w:hAnsi="Times New Roman"/>
          <w:sz w:val="15"/>
          <w:szCs w:val="15"/>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260"/>
          </w:cols>
          <w:pgMar w:left="320" w:top="121" w:right="319" w:bottom="1440" w:gutter="0" w:footer="0" w:header="0"/>
        </w:sectPr>
      </w:pPr>
    </w:p>
    <w:bookmarkStart w:id="38" w:name="page39"/>
    <w:bookmarkEnd w:id="3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00"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84"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the concurrent private placement and anticipated cash flow from operations are insufficient to satisfy our liquidity requirements including because of lower demand for our products or the realization of other risks described in this prospectus, we may be required to raise additional capital prior to such time through issuances of equity or convertible debt securities, entrance into a credit facility or another form of third-party funding or seek other debt financing.</w:t>
      </w:r>
    </w:p>
    <w:p>
      <w:pPr>
        <w:spacing w:after="0" w:line="107"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We will consider raising additional capital in the future to expand our business, to pursue strategic investments, to take advantage of financing opportunities or for other reasons, including:</w:t>
      </w:r>
    </w:p>
    <w:p>
      <w:pPr>
        <w:spacing w:after="0" w:line="89" w:lineRule="exact"/>
        <w:rPr>
          <w:sz w:val="20"/>
          <w:szCs w:val="20"/>
          <w:color w:val="auto"/>
        </w:rPr>
      </w:pPr>
    </w:p>
    <w:p>
      <w:pPr>
        <w:ind w:left="540" w:hanging="277"/>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increasing our sales and marketing and other commercialization efforts to drive market adoption of our Proteograph Product Suite, once commercialized;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funding development and marketing efforts of our Proteograph or any other future products;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expanding our technologies into additional markets;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acquiring, licensing or investing in technologies and other intellectual property rights;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acquiring or investing in complementary businesses or assets;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financing capital expenditures and general and administrative expenses.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present and future funding requirements will depend on many factors, including:</w:t>
      </w:r>
    </w:p>
    <w:p>
      <w:pPr>
        <w:spacing w:after="0" w:line="146" w:lineRule="exact"/>
        <w:rPr>
          <w:sz w:val="20"/>
          <w:szCs w:val="20"/>
          <w:color w:val="auto"/>
        </w:rPr>
      </w:pPr>
    </w:p>
    <w:p>
      <w:pPr>
        <w:ind w:left="540" w:hanging="277"/>
        <w:spacing w:after="0" w:line="286" w:lineRule="auto"/>
        <w:tabs>
          <w:tab w:leader="none" w:pos="536"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rate of progress in launching and commercializing our Proteograph and new products, and the cost of the sales and marketing activities associated with establishing adoption of our products;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rate of progress in, and cost of research and development activities associated with, products in research and development;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competing technological and market developments.</w:t>
      </w:r>
    </w:p>
    <w:p>
      <w:pPr>
        <w:spacing w:after="0" w:line="146" w:lineRule="exact"/>
        <w:rPr>
          <w:sz w:val="20"/>
          <w:szCs w:val="20"/>
          <w:color w:val="auto"/>
        </w:rPr>
      </w:pPr>
    </w:p>
    <w:p>
      <w:pPr>
        <w:ind w:right="80" w:firstLine="273"/>
        <w:spacing w:after="0" w:line="264" w:lineRule="auto"/>
        <w:rPr>
          <w:sz w:val="20"/>
          <w:szCs w:val="20"/>
          <w:color w:val="auto"/>
        </w:rPr>
      </w:pPr>
      <w:r>
        <w:rPr>
          <w:rFonts w:ascii="Times New Roman" w:cs="Times New Roman" w:eastAsia="Times New Roman" w:hAnsi="Times New Roman"/>
          <w:sz w:val="15"/>
          <w:szCs w:val="15"/>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04" w:lineRule="exact"/>
        <w:rPr>
          <w:sz w:val="20"/>
          <w:szCs w:val="20"/>
          <w:color w:val="auto"/>
        </w:rPr>
      </w:pPr>
    </w:p>
    <w:p>
      <w:pPr>
        <w:ind w:right="240" w:firstLine="273"/>
        <w:spacing w:after="0" w:line="269" w:lineRule="auto"/>
        <w:rPr>
          <w:sz w:val="20"/>
          <w:szCs w:val="20"/>
          <w:color w:val="auto"/>
        </w:rPr>
      </w:pPr>
      <w:r>
        <w:rPr>
          <w:rFonts w:ascii="Times New Roman" w:cs="Times New Roman" w:eastAsia="Times New Roman" w:hAnsi="Times New Roman"/>
          <w:sz w:val="15"/>
          <w:szCs w:val="15"/>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240"/>
          </w:cols>
          <w:pgMar w:left="320" w:top="121" w:right="339" w:bottom="1440" w:gutter="0" w:footer="0" w:header="0"/>
        </w:sectPr>
      </w:pPr>
    </w:p>
    <w:bookmarkStart w:id="39" w:name="page40"/>
    <w:bookmarkEnd w:id="3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84" w:lineRule="exact"/>
        <w:rPr>
          <w:sz w:val="20"/>
          <w:szCs w:val="20"/>
          <w:color w:val="auto"/>
        </w:rPr>
      </w:pPr>
    </w:p>
    <w:p>
      <w:pPr>
        <w:ind w:right="80" w:firstLine="273"/>
        <w:spacing w:after="0" w:line="264" w:lineRule="auto"/>
        <w:rPr>
          <w:sz w:val="20"/>
          <w:szCs w:val="20"/>
          <w:color w:val="auto"/>
        </w:rPr>
      </w:pPr>
      <w:r>
        <w:rPr>
          <w:rFonts w:ascii="Times New Roman" w:cs="Times New Roman" w:eastAsia="Times New Roman" w:hAnsi="Times New Roman"/>
          <w:sz w:val="15"/>
          <w:szCs w:val="15"/>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04" w:lineRule="exact"/>
        <w:rPr>
          <w:sz w:val="20"/>
          <w:szCs w:val="20"/>
          <w:color w:val="auto"/>
        </w:rPr>
      </w:pPr>
    </w:p>
    <w:p>
      <w:pPr>
        <w:ind w:right="80" w:firstLine="273"/>
        <w:spacing w:after="0" w:line="264" w:lineRule="auto"/>
        <w:rPr>
          <w:sz w:val="20"/>
          <w:szCs w:val="20"/>
          <w:color w:val="auto"/>
        </w:rPr>
      </w:pPr>
      <w:r>
        <w:rPr>
          <w:rFonts w:ascii="Times New Roman" w:cs="Times New Roman" w:eastAsia="Times New Roman" w:hAnsi="Times New Roman"/>
          <w:sz w:val="15"/>
          <w:szCs w:val="15"/>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realize the benefits of PrognomIQ as a separate healthcare company in the area of disease testing.</w:t>
      </w:r>
    </w:p>
    <w:p>
      <w:pPr>
        <w:spacing w:after="0" w:line="150" w:lineRule="exact"/>
        <w:rPr>
          <w:sz w:val="20"/>
          <w:szCs w:val="20"/>
          <w:color w:val="auto"/>
        </w:rPr>
      </w:pPr>
    </w:p>
    <w:p>
      <w:pPr>
        <w:jc w:val="both"/>
        <w:ind w:right="100" w:firstLine="273"/>
        <w:spacing w:after="0" w:line="269" w:lineRule="auto"/>
        <w:rPr>
          <w:sz w:val="20"/>
          <w:szCs w:val="20"/>
          <w:color w:val="auto"/>
        </w:rPr>
      </w:pPr>
      <w:r>
        <w:rPr>
          <w:rFonts w:ascii="Times New Roman" w:cs="Times New Roman" w:eastAsia="Times New Roman" w:hAnsi="Times New Roman"/>
          <w:sz w:val="15"/>
          <w:szCs w:val="15"/>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101" w:lineRule="exact"/>
        <w:rPr>
          <w:sz w:val="20"/>
          <w:szCs w:val="20"/>
          <w:color w:val="auto"/>
        </w:rPr>
      </w:pPr>
    </w:p>
    <w:p>
      <w:pPr>
        <w:ind w:left="540" w:hanging="277"/>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PrognomIQ may be unable to successfully develop viable testing products;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PrognomIQ’s business may not help demonstrate the value of our Proteograph;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reach agreement with PrognomIQ on future commercial arrangements;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PrognomIQ may not become a meaningful customer of ours;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PrognomIQ may need to raise additional funding in the future and be unable to do so;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formation of PrognomIQ and our continuing equity stake in PrognomIQ may add complexities to our business from a finance, tax and accounting perspective.</w:t>
      </w:r>
    </w:p>
    <w:p>
      <w:pPr>
        <w:spacing w:after="0" w:line="146"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Intellectual Property</w:t>
      </w:r>
    </w:p>
    <w:p>
      <w:pPr>
        <w:spacing w:after="0" w:line="14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99"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160"/>
          </w:cols>
          <w:pgMar w:left="320" w:top="121" w:right="419" w:bottom="1440" w:gutter="0" w:footer="0" w:header="0"/>
        </w:sectPr>
      </w:pPr>
    </w:p>
    <w:bookmarkStart w:id="40" w:name="page41"/>
    <w:bookmarkEnd w:id="4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01"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09" w:lineRule="exact"/>
        <w:rPr>
          <w:sz w:val="20"/>
          <w:szCs w:val="20"/>
          <w:color w:val="auto"/>
        </w:rPr>
      </w:pPr>
    </w:p>
    <w:p>
      <w:pPr>
        <w:ind w:right="40" w:firstLine="273"/>
        <w:spacing w:after="0" w:line="255" w:lineRule="auto"/>
        <w:rPr>
          <w:sz w:val="20"/>
          <w:szCs w:val="20"/>
          <w:color w:val="auto"/>
        </w:rPr>
      </w:pPr>
      <w:r>
        <w:rPr>
          <w:rFonts w:ascii="Times New Roman" w:cs="Times New Roman" w:eastAsia="Times New Roman" w:hAnsi="Times New Roman"/>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4"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84" w:lineRule="exact"/>
        <w:rPr>
          <w:sz w:val="20"/>
          <w:szCs w:val="20"/>
          <w:color w:val="auto"/>
        </w:rPr>
      </w:pPr>
    </w:p>
    <w:p>
      <w:pPr>
        <w:ind w:right="200" w:firstLine="273"/>
        <w:spacing w:after="0" w:line="258" w:lineRule="auto"/>
        <w:rPr>
          <w:sz w:val="20"/>
          <w:szCs w:val="20"/>
          <w:color w:val="auto"/>
        </w:rPr>
      </w:pPr>
      <w:r>
        <w:rPr>
          <w:rFonts w:ascii="Times New Roman" w:cs="Times New Roman" w:eastAsia="Times New Roman" w:hAnsi="Times New Roman"/>
          <w:sz w:val="15"/>
          <w:szCs w:val="15"/>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and derivation proceedings. The America Invents Act and its implementation could increase the uncertainties and costs surrounding the prosecution of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260"/>
          </w:cols>
          <w:pgMar w:left="320" w:top="121" w:right="319" w:bottom="1440" w:gutter="0" w:footer="0" w:header="0"/>
        </w:sectPr>
      </w:pPr>
    </w:p>
    <w:bookmarkStart w:id="41" w:name="page42"/>
    <w:bookmarkEnd w:id="4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5"/>
          <w:szCs w:val="15"/>
          <w:color w:val="auto"/>
        </w:rPr>
        <w:t>applications and the enforcement or defense of our issued patents, all of which could have a material adverse effect on our business, financial condition, results of operations and prospects.</w:t>
      </w:r>
    </w:p>
    <w:p>
      <w:pPr>
        <w:spacing w:after="0" w:line="89"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07"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04"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intellectual property rights throughout the world.</w:t>
      </w:r>
    </w:p>
    <w:p>
      <w:pPr>
        <w:spacing w:after="0" w:line="150"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89"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2"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220"/>
          </w:cols>
          <w:pgMar w:left="320" w:top="121" w:right="359" w:bottom="1440" w:gutter="0" w:footer="0" w:header="0"/>
        </w:sectPr>
      </w:pPr>
    </w:p>
    <w:bookmarkStart w:id="42" w:name="page43"/>
    <w:bookmarkEnd w:id="4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5"/>
          <w:szCs w:val="15"/>
          <w:color w:val="auto"/>
        </w:rPr>
        <w:t>other intellectual property rights on a worldwide basis. As a result, it is possible that we will not be able to enforce our rights against third parties that misappropriate our proprietary technology in those countries.</w:t>
      </w:r>
    </w:p>
    <w:p>
      <w:pPr>
        <w:spacing w:after="0" w:line="89" w:lineRule="exact"/>
        <w:rPr>
          <w:sz w:val="20"/>
          <w:szCs w:val="20"/>
          <w:color w:val="auto"/>
        </w:rPr>
      </w:pPr>
    </w:p>
    <w:p>
      <w:pPr>
        <w:ind w:right="140" w:firstLine="273"/>
        <w:spacing w:after="0" w:line="258" w:lineRule="auto"/>
        <w:rPr>
          <w:sz w:val="20"/>
          <w:szCs w:val="20"/>
          <w:color w:val="auto"/>
        </w:rPr>
      </w:pPr>
      <w:r>
        <w:rPr>
          <w:rFonts w:ascii="Times New Roman" w:cs="Times New Roman" w:eastAsia="Times New Roman" w:hAnsi="Times New Roman"/>
          <w:sz w:val="15"/>
          <w:szCs w:val="15"/>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Issued patents covering our products could be found invalid or unenforceable if challenged.</w:t>
      </w:r>
    </w:p>
    <w:p>
      <w:pPr>
        <w:spacing w:after="0" w:line="150" w:lineRule="exact"/>
        <w:rPr>
          <w:sz w:val="20"/>
          <w:szCs w:val="20"/>
          <w:color w:val="auto"/>
        </w:rPr>
      </w:pPr>
    </w:p>
    <w:p>
      <w:pPr>
        <w:ind w:right="40" w:firstLine="273"/>
        <w:spacing w:after="0" w:line="254" w:lineRule="auto"/>
        <w:rPr>
          <w:sz w:val="20"/>
          <w:szCs w:val="20"/>
          <w:color w:val="auto"/>
        </w:rPr>
      </w:pPr>
      <w:r>
        <w:rPr>
          <w:rFonts w:ascii="Times New Roman" w:cs="Times New Roman" w:eastAsia="Times New Roman" w:hAnsi="Times New Roman"/>
          <w:sz w:val="15"/>
          <w:szCs w:val="15"/>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5"/>
          <w:szCs w:val="15"/>
          <w:i w:val="1"/>
          <w:iCs w:val="1"/>
          <w:color w:val="auto"/>
        </w:rPr>
        <w:t>ex parte</w:t>
      </w:r>
      <w:r>
        <w:rPr>
          <w:rFonts w:ascii="Times New Roman" w:cs="Times New Roman" w:eastAsia="Times New Roman" w:hAnsi="Times New Roman"/>
          <w:sz w:val="15"/>
          <w:szCs w:val="15"/>
          <w:color w:val="auto"/>
        </w:rPr>
        <w:t xml:space="preserve"> re-examination,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21"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240"/>
          </w:cols>
          <w:pgMar w:left="320" w:top="121" w:right="339" w:bottom="1440" w:gutter="0" w:footer="0" w:header="0"/>
        </w:sectPr>
      </w:pPr>
    </w:p>
    <w:bookmarkStart w:id="43" w:name="page44"/>
    <w:bookmarkEnd w:id="4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protect the confidentiality of our trade secrets, the value of our technology could be materially adversely affected and our business could be harmed.</w:t>
      </w:r>
    </w:p>
    <w:p>
      <w:pPr>
        <w:spacing w:after="0" w:line="150"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04"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12" w:lineRule="exact"/>
        <w:rPr>
          <w:sz w:val="20"/>
          <w:szCs w:val="20"/>
          <w:color w:val="auto"/>
        </w:rPr>
      </w:pPr>
    </w:p>
    <w:p>
      <w:pPr>
        <w:ind w:right="180" w:firstLine="273"/>
        <w:spacing w:after="0" w:line="269" w:lineRule="auto"/>
        <w:rPr>
          <w:sz w:val="20"/>
          <w:szCs w:val="20"/>
          <w:color w:val="auto"/>
        </w:rPr>
      </w:pPr>
      <w:r>
        <w:rPr>
          <w:rFonts w:ascii="Times New Roman" w:cs="Times New Roman" w:eastAsia="Times New Roman" w:hAnsi="Times New Roman"/>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01" w:lineRule="exact"/>
        <w:rPr>
          <w:sz w:val="20"/>
          <w:szCs w:val="20"/>
          <w:color w:val="auto"/>
        </w:rPr>
      </w:pPr>
    </w:p>
    <w:p>
      <w:pPr>
        <w:ind w:right="180" w:firstLine="273"/>
        <w:spacing w:after="0" w:line="258" w:lineRule="auto"/>
        <w:rPr>
          <w:sz w:val="20"/>
          <w:szCs w:val="20"/>
          <w:color w:val="auto"/>
        </w:rPr>
      </w:pPr>
      <w:r>
        <w:rPr>
          <w:rFonts w:ascii="Times New Roman" w:cs="Times New Roman" w:eastAsia="Times New Roman" w:hAnsi="Times New Roman"/>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claims challenging the inventorship of our patents and other intellectual property.</w:t>
      </w:r>
    </w:p>
    <w:p>
      <w:pPr>
        <w:spacing w:after="0" w:line="150" w:lineRule="exact"/>
        <w:rPr>
          <w:sz w:val="20"/>
          <w:szCs w:val="20"/>
          <w:color w:val="auto"/>
        </w:rPr>
      </w:pPr>
    </w:p>
    <w:p>
      <w:pPr>
        <w:ind w:right="60" w:firstLine="273"/>
        <w:spacing w:after="0" w:line="269" w:lineRule="auto"/>
        <w:rPr>
          <w:sz w:val="20"/>
          <w:szCs w:val="20"/>
          <w:color w:val="auto"/>
        </w:rPr>
      </w:pPr>
      <w:r>
        <w:rPr>
          <w:rFonts w:ascii="Times New Roman" w:cs="Times New Roman" w:eastAsia="Times New Roman" w:hAnsi="Times New Roman"/>
          <w:sz w:val="15"/>
          <w:szCs w:val="15"/>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240"/>
          </w:cols>
          <w:pgMar w:left="320" w:top="121" w:right="339" w:bottom="1440" w:gutter="0" w:footer="0" w:header="0"/>
        </w:sectPr>
      </w:pPr>
    </w:p>
    <w:bookmarkStart w:id="44" w:name="page45"/>
    <w:bookmarkEnd w:id="4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and enforce our trademarks and trade names, or build name recognition in our markets of interest thereby harming our competitive position.</w:t>
      </w:r>
    </w:p>
    <w:p>
      <w:pPr>
        <w:spacing w:after="0" w:line="150" w:lineRule="exact"/>
        <w:rPr>
          <w:sz w:val="20"/>
          <w:szCs w:val="20"/>
          <w:color w:val="auto"/>
        </w:rPr>
      </w:pPr>
    </w:p>
    <w:p>
      <w:pPr>
        <w:ind w:right="40" w:firstLine="273"/>
        <w:spacing w:after="0" w:line="255" w:lineRule="auto"/>
        <w:rPr>
          <w:sz w:val="20"/>
          <w:szCs w:val="20"/>
          <w:color w:val="auto"/>
        </w:rPr>
      </w:pPr>
      <w:r>
        <w:rPr>
          <w:rFonts w:ascii="Times New Roman" w:cs="Times New Roman" w:eastAsia="Times New Roman" w:hAnsi="Times New Roman"/>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Patent terms may be inadequate to protect our competitive position on our Proteograph Product Suite for an adequate amount of time.</w:t>
      </w:r>
    </w:p>
    <w:p>
      <w:pPr>
        <w:spacing w:after="0" w:line="150" w:lineRule="exact"/>
        <w:rPr>
          <w:sz w:val="20"/>
          <w:szCs w:val="20"/>
          <w:color w:val="auto"/>
        </w:rPr>
      </w:pPr>
    </w:p>
    <w:p>
      <w:pPr>
        <w:ind w:right="380" w:firstLine="273"/>
        <w:spacing w:after="0" w:line="269" w:lineRule="auto"/>
        <w:rPr>
          <w:sz w:val="20"/>
          <w:szCs w:val="20"/>
          <w:color w:val="auto"/>
        </w:rPr>
      </w:pPr>
      <w:r>
        <w:rPr>
          <w:rFonts w:ascii="Times New Roman" w:cs="Times New Roman" w:eastAsia="Times New Roman" w:hAnsi="Times New Roman"/>
          <w:sz w:val="15"/>
          <w:szCs w:val="15"/>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220"/>
          </w:cols>
          <w:pgMar w:left="320" w:top="121" w:right="359" w:bottom="1440" w:gutter="0" w:footer="0" w:header="0"/>
        </w:sectPr>
      </w:pPr>
    </w:p>
    <w:bookmarkStart w:id="45" w:name="page46"/>
    <w:bookmarkEnd w:id="4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03"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84" w:lineRule="exact"/>
        <w:rPr>
          <w:sz w:val="20"/>
          <w:szCs w:val="20"/>
          <w:color w:val="auto"/>
        </w:rPr>
      </w:pPr>
    </w:p>
    <w:p>
      <w:pPr>
        <w:ind w:right="100" w:firstLine="273"/>
        <w:spacing w:after="0" w:line="256" w:lineRule="auto"/>
        <w:rPr>
          <w:sz w:val="20"/>
          <w:szCs w:val="20"/>
          <w:color w:val="auto"/>
        </w:rPr>
      </w:pPr>
      <w:r>
        <w:rPr>
          <w:rFonts w:ascii="Times New Roman" w:cs="Times New Roman" w:eastAsia="Times New Roman" w:hAnsi="Times New Roman"/>
          <w:sz w:val="15"/>
          <w:szCs w:val="15"/>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14" w:lineRule="exact"/>
        <w:rPr>
          <w:sz w:val="20"/>
          <w:szCs w:val="20"/>
          <w:color w:val="auto"/>
        </w:rPr>
      </w:pPr>
    </w:p>
    <w:p>
      <w:pPr>
        <w:ind w:firstLine="273"/>
        <w:spacing w:after="0" w:line="255" w:lineRule="auto"/>
        <w:rPr>
          <w:sz w:val="20"/>
          <w:szCs w:val="20"/>
          <w:color w:val="auto"/>
        </w:rPr>
      </w:pPr>
      <w:r>
        <w:rPr>
          <w:rFonts w:ascii="Times New Roman" w:cs="Times New Roman" w:eastAsia="Times New Roman" w:hAnsi="Times New Roman"/>
          <w:sz w:val="15"/>
          <w:szCs w:val="15"/>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260"/>
          </w:cols>
          <w:pgMar w:left="320" w:top="121" w:right="319" w:bottom="1440" w:gutter="0" w:footer="0" w:header="0"/>
        </w:sectPr>
      </w:pPr>
    </w:p>
    <w:bookmarkStart w:id="46" w:name="page47"/>
    <w:bookmarkEnd w:id="4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5"/>
          <w:szCs w:val="15"/>
          <w:color w:val="auto"/>
        </w:rPr>
        <w:t>use the same licensed intellectual property to compete with us. Any of the foregoing could have a material adverse effect on our business, financial condition, results of operation or prospects.</w:t>
      </w:r>
    </w:p>
    <w:p>
      <w:pPr>
        <w:spacing w:after="0" w:line="89" w:lineRule="exact"/>
        <w:rPr>
          <w:sz w:val="20"/>
          <w:szCs w:val="20"/>
          <w:color w:val="auto"/>
        </w:rPr>
      </w:pPr>
    </w:p>
    <w:p>
      <w:pPr>
        <w:ind w:right="80" w:firstLine="273"/>
        <w:spacing w:after="0" w:line="259" w:lineRule="auto"/>
        <w:rPr>
          <w:sz w:val="20"/>
          <w:szCs w:val="20"/>
          <w:color w:val="auto"/>
        </w:rPr>
      </w:pPr>
      <w:r>
        <w:rPr>
          <w:rFonts w:ascii="Times New Roman" w:cs="Times New Roman" w:eastAsia="Times New Roman" w:hAnsi="Times New Roman"/>
          <w:sz w:val="15"/>
          <w:szCs w:val="15"/>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5"/>
          <w:szCs w:val="15"/>
          <w:i w:val="1"/>
          <w:iCs w:val="1"/>
          <w:color w:val="auto"/>
        </w:rPr>
        <w:t>ex-parte</w:t>
      </w:r>
      <w:r>
        <w:rPr>
          <w:rFonts w:ascii="Times New Roman" w:cs="Times New Roman" w:eastAsia="Times New Roman" w:hAnsi="Times New Roman"/>
          <w:sz w:val="15"/>
          <w:szCs w:val="15"/>
          <w:color w:val="auto"/>
        </w:rPr>
        <w:t xml:space="preserve"> reexamination,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0" w:lineRule="exact"/>
        <w:rPr>
          <w:sz w:val="20"/>
          <w:szCs w:val="20"/>
          <w:color w:val="auto"/>
        </w:rPr>
      </w:pPr>
    </w:p>
    <w:p>
      <w:pPr>
        <w:ind w:right="40" w:firstLine="273"/>
        <w:spacing w:after="0" w:line="259" w:lineRule="auto"/>
        <w:rPr>
          <w:sz w:val="20"/>
          <w:szCs w:val="20"/>
          <w:color w:val="auto"/>
        </w:rPr>
      </w:pPr>
      <w:r>
        <w:rPr>
          <w:rFonts w:ascii="Times New Roman" w:cs="Times New Roman" w:eastAsia="Times New Roman" w:hAnsi="Times New Roman"/>
          <w:sz w:val="15"/>
          <w:szCs w:val="15"/>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10" w:lineRule="exact"/>
        <w:rPr>
          <w:sz w:val="20"/>
          <w:szCs w:val="20"/>
          <w:color w:val="auto"/>
        </w:rPr>
      </w:pPr>
    </w:p>
    <w:p>
      <w:pPr>
        <w:ind w:right="40" w:firstLine="273"/>
        <w:spacing w:after="0" w:line="258" w:lineRule="auto"/>
        <w:rPr>
          <w:sz w:val="20"/>
          <w:szCs w:val="20"/>
          <w:color w:val="auto"/>
        </w:rPr>
      </w:pPr>
      <w:r>
        <w:rPr>
          <w:rFonts w:ascii="Times New Roman" w:cs="Times New Roman" w:eastAsia="Times New Roman" w:hAnsi="Times New Roman"/>
          <w:sz w:val="15"/>
          <w:szCs w:val="15"/>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10"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260"/>
          </w:cols>
          <w:pgMar w:left="320" w:top="121" w:right="319" w:bottom="1440" w:gutter="0" w:footer="0" w:header="0"/>
        </w:sectPr>
      </w:pPr>
    </w:p>
    <w:bookmarkStart w:id="47" w:name="page48"/>
    <w:bookmarkEnd w:id="4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84"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8"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84" w:lineRule="exact"/>
        <w:rPr>
          <w:sz w:val="20"/>
          <w:szCs w:val="20"/>
          <w:color w:val="auto"/>
        </w:rPr>
      </w:pPr>
    </w:p>
    <w:p>
      <w:pPr>
        <w:ind w:right="140" w:firstLine="273"/>
        <w:spacing w:after="0" w:line="256" w:lineRule="auto"/>
        <w:rPr>
          <w:sz w:val="20"/>
          <w:szCs w:val="20"/>
          <w:color w:val="auto"/>
        </w:rPr>
      </w:pPr>
      <w:r>
        <w:rPr>
          <w:rFonts w:ascii="Times New Roman" w:cs="Times New Roman" w:eastAsia="Times New Roman" w:hAnsi="Times New Roman"/>
          <w:sz w:val="15"/>
          <w:szCs w:val="15"/>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14" w:lineRule="exact"/>
        <w:rPr>
          <w:sz w:val="20"/>
          <w:szCs w:val="20"/>
          <w:color w:val="auto"/>
        </w:rPr>
      </w:pPr>
    </w:p>
    <w:p>
      <w:pPr>
        <w:ind w:right="280" w:firstLine="273"/>
        <w:spacing w:after="0" w:line="259" w:lineRule="auto"/>
        <w:rPr>
          <w:sz w:val="20"/>
          <w:szCs w:val="20"/>
          <w:color w:val="auto"/>
        </w:rPr>
      </w:pPr>
      <w:r>
        <w:rPr>
          <w:rFonts w:ascii="Times New Roman" w:cs="Times New Roman" w:eastAsia="Times New Roman" w:hAnsi="Times New Roman"/>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10" w:lineRule="exact"/>
        <w:rPr>
          <w:sz w:val="20"/>
          <w:szCs w:val="20"/>
          <w:color w:val="auto"/>
        </w:rPr>
      </w:pPr>
    </w:p>
    <w:p>
      <w:pPr>
        <w:jc w:val="both"/>
        <w:ind w:right="60" w:firstLine="273"/>
        <w:spacing w:after="0" w:line="264" w:lineRule="auto"/>
        <w:rPr>
          <w:sz w:val="20"/>
          <w:szCs w:val="20"/>
          <w:color w:val="auto"/>
        </w:rPr>
      </w:pPr>
      <w:r>
        <w:rPr>
          <w:rFonts w:ascii="Times New Roman" w:cs="Times New Roman" w:eastAsia="Times New Roman" w:hAnsi="Times New Roman"/>
          <w:sz w:val="15"/>
          <w:szCs w:val="15"/>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260"/>
          </w:cols>
          <w:pgMar w:left="320" w:top="121" w:right="319" w:bottom="1440" w:gutter="0" w:footer="0" w:header="0"/>
        </w:sectPr>
      </w:pPr>
    </w:p>
    <w:bookmarkStart w:id="48" w:name="page49"/>
    <w:bookmarkEnd w:id="4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5"/>
          <w:szCs w:val="15"/>
          <w:color w:val="auto"/>
        </w:rPr>
        <w:t>manufacture or commercialize our products without infringing third-party patent rights. Any of the foregoing could harm our business, financial condition, results of operations and prospects.</w:t>
      </w:r>
    </w:p>
    <w:p>
      <w:pPr>
        <w:spacing w:after="0" w:line="85"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84"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 patent families that include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14" w:lineRule="exact"/>
        <w:rPr>
          <w:sz w:val="20"/>
          <w:szCs w:val="20"/>
          <w:color w:val="auto"/>
        </w:rPr>
      </w:pPr>
    </w:p>
    <w:p>
      <w:pPr>
        <w:ind w:right="40" w:firstLine="273"/>
        <w:spacing w:after="0" w:line="258" w:lineRule="auto"/>
        <w:rPr>
          <w:sz w:val="20"/>
          <w:szCs w:val="20"/>
          <w:color w:val="auto"/>
        </w:rPr>
      </w:pPr>
      <w:r>
        <w:rPr>
          <w:rFonts w:ascii="Times New Roman" w:cs="Times New Roman" w:eastAsia="Times New Roman" w:hAnsi="Times New Roman"/>
          <w:sz w:val="15"/>
          <w:szCs w:val="15"/>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10"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Moreover, disputes may also arise between us and our licensor regarding intellectual property subject to a license agreement, including:</w:t>
      </w:r>
    </w:p>
    <w:p>
      <w:pPr>
        <w:spacing w:after="0" w:line="146" w:lineRule="exact"/>
        <w:rPr>
          <w:sz w:val="20"/>
          <w:szCs w:val="20"/>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rights granted under the license agreement and other interpretation-related issues;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or other obligations under the license agreement;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the extent to which, our products, technology and processes infringe on intellectual property of the licensor that is not subject to the licensing agreement;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260"/>
          </w:cols>
          <w:pgMar w:left="320" w:top="121" w:right="319" w:bottom="1440" w:gutter="0" w:footer="0" w:header="0"/>
        </w:sectPr>
      </w:pPr>
    </w:p>
    <w:bookmarkStart w:id="49" w:name="page50"/>
    <w:bookmarkEnd w:id="4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inventorship and ownership of inventions and know-how resulting from the joint creation or use of intellectual property by our licensor(s);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priority of invention of patented technology.</w:t>
      </w:r>
    </w:p>
    <w:p>
      <w:pPr>
        <w:spacing w:after="0" w:line="146"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07"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0" w:lineRule="exact"/>
        <w:rPr>
          <w:sz w:val="20"/>
          <w:szCs w:val="20"/>
          <w:color w:val="auto"/>
        </w:rPr>
      </w:pPr>
    </w:p>
    <w:p>
      <w:pPr>
        <w:ind w:right="140" w:firstLine="273"/>
        <w:spacing w:after="0" w:line="264" w:lineRule="auto"/>
        <w:rPr>
          <w:sz w:val="20"/>
          <w:szCs w:val="20"/>
          <w:color w:val="auto"/>
        </w:rPr>
      </w:pPr>
      <w:r>
        <w:rPr>
          <w:rFonts w:ascii="Times New Roman" w:cs="Times New Roman" w:eastAsia="Times New Roman" w:hAnsi="Times New Roman"/>
          <w:sz w:val="15"/>
          <w:szCs w:val="15"/>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cannot license rights to use technologies on reasonable terms, we may not be able to commercialize new products in the future.</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07" w:lineRule="exact"/>
        <w:rPr>
          <w:sz w:val="20"/>
          <w:szCs w:val="20"/>
          <w:color w:val="auto"/>
        </w:rPr>
      </w:pPr>
    </w:p>
    <w:p>
      <w:pPr>
        <w:ind w:right="80" w:firstLine="273"/>
        <w:spacing w:after="0" w:line="259" w:lineRule="auto"/>
        <w:rPr>
          <w:sz w:val="20"/>
          <w:szCs w:val="20"/>
          <w:color w:val="auto"/>
        </w:rPr>
      </w:pPr>
      <w:r>
        <w:rPr>
          <w:rFonts w:ascii="Times New Roman" w:cs="Times New Roman" w:eastAsia="Times New Roman" w:hAnsi="Times New Roman"/>
          <w:sz w:val="15"/>
          <w:szCs w:val="15"/>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240"/>
          </w:cols>
          <w:pgMar w:left="320" w:top="121" w:right="339" w:bottom="1440" w:gutter="0" w:footer="0" w:header="0"/>
        </w:sectPr>
      </w:pPr>
    </w:p>
    <w:bookmarkStart w:id="50" w:name="page51"/>
    <w:bookmarkEnd w:id="5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84"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07"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84"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1" w:lineRule="exact"/>
        <w:rPr>
          <w:sz w:val="20"/>
          <w:szCs w:val="20"/>
          <w:color w:val="auto"/>
        </w:rPr>
      </w:pPr>
    </w:p>
    <w:p>
      <w:pPr>
        <w:ind w:right="120" w:firstLine="273"/>
        <w:spacing w:after="0" w:line="258" w:lineRule="auto"/>
        <w:rPr>
          <w:sz w:val="20"/>
          <w:szCs w:val="20"/>
          <w:color w:val="auto"/>
        </w:rPr>
      </w:pPr>
      <w:r>
        <w:rPr>
          <w:rFonts w:ascii="Times New Roman" w:cs="Times New Roman" w:eastAsia="Times New Roman" w:hAnsi="Times New Roman"/>
          <w:sz w:val="15"/>
          <w:szCs w:val="15"/>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240"/>
          </w:cols>
          <w:pgMar w:left="320" w:top="121" w:right="339" w:bottom="1440" w:gutter="0" w:footer="0" w:header="0"/>
        </w:sectPr>
      </w:pPr>
    </w:p>
    <w:bookmarkStart w:id="51" w:name="page52"/>
    <w:bookmarkEnd w:id="5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rights do not necessarily address all potential threats.</w:t>
      </w:r>
    </w:p>
    <w:p>
      <w:pPr>
        <w:spacing w:after="0" w:line="150" w:lineRule="exact"/>
        <w:rPr>
          <w:sz w:val="20"/>
          <w:szCs w:val="20"/>
          <w:color w:val="auto"/>
        </w:rPr>
      </w:pPr>
    </w:p>
    <w:p>
      <w:pPr>
        <w:ind w:right="340" w:firstLine="273"/>
        <w:spacing w:after="0" w:line="286" w:lineRule="auto"/>
        <w:rPr>
          <w:sz w:val="20"/>
          <w:szCs w:val="20"/>
          <w:color w:val="auto"/>
        </w:rPr>
      </w:pPr>
      <w:r>
        <w:rPr>
          <w:rFonts w:ascii="Times New Roman" w:cs="Times New Roman" w:eastAsia="Times New Roman" w:hAnsi="Times New Roman"/>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540" w:right="60" w:hanging="277"/>
        <w:spacing w:after="0" w:line="286" w:lineRule="auto"/>
        <w:tabs>
          <w:tab w:leader="none" w:pos="53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might not have been the first to make the inventions covered by the issued patent or pending patent application that we license or may own in the future;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might not have been the first to file patent applications covering certain of our or their inventions;</w:t>
      </w:r>
    </w:p>
    <w:p>
      <w:pPr>
        <w:spacing w:after="0" w:line="145" w:lineRule="exact"/>
        <w:rPr>
          <w:rFonts w:ascii="Times New Roman" w:cs="Times New Roman" w:eastAsia="Times New Roman" w:hAnsi="Times New Roman"/>
          <w:sz w:val="15"/>
          <w:szCs w:val="15"/>
          <w:color w:val="auto"/>
        </w:rPr>
      </w:pPr>
    </w:p>
    <w:p>
      <w:pPr>
        <w:ind w:left="540" w:hanging="277"/>
        <w:spacing w:after="0" w:line="286" w:lineRule="auto"/>
        <w:tabs>
          <w:tab w:leader="none" w:pos="53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independently develop similar or alternative technologies or duplicate any of our technologies without infringing, misappropriating or otherwise violating our owned or licensed intellectual property rights;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our pending licensed patent applications or those that we may own in the future will not lead to issued patents;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patents that we hold rights to may be held invalid or unenforceable, including as a result of legal challenges by our competitors;</w:t>
      </w:r>
    </w:p>
    <w:p>
      <w:pPr>
        <w:spacing w:after="0" w:line="145" w:lineRule="exact"/>
        <w:rPr>
          <w:rFonts w:ascii="Times New Roman" w:cs="Times New Roman" w:eastAsia="Times New Roman" w:hAnsi="Times New Roman"/>
          <w:sz w:val="15"/>
          <w:szCs w:val="15"/>
          <w:color w:val="auto"/>
        </w:rPr>
      </w:pPr>
    </w:p>
    <w:p>
      <w:pPr>
        <w:ind w:left="540" w:right="100" w:hanging="277"/>
        <w:spacing w:after="0" w:line="286" w:lineRule="auto"/>
        <w:tabs>
          <w:tab w:leader="none" w:pos="53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develop additional proprietary technologies that are patentable;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patents of others may harm our business;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choose not to file a patent for certain trade secrets or know-how, and a third party may subsequently file a patent covering such intellectual property.</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Should any of these events occur, they could materially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this Offering and Ownership of Our Class A Common Stock</w:t>
      </w:r>
    </w:p>
    <w:p>
      <w:pPr>
        <w:spacing w:after="0" w:line="146"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Prior to this offering, there has been no public market for shares of our Class A common stock and an active trading market for our Class A common stock may never develop or be sustained.</w:t>
      </w:r>
    </w:p>
    <w:p>
      <w:pPr>
        <w:spacing w:after="0" w:line="84" w:lineRule="exact"/>
        <w:rPr>
          <w:sz w:val="20"/>
          <w:szCs w:val="20"/>
          <w:color w:val="auto"/>
        </w:rPr>
      </w:pPr>
    </w:p>
    <w:p>
      <w:pPr>
        <w:ind w:right="240" w:firstLine="273"/>
        <w:spacing w:after="0" w:line="264"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shares of our Class A common stock. We have applied to list our Class A common stock on the Nasdaq Global Select Market under the symbol “SEER.” We cannot assure you that an active trading market for our Class A common stock will develop on that exchange or elsewhere. If an active trading market does not develop, or develops but is not maintained, you may have difficulty selling any of our Class A common stock that you purchase due to the limited public float. Accordingly, we cannot assure you of your ability to sell your shares of Class A common stock when desired or the prices that you may obtain for your shares.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Class A common stock may be volatile, which could result in substantial losses for investors purchasing shares in this offering.</w:t>
      </w:r>
    </w:p>
    <w:p>
      <w:pPr>
        <w:spacing w:after="0" w:line="150" w:lineRule="exact"/>
        <w:rPr>
          <w:sz w:val="20"/>
          <w:szCs w:val="20"/>
          <w:color w:val="auto"/>
        </w:rPr>
      </w:pPr>
    </w:p>
    <w:p>
      <w:pPr>
        <w:ind w:right="140" w:firstLine="273"/>
        <w:spacing w:after="0" w:line="286" w:lineRule="auto"/>
        <w:rPr>
          <w:sz w:val="20"/>
          <w:szCs w:val="20"/>
          <w:color w:val="auto"/>
        </w:rPr>
      </w:pPr>
      <w:r>
        <w:rPr>
          <w:rFonts w:ascii="Times New Roman" w:cs="Times New Roman" w:eastAsia="Times New Roman" w:hAnsi="Times New Roman"/>
          <w:sz w:val="15"/>
          <w:szCs w:val="15"/>
          <w:color w:val="auto"/>
        </w:rPr>
        <w:t>The initial public offering price for our Class A common stock will be determined through negotiations with the underwriters. This initial public offering price may differ from the market price of our Class A common stock after the offering. As a result, you may not be able to sell your Class A common stock at or above the initial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1240"/>
          </w:cols>
          <w:pgMar w:left="320" w:top="121" w:right="339" w:bottom="1440" w:gutter="0" w:footer="0" w:header="0"/>
        </w:sectPr>
      </w:pPr>
    </w:p>
    <w:bookmarkStart w:id="52" w:name="page53"/>
    <w:bookmarkEnd w:id="5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offering price. Some of the factors that may cause the market price of our Class A common stock to fluctuate include, but are not limited to:</w:t>
      </w:r>
    </w:p>
    <w:p>
      <w:pPr>
        <w:spacing w:after="0" w:line="146" w:lineRule="exact"/>
        <w:rPr>
          <w:sz w:val="20"/>
          <w:szCs w:val="20"/>
          <w:color w:val="auto"/>
        </w:rPr>
      </w:pPr>
    </w:p>
    <w:p>
      <w:pPr>
        <w:ind w:left="540" w:right="420" w:hanging="277"/>
        <w:spacing w:after="0" w:line="286" w:lineRule="auto"/>
        <w:tabs>
          <w:tab w:leader="none" w:pos="5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our launch and commercialization of our products and degree to which such launch and commercialization meets the expectations of securities analysts and investors;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fluctuations in our operating results, including fluctuations in our quarterly and annual results;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expenses being more than anticipated;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or discontinuation of any of our product development and research programs;</w:t>
      </w:r>
    </w:p>
    <w:p>
      <w:pPr>
        <w:spacing w:after="0" w:line="145" w:lineRule="exact"/>
        <w:rPr>
          <w:rFonts w:ascii="Times New Roman" w:cs="Times New Roman" w:eastAsia="Times New Roman" w:hAnsi="Times New Roman"/>
          <w:sz w:val="15"/>
          <w:szCs w:val="15"/>
          <w:color w:val="auto"/>
        </w:rPr>
      </w:pPr>
    </w:p>
    <w:p>
      <w:pPr>
        <w:ind w:left="540" w:right="640" w:hanging="277"/>
        <w:spacing w:after="0" w:line="286" w:lineRule="auto"/>
        <w:tabs>
          <w:tab w:leader="none" w:pos="5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structure or funding of research at academic and research laboratories and institutions, including changes that would affect their ability to purchase our instruments or consumables;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existing or new competitive businesses or technologies;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about new research programs or products of our competitors;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patent applications, issued patents or other proprietary rights;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recruitment or departure of key personnel;</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and governmental investigations involving us, our industry or both;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or legal developments in the United States and other countries;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and variations in market conditions in the life sciences technology sector generally, or the proteomics or genomics sectors specifically;</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investor perceptions of us or our industry;</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expenses related to any of our research and development programs or products;</w:t>
      </w:r>
    </w:p>
    <w:p>
      <w:pPr>
        <w:spacing w:after="0" w:line="145" w:lineRule="exact"/>
        <w:rPr>
          <w:rFonts w:ascii="Times New Roman" w:cs="Times New Roman" w:eastAsia="Times New Roman" w:hAnsi="Times New Roman"/>
          <w:sz w:val="15"/>
          <w:szCs w:val="15"/>
          <w:color w:val="auto"/>
        </w:rPr>
      </w:pPr>
    </w:p>
    <w:p>
      <w:pPr>
        <w:ind w:left="540" w:hanging="277"/>
        <w:spacing w:after="0" w:line="269" w:lineRule="auto"/>
        <w:tabs>
          <w:tab w:leader="none" w:pos="53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0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our financial results meet the expectations of securities analysts or investors;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announcement or expectation of additional financing efforts;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Class A common stock by us or sales of our Class A common stock or Class B common stock by our insiders or other stockholders;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market standoff or lock-up agreements;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industry and market conditions;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COVID-19 pandemic, natural disasters or major catastrophic events.</w:t>
      </w:r>
    </w:p>
    <w:p>
      <w:pPr>
        <w:spacing w:after="0" w:line="146"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1200"/>
          </w:cols>
          <w:pgMar w:left="320" w:top="121" w:right="379" w:bottom="1440" w:gutter="0" w:footer="0" w:header="0"/>
        </w:sectPr>
      </w:pPr>
    </w:p>
    <w:bookmarkStart w:id="53" w:name="page54"/>
    <w:bookmarkEnd w:id="5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97"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84" w:lineRule="exact"/>
        <w:rPr>
          <w:sz w:val="20"/>
          <w:szCs w:val="20"/>
          <w:color w:val="auto"/>
        </w:rPr>
      </w:pPr>
    </w:p>
    <w:p>
      <w:pPr>
        <w:ind w:right="160" w:firstLine="273"/>
        <w:spacing w:after="0" w:line="269" w:lineRule="auto"/>
        <w:rPr>
          <w:sz w:val="20"/>
          <w:szCs w:val="20"/>
          <w:color w:val="auto"/>
        </w:rPr>
      </w:pPr>
      <w:r>
        <w:rPr>
          <w:rFonts w:ascii="Times New Roman" w:cs="Times New Roman" w:eastAsia="Times New Roman" w:hAnsi="Times New Roman"/>
          <w:sz w:val="15"/>
          <w:szCs w:val="15"/>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concurrent private placement and the secondary transaction, the holders of our Class B common stock will hold in the aggregate % of the voting power of our capital stock.</w:t>
      </w:r>
    </w:p>
    <w:p>
      <w:pPr>
        <w:spacing w:after="0" w:line="101" w:lineRule="exact"/>
        <w:rPr>
          <w:sz w:val="20"/>
          <w:szCs w:val="20"/>
          <w:color w:val="auto"/>
        </w:rPr>
      </w:pPr>
    </w:p>
    <w:p>
      <w:pPr>
        <w:ind w:right="20" w:firstLine="273"/>
        <w:spacing w:after="0" w:line="257" w:lineRule="auto"/>
        <w:rPr>
          <w:sz w:val="20"/>
          <w:szCs w:val="20"/>
          <w:color w:val="auto"/>
        </w:rPr>
      </w:pPr>
      <w:r>
        <w:rPr>
          <w:rFonts w:ascii="Times New Roman" w:cs="Times New Roman" w:eastAsia="Times New Roman" w:hAnsi="Times New Roman"/>
          <w:sz w:val="15"/>
          <w:szCs w:val="15"/>
          <w:color w:val="auto"/>
        </w:rPr>
        <w:t>As a result, the holders of our Class B common stock collectively will continue to control a majority of the combined voting power of our common stock and therefore be able to control all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upon the earlier of the first day following the fifth anniversary of the closing of this offering and December 31,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09" w:lineRule="exact"/>
        <w:rPr>
          <w:sz w:val="20"/>
          <w:szCs w:val="20"/>
          <w:color w:val="auto"/>
        </w:rPr>
      </w:pPr>
    </w:p>
    <w:p>
      <w:pPr>
        <w:ind w:right="100" w:firstLine="273"/>
        <w:spacing w:after="0" w:line="259" w:lineRule="auto"/>
        <w:rPr>
          <w:sz w:val="20"/>
          <w:szCs w:val="20"/>
          <w:color w:val="auto"/>
        </w:rPr>
      </w:pPr>
      <w:r>
        <w:rPr>
          <w:rFonts w:ascii="Times New Roman" w:cs="Times New Roman" w:eastAsia="Times New Roman" w:hAnsi="Times New Roman"/>
          <w:sz w:val="15"/>
          <w:szCs w:val="15"/>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06"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84"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The trading market for our Class A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Class A common stock could decrease. Even if we do obtain analyst coverage,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1200"/>
          </w:cols>
          <w:pgMar w:left="320" w:top="121" w:right="379" w:bottom="1440" w:gutter="0" w:footer="0" w:header="0"/>
        </w:sectPr>
      </w:pPr>
    </w:p>
    <w:bookmarkStart w:id="54" w:name="page55"/>
    <w:bookmarkEnd w:id="5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shares of our Class A common stock by our existing stockholders following this offering could cause the price of our Class A common stock to decline.</w:t>
      </w:r>
    </w:p>
    <w:p>
      <w:pPr>
        <w:spacing w:after="0" w:line="84" w:lineRule="exact"/>
        <w:rPr>
          <w:sz w:val="20"/>
          <w:szCs w:val="20"/>
          <w:color w:val="auto"/>
        </w:rPr>
      </w:pPr>
    </w:p>
    <w:p>
      <w:pPr>
        <w:ind w:right="120" w:firstLine="273"/>
        <w:spacing w:after="0" w:line="258" w:lineRule="auto"/>
        <w:rPr>
          <w:sz w:val="20"/>
          <w:szCs w:val="20"/>
          <w:color w:val="auto"/>
        </w:rPr>
      </w:pPr>
      <w:r>
        <w:rPr>
          <w:rFonts w:ascii="Times New Roman" w:cs="Times New Roman" w:eastAsia="Times New Roman" w:hAnsi="Times New Roman"/>
          <w:sz w:val="15"/>
          <w:szCs w:val="15"/>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 After giving effect to (i) the filing and effectiveness of our amended and restated certificate of incorporation, (ii) the automatic conversion of all shares of our convertible preferred stock outstanding as of September 30, 2020 into 62,117,410 shares of Class A common stock, (iii) the issuance and sale of</w:t>
      </w:r>
    </w:p>
    <w:p>
      <w:pPr>
        <w:ind w:right="80" w:firstLine="454"/>
        <w:spacing w:after="0" w:line="252" w:lineRule="auto"/>
        <w:rPr>
          <w:sz w:val="20"/>
          <w:szCs w:val="20"/>
          <w:color w:val="auto"/>
        </w:rPr>
      </w:pPr>
      <w:r>
        <w:rPr>
          <w:rFonts w:ascii="Times New Roman" w:cs="Times New Roman" w:eastAsia="Times New Roman" w:hAnsi="Times New Roman"/>
          <w:sz w:val="15"/>
          <w:szCs w:val="15"/>
          <w:color w:val="auto"/>
        </w:rPr>
        <w:t>shares of Class A common stock by us in this offering and the concurrent private placement and (iv) the secondary transaction, we will have shares of Class A common stock outstanding and shares of Class B common stock outstanding. Of these shares, the shares of Class A common stock we are selling in this offering may be resold in the public market immediately, unless purchased by our affiliates. The remaining shares of Class A common stock, or % of our outstanding shares of Class A common</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5"/>
          <w:szCs w:val="15"/>
          <w:color w:val="auto"/>
        </w:rPr>
        <w:t>stock after this offering, the concurrent private placement and the secondary transaction and all shares of our Class B common stock (and any share of Class A common stock into which they are converted) are currently prohibited or otherwise restricted from being sold in the public market under securities laws, market standoff agreements entered into by our stockholders with us, or lock-up agreements entered into by our stockholders with the underwriters; however, subject to applicable securities law restrictions and excluding shares of Class A common stock issued pursuant to the early exercise of unvested stock options that will remain unvested, the shares of our Class A common stock outstanding after this offering,</w:t>
      </w:r>
    </w:p>
    <w:p>
      <w:pPr>
        <w:spacing w:after="0" w:line="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5"/>
          <w:szCs w:val="15"/>
          <w:color w:val="auto"/>
        </w:rPr>
        <w:t>the concurrent private placement and the secondary transaction will be able to be sold in the public market beginning on ,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09" w:lineRule="exact"/>
        <w:rPr>
          <w:sz w:val="20"/>
          <w:szCs w:val="20"/>
          <w:color w:val="auto"/>
        </w:rPr>
      </w:pPr>
    </w:p>
    <w:p>
      <w:pPr>
        <w:ind w:right="40" w:firstLine="273"/>
        <w:spacing w:after="0" w:line="257" w:lineRule="auto"/>
        <w:rPr>
          <w:sz w:val="20"/>
          <w:szCs w:val="20"/>
          <w:color w:val="auto"/>
        </w:rPr>
      </w:pPr>
      <w:r>
        <w:rPr>
          <w:rFonts w:ascii="Times New Roman" w:cs="Times New Roman" w:eastAsia="Times New Roman" w:hAnsi="Times New Roman"/>
          <w:sz w:val="15"/>
          <w:szCs w:val="15"/>
          <w:color w:val="auto"/>
        </w:rPr>
        <w:t>Moreover, after this offering, the concurrent private placement and the secondary transaction, holders of an aggregate of shares of our Class A common stock will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We also plan to register all shares of Class A common stock that we may issue under our equity compensation and employee stock purchase plans. Once we register these shares, they can be freely sold in the public market upon issuance and, if applicable, vesting, subject to volume limitations applicable to affiliates and the lock-up agreements described in the section titled “Underwriting” in this prospectus.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 and the concurrent private placement.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broad discretion in the use of the net proceeds from this offering and the concurrent private placement and may not use them effectively.</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We cannot specify with certainty the particular uses of the net proceeds we will receive from this offering and the concurrent private placement. Our management will have broad discretion in the application of the net proceeds, including for any of the purposes described in the section titled “Use of Proceeds” in this prospectus. Our management may spend a portion or all of the net proceeds from this offering and the concurrent private placement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and the concurrent private placement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1260"/>
          </w:cols>
          <w:pgMar w:left="320" w:top="121" w:right="319" w:bottom="1440" w:gutter="0" w:footer="0" w:header="0"/>
        </w:sectPr>
      </w:pPr>
    </w:p>
    <w:bookmarkStart w:id="55" w:name="page56"/>
    <w:bookmarkEnd w:id="5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do not expect to pay any dividends for the foreseeable future. Investors in this offering may never obtain a return on their investment.</w:t>
      </w:r>
    </w:p>
    <w:p>
      <w:pPr>
        <w:spacing w:after="0" w:line="150"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0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99"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Our amended and restated certificate of incorporation that will become effective upon the closing of this offering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09"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04"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1240"/>
          </w:cols>
          <w:pgMar w:left="320" w:top="121" w:right="339" w:bottom="1440" w:gutter="0" w:footer="0" w:header="0"/>
        </w:sectPr>
      </w:pPr>
    </w:p>
    <w:bookmarkStart w:id="56" w:name="page57"/>
    <w:bookmarkEnd w:id="5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Delaware law and provisions in our amended and restated certificate of incorporation and amended and restated bylaws that will be in effect prior to the closing of this offering might discourage, delay or prevent a change in control of our company or changes in our management and, therefore, depress the trading price of our Class A common stock.</w:t>
      </w:r>
    </w:p>
    <w:p>
      <w:pPr>
        <w:spacing w:after="0" w:line="84"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04" w:lineRule="exact"/>
        <w:rPr>
          <w:sz w:val="20"/>
          <w:szCs w:val="20"/>
          <w:color w:val="auto"/>
        </w:rPr>
      </w:pPr>
    </w:p>
    <w:p>
      <w:pPr>
        <w:ind w:left="540" w:hanging="277"/>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that would result in a change in control of our company requires the approval of a majority of our outstanding Class B common stock voting as a separate class;</w:t>
      </w:r>
    </w:p>
    <w:p>
      <w:pPr>
        <w:spacing w:after="0" w:line="145" w:lineRule="exact"/>
        <w:rPr>
          <w:rFonts w:ascii="Times New Roman" w:cs="Times New Roman" w:eastAsia="Times New Roman" w:hAnsi="Times New Roman"/>
          <w:sz w:val="15"/>
          <w:szCs w:val="15"/>
          <w:color w:val="auto"/>
        </w:rPr>
      </w:pPr>
    </w:p>
    <w:p>
      <w:pPr>
        <w:ind w:left="540" w:right="140" w:hanging="277"/>
        <w:spacing w:after="0" w:line="286"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88" w:lineRule="exact"/>
        <w:rPr>
          <w:rFonts w:ascii="Times New Roman" w:cs="Times New Roman" w:eastAsia="Times New Roman" w:hAnsi="Times New Roman"/>
          <w:sz w:val="15"/>
          <w:szCs w:val="15"/>
          <w:color w:val="auto"/>
        </w:rPr>
      </w:pPr>
    </w:p>
    <w:p>
      <w:pPr>
        <w:ind w:left="540" w:right="60" w:hanging="277"/>
        <w:spacing w:after="0" w:line="286"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board of directors will be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88" w:lineRule="exact"/>
        <w:rPr>
          <w:rFonts w:ascii="Times New Roman" w:cs="Times New Roman" w:eastAsia="Times New Roman" w:hAnsi="Times New Roman"/>
          <w:sz w:val="15"/>
          <w:szCs w:val="15"/>
          <w:color w:val="auto"/>
        </w:rPr>
      </w:pPr>
    </w:p>
    <w:p>
      <w:pPr>
        <w:ind w:left="540" w:right="480" w:hanging="277"/>
        <w:spacing w:after="0" w:line="286"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amendments to our amended and restated certificate of incorporation will require the approval of stockholders holding two-thirds of the voting power of our then outstanding capital stock;</w:t>
      </w:r>
    </w:p>
    <w:p>
      <w:pPr>
        <w:spacing w:after="0" w:line="88" w:lineRule="exact"/>
        <w:rPr>
          <w:rFonts w:ascii="Times New Roman" w:cs="Times New Roman" w:eastAsia="Times New Roman" w:hAnsi="Times New Roman"/>
          <w:sz w:val="15"/>
          <w:szCs w:val="15"/>
          <w:color w:val="auto"/>
        </w:rPr>
      </w:pPr>
    </w:p>
    <w:p>
      <w:pPr>
        <w:ind w:left="540" w:right="580" w:hanging="277"/>
        <w:spacing w:after="0" w:line="286"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stockholder-proposed amendment to our amended and restated bylaws will require the approval of stockholders holding two-thirds of the voting power of our then outstanding capital stock;</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stockholders will only be able to take action at a meeting of stockholders and will not be able to take action by written consent for any matter;</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stockholders will be able to act by written consent only if the action is first recommended or approved by the board of directors;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vacancies on our board of directors will be able to be filled only by our board of directors and not by stockholders;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the chair of the board of directors, chief executive officer or a majority of the board of directors are authorized to call a special meeting of stockholders;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litigation against us can only be brought in Delaware;</w:t>
      </w:r>
    </w:p>
    <w:p>
      <w:pPr>
        <w:spacing w:after="0" w:line="145" w:lineRule="exact"/>
        <w:rPr>
          <w:rFonts w:ascii="Times New Roman" w:cs="Times New Roman" w:eastAsia="Times New Roman" w:hAnsi="Times New Roman"/>
          <w:sz w:val="15"/>
          <w:szCs w:val="15"/>
          <w:color w:val="auto"/>
        </w:rPr>
      </w:pPr>
    </w:p>
    <w:p>
      <w:pPr>
        <w:ind w:left="540" w:hanging="277"/>
        <w:spacing w:after="0" w:line="286" w:lineRule="auto"/>
        <w:tabs>
          <w:tab w:leader="none" w:pos="53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restated certificate of incorporation authorizes undesignated preferred stock, the terms of which may be established and shares of which may be issued, without the approval of the holders of our capital stock; and</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notice procedures apply for stockholders to nominate candidates for election as directors or to bring matters before an annual meeting of stockholders.</w:t>
      </w:r>
    </w:p>
    <w:p>
      <w:pPr>
        <w:spacing w:after="0" w:line="146"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1220"/>
          </w:cols>
          <w:pgMar w:left="320" w:top="121" w:right="359" w:bottom="1440" w:gutter="0" w:footer="0" w:header="0"/>
        </w:sectPr>
      </w:pPr>
    </w:p>
    <w:bookmarkStart w:id="57" w:name="page58"/>
    <w:bookmarkEnd w:id="5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use net operating losses to offset future taxable income may be subject to certain limitations.</w:t>
      </w:r>
    </w:p>
    <w:p>
      <w:pPr>
        <w:spacing w:after="0" w:line="150" w:lineRule="exact"/>
        <w:rPr>
          <w:sz w:val="20"/>
          <w:szCs w:val="20"/>
          <w:color w:val="auto"/>
        </w:rPr>
      </w:pPr>
    </w:p>
    <w:p>
      <w:pPr>
        <w:ind w:right="40" w:firstLine="273"/>
        <w:spacing w:after="0" w:line="255" w:lineRule="auto"/>
        <w:rPr>
          <w:sz w:val="20"/>
          <w:szCs w:val="20"/>
          <w:color w:val="auto"/>
        </w:rPr>
      </w:pPr>
      <w:r>
        <w:rPr>
          <w:rFonts w:ascii="Times New Roman" w:cs="Times New Roman" w:eastAsia="Times New Roman" w:hAnsi="Times New Roman"/>
          <w:sz w:val="15"/>
          <w:szCs w:val="15"/>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this offering, the concurrent private placement and the secondary transaction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the concurrent private placement and the secondary transaction,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12" w:lineRule="exact"/>
        <w:rPr>
          <w:sz w:val="20"/>
          <w:szCs w:val="20"/>
          <w:color w:val="auto"/>
        </w:rPr>
      </w:pPr>
    </w:p>
    <w:p>
      <w:pPr>
        <w:ind w:right="48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84"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11"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1200"/>
          </w:cols>
          <w:pgMar w:left="320" w:top="121" w:right="379" w:bottom="1440" w:gutter="0" w:footer="0" w:header="0"/>
        </w:sectPr>
      </w:pPr>
    </w:p>
    <w:bookmarkStart w:id="58" w:name="page59"/>
    <w:bookmarkEnd w:id="5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will incur significant increased costs and management resources as a result of operating as a public company.</w:t>
      </w:r>
    </w:p>
    <w:p>
      <w:pPr>
        <w:spacing w:after="0" w:line="150" w:lineRule="exact"/>
        <w:rPr>
          <w:sz w:val="20"/>
          <w:szCs w:val="20"/>
          <w:color w:val="auto"/>
        </w:rPr>
      </w:pPr>
    </w:p>
    <w:p>
      <w:pPr>
        <w:ind w:right="180" w:firstLine="273"/>
        <w:spacing w:after="0" w:line="261" w:lineRule="auto"/>
        <w:rPr>
          <w:sz w:val="20"/>
          <w:szCs w:val="20"/>
          <w:color w:val="auto"/>
        </w:rPr>
      </w:pPr>
      <w:r>
        <w:rPr>
          <w:rFonts w:ascii="Times New Roman" w:cs="Times New Roman" w:eastAsia="Times New Roman" w:hAnsi="Times New Roman"/>
          <w:sz w:val="15"/>
          <w:szCs w:val="15"/>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07"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you purchase our Class A common stock in this offering, you will incur immediate and substantial dilution as a result of this offering.</w:t>
      </w:r>
    </w:p>
    <w:p>
      <w:pPr>
        <w:spacing w:after="0" w:line="150" w:lineRule="exact"/>
        <w:rPr>
          <w:sz w:val="20"/>
          <w:szCs w:val="20"/>
          <w:color w:val="auto"/>
        </w:rPr>
      </w:pPr>
    </w:p>
    <w:p>
      <w:pPr>
        <w:ind w:right="200" w:firstLine="273"/>
        <w:spacing w:after="0" w:line="263" w:lineRule="auto"/>
        <w:rPr>
          <w:sz w:val="20"/>
          <w:szCs w:val="20"/>
          <w:color w:val="auto"/>
        </w:rPr>
      </w:pPr>
      <w:r>
        <w:rPr>
          <w:rFonts w:ascii="Times New Roman" w:cs="Times New Roman" w:eastAsia="Times New Roman" w:hAnsi="Times New Roman"/>
          <w:sz w:val="15"/>
          <w:szCs w:val="15"/>
          <w:color w:val="auto"/>
        </w:rPr>
        <w:t>If you purchase our Class A common stock in this offering, you will incur immediate and substantial dilution of $ per share, representing the difference between the assumed initial public offering price of $ per share, which is the midpoint of the price range set forth on the cover page of this prospectus, after deducting the estimated underwriting</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color w:val="auto"/>
        </w:rPr>
        <w:t>discounts and commissions and estimated offering expenses payable by us, and our pro forma net tangible book value per share after giving effect to (i) the filing and effectiveness of our amended and restated certificate of incorporation, (ii) the automatic conversion of all shares of our convertible preferred stock outstanding as of September 30, 2020 into 62,117,410</w:t>
      </w:r>
    </w:p>
    <w:p>
      <w:pPr>
        <w:spacing w:after="0" w:line="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5"/>
          <w:szCs w:val="15"/>
          <w:color w:val="auto"/>
        </w:rPr>
        <w:t>shares of Class A common stock and (iii) the issuance and sale of shares of Class A common stock by us in this offering and the concurrent private placement. As of September 30, 2020, there were 16,164,706 shares of our Class A common stock subject to outstanding stock options with a weighted-average exercise price of $1.17 per share. To the extent that these outstanding stock options and warrants are ultimately exercised or the underwriters exercise their option to purchase additional shares of our Class A common stock, you will incur further dilution. See the section titled “Dilution” for more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Risks</w:t>
      </w:r>
    </w:p>
    <w:p>
      <w:pPr>
        <w:spacing w:after="0" w:line="146"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5"/>
          <w:szCs w:val="15"/>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84" w:lineRule="exact"/>
        <w:rPr>
          <w:sz w:val="20"/>
          <w:szCs w:val="20"/>
          <w:color w:val="auto"/>
        </w:rPr>
      </w:pPr>
    </w:p>
    <w:p>
      <w:pPr>
        <w:ind w:right="720" w:firstLine="273"/>
        <w:spacing w:after="0" w:line="286" w:lineRule="auto"/>
        <w:rPr>
          <w:sz w:val="20"/>
          <w:szCs w:val="20"/>
          <w:color w:val="auto"/>
        </w:rPr>
      </w:pPr>
      <w:r>
        <w:rPr>
          <w:rFonts w:ascii="Times New Roman" w:cs="Times New Roman" w:eastAsia="Times New Roman" w:hAnsi="Times New Roman"/>
          <w:sz w:val="15"/>
          <w:szCs w:val="15"/>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89"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1260"/>
          </w:cols>
          <w:pgMar w:left="320" w:top="121" w:right="319" w:bottom="1440" w:gutter="0" w:footer="0" w:header="0"/>
        </w:sectPr>
      </w:pPr>
    </w:p>
    <w:bookmarkStart w:id="59" w:name="page60"/>
    <w:bookmarkEnd w:id="5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5"/>
          <w:szCs w:val="15"/>
          <w:color w:val="auto"/>
        </w:rPr>
        <w:t>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1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experience a significant disruption in our information technology systems or breaches of data security, our business could be adversely affected.</w:t>
      </w:r>
    </w:p>
    <w:p>
      <w:pPr>
        <w:spacing w:after="0" w:line="150" w:lineRule="exact"/>
        <w:rPr>
          <w:sz w:val="20"/>
          <w:szCs w:val="20"/>
          <w:color w:val="auto"/>
        </w:rPr>
      </w:pPr>
    </w:p>
    <w:p>
      <w:pPr>
        <w:ind w:right="40" w:firstLine="273"/>
        <w:spacing w:after="0" w:line="255" w:lineRule="auto"/>
        <w:rPr>
          <w:sz w:val="20"/>
          <w:szCs w:val="20"/>
          <w:color w:val="auto"/>
        </w:rPr>
      </w:pPr>
      <w:r>
        <w:rPr>
          <w:rFonts w:ascii="Times New Roman" w:cs="Times New Roman" w:eastAsia="Times New Roman" w:hAnsi="Times New Roman"/>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8" w:lineRule="exact"/>
        <w:rPr>
          <w:sz w:val="20"/>
          <w:szCs w:val="20"/>
          <w:color w:val="auto"/>
        </w:rPr>
      </w:pPr>
    </w:p>
    <w:p>
      <w:pPr>
        <w:ind w:right="60" w:firstLine="273"/>
        <w:spacing w:after="0" w:line="257" w:lineRule="auto"/>
        <w:rPr>
          <w:sz w:val="20"/>
          <w:szCs w:val="20"/>
          <w:color w:val="auto"/>
        </w:rPr>
      </w:pPr>
      <w:r>
        <w:rPr>
          <w:rFonts w:ascii="Times New Roman" w:cs="Times New Roman" w:eastAsia="Times New Roman" w:hAnsi="Times New Roman"/>
          <w:sz w:val="15"/>
          <w:szCs w:val="15"/>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1260"/>
          </w:cols>
          <w:pgMar w:left="320" w:top="121" w:right="319" w:bottom="1440" w:gutter="0" w:footer="0" w:header="0"/>
        </w:sectPr>
      </w:pPr>
    </w:p>
    <w:bookmarkStart w:id="60" w:name="page61"/>
    <w:bookmarkEnd w:id="6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5"/>
          <w:szCs w:val="15"/>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89" w:lineRule="exact"/>
        <w:rPr>
          <w:sz w:val="20"/>
          <w:szCs w:val="20"/>
          <w:color w:val="auto"/>
        </w:rPr>
      </w:pPr>
    </w:p>
    <w:p>
      <w:pPr>
        <w:ind w:right="40" w:firstLine="273"/>
        <w:spacing w:after="0" w:line="256" w:lineRule="auto"/>
        <w:rPr>
          <w:sz w:val="20"/>
          <w:szCs w:val="20"/>
          <w:color w:val="auto"/>
        </w:rPr>
      </w:pPr>
      <w:r>
        <w:rPr>
          <w:rFonts w:ascii="Times New Roman" w:cs="Times New Roman" w:eastAsia="Times New Roman" w:hAnsi="Times New Roman"/>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4"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0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99" w:lineRule="exact"/>
        <w:rPr>
          <w:sz w:val="20"/>
          <w:szCs w:val="20"/>
          <w:color w:val="auto"/>
        </w:rPr>
      </w:pPr>
    </w:p>
    <w:p>
      <w:pPr>
        <w:ind w:right="140" w:firstLine="273"/>
        <w:spacing w:after="0" w:line="258" w:lineRule="auto"/>
        <w:rPr>
          <w:sz w:val="20"/>
          <w:szCs w:val="20"/>
          <w:color w:val="auto"/>
        </w:rPr>
      </w:pPr>
      <w:r>
        <w:rPr>
          <w:rFonts w:ascii="Times New Roman" w:cs="Times New Roman" w:eastAsia="Times New Roman" w:hAnsi="Times New Roman"/>
          <w:sz w:val="15"/>
          <w:szCs w:val="15"/>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0"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1260"/>
          </w:cols>
          <w:pgMar w:left="320" w:top="121" w:right="319" w:bottom="1440" w:gutter="0" w:footer="0" w:header="0"/>
        </w:sectPr>
      </w:pPr>
    </w:p>
    <w:bookmarkStart w:id="61" w:name="page62"/>
    <w:bookmarkEnd w:id="6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12"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11" w:lineRule="exact"/>
        <w:rPr>
          <w:sz w:val="20"/>
          <w:szCs w:val="20"/>
          <w:color w:val="auto"/>
        </w:rPr>
      </w:pPr>
    </w:p>
    <w:p>
      <w:pPr>
        <w:ind w:right="20" w:firstLine="273"/>
        <w:spacing w:after="0" w:line="256" w:lineRule="auto"/>
        <w:rPr>
          <w:sz w:val="20"/>
          <w:szCs w:val="20"/>
          <w:color w:val="auto"/>
        </w:rPr>
      </w:pPr>
      <w:r>
        <w:rPr>
          <w:rFonts w:ascii="Times New Roman" w:cs="Times New Roman" w:eastAsia="Times New Roman" w:hAnsi="Times New Roman"/>
          <w:sz w:val="15"/>
          <w:szCs w:val="15"/>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1260"/>
          </w:cols>
          <w:pgMar w:left="320" w:top="121" w:right="319" w:bottom="1440" w:gutter="0" w:footer="0" w:header="0"/>
        </w:sectPr>
      </w:pPr>
    </w:p>
    <w:bookmarkStart w:id="62" w:name="page63"/>
    <w:bookmarkEnd w:id="6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07"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01" w:lineRule="exact"/>
        <w:rPr>
          <w:sz w:val="20"/>
          <w:szCs w:val="20"/>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estimates of our addressable market, market growth, future revenue, key performance indicators, expenses, capital requirements and our needs for additional financing;</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implement our three phase commercial launch plan;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implementation of our business model and strategic plans for our Proteograph Product Suite;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rate and degree of market acceptance of our Proteograph Product Suite;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our Proteograph Product Suite on the field of proteomics and the size and growth of the addressable proteomics market;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companies and technologies and our industry;</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and grow our business and commercialize our Proteograph;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commercialize new products;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intellectual property protection for our products or avoid or defend claims of infringement;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third-party manufacturers and suppliers;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effects of government regulation;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and retain key personnel and to manage our future growth effectively;</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additional financing in this or future offerings;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volatility of the trading price of our Class A common stock;</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use of proceeds from this offering and the concurrent private placement;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benefits of the PrognomIQ, Inc. transaction;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local, regional, and national and international economic conditions and events;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COVID-19 on our business;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about market trends.</w:t>
      </w:r>
    </w:p>
    <w:p>
      <w:pPr>
        <w:spacing w:after="0" w:line="146" w:lineRule="exact"/>
        <w:rPr>
          <w:sz w:val="20"/>
          <w:szCs w:val="20"/>
          <w:color w:val="auto"/>
        </w:rPr>
      </w:pPr>
    </w:p>
    <w:p>
      <w:pPr>
        <w:ind w:right="160" w:firstLine="273"/>
        <w:spacing w:after="0" w:line="286" w:lineRule="auto"/>
        <w:rPr>
          <w:sz w:val="20"/>
          <w:szCs w:val="20"/>
          <w:color w:val="auto"/>
        </w:rPr>
      </w:pPr>
      <w:r>
        <w:rPr>
          <w:rFonts w:ascii="Times New Roman" w:cs="Times New Roman" w:eastAsia="Times New Roman" w:hAnsi="Times New Roman"/>
          <w:sz w:val="15"/>
          <w:szCs w:val="15"/>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1220"/>
          </w:cols>
          <w:pgMar w:left="320" w:top="121" w:right="359" w:bottom="1440" w:gutter="0" w:footer="0" w:header="0"/>
        </w:sectPr>
      </w:pPr>
    </w:p>
    <w:bookmarkStart w:id="63" w:name="page64"/>
    <w:bookmarkEnd w:id="6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10"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1220"/>
          </w:cols>
          <w:pgMar w:left="320" w:top="121" w:right="359" w:bottom="1440" w:gutter="0" w:footer="0" w:header="0"/>
        </w:sectPr>
      </w:pPr>
    </w:p>
    <w:bookmarkStart w:id="64" w:name="page65"/>
    <w:bookmarkEnd w:id="6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MARKET, INDUSTRY AND OTHER DATA</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sources of industry, market and other data contained in this prospectus are listed below:</w:t>
      </w:r>
    </w:p>
    <w:p>
      <w:pPr>
        <w:spacing w:after="0" w:line="146" w:lineRule="exact"/>
        <w:rPr>
          <w:sz w:val="20"/>
          <w:szCs w:val="20"/>
          <w:color w:val="auto"/>
        </w:rPr>
      </w:pPr>
    </w:p>
    <w:p>
      <w:pPr>
        <w:ind w:left="540" w:hanging="277"/>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Allied Market Research. “Global Proteomics Market - Opportunity Analysis and Industry Forecast, 2018-2025” (March 2019).</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Technavio. “Genomics Market by Solution and Geography - Forecast and Analysis 2020-2024”.</w:t>
      </w:r>
    </w:p>
    <w:p>
      <w:pPr>
        <w:spacing w:after="0" w:line="145" w:lineRule="exact"/>
        <w:rPr>
          <w:rFonts w:ascii="Times New Roman" w:cs="Times New Roman" w:eastAsia="Times New Roman" w:hAnsi="Times New Roman"/>
          <w:sz w:val="15"/>
          <w:szCs w:val="15"/>
          <w:color w:val="auto"/>
        </w:rPr>
      </w:pPr>
    </w:p>
    <w:p>
      <w:pPr>
        <w:ind w:left="540" w:right="360" w:hanging="277"/>
        <w:spacing w:after="0" w:line="286" w:lineRule="auto"/>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88" w:lineRule="exact"/>
        <w:rPr>
          <w:rFonts w:ascii="Times New Roman" w:cs="Times New Roman" w:eastAsia="Times New Roman" w:hAnsi="Times New Roman"/>
          <w:sz w:val="15"/>
          <w:szCs w:val="15"/>
          <w:color w:val="auto"/>
        </w:rPr>
      </w:pPr>
    </w:p>
    <w:p>
      <w:pPr>
        <w:ind w:left="540" w:right="280" w:hanging="277"/>
        <w:spacing w:after="0" w:line="286" w:lineRule="auto"/>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ClinVar. ClinVar is a freely accessible, public archive of reports of the relationships among human variations and phenotypes, with supporting evidence.</w:t>
      </w:r>
    </w:p>
    <w:p>
      <w:pPr>
        <w:spacing w:after="0" w:line="145" w:lineRule="exact"/>
        <w:rPr>
          <w:rFonts w:ascii="Times New Roman" w:cs="Times New Roman" w:eastAsia="Times New Roman" w:hAnsi="Times New Roman"/>
          <w:sz w:val="15"/>
          <w:szCs w:val="15"/>
          <w:color w:val="auto"/>
        </w:rPr>
      </w:pPr>
    </w:p>
    <w:p>
      <w:pPr>
        <w:ind w:left="540" w:right="160" w:hanging="277"/>
        <w:spacing w:after="0" w:line="286" w:lineRule="auto"/>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published studies referenced throughout this prospectus, the citations for those studies are listed below:</w:t>
      </w:r>
    </w:p>
    <w:p>
      <w:pPr>
        <w:spacing w:after="0" w:line="144" w:lineRule="exact"/>
        <w:rPr>
          <w:sz w:val="20"/>
          <w:szCs w:val="20"/>
          <w:color w:val="auto"/>
        </w:rPr>
      </w:pPr>
    </w:p>
    <w:p>
      <w:pPr>
        <w:ind w:left="540" w:hanging="277"/>
        <w:spacing w:after="0"/>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Blume, J. E. et al. Rapid, deep and precise profiling of the plasma proteome with multi-nanoparticle protein corona. </w:t>
      </w:r>
      <w:r>
        <w:rPr>
          <w:rFonts w:ascii="Times New Roman" w:cs="Times New Roman" w:eastAsia="Times New Roman" w:hAnsi="Times New Roman"/>
          <w:sz w:val="15"/>
          <w:szCs w:val="15"/>
          <w:i w:val="1"/>
          <w:iCs w:val="1"/>
          <w:color w:val="auto"/>
        </w:rPr>
        <w:t>Nat. Commun.</w:t>
      </w:r>
      <w:r>
        <w:rPr>
          <w:rFonts w:ascii="Times New Roman" w:cs="Times New Roman" w:eastAsia="Times New Roman" w:hAnsi="Times New Roman"/>
          <w:sz w:val="15"/>
          <w:szCs w:val="15"/>
          <w:color w:val="auto"/>
        </w:rPr>
        <w:t xml:space="preserve"> 11, (2020).</w:t>
      </w:r>
    </w:p>
    <w:p>
      <w:pPr>
        <w:spacing w:after="0" w:line="145" w:lineRule="exact"/>
        <w:rPr>
          <w:rFonts w:ascii="Times New Roman" w:cs="Times New Roman" w:eastAsia="Times New Roman" w:hAnsi="Times New Roman"/>
          <w:sz w:val="15"/>
          <w:szCs w:val="15"/>
          <w:color w:val="auto"/>
        </w:rPr>
      </w:pPr>
    </w:p>
    <w:p>
      <w:pPr>
        <w:ind w:left="540" w:right="20" w:hanging="277"/>
        <w:spacing w:after="0" w:line="289" w:lineRule="auto"/>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Keshishian, H. et al. Quantitative, multiplexed workflow for deep analysis of human blood plasma and biomarker discovery by mass spectrometry. </w:t>
      </w:r>
      <w:r>
        <w:rPr>
          <w:rFonts w:ascii="Times New Roman" w:cs="Times New Roman" w:eastAsia="Times New Roman" w:hAnsi="Times New Roman"/>
          <w:sz w:val="15"/>
          <w:szCs w:val="15"/>
          <w:i w:val="1"/>
          <w:iCs w:val="1"/>
          <w:color w:val="auto"/>
        </w:rPr>
        <w:t>Nat. Protoc.</w:t>
      </w:r>
      <w:r>
        <w:rPr>
          <w:rFonts w:ascii="Times New Roman" w:cs="Times New Roman" w:eastAsia="Times New Roman" w:hAnsi="Times New Roman"/>
          <w:sz w:val="15"/>
          <w:szCs w:val="15"/>
          <w:color w:val="auto"/>
        </w:rPr>
        <w:t xml:space="preserve"> 12, 1683–1701 (2017).</w:t>
      </w:r>
    </w:p>
    <w:p>
      <w:pPr>
        <w:spacing w:after="0" w:line="84" w:lineRule="exact"/>
        <w:rPr>
          <w:rFonts w:ascii="Times New Roman" w:cs="Times New Roman" w:eastAsia="Times New Roman" w:hAnsi="Times New Roman"/>
          <w:sz w:val="15"/>
          <w:szCs w:val="15"/>
          <w:color w:val="auto"/>
        </w:rPr>
      </w:pPr>
    </w:p>
    <w:p>
      <w:pPr>
        <w:ind w:left="540" w:right="420" w:hanging="277"/>
        <w:spacing w:after="0" w:line="289" w:lineRule="auto"/>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Schwenk, J. M. et al. The Human Plasma Proteome Draft of 2017: Building on the Human Plasma PeptideAtlas from Mass Spectrometry and Complementary Assays. </w:t>
      </w:r>
      <w:r>
        <w:rPr>
          <w:rFonts w:ascii="Times New Roman" w:cs="Times New Roman" w:eastAsia="Times New Roman" w:hAnsi="Times New Roman"/>
          <w:sz w:val="15"/>
          <w:szCs w:val="15"/>
          <w:i w:val="1"/>
          <w:iCs w:val="1"/>
          <w:color w:val="auto"/>
        </w:rPr>
        <w:t>J.</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Proteome Res. </w:t>
      </w:r>
      <w:r>
        <w:rPr>
          <w:rFonts w:ascii="Times New Roman" w:cs="Times New Roman" w:eastAsia="Times New Roman" w:hAnsi="Times New Roman"/>
          <w:sz w:val="15"/>
          <w:szCs w:val="15"/>
          <w:color w:val="auto"/>
        </w:rPr>
        <w:t>16, 4299–4310 (2017).</w:t>
      </w:r>
    </w:p>
    <w:p>
      <w:pPr>
        <w:spacing w:after="0" w:line="84"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Liao, W. Y. et al. Heparin co-factor II enhances cell motility and promotes metastasis in non-small cell lung cancer. </w:t>
      </w:r>
      <w:r>
        <w:rPr>
          <w:rFonts w:ascii="Times New Roman" w:cs="Times New Roman" w:eastAsia="Times New Roman" w:hAnsi="Times New Roman"/>
          <w:sz w:val="15"/>
          <w:szCs w:val="15"/>
          <w:i w:val="1"/>
          <w:iCs w:val="1"/>
          <w:color w:val="auto"/>
        </w:rPr>
        <w:t>J. Pathol.</w:t>
      </w:r>
      <w:r>
        <w:rPr>
          <w:rFonts w:ascii="Times New Roman" w:cs="Times New Roman" w:eastAsia="Times New Roman" w:hAnsi="Times New Roman"/>
          <w:sz w:val="15"/>
          <w:szCs w:val="15"/>
          <w:color w:val="auto"/>
        </w:rPr>
        <w:t xml:space="preserve"> 235, 50–64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1180"/>
          </w:cols>
          <w:pgMar w:left="320" w:top="121" w:right="39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80" w:hanging="277"/>
        <w:spacing w:after="0" w:line="286" w:lineRule="auto"/>
        <w:tabs>
          <w:tab w:leader="none" w:pos="2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Szklarczyk, D. et al. STRING v11: Protein-protein association networks with increased coverage, supporting functional discovery in genome-wide experimental datasets. </w:t>
      </w:r>
      <w:r>
        <w:rPr>
          <w:rFonts w:ascii="Times New Roman" w:cs="Times New Roman" w:eastAsia="Times New Roman" w:hAnsi="Times New Roman"/>
          <w:sz w:val="15"/>
          <w:szCs w:val="15"/>
          <w:i w:val="1"/>
          <w:iCs w:val="1"/>
          <w:color w:val="auto"/>
        </w:rPr>
        <w:t xml:space="preserve">Nucleic Acids Res. </w:t>
      </w:r>
      <w:r>
        <w:rPr>
          <w:rFonts w:ascii="Times New Roman" w:cs="Times New Roman" w:eastAsia="Times New Roman" w:hAnsi="Times New Roman"/>
          <w:sz w:val="15"/>
          <w:szCs w:val="15"/>
          <w:color w:val="auto"/>
        </w:rPr>
        <w:t>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0540"/>
          </w:cols>
          <w:pgMar w:left="580" w:top="121" w:right="779" w:bottom="1440" w:gutter="0" w:footer="0" w:header="0"/>
        </w:sectPr>
      </w:pPr>
    </w:p>
    <w:bookmarkStart w:id="66" w:name="page67"/>
    <w:bookmarkEnd w:id="6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We estimate that the net proceeds from our issuance and sale of shares of our Class A common stock in this offering and the concurrent private placement will be approximately</w:t>
      </w:r>
    </w:p>
    <w:p>
      <w:pPr>
        <w:spacing w:after="0" w:line="24" w:lineRule="exact"/>
        <w:rPr>
          <w:sz w:val="20"/>
          <w:szCs w:val="20"/>
          <w:color w:val="auto"/>
        </w:rPr>
      </w:pPr>
    </w:p>
    <w:p>
      <w:pPr>
        <w:spacing w:after="0"/>
        <w:tabs>
          <w:tab w:leader="none" w:pos="500" w:val="left"/>
          <w:tab w:leader="none" w:pos="2620" w:val="left"/>
          <w:tab w:leader="none" w:pos="71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million, or approximately $</w:t>
      </w:r>
      <w:r>
        <w:rPr>
          <w:sz w:val="20"/>
          <w:szCs w:val="20"/>
          <w:color w:val="auto"/>
        </w:rPr>
        <w:tab/>
      </w:r>
      <w:r>
        <w:rPr>
          <w:rFonts w:ascii="Times New Roman" w:cs="Times New Roman" w:eastAsia="Times New Roman" w:hAnsi="Times New Roman"/>
          <w:sz w:val="15"/>
          <w:szCs w:val="15"/>
          <w:color w:val="auto"/>
        </w:rPr>
        <w:t>million if the underwriters exercise their option to purchase up to</w:t>
      </w:r>
      <w:r>
        <w:rPr>
          <w:sz w:val="20"/>
          <w:szCs w:val="20"/>
          <w:color w:val="auto"/>
        </w:rPr>
        <w:tab/>
      </w:r>
      <w:r>
        <w:rPr>
          <w:rFonts w:ascii="Times New Roman" w:cs="Times New Roman" w:eastAsia="Times New Roman" w:hAnsi="Times New Roman"/>
          <w:sz w:val="15"/>
          <w:szCs w:val="15"/>
          <w:color w:val="auto"/>
        </w:rPr>
        <w:t>additional shares our Class A common stock in full, based on an</w:t>
      </w:r>
    </w:p>
    <w:p>
      <w:pPr>
        <w:spacing w:after="0" w:line="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initial public offering price of $ per share, which is the midpoint of the price range set forth on the cover page of this prospectus, and after deducting the underwriting discounts and commissions and estimated offering expenses payable by us.</w:t>
      </w:r>
    </w:p>
    <w:p>
      <w:pPr>
        <w:spacing w:after="0" w:line="104" w:lineRule="exact"/>
        <w:rPr>
          <w:sz w:val="20"/>
          <w:szCs w:val="20"/>
          <w:color w:val="auto"/>
        </w:rPr>
      </w:pPr>
    </w:p>
    <w:p>
      <w:pPr>
        <w:ind w:right="240" w:firstLine="273"/>
        <w:spacing w:after="0" w:line="263" w:lineRule="auto"/>
        <w:rPr>
          <w:sz w:val="20"/>
          <w:szCs w:val="20"/>
          <w:color w:val="auto"/>
        </w:rPr>
      </w:pPr>
      <w:r>
        <w:rPr>
          <w:rFonts w:ascii="Times New Roman" w:cs="Times New Roman" w:eastAsia="Times New Roman" w:hAnsi="Times New Roman"/>
          <w:sz w:val="15"/>
          <w:szCs w:val="15"/>
          <w:color w:val="auto"/>
        </w:rPr>
        <w:t>Each $1.00 increase or decrease in the assumed initial public offering price of $ per share, which is the midpoint of the price range set forth on the cover of this prospectus, would increase or decrease, as applicable, the aggregate net proceeds to us from this offering and the concurrent private placement by approximately $ million, assuming the</w:t>
      </w:r>
    </w:p>
    <w:p>
      <w:pPr>
        <w:spacing w:after="0" w:line="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5"/>
          <w:szCs w:val="15"/>
          <w:color w:val="auto"/>
        </w:rPr>
        <w:t>number of shares of Class A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 Class A common stock offered by us</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would increase or decrease, as applicable, the net proceeds to us from this offering and the concurrent private placement by approximately $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and the concurrent private placement, although it may change the time at which we will need to seek additional capital.</w:t>
      </w:r>
    </w:p>
    <w:p>
      <w:pPr>
        <w:spacing w:after="0" w:line="109" w:lineRule="exact"/>
        <w:rPr>
          <w:sz w:val="20"/>
          <w:szCs w:val="20"/>
          <w:color w:val="auto"/>
        </w:rPr>
      </w:pPr>
    </w:p>
    <w:p>
      <w:pPr>
        <w:ind w:right="40" w:firstLine="273"/>
        <w:spacing w:after="0" w:line="269" w:lineRule="auto"/>
        <w:rPr>
          <w:sz w:val="20"/>
          <w:szCs w:val="20"/>
          <w:color w:val="auto"/>
        </w:rPr>
      </w:pPr>
      <w:r>
        <w:rPr>
          <w:rFonts w:ascii="Times New Roman" w:cs="Times New Roman" w:eastAsia="Times New Roman" w:hAnsi="Times New Roman"/>
          <w:sz w:val="15"/>
          <w:szCs w:val="15"/>
          <w:color w:val="auto"/>
        </w:rPr>
        <w:t>The principal purposes of this offering and the concurrent private placement are to obtain additional capital to support our operations, establish a public market for our Class A common stock and facilitate our future access to the public capital markets. We currently intend to use the net proceeds from this offering and the concurrent private placement, together with our existing cash as follows:</w:t>
      </w:r>
    </w:p>
    <w:p>
      <w:pPr>
        <w:spacing w:after="0" w:line="101" w:lineRule="exact"/>
        <w:rPr>
          <w:sz w:val="20"/>
          <w:szCs w:val="20"/>
          <w:color w:val="auto"/>
        </w:rPr>
      </w:pPr>
    </w:p>
    <w:p>
      <w:pPr>
        <w:ind w:left="540" w:hanging="277"/>
        <w:spacing w:after="0"/>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approximately $million to commercialize our Proteograph Product Suite and for ongoing sales and marketing activities;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remainder for other development work associated with advancing our Proteograph Product Suite, research and development, and general corporate purposes.</w:t>
      </w:r>
    </w:p>
    <w:p>
      <w:pPr>
        <w:spacing w:after="0" w:line="146" w:lineRule="exact"/>
        <w:rPr>
          <w:sz w:val="20"/>
          <w:szCs w:val="20"/>
          <w:color w:val="auto"/>
        </w:rPr>
      </w:pPr>
    </w:p>
    <w:p>
      <w:pPr>
        <w:ind w:right="220" w:firstLine="273"/>
        <w:spacing w:after="0" w:line="269" w:lineRule="auto"/>
        <w:rPr>
          <w:sz w:val="20"/>
          <w:szCs w:val="20"/>
          <w:color w:val="auto"/>
        </w:rPr>
      </w:pPr>
      <w:r>
        <w:rPr>
          <w:rFonts w:ascii="Times New Roman" w:cs="Times New Roman" w:eastAsia="Times New Roman" w:hAnsi="Times New Roman"/>
          <w:sz w:val="15"/>
          <w:szCs w:val="15"/>
          <w:color w:val="auto"/>
        </w:rPr>
        <w:t>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01"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Our expected use of proceeds from this offering and the concurrent private placement represents our current intentions based on our present plans and business condition. As of the date of this prospectus, we cannot predict with certainty all of the particular uses for the proceeds to be received upon the completion of this offering and the concurrent private placement or the actual amounts that we will spend on the uses set forth above.</w:t>
      </w:r>
    </w:p>
    <w:p>
      <w:pPr>
        <w:spacing w:after="0" w:line="101"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 and the concurrent private placement.</w:t>
      </w:r>
    </w:p>
    <w:p>
      <w:pPr>
        <w:spacing w:after="0" w:line="101"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Pending their uses, we plan to invest the net proceeds of this offering and the concurrent private placement in short-term, interest-bearing, investment-grade instruments, including certificates of deposit or direct or guaranteed obligations of the U.S. government.</w:t>
      </w:r>
    </w:p>
    <w:p>
      <w:pPr>
        <w:spacing w:after="0" w:line="89" w:lineRule="exact"/>
        <w:rPr>
          <w:sz w:val="20"/>
          <w:szCs w:val="20"/>
          <w:color w:val="auto"/>
        </w:rPr>
      </w:pPr>
    </w:p>
    <w:p>
      <w:pPr>
        <w:ind w:right="420" w:firstLine="273"/>
        <w:spacing w:after="0" w:line="286" w:lineRule="auto"/>
        <w:rPr>
          <w:sz w:val="20"/>
          <w:szCs w:val="20"/>
          <w:color w:val="auto"/>
        </w:rPr>
      </w:pPr>
      <w:r>
        <w:rPr>
          <w:rFonts w:ascii="Times New Roman" w:cs="Times New Roman" w:eastAsia="Times New Roman" w:hAnsi="Times New Roman"/>
          <w:sz w:val="15"/>
          <w:szCs w:val="15"/>
          <w:color w:val="auto"/>
        </w:rPr>
        <w:t>We believe that the proceeds for this offering and the concurrent private placement, together with our existing cash, will be sufficient to fund our operations through the broad commercial availability phase of our commercial launch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1220"/>
          </w:cols>
          <w:pgMar w:left="320" w:top="121" w:right="359" w:bottom="1440" w:gutter="0" w:footer="0" w:header="0"/>
        </w:sectPr>
      </w:pPr>
    </w:p>
    <w:bookmarkStart w:id="67" w:name="page68"/>
    <w:bookmarkEnd w:id="6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50"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1220"/>
          </w:cols>
          <w:pgMar w:left="320" w:top="121" w:right="359" w:bottom="1440" w:gutter="0" w:footer="0" w:header="0"/>
        </w:sectPr>
      </w:pPr>
    </w:p>
    <w:bookmarkStart w:id="68" w:name="page69"/>
    <w:bookmarkEnd w:id="6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sets forth our cash, cash equivalents and investments and our capitalization as of September 30, 2020:</w:t>
      </w:r>
    </w:p>
    <w:p>
      <w:pPr>
        <w:spacing w:after="0" w:line="146" w:lineRule="exact"/>
        <w:rPr>
          <w:sz w:val="20"/>
          <w:szCs w:val="20"/>
          <w:color w:val="auto"/>
        </w:rPr>
      </w:pPr>
    </w:p>
    <w:p>
      <w:pPr>
        <w:ind w:left="540" w:hanging="277"/>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to give effect to:</w:t>
      </w:r>
    </w:p>
    <w:p>
      <w:pPr>
        <w:spacing w:after="0" w:line="145" w:lineRule="exact"/>
        <w:rPr>
          <w:rFonts w:ascii="Times New Roman" w:cs="Times New Roman" w:eastAsia="Times New Roman" w:hAnsi="Times New Roman"/>
          <w:sz w:val="15"/>
          <w:szCs w:val="15"/>
          <w:color w:val="auto"/>
        </w:rPr>
      </w:pPr>
    </w:p>
    <w:p>
      <w:pPr>
        <w:ind w:left="800" w:hanging="264"/>
        <w:spacing w:after="0" w:line="286" w:lineRule="auto"/>
        <w:tabs>
          <w:tab w:leader="none" w:pos="797"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automatic conversion of all of our outstanding shares of convertible preferred stock into an aggregate of 62,117,410 shares of Class A common stock immediately prior to the completion of this offering as if such conversion had occurred on September 30, 2020,</w:t>
      </w:r>
    </w:p>
    <w:p>
      <w:pPr>
        <w:spacing w:after="0" w:line="88" w:lineRule="exact"/>
        <w:rPr>
          <w:rFonts w:ascii="Times New Roman" w:cs="Times New Roman" w:eastAsia="Times New Roman" w:hAnsi="Times New Roman"/>
          <w:sz w:val="15"/>
          <w:szCs w:val="15"/>
          <w:color w:val="auto"/>
        </w:rPr>
      </w:pPr>
    </w:p>
    <w:p>
      <w:pPr>
        <w:ind w:left="800" w:right="100" w:hanging="264"/>
        <w:spacing w:after="0" w:line="286" w:lineRule="auto"/>
        <w:tabs>
          <w:tab w:leader="none" w:pos="797"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 and</w:t>
      </w:r>
    </w:p>
    <w:p>
      <w:pPr>
        <w:spacing w:after="0" w:line="88" w:lineRule="exact"/>
        <w:rPr>
          <w:rFonts w:ascii="Times New Roman" w:cs="Times New Roman" w:eastAsia="Times New Roman" w:hAnsi="Times New Roman"/>
          <w:sz w:val="15"/>
          <w:szCs w:val="15"/>
          <w:color w:val="auto"/>
        </w:rPr>
      </w:pPr>
    </w:p>
    <w:p>
      <w:pPr>
        <w:ind w:left="800" w:hanging="264"/>
        <w:spacing w:after="0"/>
        <w:tabs>
          <w:tab w:leader="none" w:pos="80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and effectiveness of our amended and restated certificate of incorporation, which will occur immediately prior to the completion of this offering;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to give effect to:</w:t>
      </w:r>
    </w:p>
    <w:p>
      <w:pPr>
        <w:spacing w:after="0" w:line="145" w:lineRule="exact"/>
        <w:rPr>
          <w:rFonts w:ascii="Times New Roman" w:cs="Times New Roman" w:eastAsia="Times New Roman" w:hAnsi="Times New Roman"/>
          <w:sz w:val="15"/>
          <w:szCs w:val="15"/>
          <w:color w:val="auto"/>
        </w:rPr>
      </w:pPr>
    </w:p>
    <w:p>
      <w:pPr>
        <w:ind w:left="800" w:hanging="264"/>
        <w:spacing w:after="0"/>
        <w:tabs>
          <w:tab w:leader="none" w:pos="80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 forma adjustments set forth above;</w:t>
      </w:r>
    </w:p>
    <w:p>
      <w:pPr>
        <w:sectPr>
          <w:pgSz w:w="11900" w:h="16838" w:orient="portrait"/>
          <w:cols w:equalWidth="0" w:num="1">
            <w:col w:w="11180"/>
          </w:cols>
          <w:pgMar w:left="320" w:top="121" w:right="399" w:bottom="1440" w:gutter="0" w:footer="0" w:header="0"/>
        </w:sectPr>
      </w:pP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420" w:hanging="2"/>
        <w:spacing w:after="0" w:line="263" w:lineRule="auto"/>
        <w:rPr>
          <w:sz w:val="20"/>
          <w:szCs w:val="20"/>
          <w:color w:val="auto"/>
        </w:rPr>
      </w:pPr>
      <w:r>
        <w:rPr>
          <w:rFonts w:ascii="Times New Roman" w:cs="Times New Roman" w:eastAsia="Times New Roman" w:hAnsi="Times New Roman"/>
          <w:sz w:val="15"/>
          <w:szCs w:val="15"/>
          <w:color w:val="auto"/>
        </w:rPr>
        <w:t>the sale and issuance of</w:t>
      </w:r>
      <w:r>
        <w:rPr>
          <w:sz w:val="20"/>
          <w:szCs w:val="20"/>
          <w:color w:val="auto"/>
        </w:rPr>
        <w:t xml:space="preserve"> </w:t>
      </w:r>
      <w:r>
        <w:rPr>
          <w:rFonts w:ascii="Times New Roman" w:cs="Times New Roman" w:eastAsia="Times New Roman" w:hAnsi="Times New Roman"/>
          <w:sz w:val="15"/>
          <w:szCs w:val="15"/>
          <w:color w:val="auto"/>
        </w:rPr>
        <w:t>shares of our Class A common stock by us in this offering and the concurrent private placement, based upon the assumed initial public offering price of $ per share, which is the midpoint of the price range set forth on the cover page of this prospectus, after deducting underwriting discounts and</w:t>
      </w:r>
    </w:p>
    <w:p>
      <w:pPr>
        <w:spacing w:after="0" w:line="1" w:lineRule="exact"/>
        <w:rPr>
          <w:sz w:val="20"/>
          <w:szCs w:val="20"/>
          <w:color w:val="auto"/>
        </w:rPr>
      </w:pPr>
    </w:p>
    <w:p>
      <w:pPr>
        <w:sectPr>
          <w:pgSz w:w="11900" w:h="16838" w:orient="portrait"/>
          <w:cols w:equalWidth="0" w:num="2">
            <w:col w:w="580" w:space="220"/>
            <w:col w:w="10380"/>
          </w:cols>
          <w:pgMar w:left="320" w:top="121" w:right="39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5"/>
          <w:szCs w:val="15"/>
          <w:color w:val="auto"/>
        </w:rPr>
        <w:t>commissions and estimated offering expenses payable by us; and</w:t>
      </w:r>
    </w:p>
    <w:p>
      <w:pPr>
        <w:spacing w:after="0" w:line="130" w:lineRule="exact"/>
        <w:rPr>
          <w:sz w:val="20"/>
          <w:szCs w:val="20"/>
          <w:color w:val="auto"/>
        </w:rPr>
      </w:pPr>
    </w:p>
    <w:p>
      <w:pPr>
        <w:ind w:left="800" w:hanging="264"/>
        <w:spacing w:after="0"/>
        <w:tabs>
          <w:tab w:leader="none" w:pos="8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shares of Class B common stock to Class A common stock in connection with the secondary transaction.</w:t>
      </w:r>
    </w:p>
    <w:p>
      <w:pPr>
        <w:spacing w:after="0" w:line="146"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The pro forma as adjusted information set forth in the table below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1180"/>
          </w:cols>
          <w:pgMar w:left="320" w:top="121" w:right="399" w:bottom="1440" w:gutter="0" w:footer="0" w:header="0"/>
          <w:type w:val="continuous"/>
        </w:sectPr>
      </w:pPr>
    </w:p>
    <w:bookmarkStart w:id="69" w:name="page70"/>
    <w:bookmarkEnd w:id="69"/>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 w:right="100" w:firstLine="273"/>
        <w:spacing w:after="0" w:line="286" w:lineRule="auto"/>
        <w:rPr>
          <w:sz w:val="20"/>
          <w:szCs w:val="20"/>
          <w:color w:val="auto"/>
        </w:rPr>
      </w:pPr>
      <w:r>
        <w:rPr>
          <w:rFonts w:ascii="Times New Roman" w:cs="Times New Roman" w:eastAsia="Times New Roman" w:hAnsi="Times New Roman"/>
          <w:sz w:val="15"/>
          <w:szCs w:val="15"/>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27"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As of September 30 , 2020</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Actual</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Pro Forma</w:t>
            </w:r>
          </w:p>
        </w:tc>
        <w:tc>
          <w:tcPr>
            <w:tcW w:w="1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Pro Forma as Adjusted</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00" w:type="dxa"/>
            <w:vAlign w:val="bottom"/>
            <w:gridSpan w:val="6"/>
          </w:tcPr>
          <w:p>
            <w:pPr>
              <w:jc w:val="center"/>
              <w:ind w:right="928"/>
              <w:spacing w:after="0"/>
              <w:rPr>
                <w:sz w:val="20"/>
                <w:szCs w:val="20"/>
                <w:color w:val="auto"/>
              </w:rPr>
            </w:pPr>
            <w:r>
              <w:rPr>
                <w:rFonts w:ascii="Times New Roman" w:cs="Times New Roman" w:eastAsia="Times New Roman" w:hAnsi="Times New Roman"/>
                <w:sz w:val="12"/>
                <w:szCs w:val="12"/>
                <w:i w:val="1"/>
                <w:iCs w:val="1"/>
                <w:color w:val="auto"/>
              </w:rPr>
              <w:t>(in thousands, except share and per share data)</w:t>
            </w:r>
          </w:p>
        </w:tc>
        <w:tc>
          <w:tcPr>
            <w:tcW w:w="0" w:type="dxa"/>
            <w:vAlign w:val="bottom"/>
          </w:tcPr>
          <w:p>
            <w:pPr>
              <w:spacing w:after="0"/>
              <w:rPr>
                <w:sz w:val="1"/>
                <w:szCs w:val="1"/>
                <w:color w:val="auto"/>
              </w:rPr>
            </w:pPr>
          </w:p>
        </w:tc>
      </w:tr>
      <w:tr>
        <w:trPr>
          <w:trHeight w:val="21"/>
        </w:trPr>
        <w:tc>
          <w:tcPr>
            <w:tcW w:w="274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investments</w:t>
            </w:r>
          </w:p>
        </w:tc>
        <w:tc>
          <w:tcPr>
            <w:tcW w:w="4620" w:type="dxa"/>
            <w:vAlign w:val="bottom"/>
            <w:tcBorders>
              <w:bottom w:val="single" w:sz="8" w:color="CCEEFF"/>
            </w:tcBorders>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121,506</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10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3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preferred stock, par value $0.00001 per share: 62,117,414 shares authorized, 62,117,410</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issued and outstanding, actual; no shares authorized, issued and outstanding, pro forma and pro forma</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 adjusted</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620" w:type="dxa"/>
            <w:vAlign w:val="bottom"/>
            <w:tcBorders>
              <w:bottom w:val="single" w:sz="8" w:color="CCEEFF"/>
            </w:tcBorders>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162,849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73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Preferred stock, par value $0.00001 per share: no shares authorized, issued and outstanding, actual;</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60" w:type="dxa"/>
            <w:vAlign w:val="bottom"/>
            <w:gridSpan w:val="5"/>
          </w:tcPr>
          <w:p>
            <w:pPr>
              <w:ind w:left="600"/>
              <w:spacing w:after="0"/>
              <w:rPr>
                <w:sz w:val="20"/>
                <w:szCs w:val="20"/>
                <w:color w:val="auto"/>
              </w:rPr>
            </w:pPr>
            <w:r>
              <w:rPr>
                <w:rFonts w:ascii="Times New Roman" w:cs="Times New Roman" w:eastAsia="Times New Roman" w:hAnsi="Times New Roman"/>
                <w:sz w:val="15"/>
                <w:szCs w:val="15"/>
                <w:color w:val="auto"/>
              </w:rPr>
              <w:t>shares authorized and no shares issued and outstanding, pro forma and pro forma as adjusted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63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common stock, par value $0.00001 per share: 120,000,000 shares authorized, 7,054,694 issued</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and outstanding, actual;</w:t>
            </w:r>
          </w:p>
        </w:tc>
        <w:tc>
          <w:tcPr>
            <w:tcW w:w="5620" w:type="dxa"/>
            <w:vAlign w:val="bottom"/>
            <w:gridSpan w:val="3"/>
            <w:shd w:val="clear" w:color="auto" w:fill="CCEEFF"/>
          </w:tcPr>
          <w:p>
            <w:pPr>
              <w:jc w:val="right"/>
              <w:ind w:right="1292"/>
              <w:spacing w:after="0"/>
              <w:rPr>
                <w:sz w:val="20"/>
                <w:szCs w:val="20"/>
                <w:color w:val="auto"/>
              </w:rPr>
            </w:pPr>
            <w:r>
              <w:rPr>
                <w:rFonts w:ascii="Times New Roman" w:cs="Times New Roman" w:eastAsia="Times New Roman" w:hAnsi="Times New Roman"/>
                <w:sz w:val="15"/>
                <w:szCs w:val="15"/>
                <w:color w:val="auto"/>
              </w:rPr>
              <w:t>shares authorized, 69,172,104 shares issued and outstanding, pro</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forma; and</w:t>
            </w: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shares authorized,</w:t>
            </w:r>
          </w:p>
        </w:tc>
        <w:tc>
          <w:tcPr>
            <w:tcW w:w="4620" w:type="dxa"/>
            <w:vAlign w:val="bottom"/>
            <w:tcBorders>
              <w:bottom w:val="single" w:sz="8" w:color="CCEEFF"/>
            </w:tcBorders>
            <w:gridSpan w:val="2"/>
            <w:shd w:val="clear" w:color="auto" w:fill="CCEEFF"/>
          </w:tcPr>
          <w:p>
            <w:pPr>
              <w:jc w:val="right"/>
              <w:ind w:right="1232"/>
              <w:spacing w:after="0"/>
              <w:rPr>
                <w:sz w:val="20"/>
                <w:szCs w:val="20"/>
                <w:color w:val="auto"/>
              </w:rPr>
            </w:pPr>
            <w:r>
              <w:rPr>
                <w:rFonts w:ascii="Times New Roman" w:cs="Times New Roman" w:eastAsia="Times New Roman" w:hAnsi="Times New Roman"/>
                <w:sz w:val="15"/>
                <w:szCs w:val="15"/>
                <w:color w:val="auto"/>
              </w:rPr>
              <w:t>shares issued and outstanding, pro forma as adjusted</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3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Class B common stock, par value $0.00001 per share: 20,000,000 shares authorized, issued and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outstanding, actual;</w:t>
            </w:r>
          </w:p>
        </w:tc>
        <w:tc>
          <w:tcPr>
            <w:tcW w:w="5620" w:type="dxa"/>
            <w:vAlign w:val="bottom"/>
            <w:gridSpan w:val="3"/>
          </w:tcPr>
          <w:p>
            <w:pPr>
              <w:jc w:val="right"/>
              <w:ind w:right="1192"/>
              <w:spacing w:after="0"/>
              <w:rPr>
                <w:sz w:val="20"/>
                <w:szCs w:val="20"/>
                <w:color w:val="auto"/>
              </w:rPr>
            </w:pPr>
            <w:r>
              <w:rPr>
                <w:rFonts w:ascii="Times New Roman" w:cs="Times New Roman" w:eastAsia="Times New Roman" w:hAnsi="Times New Roman"/>
                <w:sz w:val="15"/>
                <w:szCs w:val="15"/>
                <w:color w:val="auto"/>
              </w:rPr>
              <w:t>shares authorized, 20,000,000 shares issued and outstanding, pro forma</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and pro forma as adjusted</w:t>
            </w:r>
          </w:p>
        </w:tc>
        <w:tc>
          <w:tcPr>
            <w:tcW w:w="10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0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167,992</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3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(42,600)</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0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125,536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125,536</w:t>
            </w: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capitalization</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125,536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125,536</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140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1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-81915</wp:posOffset>
            </wp:positionV>
            <wp:extent cx="310134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01340" cy="6985"/>
                    </a:xfrm>
                    <a:prstGeom prst="rect">
                      <a:avLst/>
                    </a:prstGeom>
                    <a:noFill/>
                  </pic:spPr>
                </pic:pic>
              </a:graphicData>
            </a:graphic>
          </wp:anchor>
        </w:drawing>
      </w:r>
    </w:p>
    <w:p>
      <w:pPr>
        <w:ind w:left="269" w:hanging="269"/>
        <w:spacing w:after="0"/>
        <w:tabs>
          <w:tab w:leader="none" w:pos="269"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$1.00 increase or decrease in the assumed initial public offering price of $    per share, which is the midpoint of the estimated offering price range set forth on the cover page of this prospectus, would increase or</w:t>
      </w:r>
    </w:p>
    <w:p>
      <w:pPr>
        <w:ind w:left="269" w:right="40"/>
        <w:spacing w:after="0"/>
        <w:rPr>
          <w:sz w:val="20"/>
          <w:szCs w:val="20"/>
          <w:color w:val="auto"/>
        </w:rPr>
      </w:pPr>
      <w:r>
        <w:rPr>
          <w:rFonts w:ascii="Times New Roman" w:cs="Times New Roman" w:eastAsia="Times New Roman" w:hAnsi="Times New Roman"/>
          <w:sz w:val="12"/>
          <w:szCs w:val="12"/>
          <w:color w:val="auto"/>
        </w:rPr>
        <w:t>decrease, as applicable, the amount of our pro forma as adjusted cash and cash equivalents, additional paid-in capital, total stockholders’ equity and total capitalization by $ , assuming that the number of shares of Class A common stock offered by us, as set forth on the cover page of this prospectus, remains the same and after deducting estimated underwriting discounts and commissions payable by us. An increase or decrease of 1.0 million shares in the number of shares of Class A common stock offered by us would increase or decrease, as applicable, the amount of our pro forma as adjusted cash and cash equivalents, additional paid-in capital, total stockholders’ equity and total capitalization by $ , assuming the assumed initial public offering price remains the same, and after deducting estimated underwriting discounts and commissions payable by us.</w:t>
      </w:r>
    </w:p>
    <w:p>
      <w:pPr>
        <w:spacing w:after="0" w:line="121" w:lineRule="exact"/>
        <w:rPr>
          <w:sz w:val="20"/>
          <w:szCs w:val="20"/>
          <w:color w:val="auto"/>
        </w:rPr>
      </w:pPr>
    </w:p>
    <w:p>
      <w:pPr>
        <w:ind w:left="9" w:right="80" w:firstLine="273"/>
        <w:spacing w:after="0" w:line="286" w:lineRule="auto"/>
        <w:rPr>
          <w:sz w:val="20"/>
          <w:szCs w:val="20"/>
          <w:color w:val="auto"/>
        </w:rPr>
      </w:pPr>
      <w:r>
        <w:rPr>
          <w:rFonts w:ascii="Times New Roman" w:cs="Times New Roman" w:eastAsia="Times New Roman" w:hAnsi="Times New Roman"/>
          <w:sz w:val="15"/>
          <w:szCs w:val="15"/>
          <w:color w:val="auto"/>
        </w:rPr>
        <w:t>The pro forma and pro forma as adjusted columns in the table above are based on 69,172,104 shares of our Class A common stock (after giving effect to the conversion of all of our shares of convertible preferred stock) and 20,000,000 shares of our Class B common stock outstanding as of September 30, 2020, and excludes the following:</w:t>
      </w:r>
    </w:p>
    <w:p>
      <w:pPr>
        <w:spacing w:after="0" w:line="89" w:lineRule="exact"/>
        <w:rPr>
          <w:sz w:val="20"/>
          <w:szCs w:val="20"/>
          <w:color w:val="auto"/>
        </w:rPr>
      </w:pPr>
    </w:p>
    <w:p>
      <w:pPr>
        <w:ind w:left="549" w:right="160" w:hanging="277"/>
        <w:spacing w:after="0" w:line="286" w:lineRule="auto"/>
        <w:tabs>
          <w:tab w:leader="none" w:pos="545"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16,164,706 shares of our Class A common stock issuable upon the exercise of options to purchase shares of our Class A common stock outstanding as of September 30, 2020, with a weighted-average exercise price of $1.17 per share;</w:t>
      </w:r>
    </w:p>
    <w:p>
      <w:pPr>
        <w:spacing w:after="0" w:line="88"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717,319 shares of our Class A common stock issuable upon the vesting of RSUs outstanding as of September 30,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1269"/>
          </w:cols>
          <w:pgMar w:left="311" w:top="121" w:right="31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0" w:hanging="717"/>
        <w:spacing w:after="0"/>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shares of our Class A common stock reserved for future issuance under our equity compensation plans, consisting of:</w:t>
      </w:r>
    </w:p>
    <w:p>
      <w:pPr>
        <w:spacing w:after="0" w:line="122" w:lineRule="exact"/>
        <w:rPr>
          <w:rFonts w:ascii="Times New Roman" w:cs="Times New Roman" w:eastAsia="Times New Roman" w:hAnsi="Times New Roman"/>
          <w:sz w:val="17"/>
          <w:szCs w:val="17"/>
          <w:color w:val="auto"/>
        </w:rPr>
      </w:pPr>
    </w:p>
    <w:p>
      <w:pPr>
        <w:ind w:left="540" w:right="120" w:hanging="264"/>
        <w:spacing w:after="0" w:line="286" w:lineRule="auto"/>
        <w:tabs>
          <w:tab w:leader="none" w:pos="991"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88" w:lineRule="exact"/>
        <w:rPr>
          <w:rFonts w:ascii="Times New Roman" w:cs="Times New Roman" w:eastAsia="Times New Roman" w:hAnsi="Times New Roman"/>
          <w:sz w:val="15"/>
          <w:szCs w:val="15"/>
          <w:color w:val="auto"/>
        </w:rPr>
      </w:pPr>
    </w:p>
    <w:p>
      <w:pPr>
        <w:ind w:left="540" w:hanging="264"/>
        <w:spacing w:after="0" w:line="269" w:lineRule="auto"/>
        <w:tabs>
          <w:tab w:leader="none" w:pos="991"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reserved for future issuance under our 2020 Employee Stock Purchase Plan (our ESPP) which will become effective in connection with this offering, and any additional shares that become available under our ESPP pursuant to provisions thereof that automatically increase the share reserve under the plan each year; and</w:t>
      </w:r>
    </w:p>
    <w:p>
      <w:pPr>
        <w:spacing w:after="0" w:line="101" w:lineRule="exact"/>
        <w:rPr>
          <w:rFonts w:ascii="Times New Roman" w:cs="Times New Roman" w:eastAsia="Times New Roman" w:hAnsi="Times New Roman"/>
          <w:sz w:val="15"/>
          <w:szCs w:val="15"/>
          <w:color w:val="auto"/>
        </w:rPr>
      </w:pPr>
    </w:p>
    <w:p>
      <w:pPr>
        <w:ind w:left="540" w:right="100" w:hanging="264"/>
        <w:spacing w:after="0" w:line="269" w:lineRule="auto"/>
        <w:tabs>
          <w:tab w:leader="none" w:pos="537"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2,551,205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0960"/>
          </w:cols>
          <w:pgMar w:left="580" w:top="121" w:right="359" w:bottom="1440" w:gutter="0" w:footer="0" w:header="0"/>
        </w:sectPr>
      </w:pPr>
    </w:p>
    <w:bookmarkStart w:id="71" w:name="page72"/>
    <w:bookmarkEnd w:id="71"/>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50" w:lineRule="exact"/>
        <w:rPr>
          <w:sz w:val="20"/>
          <w:szCs w:val="20"/>
          <w:color w:val="auto"/>
        </w:rPr>
      </w:pPr>
    </w:p>
    <w:p>
      <w:pPr>
        <w:jc w:val="both"/>
        <w:ind w:left="9" w:right="260" w:firstLine="273"/>
        <w:spacing w:after="0" w:line="269" w:lineRule="auto"/>
        <w:rPr>
          <w:sz w:val="20"/>
          <w:szCs w:val="20"/>
          <w:color w:val="auto"/>
        </w:rPr>
      </w:pPr>
      <w:r>
        <w:rPr>
          <w:rFonts w:ascii="Times New Roman" w:cs="Times New Roman" w:eastAsia="Times New Roman" w:hAnsi="Times New Roman"/>
          <w:sz w:val="15"/>
          <w:szCs w:val="15"/>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 and the concurrent private placement.</w:t>
      </w:r>
    </w:p>
    <w:p>
      <w:pPr>
        <w:spacing w:after="0" w:line="101" w:lineRule="exact"/>
        <w:rPr>
          <w:sz w:val="20"/>
          <w:szCs w:val="20"/>
          <w:color w:val="auto"/>
        </w:rPr>
      </w:pPr>
    </w:p>
    <w:p>
      <w:pPr>
        <w:jc w:val="both"/>
        <w:ind w:left="9" w:right="240" w:firstLine="273"/>
        <w:spacing w:after="0" w:line="269" w:lineRule="auto"/>
        <w:rPr>
          <w:sz w:val="20"/>
          <w:szCs w:val="20"/>
          <w:color w:val="auto"/>
        </w:rPr>
      </w:pPr>
      <w:r>
        <w:rPr>
          <w:rFonts w:ascii="Times New Roman" w:cs="Times New Roman" w:eastAsia="Times New Roman" w:hAnsi="Times New Roman"/>
          <w:sz w:val="15"/>
          <w:szCs w:val="15"/>
          <w:color w:val="auto"/>
        </w:rPr>
        <w:t>Our historical net tangible book value as of September 30, 2020 was $124.4 million, or $4.60 per share. Our historical net tangible book value is the amount of our total tangible assets less our total liabilities. Historical net tangible book value per share represents historical net tangible book value divided by the number of shares of our Class A common stock and Class B common stock outstanding as of September 30, 2020.</w:t>
      </w:r>
    </w:p>
    <w:p>
      <w:pPr>
        <w:spacing w:after="0" w:line="101" w:lineRule="exact"/>
        <w:rPr>
          <w:sz w:val="20"/>
          <w:szCs w:val="20"/>
          <w:color w:val="auto"/>
        </w:rPr>
      </w:pPr>
    </w:p>
    <w:p>
      <w:pPr>
        <w:ind w:left="9" w:right="20" w:firstLine="273"/>
        <w:spacing w:after="0" w:line="261" w:lineRule="auto"/>
        <w:rPr>
          <w:sz w:val="20"/>
          <w:szCs w:val="20"/>
          <w:color w:val="auto"/>
        </w:rPr>
      </w:pPr>
      <w:r>
        <w:rPr>
          <w:rFonts w:ascii="Times New Roman" w:cs="Times New Roman" w:eastAsia="Times New Roman" w:hAnsi="Times New Roman"/>
          <w:sz w:val="15"/>
          <w:szCs w:val="15"/>
          <w:color w:val="auto"/>
        </w:rPr>
        <w:t>Our pro forma net tangible book value as of September 30, 2020 was $124.4 million, or $1.39 per share. Pro forma net tangible book value represents the amount of our total tangible assets less our total liabilities, after giving effect to the conversion of all outstanding shares of our convertible preferred stock into an aggregate of 62,117,410 shares of Class A common stock immediately prior to the completion of this offering. Pro forma net tangible book value per share represents pro forma net tangible book value divided by the total number of shares of our Class A common stock and Class B common stock outstanding as of September 30, 2020, after giving effect to the conversion of all outstanding shares of our convertible preferred stock into an aggregate of 62,117,410 shares of our Class A common stock immediately prior to the completion of this offering.</w:t>
      </w:r>
    </w:p>
    <w:p>
      <w:pPr>
        <w:spacing w:after="0" w:line="107" w:lineRule="exact"/>
        <w:rPr>
          <w:sz w:val="20"/>
          <w:szCs w:val="20"/>
          <w:color w:val="auto"/>
        </w:rPr>
      </w:pPr>
    </w:p>
    <w:p>
      <w:pPr>
        <w:ind w:left="269"/>
        <w:spacing w:after="0"/>
        <w:tabs>
          <w:tab w:leader="none" w:pos="3029" w:val="left"/>
        </w:tabs>
        <w:rPr>
          <w:sz w:val="20"/>
          <w:szCs w:val="20"/>
          <w:color w:val="auto"/>
        </w:rPr>
      </w:pPr>
      <w:r>
        <w:rPr>
          <w:rFonts w:ascii="Times New Roman" w:cs="Times New Roman" w:eastAsia="Times New Roman" w:hAnsi="Times New Roman"/>
          <w:sz w:val="15"/>
          <w:szCs w:val="15"/>
          <w:color w:val="auto"/>
        </w:rPr>
        <w:t>After giving further effect to our sale of</w:t>
      </w:r>
      <w:r>
        <w:rPr>
          <w:sz w:val="20"/>
          <w:szCs w:val="20"/>
          <w:color w:val="auto"/>
        </w:rPr>
        <w:tab/>
      </w:r>
      <w:r>
        <w:rPr>
          <w:rFonts w:ascii="Times New Roman" w:cs="Times New Roman" w:eastAsia="Times New Roman" w:hAnsi="Times New Roman"/>
          <w:sz w:val="15"/>
          <w:szCs w:val="15"/>
          <w:color w:val="auto"/>
        </w:rPr>
        <w:t>shares of Class A common stock in this offering and the concurrent private placement at the assumed initial public offering price of</w:t>
      </w:r>
    </w:p>
    <w:p>
      <w:pPr>
        <w:spacing w:after="0" w:line="24" w:lineRule="exact"/>
        <w:rPr>
          <w:sz w:val="20"/>
          <w:szCs w:val="20"/>
          <w:color w:val="auto"/>
        </w:rPr>
      </w:pPr>
    </w:p>
    <w:p>
      <w:pPr>
        <w:ind w:left="489" w:hanging="489"/>
        <w:spacing w:after="0"/>
        <w:tabs>
          <w:tab w:leader="none" w:pos="48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share, which is the midpoint of the price range set forth on the cover page of this prospectus, and after deducting the underwriting discounts and commissions and estimated</w:t>
      </w:r>
    </w:p>
    <w:p>
      <w:pPr>
        <w:spacing w:after="0" w:line="9" w:lineRule="exact"/>
        <w:rPr>
          <w:sz w:val="20"/>
          <w:szCs w:val="20"/>
          <w:color w:val="auto"/>
        </w:rPr>
      </w:pPr>
    </w:p>
    <w:p>
      <w:pPr>
        <w:ind w:left="9"/>
        <w:spacing w:after="0"/>
        <w:tabs>
          <w:tab w:leader="none" w:pos="3049" w:val="left"/>
        </w:tabs>
        <w:rPr>
          <w:sz w:val="20"/>
          <w:szCs w:val="20"/>
          <w:color w:val="auto"/>
        </w:rPr>
      </w:pPr>
      <w:r>
        <w:rPr>
          <w:rFonts w:ascii="Times New Roman" w:cs="Times New Roman" w:eastAsia="Times New Roman" w:hAnsi="Times New Roman"/>
          <w:sz w:val="15"/>
          <w:szCs w:val="15"/>
          <w:color w:val="auto"/>
        </w:rPr>
        <w:t>offering expenses payable by us, based on</w:t>
      </w:r>
      <w:r>
        <w:rPr>
          <w:sz w:val="20"/>
          <w:szCs w:val="20"/>
          <w:color w:val="auto"/>
        </w:rPr>
        <w:tab/>
      </w:r>
      <w:r>
        <w:rPr>
          <w:rFonts w:ascii="Times New Roman" w:cs="Times New Roman" w:eastAsia="Times New Roman" w:hAnsi="Times New Roman"/>
          <w:sz w:val="15"/>
          <w:szCs w:val="15"/>
          <w:color w:val="auto"/>
        </w:rPr>
        <w:t>shares of Class A common stock outstanding as of September 30, 2020, our pro forma as adjusted net tangible book value as of</w:t>
      </w:r>
    </w:p>
    <w:p>
      <w:pPr>
        <w:spacing w:after="0" w:line="9" w:lineRule="exact"/>
        <w:rPr>
          <w:sz w:val="20"/>
          <w:szCs w:val="20"/>
          <w:color w:val="auto"/>
        </w:rPr>
      </w:pPr>
    </w:p>
    <w:p>
      <w:pPr>
        <w:ind w:left="9"/>
        <w:spacing w:after="0"/>
        <w:tabs>
          <w:tab w:leader="none" w:pos="3669" w:val="left"/>
          <w:tab w:leader="none" w:pos="5709" w:val="left"/>
        </w:tabs>
        <w:rPr>
          <w:sz w:val="20"/>
          <w:szCs w:val="20"/>
          <w:color w:val="auto"/>
        </w:rPr>
      </w:pPr>
      <w:r>
        <w:rPr>
          <w:rFonts w:ascii="Times New Roman" w:cs="Times New Roman" w:eastAsia="Times New Roman" w:hAnsi="Times New Roman"/>
          <w:sz w:val="15"/>
          <w:szCs w:val="15"/>
          <w:color w:val="auto"/>
        </w:rPr>
        <w:t>September 30, 2020 would have been approximately $</w:t>
      </w:r>
      <w:r>
        <w:rPr>
          <w:sz w:val="20"/>
          <w:szCs w:val="20"/>
          <w:color w:val="auto"/>
        </w:rPr>
        <w:tab/>
      </w:r>
      <w:r>
        <w:rPr>
          <w:rFonts w:ascii="Times New Roman" w:cs="Times New Roman" w:eastAsia="Times New Roman" w:hAnsi="Times New Roman"/>
          <w:sz w:val="15"/>
          <w:szCs w:val="15"/>
          <w:color w:val="auto"/>
        </w:rPr>
        <w:t>million, or approximately $</w:t>
      </w:r>
      <w:r>
        <w:rPr>
          <w:sz w:val="20"/>
          <w:szCs w:val="20"/>
          <w:color w:val="auto"/>
        </w:rPr>
        <w:tab/>
      </w:r>
      <w:r>
        <w:rPr>
          <w:rFonts w:ascii="Times New Roman" w:cs="Times New Roman" w:eastAsia="Times New Roman" w:hAnsi="Times New Roman"/>
          <w:sz w:val="15"/>
          <w:szCs w:val="15"/>
          <w:color w:val="auto"/>
        </w:rPr>
        <w:t>per share. This represents an immediate increase in pro forma as adjusted net tangible book</w:t>
      </w:r>
    </w:p>
    <w:p>
      <w:pPr>
        <w:spacing w:after="0" w:line="9" w:lineRule="exact"/>
        <w:rPr>
          <w:sz w:val="20"/>
          <w:szCs w:val="20"/>
          <w:color w:val="auto"/>
        </w:rPr>
      </w:pPr>
    </w:p>
    <w:p>
      <w:pPr>
        <w:ind w:left="9"/>
        <w:spacing w:after="0"/>
        <w:tabs>
          <w:tab w:leader="none" w:pos="969" w:val="left"/>
          <w:tab w:leader="none" w:pos="9369" w:val="left"/>
        </w:tabs>
        <w:rPr>
          <w:sz w:val="20"/>
          <w:szCs w:val="20"/>
          <w:color w:val="auto"/>
        </w:rPr>
      </w:pPr>
      <w:r>
        <w:rPr>
          <w:rFonts w:ascii="Times New Roman" w:cs="Times New Roman" w:eastAsia="Times New Roman" w:hAnsi="Times New Roman"/>
          <w:sz w:val="15"/>
          <w:szCs w:val="15"/>
          <w:color w:val="auto"/>
        </w:rPr>
        <w:t>value of $</w:t>
      </w:r>
      <w:r>
        <w:rPr>
          <w:sz w:val="20"/>
          <w:szCs w:val="20"/>
          <w:color w:val="auto"/>
        </w:rPr>
        <w:tab/>
      </w:r>
      <w:r>
        <w:rPr>
          <w:rFonts w:ascii="Times New Roman" w:cs="Times New Roman" w:eastAsia="Times New Roman" w:hAnsi="Times New Roman"/>
          <w:sz w:val="15"/>
          <w:szCs w:val="15"/>
          <w:color w:val="auto"/>
        </w:rPr>
        <w:t>per share to our existing stockholders and an immediate dilution in pro forma as adjusted net tangible book value of approximately $</w:t>
      </w:r>
      <w:r>
        <w:rPr>
          <w:sz w:val="20"/>
          <w:szCs w:val="20"/>
          <w:color w:val="auto"/>
        </w:rPr>
        <w:tab/>
      </w:r>
      <w:r>
        <w:rPr>
          <w:rFonts w:ascii="Times New Roman" w:cs="Times New Roman" w:eastAsia="Times New Roman" w:hAnsi="Times New Roman"/>
          <w:sz w:val="15"/>
          <w:szCs w:val="15"/>
          <w:color w:val="auto"/>
        </w:rPr>
        <w:t>per share to new investors</w:t>
      </w:r>
    </w:p>
    <w:p>
      <w:pPr>
        <w:spacing w:after="0" w:line="9" w:lineRule="exact"/>
        <w:rPr>
          <w:sz w:val="20"/>
          <w:szCs w:val="20"/>
          <w:color w:val="auto"/>
        </w:rPr>
      </w:pPr>
    </w:p>
    <w:p>
      <w:pPr>
        <w:ind w:left="9" w:right="180"/>
        <w:spacing w:after="0" w:line="259" w:lineRule="auto"/>
        <w:rPr>
          <w:sz w:val="20"/>
          <w:szCs w:val="20"/>
          <w:color w:val="auto"/>
        </w:rPr>
      </w:pPr>
      <w:r>
        <w:rPr>
          <w:rFonts w:ascii="Times New Roman" w:cs="Times New Roman" w:eastAsia="Times New Roman" w:hAnsi="Times New Roman"/>
          <w:sz w:val="15"/>
          <w:szCs w:val="15"/>
          <w:color w:val="auto"/>
        </w:rPr>
        <w:t>purchasing Class A common stock in this offering and the concurrent private placement. Dilution per share to new investors purchasing Class A common stock in this offering and the concurrent private placement is determined by subtracting pro forma as adjusted net tangible book value per share after this offering and the concurrent private placement from the assumed initial public offering price per share paid by new investors. The following table illustrates this dilution on a per share basis:</w:t>
      </w:r>
    </w:p>
    <w:p>
      <w:pPr>
        <w:sectPr>
          <w:pgSz w:w="11900" w:h="16838" w:orient="portrait"/>
          <w:cols w:equalWidth="0" w:num="1">
            <w:col w:w="11249"/>
          </w:cols>
          <w:pgMar w:left="311" w:top="121" w:right="339" w:bottom="1440" w:gutter="0" w:footer="0" w:header="0"/>
        </w:sectPr>
      </w:pP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53910" cy="122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122555"/>
                    </a:xfrm>
                    <a:prstGeom prst="rect">
                      <a:avLst/>
                    </a:prstGeom>
                    <a:noFill/>
                  </pic:spPr>
                </pic:pic>
              </a:graphicData>
            </a:graphic>
          </wp:anchor>
        </w:drawing>
      </w:r>
    </w:p>
    <w:p>
      <w:pPr>
        <w:spacing w:after="0" w:line="4" w:lineRule="exact"/>
        <w:rPr>
          <w:sz w:val="20"/>
          <w:szCs w:val="20"/>
          <w:color w:val="auto"/>
        </w:rPr>
      </w:pPr>
    </w:p>
    <w:p>
      <w:pPr>
        <w:ind w:left="189"/>
        <w:spacing w:after="0"/>
        <w:tabs>
          <w:tab w:leader="none" w:pos="8029" w:val="left"/>
        </w:tabs>
        <w:rPr>
          <w:sz w:val="20"/>
          <w:szCs w:val="20"/>
          <w:color w:val="auto"/>
        </w:rPr>
      </w:pPr>
      <w:r>
        <w:rPr>
          <w:rFonts w:ascii="Times New Roman" w:cs="Times New Roman" w:eastAsia="Times New Roman" w:hAnsi="Times New Roman"/>
          <w:sz w:val="15"/>
          <w:szCs w:val="15"/>
          <w:color w:val="auto"/>
        </w:rPr>
        <w:t>Historical net tangible book value per share as of September 30, 2020</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22555"/>
                    </a:xfrm>
                    <a:prstGeom prst="rect">
                      <a:avLst/>
                    </a:prstGeom>
                    <a:noFill/>
                  </pic:spPr>
                </pic:pic>
              </a:graphicData>
            </a:graphic>
          </wp:anchor>
        </w:drawing>
      </w:r>
    </w:p>
    <w:p>
      <w:pPr>
        <w:spacing w:after="0" w:line="1"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color w:val="auto"/>
        </w:rPr>
        <w:t>Pro forma decrease in net tangible book value per share as of September 30, 2020</w:t>
      </w:r>
    </w:p>
    <w:p>
      <w:pPr>
        <w:spacing w:after="0" w:line="21"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color w:val="auto"/>
        </w:rPr>
        <w:t>Pro forma net tangible book value per share as of September 30, 2020</w:t>
      </w:r>
    </w:p>
    <w:p>
      <w:pPr>
        <w:spacing w:after="0" w:line="28" w:lineRule="exact"/>
        <w:rPr>
          <w:sz w:val="20"/>
          <w:szCs w:val="20"/>
          <w:color w:val="auto"/>
        </w:rPr>
      </w:pPr>
    </w:p>
    <w:p>
      <w:pPr>
        <w:ind w:left="329" w:right="500" w:hanging="135"/>
        <w:spacing w:after="0" w:line="239" w:lineRule="auto"/>
        <w:rPr>
          <w:sz w:val="20"/>
          <w:szCs w:val="20"/>
          <w:color w:val="auto"/>
        </w:rPr>
      </w:pPr>
      <w:r>
        <w:rPr>
          <w:rFonts w:ascii="Times New Roman" w:cs="Times New Roman" w:eastAsia="Times New Roman" w:hAnsi="Times New Roman"/>
          <w:sz w:val="15"/>
          <w:szCs w:val="15"/>
          <w:color w:val="auto"/>
        </w:rPr>
        <w:t>Increase in pro forma net tangible book value per share attributable to new investors purchasing shares of Class A common stock in this offering and the concurrent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53910" cy="216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216535"/>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5"/>
          <w:szCs w:val="15"/>
          <w:color w:val="auto"/>
        </w:rPr>
        <w:t>Pro forma as adjusted net tangible book value per share after this offering and the concurrent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3910" cy="216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216535"/>
                    </a:xfrm>
                    <a:prstGeom prst="rect">
                      <a:avLst/>
                    </a:prstGeom>
                    <a:noFill/>
                  </pic:spPr>
                </pic:pic>
              </a:graphicData>
            </a:graphic>
          </wp:anchor>
        </w:drawing>
      </w:r>
    </w:p>
    <w:p>
      <w:pPr>
        <w:spacing w:after="0" w:line="1" w:lineRule="exact"/>
        <w:rPr>
          <w:sz w:val="20"/>
          <w:szCs w:val="20"/>
          <w:color w:val="auto"/>
        </w:rPr>
      </w:pPr>
    </w:p>
    <w:p>
      <w:pPr>
        <w:ind w:left="149" w:right="860" w:hanging="135"/>
        <w:spacing w:after="0" w:line="237" w:lineRule="auto"/>
        <w:rPr>
          <w:sz w:val="20"/>
          <w:szCs w:val="20"/>
          <w:color w:val="auto"/>
        </w:rPr>
      </w:pPr>
      <w:r>
        <w:rPr>
          <w:rFonts w:ascii="Times New Roman" w:cs="Times New Roman" w:eastAsia="Times New Roman" w:hAnsi="Times New Roman"/>
          <w:sz w:val="15"/>
          <w:szCs w:val="15"/>
          <w:color w:val="auto"/>
        </w:rPr>
        <w:t>Dilution in pro forma as adjusted net tangible book value per share to new investors in this offering and the concurrent private placement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5"/>
          <w:szCs w:val="15"/>
          <w:color w:val="auto"/>
        </w:rPr>
        <w:t>$</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4.60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12700</wp:posOffset>
            </wp:positionV>
            <wp:extent cx="99504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5045" cy="6985"/>
                    </a:xfrm>
                    <a:prstGeom prst="rect">
                      <a:avLst/>
                    </a:prstGeom>
                    <a:noFill/>
                  </pic:spPr>
                </pic:pic>
              </a:graphicData>
            </a:graphic>
          </wp:anchor>
        </w:drawing>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231775</wp:posOffset>
            </wp:positionV>
            <wp:extent cx="9950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50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36830</wp:posOffset>
            </wp:positionV>
            <wp:extent cx="99504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5045" cy="698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8509" w:space="720"/>
            <w:col w:w="2020"/>
          </w:cols>
          <w:pgMar w:left="311" w:top="121" w:right="339" w:bottom="1440" w:gutter="0" w:footer="0" w:header="0"/>
          <w:type w:val="continuous"/>
        </w:sectPr>
      </w:pPr>
    </w:p>
    <w:p>
      <w:pPr>
        <w:ind w:left="9" w:firstLine="273"/>
        <w:spacing w:after="0" w:line="263" w:lineRule="auto"/>
        <w:rPr>
          <w:sz w:val="20"/>
          <w:szCs w:val="20"/>
          <w:color w:val="auto"/>
        </w:rPr>
      </w:pPr>
      <w:r>
        <w:rPr>
          <w:rFonts w:ascii="Times New Roman" w:cs="Times New Roman" w:eastAsia="Times New Roman" w:hAnsi="Times New Roman"/>
          <w:sz w:val="15"/>
          <w:szCs w:val="15"/>
          <w:color w:val="auto"/>
        </w:rPr>
        <w:t>Each $1.00 increase or decrease in the assumed initial public offering price of $ per share, the midpoint of the estimated offering price range set forth on the cover page of this prospectus, would increase or decrease, as applicable, our pro forma as adjusted net tangible book value as of September 30, 2020 after this offering and the concurrent private placement</w:t>
      </w:r>
    </w:p>
    <w:p>
      <w:pPr>
        <w:spacing w:after="0" w:line="1" w:lineRule="exact"/>
        <w:rPr>
          <w:sz w:val="20"/>
          <w:szCs w:val="20"/>
          <w:color w:val="auto"/>
        </w:rPr>
      </w:pPr>
    </w:p>
    <w:p>
      <w:pPr>
        <w:ind w:left="9"/>
        <w:spacing w:after="0"/>
        <w:tabs>
          <w:tab w:leader="none" w:pos="1609" w:val="left"/>
          <w:tab w:leader="none" w:pos="3649" w:val="left"/>
        </w:tabs>
        <w:rPr>
          <w:sz w:val="20"/>
          <w:szCs w:val="20"/>
          <w:color w:val="auto"/>
        </w:rPr>
      </w:pPr>
      <w:r>
        <w:rPr>
          <w:rFonts w:ascii="Times New Roman" w:cs="Times New Roman" w:eastAsia="Times New Roman" w:hAnsi="Times New Roman"/>
          <w:sz w:val="15"/>
          <w:szCs w:val="15"/>
          <w:color w:val="auto"/>
        </w:rPr>
        <w:t>by approximately $</w:t>
      </w:r>
      <w:r>
        <w:rPr>
          <w:sz w:val="20"/>
          <w:szCs w:val="20"/>
          <w:color w:val="auto"/>
        </w:rPr>
        <w:tab/>
      </w:r>
      <w:r>
        <w:rPr>
          <w:rFonts w:ascii="Times New Roman" w:cs="Times New Roman" w:eastAsia="Times New Roman" w:hAnsi="Times New Roman"/>
          <w:sz w:val="15"/>
          <w:szCs w:val="15"/>
          <w:color w:val="auto"/>
        </w:rPr>
        <w:t>million, or approximately $</w:t>
      </w:r>
      <w:r>
        <w:rPr>
          <w:sz w:val="20"/>
          <w:szCs w:val="20"/>
          <w:color w:val="auto"/>
        </w:rPr>
        <w:tab/>
      </w:r>
      <w:r>
        <w:rPr>
          <w:rFonts w:ascii="Times New Roman" w:cs="Times New Roman" w:eastAsia="Times New Roman" w:hAnsi="Times New Roman"/>
          <w:sz w:val="15"/>
          <w:szCs w:val="15"/>
          <w:color w:val="auto"/>
        </w:rPr>
        <w:t>per share, and would decrease (increase) dilution to investors in this offering and the concurrent private placement by</w:t>
      </w:r>
    </w:p>
    <w:p>
      <w:pPr>
        <w:spacing w:after="0" w:line="9" w:lineRule="exact"/>
        <w:rPr>
          <w:sz w:val="20"/>
          <w:szCs w:val="20"/>
          <w:color w:val="auto"/>
        </w:rPr>
      </w:pPr>
    </w:p>
    <w:p>
      <w:pPr>
        <w:ind w:left="9" w:right="320"/>
        <w:spacing w:after="0" w:line="265" w:lineRule="auto"/>
        <w:rPr>
          <w:sz w:val="20"/>
          <w:szCs w:val="20"/>
          <w:color w:val="auto"/>
        </w:rPr>
      </w:pPr>
      <w:r>
        <w:rPr>
          <w:rFonts w:ascii="Times New Roman" w:cs="Times New Roman" w:eastAsia="Times New Roman" w:hAnsi="Times New Roman"/>
          <w:sz w:val="15"/>
          <w:szCs w:val="15"/>
          <w:color w:val="auto"/>
        </w:rPr>
        <w:t>approximately $ per share, assuming that the number of shares of Class A common stock offered by us, as set forth on the cover page of this prospectus, remains the same, after deducting the underwriting discounts and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1249"/>
          </w:cols>
          <w:pgMar w:left="311" w:top="121" w:right="339" w:bottom="1440" w:gutter="0" w:footer="0" w:header="0"/>
          <w:type w:val="continuous"/>
        </w:sectPr>
      </w:pPr>
    </w:p>
    <w:bookmarkStart w:id="72" w:name="page73"/>
    <w:bookmarkEnd w:id="72"/>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 w:right="20"/>
        <w:spacing w:after="0" w:line="263" w:lineRule="auto"/>
        <w:rPr>
          <w:sz w:val="20"/>
          <w:szCs w:val="20"/>
          <w:color w:val="auto"/>
        </w:rPr>
      </w:pPr>
      <w:r>
        <w:rPr>
          <w:rFonts w:ascii="Times New Roman" w:cs="Times New Roman" w:eastAsia="Times New Roman" w:hAnsi="Times New Roman"/>
          <w:sz w:val="15"/>
          <w:szCs w:val="15"/>
          <w:color w:val="auto"/>
        </w:rPr>
        <w:t>estimated offering expenses payable by us. We may also increase or decrease the number of shares of Class A common stock we are offering. An increase or decrease of 1.0 million in the number of shares of our Class A common stock we are offering would increase or decrease, as applicable, our pro forma as adjusted net tangible book value as of September 30, 2020</w:t>
      </w:r>
    </w:p>
    <w:p>
      <w:pPr>
        <w:spacing w:after="0" w:line="1" w:lineRule="exact"/>
        <w:rPr>
          <w:sz w:val="20"/>
          <w:szCs w:val="20"/>
          <w:color w:val="auto"/>
        </w:rPr>
      </w:pPr>
    </w:p>
    <w:p>
      <w:pPr>
        <w:ind w:left="9"/>
        <w:spacing w:after="0"/>
        <w:tabs>
          <w:tab w:leader="none" w:pos="4769" w:val="left"/>
          <w:tab w:leader="none" w:pos="6809" w:val="left"/>
        </w:tabs>
        <w:rPr>
          <w:sz w:val="20"/>
          <w:szCs w:val="20"/>
          <w:color w:val="auto"/>
        </w:rPr>
      </w:pPr>
      <w:r>
        <w:rPr>
          <w:rFonts w:ascii="Times New Roman" w:cs="Times New Roman" w:eastAsia="Times New Roman" w:hAnsi="Times New Roman"/>
          <w:sz w:val="15"/>
          <w:szCs w:val="15"/>
          <w:color w:val="auto"/>
        </w:rPr>
        <w:t>after this offering and the concurrent private placement by approximately $</w:t>
      </w:r>
      <w:r>
        <w:rPr>
          <w:sz w:val="20"/>
          <w:szCs w:val="20"/>
          <w:color w:val="auto"/>
        </w:rPr>
        <w:tab/>
      </w:r>
      <w:r>
        <w:rPr>
          <w:rFonts w:ascii="Times New Roman" w:cs="Times New Roman" w:eastAsia="Times New Roman" w:hAnsi="Times New Roman"/>
          <w:sz w:val="15"/>
          <w:szCs w:val="15"/>
          <w:color w:val="auto"/>
        </w:rPr>
        <w:t>million, or approximately $</w:t>
      </w:r>
      <w:r>
        <w:rPr>
          <w:sz w:val="20"/>
          <w:szCs w:val="20"/>
          <w:color w:val="auto"/>
        </w:rPr>
        <w:tab/>
      </w:r>
      <w:r>
        <w:rPr>
          <w:rFonts w:ascii="Times New Roman" w:cs="Times New Roman" w:eastAsia="Times New Roman" w:hAnsi="Times New Roman"/>
          <w:sz w:val="15"/>
          <w:szCs w:val="15"/>
          <w:color w:val="auto"/>
        </w:rPr>
        <w:t>per share, and would decrease or increase, as applicable, dilution to</w:t>
      </w:r>
    </w:p>
    <w:p>
      <w:pPr>
        <w:spacing w:after="0" w:line="9" w:lineRule="exact"/>
        <w:rPr>
          <w:sz w:val="20"/>
          <w:szCs w:val="20"/>
          <w:color w:val="auto"/>
        </w:rPr>
      </w:pPr>
    </w:p>
    <w:p>
      <w:pPr>
        <w:ind w:left="9" w:right="120"/>
        <w:spacing w:after="0" w:line="259" w:lineRule="auto"/>
        <w:rPr>
          <w:sz w:val="20"/>
          <w:szCs w:val="20"/>
          <w:color w:val="auto"/>
        </w:rPr>
      </w:pPr>
      <w:r>
        <w:rPr>
          <w:rFonts w:ascii="Times New Roman" w:cs="Times New Roman" w:eastAsia="Times New Roman" w:hAnsi="Times New Roman"/>
          <w:sz w:val="15"/>
          <w:szCs w:val="15"/>
          <w:color w:val="auto"/>
        </w:rPr>
        <w:t>investors in this offering and the concurrent private placement by approximately $ per share, assuming the assumed initial public offering price per 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08" w:lineRule="exact"/>
        <w:rPr>
          <w:sz w:val="20"/>
          <w:szCs w:val="20"/>
          <w:color w:val="auto"/>
        </w:rPr>
      </w:pPr>
    </w:p>
    <w:p>
      <w:pPr>
        <w:ind w:left="9" w:right="100" w:firstLine="273"/>
        <w:spacing w:after="0" w:line="259" w:lineRule="auto"/>
        <w:rPr>
          <w:sz w:val="20"/>
          <w:szCs w:val="20"/>
          <w:color w:val="auto"/>
        </w:rPr>
      </w:pPr>
      <w:r>
        <w:rPr>
          <w:rFonts w:ascii="Times New Roman" w:cs="Times New Roman" w:eastAsia="Times New Roman" w:hAnsi="Times New Roman"/>
          <w:sz w:val="15"/>
          <w:szCs w:val="15"/>
          <w:color w:val="auto"/>
        </w:rPr>
        <w:t>If the underwriters fully exercise their option to purchase additional shares of Class A common stock at the assumed initial public offering price of $ per share, which is the midpoint of the price range set forth on the cover of this prospectus, assuming the number of shares offered by us as set forth on the cover page of this prospectus remains the same, and after deducting underwriting discounts and commissions and estimated offering expenses payable by us, pro forma as adjusted net tangible book value after this offering and the</w:t>
      </w:r>
    </w:p>
    <w:p>
      <w:pPr>
        <w:spacing w:after="0" w:line="2" w:lineRule="exact"/>
        <w:rPr>
          <w:sz w:val="20"/>
          <w:szCs w:val="20"/>
          <w:color w:val="auto"/>
        </w:rPr>
      </w:pPr>
    </w:p>
    <w:p>
      <w:pPr>
        <w:ind w:left="9"/>
        <w:spacing w:after="0"/>
        <w:tabs>
          <w:tab w:leader="none" w:pos="4249" w:val="left"/>
          <w:tab w:leader="none" w:pos="8969" w:val="left"/>
        </w:tabs>
        <w:rPr>
          <w:sz w:val="20"/>
          <w:szCs w:val="20"/>
          <w:color w:val="auto"/>
        </w:rPr>
      </w:pPr>
      <w:r>
        <w:rPr>
          <w:rFonts w:ascii="Times New Roman" w:cs="Times New Roman" w:eastAsia="Times New Roman" w:hAnsi="Times New Roman"/>
          <w:sz w:val="15"/>
          <w:szCs w:val="15"/>
          <w:color w:val="auto"/>
        </w:rPr>
        <w:t>concurrent private placement would increase to approximately $</w:t>
      </w:r>
      <w:r>
        <w:rPr>
          <w:sz w:val="20"/>
          <w:szCs w:val="20"/>
          <w:color w:val="auto"/>
        </w:rPr>
        <w:tab/>
      </w:r>
      <w:r>
        <w:rPr>
          <w:rFonts w:ascii="Times New Roman" w:cs="Times New Roman" w:eastAsia="Times New Roman" w:hAnsi="Times New Roman"/>
          <w:sz w:val="15"/>
          <w:szCs w:val="15"/>
          <w:color w:val="auto"/>
        </w:rPr>
        <w:t>per share, and there would be an immediate dilution of approximately $</w:t>
      </w:r>
      <w:r>
        <w:rPr>
          <w:sz w:val="20"/>
          <w:szCs w:val="20"/>
          <w:color w:val="auto"/>
        </w:rPr>
        <w:tab/>
      </w:r>
      <w:r>
        <w:rPr>
          <w:rFonts w:ascii="Times New Roman" w:cs="Times New Roman" w:eastAsia="Times New Roman" w:hAnsi="Times New Roman"/>
          <w:sz w:val="15"/>
          <w:szCs w:val="15"/>
          <w:color w:val="auto"/>
        </w:rPr>
        <w:t>per share to new investors.</w:t>
      </w:r>
    </w:p>
    <w:p>
      <w:pPr>
        <w:spacing w:after="0" w:line="130" w:lineRule="exact"/>
        <w:rPr>
          <w:sz w:val="20"/>
          <w:szCs w:val="20"/>
          <w:color w:val="auto"/>
        </w:rPr>
      </w:pPr>
    </w:p>
    <w:p>
      <w:pPr>
        <w:ind w:left="9" w:right="160" w:firstLine="273"/>
        <w:spacing w:after="0" w:line="263" w:lineRule="auto"/>
        <w:rPr>
          <w:sz w:val="20"/>
          <w:szCs w:val="20"/>
          <w:color w:val="auto"/>
        </w:rPr>
      </w:pPr>
      <w:r>
        <w:rPr>
          <w:rFonts w:ascii="Times New Roman" w:cs="Times New Roman" w:eastAsia="Times New Roman" w:hAnsi="Times New Roman"/>
          <w:sz w:val="15"/>
          <w:szCs w:val="15"/>
          <w:color w:val="auto"/>
        </w:rPr>
        <w:t>The following table summarizes, on a pro forma as adjusted basis, as of September 30, 2020, the difference between the number of shares of common stock purchased from us (on an as converted to Class A common stock basis), the total consideration paid, and the weighted-average price per share paid, by existing stockholders and by new investors in this</w:t>
      </w:r>
    </w:p>
    <w:p>
      <w:pPr>
        <w:spacing w:after="0" w:line="1" w:lineRule="exact"/>
        <w:rPr>
          <w:sz w:val="20"/>
          <w:szCs w:val="20"/>
          <w:color w:val="auto"/>
        </w:rPr>
      </w:pPr>
    </w:p>
    <w:p>
      <w:pPr>
        <w:ind w:left="9" w:right="240"/>
        <w:spacing w:after="0" w:line="265" w:lineRule="auto"/>
        <w:rPr>
          <w:sz w:val="20"/>
          <w:szCs w:val="20"/>
          <w:color w:val="auto"/>
        </w:rPr>
      </w:pPr>
      <w:r>
        <w:rPr>
          <w:rFonts w:ascii="Times New Roman" w:cs="Times New Roman" w:eastAsia="Times New Roman" w:hAnsi="Times New Roman"/>
          <w:sz w:val="15"/>
          <w:szCs w:val="15"/>
          <w:color w:val="auto"/>
        </w:rPr>
        <w:t>offering and the concurrent private placement, assuming an initial public offering price of $ per share, which is the midpoint of the price range set forth on the cover page of this prospectus, and before deducting underwriting discounts and commissions and estimated offering expenses payable by us.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2"/>
                <w:szCs w:val="12"/>
                <w:b w:val="1"/>
                <w:bCs w:val="1"/>
                <w:color w:val="auto"/>
              </w:rPr>
              <w:t>Shares Purchased</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932"/>
              <w:spacing w:after="0"/>
              <w:rPr>
                <w:sz w:val="20"/>
                <w:szCs w:val="20"/>
                <w:color w:val="auto"/>
              </w:rPr>
            </w:pPr>
            <w:r>
              <w:rPr>
                <w:rFonts w:ascii="Times New Roman" w:cs="Times New Roman" w:eastAsia="Times New Roman" w:hAnsi="Times New Roman"/>
                <w:sz w:val="12"/>
                <w:szCs w:val="12"/>
                <w:b w:val="1"/>
                <w:bCs w:val="1"/>
                <w:color w:val="auto"/>
              </w:rPr>
              <w:t>Total Consideration</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6"/>
        </w:trPr>
        <w:tc>
          <w:tcPr>
            <w:tcW w:w="3600" w:type="dxa"/>
            <w:vAlign w:val="bottom"/>
          </w:tcPr>
          <w:p>
            <w:pPr>
              <w:spacing w:after="0"/>
              <w:rPr>
                <w:sz w:val="14"/>
                <w:szCs w:val="14"/>
                <w:color w:val="auto"/>
              </w:rPr>
            </w:pPr>
          </w:p>
        </w:tc>
        <w:tc>
          <w:tcPr>
            <w:tcW w:w="20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80" w:type="dxa"/>
            <w:vAlign w:val="bottom"/>
          </w:tcPr>
          <w:p>
            <w:pPr>
              <w:spacing w:after="0"/>
              <w:rPr>
                <w:sz w:val="14"/>
                <w:szCs w:val="14"/>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Average Price Per Share</w:t>
            </w:r>
          </w:p>
        </w:tc>
      </w:tr>
      <w:tr>
        <w:trPr>
          <w:trHeight w:val="155"/>
        </w:trPr>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60" w:type="dxa"/>
            <w:vAlign w:val="bottom"/>
            <w:gridSpan w:val="3"/>
          </w:tcPr>
          <w:p>
            <w:pPr>
              <w:jc w:val="right"/>
              <w:ind w:right="389"/>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4"/>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Existing stockholders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spacing w:after="0"/>
              <w:rPr>
                <w:sz w:val="16"/>
                <w:szCs w:val="16"/>
                <w:color w:val="auto"/>
              </w:rPr>
            </w:pPr>
          </w:p>
        </w:tc>
      </w:tr>
      <w:tr>
        <w:trPr>
          <w:trHeight w:val="193"/>
        </w:trPr>
        <w:tc>
          <w:tcPr>
            <w:tcW w:w="56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New investors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20" w:type="dxa"/>
            <w:vAlign w:val="bottom"/>
            <w:gridSpan w:val="2"/>
          </w:tcPr>
          <w:p>
            <w:pPr>
              <w:jc w:val="right"/>
              <w:ind w:right="27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6"/>
                <w:szCs w:val="16"/>
                <w:color w:val="auto"/>
              </w:rPr>
            </w:pPr>
          </w:p>
        </w:tc>
      </w:tr>
      <w:tr>
        <w:trPr>
          <w:trHeight w:val="19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Concurrent private placement investors</w:t>
            </w:r>
          </w:p>
        </w:tc>
        <w:tc>
          <w:tcPr>
            <w:tcW w:w="14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5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spacing w:after="0"/>
              <w:rPr>
                <w:sz w:val="16"/>
                <w:szCs w:val="16"/>
                <w:color w:val="auto"/>
              </w:rPr>
            </w:pPr>
          </w:p>
        </w:tc>
      </w:tr>
      <w:tr>
        <w:trPr>
          <w:trHeight w:val="184"/>
        </w:trPr>
        <w:tc>
          <w:tcPr>
            <w:tcW w:w="36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3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89"/>
        </w:trPr>
        <w:tc>
          <w:tcPr>
            <w:tcW w:w="562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rPr>
              <w:t>The table above assumes no exercise of the underwriters’ option to purchase</w:t>
            </w:r>
          </w:p>
        </w:tc>
        <w:tc>
          <w:tcPr>
            <w:tcW w:w="564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additional shares of Class A common stock in this offering. If the underwriters’ option to</w:t>
            </w:r>
          </w:p>
        </w:tc>
      </w:tr>
      <w:tr>
        <w:trPr>
          <w:trHeight w:val="197"/>
        </w:trPr>
        <w:tc>
          <w:tcPr>
            <w:tcW w:w="1028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purchase additional shares of Class A common stock is exercised in full, the number of shares of our common stock held by existing stockholders would be reduced to</w:t>
            </w:r>
          </w:p>
        </w:tc>
        <w:tc>
          <w:tcPr>
            <w:tcW w:w="9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 of the</w:t>
            </w:r>
          </w:p>
        </w:tc>
      </w:tr>
    </w:tbl>
    <w:p>
      <w:pPr>
        <w:ind w:left="9"/>
        <w:spacing w:after="0"/>
        <w:rPr>
          <w:sz w:val="20"/>
          <w:szCs w:val="20"/>
          <w:color w:val="auto"/>
        </w:rPr>
      </w:pPr>
      <w:r>
        <w:rPr>
          <w:rFonts w:ascii="Times New Roman" w:cs="Times New Roman" w:eastAsia="Times New Roman" w:hAnsi="Times New Roman"/>
          <w:sz w:val="15"/>
          <w:szCs w:val="15"/>
          <w:color w:val="auto"/>
        </w:rPr>
        <w:t>total number of shares of our common stock outstanding after this offering and the concurrent private placement, and the number of shares of common stock held by new investors</w:t>
      </w:r>
    </w:p>
    <w:p>
      <w:pPr>
        <w:spacing w:after="0" w:line="339" w:lineRule="exact"/>
        <w:rPr>
          <w:sz w:val="20"/>
          <w:szCs w:val="20"/>
          <w:color w:val="auto"/>
        </w:rPr>
      </w:pPr>
    </w:p>
    <w:p>
      <w:pPr>
        <w:ind w:left="9" w:right="180"/>
        <w:spacing w:after="0" w:line="286" w:lineRule="auto"/>
        <w:rPr>
          <w:sz w:val="20"/>
          <w:szCs w:val="20"/>
          <w:color w:val="auto"/>
        </w:rPr>
      </w:pPr>
      <w:r>
        <w:rPr>
          <w:rFonts w:ascii="Times New Roman" w:cs="Times New Roman" w:eastAsia="Times New Roman" w:hAnsi="Times New Roman"/>
          <w:sz w:val="15"/>
          <w:szCs w:val="15"/>
          <w:color w:val="auto"/>
        </w:rPr>
        <w:t>participating in this offering and the concurrent private placement would be increased to % of the total number of shares outstanding after this offering and the concurrent private placement.</w:t>
      </w:r>
    </w:p>
    <w:p>
      <w:pPr>
        <w:spacing w:after="0" w:line="89" w:lineRule="exact"/>
        <w:rPr>
          <w:sz w:val="20"/>
          <w:szCs w:val="20"/>
          <w:color w:val="auto"/>
        </w:rPr>
      </w:pPr>
    </w:p>
    <w:p>
      <w:pPr>
        <w:ind w:left="9" w:right="260" w:firstLine="273"/>
        <w:spacing w:after="0" w:line="263" w:lineRule="auto"/>
        <w:rPr>
          <w:sz w:val="20"/>
          <w:szCs w:val="20"/>
          <w:color w:val="auto"/>
        </w:rPr>
      </w:pPr>
      <w:r>
        <w:rPr>
          <w:rFonts w:ascii="Times New Roman" w:cs="Times New Roman" w:eastAsia="Times New Roman" w:hAnsi="Times New Roman"/>
          <w:sz w:val="15"/>
          <w:szCs w:val="15"/>
          <w:color w:val="auto"/>
        </w:rPr>
        <w:t>Each $1.00 increase or decrease in the assumed initial public offering price of $ per share, which is the midpoint of the price range set forth on the cover page of this prospectus, would increase or decrease, as applicable, the total consideration paid by new investors by $ million, assuming that the number of shares of Class A common stock</w:t>
      </w:r>
    </w:p>
    <w:p>
      <w:pPr>
        <w:spacing w:after="0" w:line="1" w:lineRule="exact"/>
        <w:rPr>
          <w:sz w:val="20"/>
          <w:szCs w:val="20"/>
          <w:color w:val="auto"/>
        </w:rPr>
      </w:pPr>
    </w:p>
    <w:p>
      <w:pPr>
        <w:ind w:left="9" w:right="40"/>
        <w:spacing w:after="0" w:line="252" w:lineRule="auto"/>
        <w:rPr>
          <w:sz w:val="20"/>
          <w:szCs w:val="20"/>
          <w:color w:val="auto"/>
        </w:rPr>
      </w:pPr>
      <w:r>
        <w:rPr>
          <w:rFonts w:ascii="Times New Roman" w:cs="Times New Roman" w:eastAsia="Times New Roman" w:hAnsi="Times New Roman"/>
          <w:sz w:val="15"/>
          <w:szCs w:val="15"/>
          <w:color w:val="auto"/>
        </w:rPr>
        <w:t>offered by us, as set forth on the cover page of this prospectus, remains the same and after deducting the underwriting discounts and commissions payable by us. Similarly, an increase or decrease of 1.0 million shares in the number of shares of Class A common stock offered by us would increase or decrease, as applicable, the total consideration paid by new investors by</w:t>
      </w:r>
    </w:p>
    <w:p>
      <w:pPr>
        <w:spacing w:after="0" w:line="1" w:lineRule="exact"/>
        <w:rPr>
          <w:sz w:val="20"/>
          <w:szCs w:val="20"/>
          <w:color w:val="auto"/>
        </w:rPr>
      </w:pPr>
    </w:p>
    <w:p>
      <w:pPr>
        <w:ind w:left="529" w:hanging="529"/>
        <w:spacing w:after="0"/>
        <w:tabs>
          <w:tab w:leader="none" w:pos="52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million, assuming no change in the assumed initial public offering price and after deducting the underwriting discounts and commissions payable by us.</w:t>
      </w:r>
    </w:p>
    <w:p>
      <w:pPr>
        <w:spacing w:after="0" w:line="130" w:lineRule="exact"/>
        <w:rPr>
          <w:sz w:val="20"/>
          <w:szCs w:val="20"/>
          <w:color w:val="auto"/>
        </w:rPr>
      </w:pPr>
    </w:p>
    <w:p>
      <w:pPr>
        <w:ind w:left="9" w:right="280" w:firstLine="273"/>
        <w:spacing w:after="0" w:line="286" w:lineRule="auto"/>
        <w:rPr>
          <w:sz w:val="20"/>
          <w:szCs w:val="20"/>
          <w:color w:val="auto"/>
        </w:rPr>
      </w:pPr>
      <w:r>
        <w:rPr>
          <w:rFonts w:ascii="Times New Roman" w:cs="Times New Roman" w:eastAsia="Times New Roman" w:hAnsi="Times New Roman"/>
          <w:sz w:val="15"/>
          <w:szCs w:val="15"/>
          <w:color w:val="auto"/>
        </w:rPr>
        <w:t>The foregoing tables and calculations (other than the historical net tangible book value per share calculation) are based on 69,172,104 shares of our Class A common stock (after giving effect to the conversion of all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1269"/>
          </w:cols>
          <w:pgMar w:left="311" w:top="121" w:right="319" w:bottom="1440" w:gutter="0" w:footer="0" w:header="0"/>
        </w:sectPr>
      </w:pPr>
    </w:p>
    <w:bookmarkStart w:id="73" w:name="page74"/>
    <w:bookmarkEnd w:id="7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convertible preferred stock) and 20,000,000 shares of our Class B common stock outstanding as of September 30, 2020, and excludes the following:</w:t>
      </w:r>
    </w:p>
    <w:p>
      <w:pPr>
        <w:spacing w:after="0" w:line="146" w:lineRule="exact"/>
        <w:rPr>
          <w:sz w:val="20"/>
          <w:szCs w:val="20"/>
          <w:color w:val="auto"/>
        </w:rPr>
      </w:pPr>
    </w:p>
    <w:p>
      <w:pPr>
        <w:ind w:left="540" w:right="40" w:hanging="277"/>
        <w:spacing w:after="0" w:line="286" w:lineRule="auto"/>
        <w:tabs>
          <w:tab w:leader="none" w:pos="536"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16,164,706 shares of our Class A common stock issuable upon the exercise of options to purchase shares of our Class A common stock outstanding as of September 30, 2020, with a weighted-average exercise price of $1.17 per share;</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717,319 shares of our Class A common stock issuable upon the vesting of RSUs outstanding as of September 30, 2020; and</w:t>
      </w:r>
    </w:p>
    <w:p>
      <w:pPr>
        <w:spacing w:after="0" w:line="145" w:lineRule="exact"/>
        <w:rPr>
          <w:rFonts w:ascii="Times New Roman" w:cs="Times New Roman" w:eastAsia="Times New Roman" w:hAnsi="Times New Roman"/>
          <w:sz w:val="15"/>
          <w:szCs w:val="15"/>
          <w:color w:val="auto"/>
        </w:rPr>
      </w:pPr>
    </w:p>
    <w:p>
      <w:pPr>
        <w:ind w:left="880" w:hanging="617"/>
        <w:spacing w:after="0"/>
        <w:tabs>
          <w:tab w:leader="none" w:pos="8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Class A common stock reserved for future issuance under our equity compensation plans, consisting of:</w:t>
      </w:r>
    </w:p>
    <w:p>
      <w:pPr>
        <w:spacing w:after="0" w:line="145" w:lineRule="exact"/>
        <w:rPr>
          <w:rFonts w:ascii="Times New Roman" w:cs="Times New Roman" w:eastAsia="Times New Roman" w:hAnsi="Times New Roman"/>
          <w:sz w:val="15"/>
          <w:szCs w:val="15"/>
          <w:color w:val="auto"/>
        </w:rPr>
      </w:pPr>
    </w:p>
    <w:p>
      <w:pPr>
        <w:ind w:left="800" w:hanging="264"/>
        <w:spacing w:after="0" w:line="286" w:lineRule="auto"/>
        <w:tabs>
          <w:tab w:leader="none" w:pos="1137"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88" w:lineRule="exact"/>
        <w:rPr>
          <w:rFonts w:ascii="Times New Roman" w:cs="Times New Roman" w:eastAsia="Times New Roman" w:hAnsi="Times New Roman"/>
          <w:sz w:val="15"/>
          <w:szCs w:val="15"/>
          <w:color w:val="auto"/>
        </w:rPr>
      </w:pPr>
    </w:p>
    <w:p>
      <w:pPr>
        <w:ind w:left="800" w:right="20" w:hanging="264"/>
        <w:spacing w:after="0" w:line="269" w:lineRule="auto"/>
        <w:tabs>
          <w:tab w:leader="none" w:pos="1137"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 reserved for future issuance under our 2020 Employee Stock Purchase Plan (our ESPP) which will become effective in connection with this offering, and any additional shares that become available under our ESPP pursuant to provisions thereof that automatically increase the share reserve under the plan each year; and</w:t>
      </w:r>
    </w:p>
    <w:p>
      <w:pPr>
        <w:spacing w:after="0" w:line="101" w:lineRule="exact"/>
        <w:rPr>
          <w:rFonts w:ascii="Times New Roman" w:cs="Times New Roman" w:eastAsia="Times New Roman" w:hAnsi="Times New Roman"/>
          <w:sz w:val="15"/>
          <w:szCs w:val="15"/>
          <w:color w:val="auto"/>
        </w:rPr>
      </w:pPr>
    </w:p>
    <w:p>
      <w:pPr>
        <w:ind w:left="800" w:right="20" w:hanging="264"/>
        <w:spacing w:after="0" w:line="269" w:lineRule="auto"/>
        <w:tabs>
          <w:tab w:leader="none" w:pos="797" w:val="left"/>
        </w:tabs>
        <w:numPr>
          <w:ilvl w:val="1"/>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2,551,205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1140"/>
          </w:cols>
          <w:pgMar w:left="320" w:top="121" w:right="439" w:bottom="1440" w:gutter="0" w:footer="0" w:header="0"/>
        </w:sectPr>
      </w:pPr>
    </w:p>
    <w:bookmarkStart w:id="74" w:name="page75"/>
    <w:bookmarkEnd w:id="74"/>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SELECTED FINANCIAL DATA</w:t>
      </w:r>
    </w:p>
    <w:p>
      <w:pPr>
        <w:spacing w:after="0" w:line="150" w:lineRule="exact"/>
        <w:rPr>
          <w:sz w:val="20"/>
          <w:szCs w:val="20"/>
          <w:color w:val="auto"/>
        </w:rPr>
      </w:pPr>
    </w:p>
    <w:p>
      <w:pPr>
        <w:ind w:left="9" w:right="20" w:firstLine="273"/>
        <w:spacing w:after="0" w:line="257" w:lineRule="auto"/>
        <w:rPr>
          <w:sz w:val="20"/>
          <w:szCs w:val="20"/>
          <w:color w:val="auto"/>
        </w:rPr>
      </w:pPr>
      <w:r>
        <w:rPr>
          <w:rFonts w:ascii="Times New Roman" w:cs="Times New Roman" w:eastAsia="Times New Roman" w:hAnsi="Times New Roman"/>
          <w:sz w:val="15"/>
          <w:szCs w:val="15"/>
          <w:color w:val="auto"/>
        </w:rPr>
        <w:t>The following selected statement of operations data for the years ended December 31, 2018 and 2019, and the balance sheet data as of December 31, 2018 and 2019, have been derived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0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Statement of Operations Data</w:t>
      </w:r>
    </w:p>
    <w:p>
      <w:pPr>
        <w:spacing w:after="0" w:line="17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60" w:type="dxa"/>
            <w:vAlign w:val="bottom"/>
          </w:tcPr>
          <w:p>
            <w:pPr>
              <w:spacing w:after="0"/>
              <w:rPr>
                <w:sz w:val="14"/>
                <w:szCs w:val="14"/>
                <w:color w:val="auto"/>
              </w:rPr>
            </w:pPr>
          </w:p>
        </w:tc>
        <w:tc>
          <w:tcPr>
            <w:tcW w:w="2800" w:type="dxa"/>
            <w:vAlign w:val="bottom"/>
            <w:gridSpan w:val="3"/>
          </w:tcPr>
          <w:p>
            <w:pPr>
              <w:jc w:val="right"/>
              <w:ind w:right="612"/>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21"/>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2"/>
        </w:trPr>
        <w:tc>
          <w:tcPr>
            <w:tcW w:w="48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60" w:type="dxa"/>
            <w:vAlign w:val="bottom"/>
          </w:tcPr>
          <w:p>
            <w:pPr>
              <w:spacing w:after="0"/>
              <w:rPr>
                <w:sz w:val="13"/>
                <w:szCs w:val="13"/>
                <w:color w:val="auto"/>
              </w:rPr>
            </w:pP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2"/>
                <w:szCs w:val="12"/>
                <w:b w:val="1"/>
                <w:bCs w:val="1"/>
                <w:color w:val="auto"/>
              </w:rPr>
              <w:t>2019</w:t>
            </w:r>
          </w:p>
        </w:tc>
        <w:tc>
          <w:tcPr>
            <w:tcW w:w="440" w:type="dxa"/>
            <w:vAlign w:val="bottom"/>
          </w:tcPr>
          <w:p>
            <w:pPr>
              <w:spacing w:after="0"/>
              <w:rPr>
                <w:sz w:val="13"/>
                <w:szCs w:val="13"/>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21"/>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4"/>
        </w:trPr>
        <w:tc>
          <w:tcPr>
            <w:tcW w:w="4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60" w:type="dxa"/>
            <w:vAlign w:val="bottom"/>
            <w:gridSpan w:val="4"/>
          </w:tcPr>
          <w:p>
            <w:pPr>
              <w:jc w:val="right"/>
              <w:ind w:right="534"/>
              <w:spacing w:after="0"/>
              <w:rPr>
                <w:sz w:val="20"/>
                <w:szCs w:val="20"/>
                <w:color w:val="auto"/>
              </w:rPr>
            </w:pPr>
            <w:r>
              <w:rPr>
                <w:rFonts w:ascii="Times New Roman" w:cs="Times New Roman" w:eastAsia="Times New Roman" w:hAnsi="Times New Roman"/>
                <w:sz w:val="11"/>
                <w:szCs w:val="11"/>
                <w:i w:val="1"/>
                <w:iCs w:val="1"/>
                <w:color w:val="auto"/>
              </w:rPr>
              <w:t>(in thousands, except share and per share data)</w:t>
            </w: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3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5"/>
                <w:szCs w:val="15"/>
                <w:color w:val="auto"/>
              </w:rPr>
              <w:t>58</w:t>
            </w:r>
          </w:p>
        </w:tc>
        <w:tc>
          <w:tcPr>
            <w:tcW w:w="4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53910"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12255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p>
      <w:pPr>
        <w:ind w:left="189"/>
        <w:spacing w:after="0" w:line="212" w:lineRule="auto"/>
        <w:rPr>
          <w:sz w:val="20"/>
          <w:szCs w:val="20"/>
          <w:color w:val="auto"/>
        </w:rPr>
      </w:pPr>
      <w:r>
        <w:rPr>
          <w:rFonts w:ascii="Times New Roman" w:cs="Times New Roman" w:eastAsia="Times New Roman" w:hAnsi="Times New Roman"/>
          <w:sz w:val="15"/>
          <w:szCs w:val="15"/>
          <w:color w:val="auto"/>
        </w:rPr>
        <w:t>Research and development</w:t>
      </w:r>
      <w:r>
        <w:rPr>
          <w:rFonts w:ascii="Times New Roman" w:cs="Times New Roman" w:eastAsia="Times New Roman" w:hAnsi="Times New Roman"/>
          <w:sz w:val="19"/>
          <w:szCs w:val="19"/>
          <w:color w:val="auto"/>
          <w:vertAlign w:val="superscript"/>
        </w:rPr>
        <w:t>(1)</w:t>
      </w:r>
    </w:p>
    <w:p>
      <w:pPr>
        <w:ind w:left="189"/>
        <w:spacing w:after="0" w:line="235" w:lineRule="auto"/>
        <w:rPr>
          <w:sz w:val="20"/>
          <w:szCs w:val="20"/>
          <w:color w:val="auto"/>
        </w:rPr>
      </w:pPr>
      <w:r>
        <w:rPr>
          <w:rFonts w:ascii="Times New Roman" w:cs="Times New Roman" w:eastAsia="Times New Roman" w:hAnsi="Times New Roman"/>
          <w:sz w:val="15"/>
          <w:szCs w:val="15"/>
          <w:color w:val="auto"/>
        </w:rPr>
        <w:t>General and administrative</w:t>
      </w:r>
      <w:r>
        <w:rPr>
          <w:rFonts w:ascii="Times New Roman" w:cs="Times New Roman" w:eastAsia="Times New Roman" w:hAnsi="Times New Roman"/>
          <w:sz w:val="19"/>
          <w:szCs w:val="19"/>
          <w:color w:val="auto"/>
          <w:vertAlign w:val="superscript"/>
        </w:rPr>
        <w:t>(1)</w:t>
      </w:r>
    </w:p>
    <w:p>
      <w:pPr>
        <w:ind w:left="9"/>
        <w:spacing w:after="0"/>
        <w:rPr>
          <w:sz w:val="20"/>
          <w:szCs w:val="20"/>
          <w:color w:val="auto"/>
        </w:rPr>
      </w:pPr>
      <w:r>
        <w:rPr>
          <w:rFonts w:ascii="Times New Roman" w:cs="Times New Roman" w:eastAsia="Times New Roman" w:hAnsi="Times New Roman"/>
          <w:sz w:val="15"/>
          <w:szCs w:val="15"/>
          <w:color w:val="auto"/>
        </w:rPr>
        <w:t>Total operating expenses</w:t>
      </w:r>
    </w:p>
    <w:p>
      <w:pPr>
        <w:spacing w:after="0" w:line="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Loss from operations</w:t>
      </w:r>
    </w:p>
    <w:p>
      <w:pPr>
        <w:spacing w:after="0" w:line="4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Other income (expense):</w:t>
      </w:r>
    </w:p>
    <w:p>
      <w:pPr>
        <w:spacing w:after="0" w:line="32"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color w:val="auto"/>
        </w:rPr>
        <w:t>Interest income</w:t>
      </w:r>
    </w:p>
    <w:p>
      <w:pPr>
        <w:spacing w:after="0" w:line="55"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color w:val="auto"/>
        </w:rPr>
        <w:t>Interest expense</w:t>
      </w:r>
    </w:p>
    <w:p>
      <w:pPr>
        <w:spacing w:after="0" w:line="43" w:lineRule="exact"/>
        <w:rPr>
          <w:sz w:val="20"/>
          <w:szCs w:val="20"/>
          <w:color w:val="auto"/>
        </w:rPr>
      </w:pPr>
    </w:p>
    <w:p>
      <w:pPr>
        <w:ind w:left="189"/>
        <w:spacing w:after="0"/>
        <w:rPr>
          <w:sz w:val="20"/>
          <w:szCs w:val="20"/>
          <w:color w:val="auto"/>
        </w:rPr>
      </w:pPr>
      <w:r>
        <w:rPr>
          <w:rFonts w:ascii="Times New Roman" w:cs="Times New Roman" w:eastAsia="Times New Roman" w:hAnsi="Times New Roman"/>
          <w:sz w:val="15"/>
          <w:szCs w:val="15"/>
          <w:color w:val="auto"/>
        </w:rPr>
        <w:t>Other expense</w:t>
      </w:r>
    </w:p>
    <w:p>
      <w:pPr>
        <w:spacing w:after="0" w:line="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Total other income</w:t>
      </w:r>
    </w:p>
    <w:p>
      <w:pPr>
        <w:spacing w:after="0" w:line="5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Net loss</w:t>
      </w:r>
    </w:p>
    <w:p>
      <w:pPr>
        <w:spacing w:after="0" w:line="6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r>
        <w:rPr>
          <w:rFonts w:ascii="Times New Roman" w:cs="Times New Roman" w:eastAsia="Times New Roman" w:hAnsi="Times New Roman"/>
          <w:sz w:val="19"/>
          <w:szCs w:val="19"/>
          <w:color w:val="auto"/>
          <w:vertAlign w:val="superscript"/>
        </w:rPr>
        <w:t>(2)</w:t>
      </w:r>
    </w:p>
    <w:p>
      <w:pPr>
        <w:spacing w:after="0" w:line="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Weighted-average common shares outstanding, basic and diluted</w:t>
      </w:r>
      <w:r>
        <w:rPr>
          <w:rFonts w:ascii="Times New Roman" w:cs="Times New Roman" w:eastAsia="Times New Roman" w:hAnsi="Times New Roman"/>
          <w:sz w:val="19"/>
          <w:szCs w:val="19"/>
          <w:color w:val="auto"/>
          <w:vertAlign w:val="superscript"/>
        </w:rPr>
        <w:t>(2)</w:t>
      </w:r>
    </w:p>
    <w:p>
      <w:pPr>
        <w:ind w:left="9"/>
        <w:spacing w:after="0" w:line="219" w:lineRule="auto"/>
        <w:rPr>
          <w:sz w:val="20"/>
          <w:szCs w:val="20"/>
          <w:color w:val="auto"/>
        </w:rPr>
      </w:pPr>
      <w:r>
        <w:rPr>
          <w:rFonts w:ascii="Times New Roman" w:cs="Times New Roman" w:eastAsia="Times New Roman" w:hAnsi="Times New Roman"/>
          <w:sz w:val="15"/>
          <w:szCs w:val="15"/>
          <w:color w:val="auto"/>
        </w:rPr>
        <w:t>Pro forma net loss per common share, basic and diluted</w:t>
      </w:r>
      <w:r>
        <w:rPr>
          <w:rFonts w:ascii="Times New Roman" w:cs="Times New Roman" w:eastAsia="Times New Roman" w:hAnsi="Times New Roman"/>
          <w:sz w:val="19"/>
          <w:szCs w:val="19"/>
          <w:color w:val="auto"/>
          <w:vertAlign w:val="superscript"/>
        </w:rPr>
        <w:t>(2)</w:t>
      </w:r>
    </w:p>
    <w:p>
      <w:pPr>
        <w:spacing w:after="0" w:line="1" w:lineRule="exact"/>
        <w:rPr>
          <w:sz w:val="20"/>
          <w:szCs w:val="20"/>
          <w:color w:val="auto"/>
        </w:rPr>
      </w:pPr>
    </w:p>
    <w:p>
      <w:pPr>
        <w:ind w:left="149" w:hanging="135"/>
        <w:spacing w:after="0" w:line="197" w:lineRule="auto"/>
        <w:rPr>
          <w:sz w:val="20"/>
          <w:szCs w:val="20"/>
          <w:color w:val="auto"/>
        </w:rPr>
      </w:pPr>
      <w:r>
        <w:rPr>
          <w:rFonts w:ascii="Times New Roman" w:cs="Times New Roman" w:eastAsia="Times New Roman" w:hAnsi="Times New Roman"/>
          <w:sz w:val="15"/>
          <w:szCs w:val="15"/>
          <w:color w:val="auto"/>
        </w:rPr>
        <w:t>Pro forma weighted-average common shares used to compute basic and diluted net loss per common share</w:t>
      </w:r>
      <w:r>
        <w:rPr>
          <w:rFonts w:ascii="Times New Roman" w:cs="Times New Roman" w:eastAsia="Times New Roman" w:hAnsi="Times New Roman"/>
          <w:sz w:val="19"/>
          <w:szCs w:val="19"/>
          <w:color w:val="auto"/>
          <w:vertAlign w:val="superscript"/>
        </w:rPr>
        <w:t>(2)</w:t>
      </w:r>
    </w:p>
    <w:p>
      <w:pPr>
        <w:ind w:left="9"/>
        <w:spacing w:after="0"/>
        <w:rPr>
          <w:sz w:val="20"/>
          <w:szCs w:val="20"/>
          <w:color w:val="auto"/>
        </w:rPr>
      </w:pPr>
      <w:r>
        <w:rPr>
          <w:rFonts w:ascii="Times New Roman" w:cs="Times New Roman" w:eastAsia="Times New Roman" w:hAnsi="Times New Roman"/>
          <w:sz w:val="12"/>
          <w:szCs w:val="12"/>
          <w:color w:val="auto"/>
        </w:rPr>
        <w:t>__________________</w:t>
      </w:r>
    </w:p>
    <w:p>
      <w:pPr>
        <w:ind w:left="269" w:hanging="269"/>
        <w:spacing w:after="0"/>
        <w:tabs>
          <w:tab w:leader="none" w:pos="269"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expenses include stock-based compensation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3,776</w:t>
            </w: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12,393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13,520</w:t>
            </w:r>
          </w:p>
        </w:tc>
        <w:tc>
          <w:tcPr>
            <w:tcW w:w="0" w:type="dxa"/>
            <w:vAlign w:val="bottom"/>
          </w:tcPr>
          <w:p>
            <w:pPr>
              <w:spacing w:after="0"/>
              <w:rPr>
                <w:sz w:val="1"/>
                <w:szCs w:val="1"/>
                <w:color w:val="auto"/>
              </w:rPr>
            </w:pPr>
          </w:p>
        </w:tc>
      </w:tr>
      <w:tr>
        <w:trPr>
          <w:trHeight w:val="196"/>
        </w:trPr>
        <w:tc>
          <w:tcPr>
            <w:tcW w:w="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2,982</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2,963</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0" w:type="dxa"/>
            <w:vAlign w:val="bottom"/>
          </w:tcPr>
          <w:p>
            <w:pPr>
              <w:spacing w:after="0"/>
              <w:rPr>
                <w:sz w:val="1"/>
                <w:szCs w:val="1"/>
                <w:color w:val="auto"/>
              </w:rPr>
            </w:pPr>
          </w:p>
        </w:tc>
      </w:tr>
      <w:tr>
        <w:trPr>
          <w:trHeight w:val="208"/>
        </w:trPr>
        <w:tc>
          <w:tcPr>
            <w:tcW w:w="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6,758</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20,928</w:t>
            </w:r>
          </w:p>
        </w:tc>
        <w:tc>
          <w:tcPr>
            <w:tcW w:w="0" w:type="dxa"/>
            <w:vAlign w:val="bottom"/>
          </w:tcPr>
          <w:p>
            <w:pPr>
              <w:spacing w:after="0"/>
              <w:rPr>
                <w:sz w:val="1"/>
                <w:szCs w:val="1"/>
                <w:color w:val="auto"/>
              </w:rPr>
            </w:pPr>
          </w:p>
        </w:tc>
      </w:tr>
      <w:tr>
        <w:trPr>
          <w:trHeight w:val="227"/>
        </w:trPr>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(6,758)</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451</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0" w:type="dxa"/>
            <w:vAlign w:val="bottom"/>
          </w:tcPr>
          <w:p>
            <w:pPr>
              <w:spacing w:after="0"/>
              <w:rPr>
                <w:sz w:val="1"/>
                <w:szCs w:val="1"/>
                <w:color w:val="auto"/>
              </w:rPr>
            </w:pPr>
          </w:p>
        </w:tc>
      </w:tr>
      <w:tr>
        <w:trPr>
          <w:trHeight w:val="223"/>
        </w:trPr>
        <w:tc>
          <w:tcPr>
            <w:tcW w:w="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7"/>
        </w:trPr>
        <w:tc>
          <w:tcPr>
            <w:tcW w:w="7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451</w:t>
            </w: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0" w:type="dxa"/>
            <w:vAlign w:val="bottom"/>
          </w:tcPr>
          <w:p>
            <w:pPr>
              <w:spacing w:after="0"/>
              <w:rPr>
                <w:sz w:val="1"/>
                <w:szCs w:val="1"/>
                <w:color w:val="auto"/>
              </w:rPr>
            </w:pPr>
          </w:p>
        </w:tc>
      </w:tr>
      <w:tr>
        <w:trPr>
          <w:trHeight w:val="184"/>
        </w:trPr>
        <w:tc>
          <w:tcPr>
            <w:tcW w:w="7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(6,307)</w:t>
            </w: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(16,038)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(10,892)</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(19,839)</w:t>
            </w: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(0.74)</w:t>
            </w: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vMerge w:val="continue"/>
          </w:tcPr>
          <w:p>
            <w:pPr>
              <w:spacing w:after="0"/>
              <w:rPr>
                <w:sz w:val="13"/>
                <w:szCs w:val="13"/>
                <w:color w:val="auto"/>
              </w:rPr>
            </w:pPr>
          </w:p>
        </w:tc>
        <w:tc>
          <w:tcPr>
            <w:tcW w:w="440" w:type="dxa"/>
            <w:vAlign w:val="bottom"/>
            <w:tcBorders>
              <w:top w:val="single" w:sz="8" w:color="auto"/>
              <w:bottom w:val="single" w:sz="8" w:color="auto"/>
            </w:tcBorders>
          </w:tcPr>
          <w:p>
            <w:pPr>
              <w:jc w:val="right"/>
              <w:ind w:right="2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(1.08)</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(0.78)</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(0.95)</w:t>
            </w: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w w:val="96"/>
              </w:rPr>
              <w:t>8,502,926</w:t>
            </w: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14,878,157</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13,987,682</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20,778,317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Borders>
              <w:bottom w:val="single" w:sz="8" w:color="auto"/>
            </w:tcBorders>
          </w:tcPr>
          <w:p>
            <w:pPr>
              <w:jc w:val="right"/>
              <w:ind w:right="2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(0.35)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2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45,913,238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75,804,154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-1463040</wp:posOffset>
            </wp:positionV>
            <wp:extent cx="7153910" cy="122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12255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-1196340</wp:posOffset>
            </wp:positionV>
            <wp:extent cx="7153910"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4414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-381635</wp:posOffset>
            </wp:positionV>
            <wp:extent cx="7153910"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151130"/>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-929640</wp:posOffset>
            </wp:positionV>
            <wp:extent cx="7153910" cy="440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44005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-1751965</wp:posOffset>
            </wp:positionV>
            <wp:extent cx="7153910"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14414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3">
            <w:col w:w="4809" w:space="60"/>
            <w:col w:w="140" w:space="720"/>
            <w:col w:w="5540"/>
          </w:cols>
          <w:pgMar w:left="311" w:top="121" w:right="319" w:bottom="1440" w:gutter="0" w:footer="0" w:header="0"/>
          <w:type w:val="continuous"/>
        </w:sectPr>
      </w:pPr>
    </w:p>
    <w:tbl>
      <w:tblPr>
        <w:tblLayout w:type="fixed"/>
        <w:tblInd w:w="269" w:type="dxa"/>
        <w:tblCellMar>
          <w:top w:w="0" w:type="dxa"/>
          <w:left w:w="0" w:type="dxa"/>
          <w:bottom w:w="0" w:type="dxa"/>
          <w:right w:w="0" w:type="dxa"/>
        </w:tblCellMar>
      </w:tblPr>
      <w:tr>
        <w:trPr>
          <w:trHeight w:val="160"/>
        </w:trPr>
        <w:tc>
          <w:tcPr>
            <w:tcW w:w="4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60" w:type="dxa"/>
            <w:vAlign w:val="bottom"/>
            <w:gridSpan w:val="4"/>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21"/>
        </w:trPr>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2"/>
        </w:trPr>
        <w:tc>
          <w:tcPr>
            <w:tcW w:w="4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w w:val="91"/>
              </w:rPr>
              <w:t>2019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68"/>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21"/>
        </w:trPr>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2"/>
        </w:trPr>
        <w:tc>
          <w:tcPr>
            <w:tcW w:w="4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gridSpan w:val="3"/>
          </w:tcPr>
          <w:p>
            <w:pPr>
              <w:jc w:val="right"/>
              <w:ind w:right="104"/>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
        </w:trPr>
        <w:tc>
          <w:tcPr>
            <w:tcW w:w="4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r>
      <w:tr>
        <w:trPr>
          <w:trHeight w:val="205"/>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2,003</w:t>
            </w:r>
          </w:p>
        </w:tc>
      </w:tr>
      <w:tr>
        <w:trPr>
          <w:trHeight w:val="22"/>
        </w:trPr>
        <w:tc>
          <w:tcPr>
            <w:tcW w:w="4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3"/>
        </w:trPr>
        <w:tc>
          <w:tcPr>
            <w:tcW w:w="4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1269"/>
          </w:cols>
          <w:pgMar w:left="311" w:top="121" w:right="319" w:bottom="1440" w:gutter="0" w:footer="0" w:header="0"/>
          <w:type w:val="continuous"/>
        </w:sectPr>
      </w:pPr>
    </w:p>
    <w:bookmarkStart w:id="75" w:name="page76"/>
    <w:bookmarkEnd w:id="75"/>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9" w:right="20" w:hanging="269"/>
        <w:spacing w:after="0" w:line="271" w:lineRule="auto"/>
        <w:tabs>
          <w:tab w:leader="none" w:pos="263"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9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Balance Sheet Data</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5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jc w:val="right"/>
              <w:ind w:right="308"/>
              <w:spacing w:after="0"/>
              <w:rPr>
                <w:sz w:val="20"/>
                <w:szCs w:val="20"/>
                <w:color w:val="auto"/>
              </w:rPr>
            </w:pPr>
            <w:r>
              <w:rPr>
                <w:rFonts w:ascii="Times New Roman" w:cs="Times New Roman" w:eastAsia="Times New Roman" w:hAnsi="Times New Roman"/>
                <w:sz w:val="12"/>
                <w:szCs w:val="12"/>
                <w:b w:val="1"/>
                <w:bCs w:val="1"/>
                <w:color w:val="auto"/>
              </w:rPr>
              <w:t>As of September 30,</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vMerge w:val="restart"/>
          </w:tcPr>
          <w:p>
            <w:pPr>
              <w:jc w:val="right"/>
              <w:ind w:right="708"/>
              <w:spacing w:after="0"/>
              <w:rPr>
                <w:sz w:val="20"/>
                <w:szCs w:val="20"/>
                <w:color w:val="auto"/>
              </w:rPr>
            </w:pPr>
            <w:r>
              <w:rPr>
                <w:rFonts w:ascii="Times New Roman" w:cs="Times New Roman" w:eastAsia="Times New Roman" w:hAnsi="Times New Roman"/>
                <w:sz w:val="12"/>
                <w:szCs w:val="12"/>
                <w:b w:val="1"/>
                <w:bCs w:val="1"/>
                <w:color w:val="auto"/>
              </w:rPr>
              <w:t>2020</w:t>
            </w: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jc w:val="right"/>
              <w:ind w:right="748"/>
              <w:spacing w:after="0"/>
              <w:rPr>
                <w:sz w:val="20"/>
                <w:szCs w:val="20"/>
                <w:color w:val="auto"/>
              </w:rPr>
            </w:pPr>
            <w:r>
              <w:rPr>
                <w:rFonts w:ascii="Times New Roman" w:cs="Times New Roman" w:eastAsia="Times New Roman" w:hAnsi="Times New Roman"/>
                <w:sz w:val="12"/>
                <w:szCs w:val="12"/>
                <w:b w:val="1"/>
                <w:bCs w:val="1"/>
                <w:color w:val="auto"/>
              </w:rPr>
              <w:t>2018</w:t>
            </w:r>
          </w:p>
        </w:tc>
        <w:tc>
          <w:tcPr>
            <w:tcW w:w="560" w:type="dxa"/>
            <w:vAlign w:val="bottom"/>
          </w:tcPr>
          <w:p>
            <w:pPr>
              <w:spacing w:after="0"/>
              <w:rPr>
                <w:sz w:val="13"/>
                <w:szCs w:val="13"/>
                <w:color w:val="auto"/>
              </w:rPr>
            </w:pPr>
          </w:p>
        </w:tc>
        <w:tc>
          <w:tcPr>
            <w:tcW w:w="1300" w:type="dxa"/>
            <w:vAlign w:val="bottom"/>
          </w:tcPr>
          <w:p>
            <w:pPr>
              <w:jc w:val="right"/>
              <w:ind w:right="708"/>
              <w:spacing w:after="0"/>
              <w:rPr>
                <w:sz w:val="20"/>
                <w:szCs w:val="20"/>
                <w:color w:val="auto"/>
              </w:rPr>
            </w:pPr>
            <w:r>
              <w:rPr>
                <w:rFonts w:ascii="Times New Roman" w:cs="Times New Roman" w:eastAsia="Times New Roman" w:hAnsi="Times New Roman"/>
                <w:sz w:val="12"/>
                <w:szCs w:val="12"/>
                <w:b w:val="1"/>
                <w:bCs w:val="1"/>
                <w:color w:val="auto"/>
              </w:rPr>
              <w:t>2019</w:t>
            </w:r>
          </w:p>
        </w:tc>
        <w:tc>
          <w:tcPr>
            <w:tcW w:w="3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jc w:val="right"/>
              <w:ind w:right="488"/>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investments</w:t>
            </w:r>
          </w:p>
        </w:tc>
        <w:tc>
          <w:tcPr>
            <w:tcW w:w="44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30,953</w:t>
            </w:r>
          </w:p>
        </w:tc>
        <w:tc>
          <w:tcPr>
            <w:tcW w:w="560" w:type="dxa"/>
            <w:vAlign w:val="bottom"/>
            <w:tcBorders>
              <w:bottom w:val="single" w:sz="8" w:color="CCEEFF"/>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86,020</w:t>
            </w:r>
          </w:p>
        </w:tc>
        <w:tc>
          <w:tcPr>
            <w:tcW w:w="3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121,506</w:t>
            </w:r>
          </w:p>
        </w:tc>
        <w:tc>
          <w:tcPr>
            <w:tcW w:w="0" w:type="dxa"/>
            <w:vAlign w:val="bottom"/>
          </w:tcPr>
          <w:p>
            <w:pPr>
              <w:spacing w:after="0"/>
              <w:rPr>
                <w:sz w:val="1"/>
                <w:szCs w:val="1"/>
                <w:color w:val="auto"/>
              </w:rPr>
            </w:pPr>
          </w:p>
        </w:tc>
      </w:tr>
      <w:tr>
        <w:trPr>
          <w:trHeight w:val="227"/>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Working capital</w:t>
            </w:r>
            <w:r>
              <w:rPr>
                <w:rFonts w:ascii="Times New Roman" w:cs="Times New Roman" w:eastAsia="Times New Roman" w:hAnsi="Times New Roman"/>
                <w:sz w:val="19"/>
                <w:szCs w:val="19"/>
                <w:color w:val="auto"/>
                <w:vertAlign w:val="superscript"/>
              </w:rPr>
              <w:t>(3)</w:t>
            </w:r>
          </w:p>
        </w:tc>
        <w:tc>
          <w:tcPr>
            <w:tcW w:w="440" w:type="dxa"/>
            <w:vAlign w:val="bottom"/>
          </w:tcPr>
          <w:p>
            <w:pPr>
              <w:spacing w:after="0"/>
              <w:rPr>
                <w:sz w:val="19"/>
                <w:szCs w:val="19"/>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27,521</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82,991</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117,451</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33,696</w:t>
            </w:r>
          </w:p>
        </w:tc>
        <w:tc>
          <w:tcPr>
            <w:tcW w:w="5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93,236</w:t>
            </w:r>
          </w:p>
        </w:tc>
        <w:tc>
          <w:tcPr>
            <w:tcW w:w="3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133,890</w:t>
            </w:r>
          </w:p>
        </w:tc>
        <w:tc>
          <w:tcPr>
            <w:tcW w:w="0" w:type="dxa"/>
            <w:vAlign w:val="bottom"/>
          </w:tcPr>
          <w:p>
            <w:pPr>
              <w:spacing w:after="0"/>
              <w:rPr>
                <w:sz w:val="1"/>
                <w:szCs w:val="1"/>
                <w:color w:val="auto"/>
              </w:rPr>
            </w:pPr>
          </w:p>
        </w:tc>
      </w:tr>
      <w:tr>
        <w:trPr>
          <w:trHeight w:val="205"/>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4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3,721</w:t>
            </w:r>
          </w:p>
        </w:tc>
        <w:tc>
          <w:tcPr>
            <w:tcW w:w="5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5,557</w:t>
            </w: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8,354</w:t>
            </w:r>
          </w:p>
        </w:tc>
        <w:tc>
          <w:tcPr>
            <w:tcW w:w="0" w:type="dxa"/>
            <w:vAlign w:val="bottom"/>
          </w:tcPr>
          <w:p>
            <w:pPr>
              <w:spacing w:after="0"/>
              <w:rPr>
                <w:sz w:val="1"/>
                <w:szCs w:val="1"/>
                <w:color w:val="auto"/>
              </w:rPr>
            </w:pPr>
          </w:p>
        </w:tc>
      </w:tr>
      <w:tr>
        <w:trPr>
          <w:trHeight w:val="22"/>
        </w:trPr>
        <w:tc>
          <w:tcPr>
            <w:tcW w:w="5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(6,548)</w:t>
            </w:r>
          </w:p>
        </w:tc>
        <w:tc>
          <w:tcPr>
            <w:tcW w:w="5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(22,586)</w:t>
            </w:r>
          </w:p>
        </w:tc>
        <w:tc>
          <w:tcPr>
            <w:tcW w:w="3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(42,425)</w:t>
            </w:r>
          </w:p>
        </w:tc>
        <w:tc>
          <w:tcPr>
            <w:tcW w:w="0" w:type="dxa"/>
            <w:vAlign w:val="bottom"/>
          </w:tcPr>
          <w:p>
            <w:pPr>
              <w:spacing w:after="0"/>
              <w:rPr>
                <w:sz w:val="1"/>
                <w:szCs w:val="1"/>
                <w:color w:val="auto"/>
              </w:rPr>
            </w:pPr>
          </w:p>
        </w:tc>
      </w:tr>
      <w:tr>
        <w:trPr>
          <w:trHeight w:val="205"/>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4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29,975</w:t>
            </w:r>
          </w:p>
        </w:tc>
        <w:tc>
          <w:tcPr>
            <w:tcW w:w="5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87,679</w:t>
            </w: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125,536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9" w:hanging="269"/>
        <w:spacing w:after="0"/>
        <w:tabs>
          <w:tab w:leader="none" w:pos="269"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1269"/>
          </w:cols>
          <w:pgMar w:left="311" w:top="121" w:right="319" w:bottom="1440" w:gutter="0" w:footer="0" w:header="0"/>
        </w:sectPr>
      </w:pPr>
    </w:p>
    <w:bookmarkStart w:id="76" w:name="page77"/>
    <w:bookmarkEnd w:id="7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FINANCIAL CONDITION AND RESULTS OF OPERATIONS</w:t>
      </w:r>
    </w:p>
    <w:p>
      <w:pPr>
        <w:spacing w:after="0" w:line="128" w:lineRule="exact"/>
        <w:rPr>
          <w:sz w:val="20"/>
          <w:szCs w:val="20"/>
          <w:color w:val="auto"/>
        </w:rPr>
      </w:pPr>
    </w:p>
    <w:p>
      <w:pPr>
        <w:ind w:right="140" w:firstLine="273"/>
        <w:spacing w:after="0" w:line="265"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09" w:lineRule="exact"/>
        <w:rPr>
          <w:sz w:val="20"/>
          <w:szCs w:val="20"/>
          <w:color w:val="auto"/>
        </w:rPr>
      </w:pPr>
    </w:p>
    <w:p>
      <w:pPr>
        <w:ind w:right="100" w:firstLine="273"/>
        <w:spacing w:after="0" w:line="269" w:lineRule="auto"/>
        <w:rPr>
          <w:sz w:val="20"/>
          <w:szCs w:val="20"/>
          <w:color w:val="auto"/>
        </w:rPr>
      </w:pPr>
      <w:r>
        <w:rPr>
          <w:rFonts w:ascii="Times New Roman" w:cs="Times New Roman" w:eastAsia="Times New Roman" w:hAnsi="Times New Roman"/>
          <w:sz w:val="15"/>
          <w:szCs w:val="15"/>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01"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12"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1240"/>
          </w:cols>
          <w:pgMar w:left="320" w:top="121" w:right="339" w:bottom="1440" w:gutter="0" w:footer="0" w:header="0"/>
        </w:sectPr>
      </w:pPr>
    </w:p>
    <w:bookmarkStart w:id="77" w:name="page78"/>
    <w:bookmarkEnd w:id="7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04"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10"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07" w:lineRule="exact"/>
        <w:rPr>
          <w:sz w:val="20"/>
          <w:szCs w:val="20"/>
          <w:color w:val="auto"/>
        </w:rPr>
      </w:pPr>
    </w:p>
    <w:p>
      <w:pPr>
        <w:ind w:right="140" w:firstLine="273"/>
        <w:spacing w:after="0" w:line="261" w:lineRule="auto"/>
        <w:rPr>
          <w:sz w:val="20"/>
          <w:szCs w:val="20"/>
          <w:color w:val="auto"/>
        </w:rPr>
      </w:pPr>
      <w:r>
        <w:rPr>
          <w:rFonts w:ascii="Times New Roman" w:cs="Times New Roman" w:eastAsia="Times New Roman" w:hAnsi="Times New Roman"/>
          <w:sz w:val="15"/>
          <w:szCs w:val="15"/>
          <w:color w:val="auto"/>
        </w:rPr>
        <w:t>Since our incorporation, we have incurred significant losses and negative cash flows from operations. During the year ended December 31, 2019, we incurred a net loss of $16.0 million and used $13.1 million of cash in operations. During nine months ended September 30, 2020, we incurred a net loss of $19.8 million and used $15.3 million of cash in operations. As of September 30, 2020, we had an accumulated deficit of $42.4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07" w:lineRule="exact"/>
        <w:rPr>
          <w:sz w:val="20"/>
          <w:szCs w:val="20"/>
          <w:color w:val="auto"/>
        </w:rPr>
      </w:pPr>
    </w:p>
    <w:p>
      <w:pPr>
        <w:ind w:right="140" w:firstLine="273"/>
        <w:spacing w:after="0" w:line="269" w:lineRule="auto"/>
        <w:rPr>
          <w:sz w:val="20"/>
          <w:szCs w:val="20"/>
          <w:color w:val="auto"/>
        </w:rPr>
      </w:pPr>
      <w:r>
        <w:rPr>
          <w:rFonts w:ascii="Times New Roman" w:cs="Times New Roman" w:eastAsia="Times New Roman" w:hAnsi="Times New Roman"/>
          <w:sz w:val="15"/>
          <w:szCs w:val="15"/>
          <w:color w:val="auto"/>
        </w:rPr>
        <w:t>To date, we have financed our operations primarily through private placements of convertible preferred stock. From the date of our incorporation through September 30, 2020, we have raised aggregate net proceeds of approximately $162.8 million from the issuance of convertible preferred stock, net of issuance costs. As of September 30, 2020, we had unrestricted cash and cash equivalents of $17.7 million and investments of $103.8 million.</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expect our expenses to increase significantly in connection with our ongoing activities, as we:</w:t>
      </w:r>
    </w:p>
    <w:p>
      <w:pPr>
        <w:spacing w:after="0" w:line="146" w:lineRule="exact"/>
        <w:rPr>
          <w:sz w:val="20"/>
          <w:szCs w:val="20"/>
          <w:color w:val="auto"/>
        </w:rPr>
      </w:pPr>
    </w:p>
    <w:p>
      <w:pPr>
        <w:ind w:left="540" w:hanging="277"/>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develop and commercialize our Proteograph Product Suite;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 hire and retain qualified personnel;</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 sales, marketing, service, support and distribution infrastructure in advance of commercialization;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build-out and expand our in-house NP manufacturing capabilities;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engage in research and development of other products and enhancements to our Proteograph;</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 operational, financial and management information systems;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1200"/>
          </w:cols>
          <w:pgMar w:left="320" w:top="121" w:right="379" w:bottom="1440" w:gutter="0" w:footer="0" w:header="0"/>
        </w:sectPr>
      </w:pPr>
    </w:p>
    <w:bookmarkStart w:id="78" w:name="page79"/>
    <w:bookmarkEnd w:id="7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build the infrastructure to operate as a public company.</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PrognomIQ</w:t>
      </w:r>
    </w:p>
    <w:p>
      <w:pPr>
        <w:spacing w:after="0" w:line="150" w:lineRule="exact"/>
        <w:rPr>
          <w:sz w:val="20"/>
          <w:szCs w:val="20"/>
          <w:color w:val="auto"/>
        </w:rPr>
      </w:pPr>
    </w:p>
    <w:p>
      <w:pPr>
        <w:ind w:right="240" w:firstLine="273"/>
        <w:spacing w:after="0" w:line="269" w:lineRule="auto"/>
        <w:rPr>
          <w:sz w:val="20"/>
          <w:szCs w:val="20"/>
          <w:color w:val="auto"/>
        </w:rPr>
      </w:pPr>
      <w:r>
        <w:rPr>
          <w:rFonts w:ascii="Times New Roman" w:cs="Times New Roman" w:eastAsia="Times New Roman" w:hAnsi="Times New Roman"/>
          <w:sz w:val="15"/>
          <w:szCs w:val="15"/>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01" w:lineRule="exact"/>
        <w:rPr>
          <w:sz w:val="20"/>
          <w:szCs w:val="20"/>
          <w:color w:val="auto"/>
        </w:rPr>
      </w:pPr>
    </w:p>
    <w:p>
      <w:pPr>
        <w:ind w:right="40" w:firstLine="273"/>
        <w:spacing w:after="0" w:line="258" w:lineRule="auto"/>
        <w:rPr>
          <w:sz w:val="20"/>
          <w:szCs w:val="20"/>
          <w:color w:val="auto"/>
        </w:rPr>
      </w:pPr>
      <w:r>
        <w:rPr>
          <w:rFonts w:ascii="Times New Roman" w:cs="Times New Roman" w:eastAsia="Times New Roman" w:hAnsi="Times New Roman"/>
          <w:sz w:val="15"/>
          <w:szCs w:val="15"/>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10" w:lineRule="exact"/>
        <w:rPr>
          <w:sz w:val="20"/>
          <w:szCs w:val="20"/>
          <w:color w:val="auto"/>
        </w:rPr>
      </w:pPr>
    </w:p>
    <w:p>
      <w:pPr>
        <w:ind w:right="80" w:firstLine="273"/>
        <w:spacing w:after="0" w:line="264" w:lineRule="auto"/>
        <w:rPr>
          <w:sz w:val="20"/>
          <w:szCs w:val="20"/>
          <w:color w:val="auto"/>
        </w:rPr>
      </w:pPr>
      <w:r>
        <w:rPr>
          <w:rFonts w:ascii="Times New Roman" w:cs="Times New Roman" w:eastAsia="Times New Roman" w:hAnsi="Times New Roman"/>
          <w:sz w:val="15"/>
          <w:szCs w:val="15"/>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04" w:lineRule="exact"/>
        <w:rPr>
          <w:sz w:val="20"/>
          <w:szCs w:val="20"/>
          <w:color w:val="auto"/>
        </w:rPr>
      </w:pPr>
    </w:p>
    <w:p>
      <w:pPr>
        <w:ind w:right="60" w:firstLine="273"/>
        <w:spacing w:after="0" w:line="258" w:lineRule="auto"/>
        <w:rPr>
          <w:sz w:val="20"/>
          <w:szCs w:val="20"/>
          <w:color w:val="auto"/>
        </w:rPr>
      </w:pPr>
      <w:r>
        <w:rPr>
          <w:rFonts w:ascii="Times New Roman" w:cs="Times New Roman" w:eastAsia="Times New Roman" w:hAnsi="Times New Roman"/>
          <w:sz w:val="15"/>
          <w:szCs w:val="15"/>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Times New Roman" w:cs="Times New Roman" w:eastAsia="Times New Roman" w:hAnsi="Times New Roman"/>
          <w:sz w:val="15"/>
          <w:szCs w:val="15"/>
          <w:i w:val="1"/>
          <w:iCs w:val="1"/>
          <w:color w:val="auto"/>
        </w:rPr>
        <w:t>PrognomIQ</w:t>
      </w:r>
      <w:r>
        <w:rPr>
          <w:rFonts w:ascii="Times New Roman" w:cs="Times New Roman" w:eastAsia="Times New Roman" w:hAnsi="Times New Roman"/>
          <w:sz w:val="15"/>
          <w:szCs w:val="15"/>
          <w:color w:val="auto"/>
        </w:rPr>
        <w:t>.” We do not view these amounts to be material to our financial condition and results of operations nor do we expect these amounts to ever be material to us in the future.</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COVID-19 Pandemic</w:t>
      </w:r>
    </w:p>
    <w:p>
      <w:pPr>
        <w:spacing w:after="0" w:line="15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1240"/>
          </w:cols>
          <w:pgMar w:left="320" w:top="121" w:right="339" w:bottom="1440" w:gutter="0" w:footer="0" w:header="0"/>
        </w:sectPr>
      </w:pPr>
    </w:p>
    <w:bookmarkStart w:id="79" w:name="page80"/>
    <w:bookmarkEnd w:id="7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Components of Results of Operations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have not generated any revenue from product sales and may not do so in the near future. Our revenue to date has been generated from research collaborations and activities.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50" w:lineRule="exact"/>
        <w:rPr>
          <w:sz w:val="20"/>
          <w:szCs w:val="20"/>
          <w:color w:val="auto"/>
        </w:rPr>
      </w:pPr>
    </w:p>
    <w:p>
      <w:pPr>
        <w:jc w:val="both"/>
        <w:ind w:right="100" w:firstLine="273"/>
        <w:spacing w:after="0" w:line="264" w:lineRule="auto"/>
        <w:rPr>
          <w:sz w:val="20"/>
          <w:szCs w:val="20"/>
          <w:color w:val="auto"/>
        </w:rPr>
      </w:pPr>
      <w:r>
        <w:rPr>
          <w:rFonts w:ascii="Times New Roman" w:cs="Times New Roman" w:eastAsia="Times New Roman" w:hAnsi="Times New Roman"/>
          <w:sz w:val="15"/>
          <w:szCs w:val="15"/>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04" w:lineRule="exact"/>
        <w:rPr>
          <w:sz w:val="20"/>
          <w:szCs w:val="20"/>
          <w:color w:val="auto"/>
        </w:rPr>
      </w:pPr>
    </w:p>
    <w:p>
      <w:pPr>
        <w:ind w:right="180" w:firstLine="273"/>
        <w:spacing w:after="0" w:line="269" w:lineRule="auto"/>
        <w:rPr>
          <w:sz w:val="20"/>
          <w:szCs w:val="20"/>
          <w:color w:val="auto"/>
        </w:rPr>
      </w:pPr>
      <w:r>
        <w:rPr>
          <w:rFonts w:ascii="Times New Roman" w:cs="Times New Roman" w:eastAsia="Times New Roman" w:hAnsi="Times New Roman"/>
          <w:sz w:val="15"/>
          <w:szCs w:val="15"/>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150"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89"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We expect to incur additional general and administrative expenses as we continue to invest in our personnel as we grow and with the additional costs incurred as a result of preparing to operate as a public company, including accounting, human resources, legal, insurance and investor relations costs. As a result, we expect general and administrative expenses to increase in absolute dollars in future periods.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Interest income consists of interest earned on cash, cash equivalents and investments.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50" w:lineRule="exact"/>
        <w:rPr>
          <w:sz w:val="20"/>
          <w:szCs w:val="20"/>
          <w:color w:val="auto"/>
        </w:rPr>
      </w:pPr>
    </w:p>
    <w:p>
      <w:pPr>
        <w:ind w:right="420" w:firstLine="273"/>
        <w:spacing w:after="0" w:line="286" w:lineRule="auto"/>
        <w:rPr>
          <w:sz w:val="20"/>
          <w:szCs w:val="20"/>
          <w:color w:val="auto"/>
        </w:rPr>
      </w:pPr>
      <w:r>
        <w:rPr>
          <w:rFonts w:ascii="Times New Roman" w:cs="Times New Roman" w:eastAsia="Times New Roman" w:hAnsi="Times New Roman"/>
          <w:sz w:val="15"/>
          <w:szCs w:val="15"/>
          <w:color w:val="auto"/>
        </w:rPr>
        <w:t>Interest expense consists of interest related to certain convertible promissory notes that were issued in May 2019. These notes were converted to convertible preferred stock in November 2019.</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Other Expense</w:t>
      </w:r>
    </w:p>
    <w:p>
      <w:pPr>
        <w:spacing w:after="0" w:line="150" w:lineRule="exact"/>
        <w:rPr>
          <w:sz w:val="20"/>
          <w:szCs w:val="20"/>
          <w:color w:val="auto"/>
        </w:rPr>
      </w:pPr>
    </w:p>
    <w:p>
      <w:pPr>
        <w:ind w:right="160" w:firstLine="273"/>
        <w:spacing w:after="0" w:line="286" w:lineRule="auto"/>
        <w:rPr>
          <w:sz w:val="20"/>
          <w:szCs w:val="20"/>
          <w:color w:val="auto"/>
        </w:rPr>
      </w:pPr>
      <w:r>
        <w:rPr>
          <w:rFonts w:ascii="Times New Roman" w:cs="Times New Roman" w:eastAsia="Times New Roman" w:hAnsi="Times New Roman"/>
          <w:sz w:val="15"/>
          <w:szCs w:val="15"/>
          <w:color w:val="auto"/>
        </w:rPr>
        <w:t>Other expense consists of our share of losses from our equity method investment made in August 2020, the carrying amount of which was reduced to zero during the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1240"/>
          </w:cols>
          <w:pgMar w:left="320" w:top="121" w:right="339" w:bottom="1440" w:gutter="0" w:footer="0" w:header="0"/>
        </w:sectPr>
      </w:pPr>
    </w:p>
    <w:bookmarkStart w:id="80" w:name="page81"/>
    <w:bookmarkEnd w:id="8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Comparisons of the Nine Months Ended September 30, 2019 and 2020</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center"/>
              <w:ind w:right="385"/>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3"/>
          </w:tcPr>
          <w:p>
            <w:pPr>
              <w:jc w:val="right"/>
              <w:ind w:right="309"/>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revenue</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Grant revenue</w:t>
            </w:r>
          </w:p>
        </w:tc>
        <w:tc>
          <w:tcPr>
            <w:tcW w:w="8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5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ind w:right="38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revenue</w:t>
            </w:r>
          </w:p>
        </w:tc>
        <w:tc>
          <w:tcPr>
            <w:tcW w:w="8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452 %</w:t>
            </w: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13,520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4,940</w:t>
            </w: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0" w:type="dxa"/>
            <w:vAlign w:val="bottom"/>
          </w:tcPr>
          <w:p>
            <w:pPr>
              <w:spacing w:after="0"/>
              <w:rPr>
                <w:sz w:val="1"/>
                <w:szCs w:val="1"/>
                <w:color w:val="auto"/>
              </w:rPr>
            </w:pP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4,445</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150 %</w:t>
            </w:r>
          </w:p>
        </w:tc>
        <w:tc>
          <w:tcPr>
            <w:tcW w:w="0" w:type="dxa"/>
            <w:vAlign w:val="bottom"/>
          </w:tcPr>
          <w:p>
            <w:pPr>
              <w:spacing w:after="0"/>
              <w:rPr>
                <w:sz w:val="1"/>
                <w:szCs w:val="1"/>
                <w:color w:val="auto"/>
              </w:rPr>
            </w:pPr>
          </w:p>
        </w:tc>
      </w:tr>
      <w:tr>
        <w:trPr>
          <w:trHeight w:val="22"/>
        </w:trPr>
        <w:tc>
          <w:tcPr>
            <w:tcW w:w="5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11,543</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20,928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9,385</w:t>
            </w:r>
          </w:p>
        </w:tc>
        <w:tc>
          <w:tcPr>
            <w:tcW w:w="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0" w:type="dxa"/>
            <w:vAlign w:val="bottom"/>
          </w:tcPr>
          <w:p>
            <w:pPr>
              <w:spacing w:after="0"/>
              <w:rPr>
                <w:sz w:val="1"/>
                <w:szCs w:val="1"/>
                <w:color w:val="auto"/>
              </w:rPr>
            </w:pPr>
          </w:p>
        </w:tc>
      </w:tr>
      <w:tr>
        <w:trPr>
          <w:trHeight w:val="182"/>
        </w:trPr>
        <w:tc>
          <w:tcPr>
            <w:tcW w:w="5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(11,485)</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(9,123)</w:t>
            </w: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0" w:type="dxa"/>
            <w:vAlign w:val="bottom"/>
          </w:tcPr>
          <w:p>
            <w:pPr>
              <w:spacing w:after="0"/>
              <w:rPr>
                <w:sz w:val="1"/>
                <w:szCs w:val="1"/>
                <w:color w:val="auto"/>
              </w:rPr>
            </w:pPr>
          </w:p>
        </w:tc>
      </w:tr>
      <w:tr>
        <w:trPr>
          <w:trHeight w:val="182"/>
        </w:trPr>
        <w:tc>
          <w:tcPr>
            <w:tcW w:w="5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expense</w:t>
            </w:r>
          </w:p>
        </w:tc>
        <w:tc>
          <w:tcPr>
            <w:tcW w:w="8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540" w:type="dxa"/>
            <w:vAlign w:val="bottom"/>
          </w:tcPr>
          <w:p>
            <w:pPr>
              <w:spacing w:after="0"/>
              <w:rPr>
                <w:sz w:val="17"/>
                <w:szCs w:val="17"/>
                <w:color w:val="auto"/>
              </w:rPr>
            </w:pPr>
          </w:p>
        </w:tc>
        <w:tc>
          <w:tcPr>
            <w:tcW w:w="1100" w:type="dxa"/>
            <w:vAlign w:val="bottom"/>
          </w:tcPr>
          <w:p>
            <w:pPr>
              <w:jc w:val="center"/>
              <w:ind w:right="38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
        </w:trPr>
        <w:tc>
          <w:tcPr>
            <w:tcW w:w="5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5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income</w:t>
            </w: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(8,947)</w:t>
            </w: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1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Unrealized gain on available-for-sale securities</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5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693 %</w:t>
            </w:r>
          </w:p>
        </w:tc>
        <w:tc>
          <w:tcPr>
            <w:tcW w:w="0" w:type="dxa"/>
            <w:vAlign w:val="bottom"/>
          </w:tcPr>
          <w:p>
            <w:pPr>
              <w:spacing w:after="0"/>
              <w:rPr>
                <w:sz w:val="1"/>
                <w:szCs w:val="1"/>
                <w:color w:val="auto"/>
              </w:rPr>
            </w:pP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86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(10,877)</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(19,720)</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(8,843)</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260" w:right="9900" w:firstLine="3"/>
        <w:spacing w:after="0" w:line="464" w:lineRule="auto"/>
        <w:tabs>
          <w:tab w:leader="none" w:pos="374" w:val="left"/>
        </w:tabs>
        <w:numPr>
          <w:ilvl w:val="0"/>
          <w:numId w:val="5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65"/>
        </w:trPr>
        <w:tc>
          <w:tcPr>
            <w:tcW w:w="5220" w:type="dxa"/>
            <w:vAlign w:val="bottom"/>
          </w:tcPr>
          <w:p>
            <w:pPr>
              <w:spacing w:after="0"/>
              <w:rPr>
                <w:sz w:val="14"/>
                <w:szCs w:val="14"/>
                <w:color w:val="auto"/>
              </w:rPr>
            </w:pPr>
          </w:p>
        </w:tc>
        <w:tc>
          <w:tcPr>
            <w:tcW w:w="2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1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2019</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5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3"/>
          </w:tcPr>
          <w:p>
            <w:pPr>
              <w:jc w:val="right"/>
              <w:ind w:right="472"/>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w:t>
            </w:r>
          </w:p>
        </w:tc>
        <w:tc>
          <w:tcPr>
            <w:tcW w:w="96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5"/>
                <w:szCs w:val="15"/>
                <w:color w:val="auto"/>
              </w:rPr>
              <w:t>262</w:t>
            </w:r>
          </w:p>
        </w:tc>
        <w:tc>
          <w:tcPr>
            <w:tcW w:w="11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5"/>
                <w:szCs w:val="15"/>
                <w:color w:val="auto"/>
              </w:rPr>
              <w:t>452%</w:t>
            </w:r>
          </w:p>
        </w:tc>
      </w:tr>
    </w:tbl>
    <w:p>
      <w:pPr>
        <w:spacing w:after="0" w:line="122"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Revenue increased by $0.3 million, or 452%, from $58 thousand in the nine months ended September 30, 2019 to $0.3 million in the nine months ended September 30, 2020, due to a Small Business Innovation Research grant awarded in the third quarter of 2019 and continued through 2020.</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2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80" w:type="dxa"/>
            <w:vAlign w:val="bottom"/>
            <w:tcBorders>
              <w:bottom w:val="single" w:sz="8" w:color="auto"/>
            </w:tcBorders>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5"/>
        </w:trPr>
        <w:tc>
          <w:tcPr>
            <w:tcW w:w="5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0" w:type="dxa"/>
            <w:vAlign w:val="bottom"/>
            <w:gridSpan w:val="3"/>
          </w:tcPr>
          <w:p>
            <w:pPr>
              <w:jc w:val="right"/>
              <w:ind w:right="352"/>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8,580</w:t>
            </w:r>
          </w:p>
        </w:tc>
        <w:tc>
          <w:tcPr>
            <w:tcW w:w="96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13,520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5"/>
                <w:szCs w:val="15"/>
                <w:color w:val="auto"/>
              </w:rPr>
              <w:t>4,940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r>
    </w:tbl>
    <w:p>
      <w:pPr>
        <w:spacing w:after="0" w:line="122" w:lineRule="exact"/>
        <w:rPr>
          <w:sz w:val="20"/>
          <w:szCs w:val="20"/>
          <w:color w:val="auto"/>
        </w:rPr>
      </w:pPr>
    </w:p>
    <w:p>
      <w:pPr>
        <w:ind w:right="180" w:firstLine="273"/>
        <w:spacing w:after="0" w:line="286" w:lineRule="auto"/>
        <w:rPr>
          <w:sz w:val="20"/>
          <w:szCs w:val="20"/>
          <w:color w:val="auto"/>
        </w:rPr>
      </w:pPr>
      <w:r>
        <w:rPr>
          <w:rFonts w:ascii="Times New Roman" w:cs="Times New Roman" w:eastAsia="Times New Roman" w:hAnsi="Times New Roman"/>
          <w:sz w:val="15"/>
          <w:szCs w:val="15"/>
          <w:color w:val="auto"/>
        </w:rPr>
        <w:t>R&amp;D expenses increased by $4.9 million, or 58%, from $8.6 million in the nine months ended September 30, 2019 to $13.5 million in the nine months ended September 30, 2020. The increase was primarily due to an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ectPr>
          <w:pgSz w:w="11900" w:h="16838" w:orient="portrait"/>
          <w:cols w:equalWidth="0" w:num="1">
            <w:col w:w="11260"/>
          </w:cols>
          <w:pgMar w:left="320" w:top="121" w:right="319" w:bottom="1440" w:gutter="0" w:footer="0" w:header="0"/>
        </w:sectPr>
      </w:pPr>
    </w:p>
    <w:bookmarkStart w:id="81" w:name="page82"/>
    <w:bookmarkEnd w:id="8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in product development efforts related to our Proteograph Product Suite including $2.6 million in employee compensation costs, stock-based compensation and other related costs due to growth in research and development personnel, $1.0 million related to the expansion of facilities and maintenance and depreciation of laboratory equipment, $1.2 million in laboratory materials and prototypes, supplies and reagents used for in-house research and $0.8 million in professional and consulting fees. This was offset by a decrease in clinical study fees of $0.6 million related to the costs associated with the ramp down of site enrollment for clinical studies related to the collection of biological samples for research use. These clinical studies are related to the assets transferred to PrognomIQ.</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24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tcBorders>
              <w:bottom w:val="single" w:sz="8" w:color="auto"/>
            </w:tcBorders>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5"/>
        </w:trPr>
        <w:tc>
          <w:tcPr>
            <w:tcW w:w="5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80" w:type="dxa"/>
            <w:vAlign w:val="bottom"/>
            <w:gridSpan w:val="3"/>
          </w:tcPr>
          <w:p>
            <w:pPr>
              <w:jc w:val="right"/>
              <w:ind w:right="352"/>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2,963</w:t>
            </w:r>
          </w:p>
        </w:tc>
        <w:tc>
          <w:tcPr>
            <w:tcW w:w="100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5"/>
                <w:szCs w:val="15"/>
                <w:color w:val="auto"/>
              </w:rPr>
              <w:t>4,445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150 %</w:t>
            </w:r>
          </w:p>
        </w:tc>
      </w:tr>
    </w:tbl>
    <w:p>
      <w:pPr>
        <w:spacing w:after="0" w:line="122"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General and administrative expenses increased by $4.4 million, or 150%, from $3.0 million in the nine months ended September 30, 2019 to $7.4 million in the nine months ended September 30, 2020, primarily due to a $2.4 million increase in employee compensation, including stock-based compensation and other related expenses, as a result of both converting consultants to full-time employees and an increase in personnel. Other increases include $0.6 million in professional and consulting fees related to non-deferred accounting and audit services related to our proposed initial public offering, $1.0 million in corporate legal matters primarily related to the PrognomIQ transaction and patent activities, $0.2 million in public relation costs, and $0.1 million related to expansion of information technology services and support.</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Total Other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24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tcBorders>
              <w:bottom w:val="single" w:sz="8" w:color="auto"/>
            </w:tcBorders>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5"/>
        </w:trPr>
        <w:tc>
          <w:tcPr>
            <w:tcW w:w="5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40" w:type="dxa"/>
            <w:vAlign w:val="bottom"/>
            <w:gridSpan w:val="3"/>
          </w:tcPr>
          <w:p>
            <w:pPr>
              <w:jc w:val="right"/>
              <w:ind w:right="412"/>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593</w:t>
            </w:r>
          </w:p>
        </w:tc>
        <w:tc>
          <w:tcPr>
            <w:tcW w:w="100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5"/>
                <w:szCs w:val="15"/>
                <w:color w:val="auto"/>
              </w:rPr>
              <w:t>181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r>
    </w:tbl>
    <w:p>
      <w:pPr>
        <w:spacing w:after="0" w:line="122"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Total other income increased by $0.2 million, or 30%, from $0.6 million in the nine months ended September 30, 2019 to $0.8 million in the nine months ended September 30, 2020. The increase was attributable to an increase in interest income, which in turn was attributable to higher amounts of cash invested in money market funds and U.S. Treasury securities in the first nine months of 2020 as a result of $55.0 million raised in convertible preferred stock financings in the fourth quarter of 2019 and $55.0 million raised in convertible preferred stock financings in the second quarter of 2020, compared to $17.1 million raised in convertible preferred stock financings during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1260"/>
          </w:cols>
          <w:pgMar w:left="320" w:top="121" w:right="319" w:bottom="1440" w:gutter="0" w:footer="0" w:header="0"/>
        </w:sectPr>
      </w:pPr>
    </w:p>
    <w:bookmarkStart w:id="82" w:name="page83"/>
    <w:bookmarkEnd w:id="8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Comparisons of the Years Ended December 31, 2018 and 2019</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38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57"/>
        </w:trPr>
        <w:tc>
          <w:tcPr>
            <w:tcW w:w="5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2018</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00" w:type="dxa"/>
            <w:vAlign w:val="bottom"/>
          </w:tcPr>
          <w:p>
            <w:pPr>
              <w:jc w:val="center"/>
              <w:ind w:right="385"/>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21"/>
        </w:trPr>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gridSpan w:val="5"/>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2"/>
        </w:trPr>
        <w:tc>
          <w:tcPr>
            <w:tcW w:w="5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40" w:type="dxa"/>
            <w:vAlign w:val="bottom"/>
            <w:gridSpan w:val="5"/>
          </w:tcPr>
          <w:p>
            <w:pPr>
              <w:ind w:left="14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100" w:type="dxa"/>
            <w:vAlign w:val="bottom"/>
          </w:tcPr>
          <w:p>
            <w:pPr>
              <w:spacing w:after="0"/>
              <w:rPr>
                <w:sz w:val="13"/>
                <w:szCs w:val="13"/>
                <w:color w:val="auto"/>
              </w:rPr>
            </w:pPr>
          </w:p>
        </w:tc>
      </w:tr>
      <w:tr>
        <w:trPr>
          <w:trHeight w:val="21"/>
        </w:trPr>
        <w:tc>
          <w:tcPr>
            <w:tcW w:w="5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revenue</w:t>
            </w: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58</w:t>
            </w:r>
          </w:p>
        </w:tc>
        <w:tc>
          <w:tcPr>
            <w:tcW w:w="540" w:type="dxa"/>
            <w:vAlign w:val="bottom"/>
          </w:tcPr>
          <w:p>
            <w:pPr>
              <w:spacing w:after="0"/>
              <w:rPr>
                <w:sz w:val="17"/>
                <w:szCs w:val="17"/>
                <w:color w:val="auto"/>
              </w:rPr>
            </w:pPr>
          </w:p>
        </w:tc>
        <w:tc>
          <w:tcPr>
            <w:tcW w:w="1100" w:type="dxa"/>
            <w:vAlign w:val="bottom"/>
          </w:tcPr>
          <w:p>
            <w:pPr>
              <w:jc w:val="center"/>
              <w:ind w:right="385"/>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5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7"/>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Grant revenue</w:t>
            </w:r>
          </w:p>
        </w:tc>
        <w:tc>
          <w:tcPr>
            <w:tcW w:w="9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58</w:t>
            </w:r>
          </w:p>
        </w:tc>
        <w:tc>
          <w:tcPr>
            <w:tcW w:w="5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ind w:right="385"/>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revenue</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116</w:t>
            </w:r>
          </w:p>
        </w:tc>
        <w:tc>
          <w:tcPr>
            <w:tcW w:w="540" w:type="dxa"/>
            <w:vAlign w:val="bottom"/>
          </w:tcPr>
          <w:p>
            <w:pPr>
              <w:spacing w:after="0"/>
              <w:rPr>
                <w:sz w:val="17"/>
                <w:szCs w:val="17"/>
                <w:color w:val="auto"/>
              </w:rPr>
            </w:pPr>
          </w:p>
        </w:tc>
        <w:tc>
          <w:tcPr>
            <w:tcW w:w="1100" w:type="dxa"/>
            <w:vAlign w:val="bottom"/>
          </w:tcPr>
          <w:p>
            <w:pPr>
              <w:jc w:val="center"/>
              <w:ind w:right="385"/>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5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5"/>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
        </w:trPr>
        <w:tc>
          <w:tcPr>
            <w:tcW w:w="5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7"/>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8,617</w:t>
            </w: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228 %</w:t>
            </w: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1,624</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22"/>
        </w:trPr>
        <w:tc>
          <w:tcPr>
            <w:tcW w:w="5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8"/>
        </w:trPr>
        <w:tc>
          <w:tcPr>
            <w:tcW w:w="5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16,999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10,241</w:t>
            </w:r>
          </w:p>
        </w:tc>
        <w:tc>
          <w:tcPr>
            <w:tcW w:w="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152 %</w:t>
            </w:r>
          </w:p>
        </w:tc>
      </w:tr>
      <w:tr>
        <w:trPr>
          <w:trHeight w:val="182"/>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(6,758)</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(10,125)</w:t>
            </w: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150 %</w:t>
            </w:r>
          </w:p>
        </w:tc>
      </w:tr>
      <w:tr>
        <w:trPr>
          <w:trHeight w:val="182"/>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9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88 %</w:t>
            </w:r>
          </w:p>
        </w:tc>
      </w:tr>
      <w:tr>
        <w:trPr>
          <w:trHeight w:val="22"/>
        </w:trPr>
        <w:tc>
          <w:tcPr>
            <w:tcW w:w="5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7"/>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9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5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ind w:right="385"/>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other income</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r>
      <w:tr>
        <w:trPr>
          <w:trHeight w:val="22"/>
        </w:trPr>
        <w:tc>
          <w:tcPr>
            <w:tcW w:w="5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(6,307)</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(16,038)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(9,731)</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70"/>
        </w:trPr>
        <w:tc>
          <w:tcPr>
            <w:tcW w:w="51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Other comprehensive income:</w:t>
            </w:r>
          </w:p>
        </w:tc>
        <w:tc>
          <w:tcPr>
            <w:tcW w:w="9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205"/>
        </w:trPr>
        <w:tc>
          <w:tcPr>
            <w:tcW w:w="5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Unrealized gain on available-for-sale securities</w:t>
            </w:r>
          </w:p>
        </w:tc>
        <w:tc>
          <w:tcPr>
            <w:tcW w:w="9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24</w:t>
            </w:r>
          </w:p>
        </w:tc>
        <w:tc>
          <w:tcPr>
            <w:tcW w:w="540" w:type="dxa"/>
            <w:vAlign w:val="bottom"/>
          </w:tcPr>
          <w:p>
            <w:pPr>
              <w:spacing w:after="0"/>
              <w:rPr>
                <w:sz w:val="17"/>
                <w:szCs w:val="17"/>
                <w:color w:val="auto"/>
              </w:rPr>
            </w:pPr>
          </w:p>
        </w:tc>
        <w:tc>
          <w:tcPr>
            <w:tcW w:w="1100" w:type="dxa"/>
            <w:vAlign w:val="bottom"/>
          </w:tcPr>
          <w:p>
            <w:pPr>
              <w:jc w:val="center"/>
              <w:ind w:right="385"/>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5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90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(9,707)</w:t>
            </w: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7" w:lineRule="exact"/>
        <w:rPr>
          <w:sz w:val="20"/>
          <w:szCs w:val="20"/>
          <w:color w:val="auto"/>
        </w:rPr>
      </w:pPr>
    </w:p>
    <w:p>
      <w:pPr>
        <w:ind w:left="260" w:right="9900" w:firstLine="3"/>
        <w:spacing w:after="0" w:line="464" w:lineRule="auto"/>
        <w:tabs>
          <w:tab w:leader="none" w:pos="374" w:val="left"/>
        </w:tabs>
        <w:numPr>
          <w:ilvl w:val="0"/>
          <w:numId w:val="5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65"/>
        </w:trPr>
        <w:tc>
          <w:tcPr>
            <w:tcW w:w="5220" w:type="dxa"/>
            <w:vAlign w:val="bottom"/>
          </w:tcPr>
          <w:p>
            <w:pPr>
              <w:spacing w:after="0"/>
              <w:rPr>
                <w:sz w:val="14"/>
                <w:szCs w:val="14"/>
                <w:color w:val="auto"/>
              </w:rPr>
            </w:pPr>
          </w:p>
        </w:tc>
        <w:tc>
          <w:tcPr>
            <w:tcW w:w="242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40" w:type="dxa"/>
            <w:vAlign w:val="bottom"/>
            <w:tcBorders>
              <w:bottom w:val="single" w:sz="8" w:color="auto"/>
            </w:tcBorders>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rPr>
              <w:t>2018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5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4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5"/>
                <w:szCs w:val="15"/>
                <w:color w:val="auto"/>
              </w:rPr>
              <w:t>116</w:t>
            </w:r>
          </w:p>
        </w:tc>
        <w:tc>
          <w:tcPr>
            <w:tcW w:w="104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5"/>
                <w:szCs w:val="15"/>
                <w:color w:val="auto"/>
              </w:rPr>
              <w:t>*</w:t>
            </w:r>
          </w:p>
        </w:tc>
      </w:tr>
    </w:tbl>
    <w:p>
      <w:pPr>
        <w:spacing w:after="0" w:line="122"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55"/>
        </w:trPr>
        <w:tc>
          <w:tcPr>
            <w:tcW w:w="5140" w:type="dxa"/>
            <w:vAlign w:val="bottom"/>
          </w:tcPr>
          <w:p>
            <w:pPr>
              <w:spacing w:after="0"/>
              <w:rPr>
                <w:sz w:val="13"/>
                <w:szCs w:val="13"/>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rPr>
              <w:t>2018</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5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right"/>
              <w:ind w:right="352"/>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3,776</w:t>
            </w:r>
          </w:p>
        </w:tc>
        <w:tc>
          <w:tcPr>
            <w:tcW w:w="98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5"/>
                <w:szCs w:val="15"/>
                <w:color w:val="auto"/>
              </w:rPr>
              <w:t>8,617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228 %</w:t>
            </w:r>
          </w:p>
        </w:tc>
      </w:tr>
    </w:tbl>
    <w:p>
      <w:pPr>
        <w:spacing w:after="0" w:line="122"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 growth in research and development personnel, $1.4 million related to the expansion of facilities and maintenance and depreciation of laboratory equipment, $1.5 million in laboratory materials, supplies and reagents used for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1260"/>
          </w:cols>
          <w:pgMar w:left="320" w:top="121" w:right="319" w:bottom="1440" w:gutter="0" w:footer="0" w:header="0"/>
        </w:sectPr>
      </w:pPr>
    </w:p>
    <w:bookmarkStart w:id="83" w:name="page84"/>
    <w:bookmarkEnd w:id="8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5"/>
          <w:szCs w:val="15"/>
          <w:color w:val="auto"/>
        </w:rPr>
        <w:t>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80" w:type="dxa"/>
            <w:vAlign w:val="bottom"/>
            <w:tcBorders>
              <w:bottom w:val="single" w:sz="8" w:color="auto"/>
            </w:tcBorders>
          </w:tcPr>
          <w:p>
            <w:pPr>
              <w:spacing w:after="0"/>
              <w:rPr>
                <w:sz w:val="14"/>
                <w:szCs w:val="14"/>
                <w:color w:val="auto"/>
              </w:rPr>
            </w:pPr>
          </w:p>
        </w:tc>
      </w:tr>
      <w:tr>
        <w:trPr>
          <w:trHeight w:val="155"/>
        </w:trPr>
        <w:tc>
          <w:tcPr>
            <w:tcW w:w="5140" w:type="dxa"/>
            <w:vAlign w:val="bottom"/>
          </w:tcPr>
          <w:p>
            <w:pPr>
              <w:spacing w:after="0"/>
              <w:rPr>
                <w:sz w:val="13"/>
                <w:szCs w:val="13"/>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rPr>
              <w:t>2018</w:t>
            </w: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5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80" w:type="dxa"/>
            <w:vAlign w:val="bottom"/>
            <w:gridSpan w:val="3"/>
          </w:tcPr>
          <w:p>
            <w:pPr>
              <w:jc w:val="right"/>
              <w:ind w:right="352"/>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2,982</w:t>
            </w:r>
          </w:p>
        </w:tc>
        <w:tc>
          <w:tcPr>
            <w:tcW w:w="98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5"/>
                <w:szCs w:val="15"/>
                <w:color w:val="auto"/>
              </w:rPr>
              <w:t>1,624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r>
    </w:tbl>
    <w:p>
      <w:pPr>
        <w:spacing w:after="0" w:line="122"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Total Other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55"/>
        </w:trPr>
        <w:tc>
          <w:tcPr>
            <w:tcW w:w="5140" w:type="dxa"/>
            <w:vAlign w:val="bottom"/>
          </w:tcPr>
          <w:p>
            <w:pPr>
              <w:spacing w:after="0"/>
              <w:rPr>
                <w:sz w:val="13"/>
                <w:szCs w:val="13"/>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2018</w:t>
            </w: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2019</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0"/>
        </w:trPr>
        <w:tc>
          <w:tcPr>
            <w:tcW w:w="5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40" w:type="dxa"/>
            <w:vAlign w:val="bottom"/>
            <w:gridSpan w:val="3"/>
          </w:tcPr>
          <w:p>
            <w:pPr>
              <w:jc w:val="right"/>
              <w:ind w:right="412"/>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451</w:t>
            </w:r>
          </w:p>
        </w:tc>
        <w:tc>
          <w:tcPr>
            <w:tcW w:w="100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5"/>
                <w:szCs w:val="15"/>
                <w:color w:val="auto"/>
              </w:rPr>
              <w:t>394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87 %</w:t>
            </w:r>
          </w:p>
        </w:tc>
      </w:tr>
    </w:tbl>
    <w:p>
      <w:pPr>
        <w:spacing w:after="0" w:line="122" w:lineRule="exact"/>
        <w:rPr>
          <w:sz w:val="20"/>
          <w:szCs w:val="20"/>
          <w:color w:val="auto"/>
        </w:rPr>
      </w:pPr>
    </w:p>
    <w:p>
      <w:pPr>
        <w:ind w:right="320" w:firstLine="273"/>
        <w:spacing w:after="0" w:line="269" w:lineRule="auto"/>
        <w:rPr>
          <w:sz w:val="20"/>
          <w:szCs w:val="20"/>
          <w:color w:val="auto"/>
        </w:rPr>
      </w:pPr>
      <w:r>
        <w:rPr>
          <w:rFonts w:ascii="Times New Roman" w:cs="Times New Roman" w:eastAsia="Times New Roman" w:hAnsi="Times New Roman"/>
          <w:sz w:val="15"/>
          <w:szCs w:val="15"/>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50"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September 30, 2020, we had an accumulated deficit of $42.4 million. As of September 30, 2020, we had unrestricted cash and cash equivalents of $17.7 million and investments of $103.8 million.</w:t>
      </w:r>
    </w:p>
    <w:p>
      <w:pPr>
        <w:spacing w:after="0" w:line="104" w:lineRule="exact"/>
        <w:rPr>
          <w:sz w:val="20"/>
          <w:szCs w:val="20"/>
          <w:color w:val="auto"/>
        </w:rPr>
      </w:pPr>
    </w:p>
    <w:p>
      <w:pPr>
        <w:ind w:right="200" w:firstLine="273"/>
        <w:spacing w:after="0" w:line="261" w:lineRule="auto"/>
        <w:rPr>
          <w:sz w:val="20"/>
          <w:szCs w:val="20"/>
          <w:color w:val="auto"/>
        </w:rPr>
      </w:pPr>
      <w:r>
        <w:rPr>
          <w:rFonts w:ascii="Times New Roman" w:cs="Times New Roman" w:eastAsia="Times New Roman" w:hAnsi="Times New Roman"/>
          <w:sz w:val="15"/>
          <w:szCs w:val="15"/>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07" w:lineRule="exact"/>
        <w:rPr>
          <w:sz w:val="20"/>
          <w:szCs w:val="20"/>
          <w:color w:val="auto"/>
        </w:rPr>
      </w:pPr>
    </w:p>
    <w:p>
      <w:pPr>
        <w:jc w:val="both"/>
        <w:ind w:right="200" w:firstLine="273"/>
        <w:spacing w:after="0" w:line="269" w:lineRule="auto"/>
        <w:rPr>
          <w:sz w:val="20"/>
          <w:szCs w:val="20"/>
          <w:color w:val="auto"/>
        </w:rPr>
      </w:pPr>
      <w:r>
        <w:rPr>
          <w:rFonts w:ascii="Times New Roman" w:cs="Times New Roman" w:eastAsia="Times New Roman" w:hAnsi="Times New Roman"/>
          <w:sz w:val="15"/>
          <w:szCs w:val="15"/>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1260"/>
          </w:cols>
          <w:pgMar w:left="320" w:top="121" w:right="319" w:bottom="1440" w:gutter="0" w:footer="0" w:header="0"/>
        </w:sectPr>
      </w:pPr>
    </w:p>
    <w:bookmarkStart w:id="84" w:name="page85"/>
    <w:bookmarkEnd w:id="8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summarizes our cash flows for the periods indicated:</w:t>
      </w:r>
    </w:p>
    <w:p>
      <w:pPr>
        <w:sectPr>
          <w:pgSz w:w="11900" w:h="16838" w:orient="portrait"/>
          <w:cols w:equalWidth="0" w:num="1">
            <w:col w:w="11260"/>
          </w:cols>
          <w:pgMar w:left="320" w:top="121" w:right="319" w:bottom="1440" w:gutter="0" w:footer="0" w:header="0"/>
        </w:sectPr>
      </w:pPr>
    </w:p>
    <w:p>
      <w:pPr>
        <w:spacing w:after="0" w:line="173"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19685</wp:posOffset>
            </wp:positionV>
            <wp:extent cx="204787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ind w:left="5380"/>
        <w:spacing w:after="0"/>
        <w:tabs>
          <w:tab w:leader="none" w:pos="7020"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19685</wp:posOffset>
            </wp:positionV>
            <wp:extent cx="20478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2" w:lineRule="exact"/>
        <w:rPr>
          <w:sz w:val="20"/>
          <w:szCs w:val="20"/>
          <w:color w:val="auto"/>
        </w:rPr>
      </w:pPr>
    </w:p>
    <w:p>
      <w:pPr>
        <w:sectPr>
          <w:pgSz w:w="11900" w:h="16838" w:orient="portrait"/>
          <w:cols w:equalWidth="0" w:num="2">
            <w:col w:w="7980" w:space="720"/>
            <w:col w:w="256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00" w:type="dxa"/>
            <w:vAlign w:val="bottom"/>
            <w:tcBorders>
              <w:top w:val="single" w:sz="8" w:color="auto"/>
            </w:tcBorders>
          </w:tcPr>
          <w:p>
            <w:pPr>
              <w:spacing w:after="0"/>
              <w:rPr>
                <w:sz w:val="13"/>
                <w:szCs w:val="13"/>
                <w:color w:val="auto"/>
              </w:rPr>
            </w:pPr>
          </w:p>
        </w:tc>
      </w:tr>
      <w:tr>
        <w:trPr>
          <w:trHeight w:val="19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58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center"/>
              <w:ind w:left="264"/>
              <w:spacing w:after="0"/>
              <w:rPr>
                <w:sz w:val="20"/>
                <w:szCs w:val="20"/>
                <w:color w:val="auto"/>
              </w:rPr>
            </w:pPr>
            <w:r>
              <w:rPr>
                <w:rFonts w:ascii="Times New Roman" w:cs="Times New Roman" w:eastAsia="Times New Roman" w:hAnsi="Times New Roman"/>
                <w:sz w:val="15"/>
                <w:szCs w:val="15"/>
                <w:color w:val="auto"/>
              </w:rPr>
              <w:t>(13,073)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(9,650)</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(15,343)</w:t>
            </w: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center"/>
              <w:ind w:left="264"/>
              <w:spacing w:after="0"/>
              <w:rPr>
                <w:sz w:val="20"/>
                <w:szCs w:val="20"/>
                <w:color w:val="auto"/>
              </w:rPr>
            </w:pPr>
            <w:r>
              <w:rPr>
                <w:rFonts w:ascii="Times New Roman" w:cs="Times New Roman" w:eastAsia="Times New Roman" w:hAnsi="Times New Roman"/>
                <w:sz w:val="15"/>
                <w:szCs w:val="15"/>
                <w:color w:val="auto"/>
              </w:rPr>
              <w:t>(72,383)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(28,550)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(39,831)</w:t>
            </w:r>
          </w:p>
        </w:tc>
      </w:tr>
      <w:tr>
        <w:trPr>
          <w:trHeight w:val="19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29,945</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ind w:left="284"/>
              <w:spacing w:after="0"/>
              <w:rPr>
                <w:sz w:val="20"/>
                <w:szCs w:val="20"/>
                <w:color w:val="auto"/>
              </w:rPr>
            </w:pPr>
            <w:r>
              <w:rPr>
                <w:rFonts w:ascii="Times New Roman" w:cs="Times New Roman" w:eastAsia="Times New Roman" w:hAnsi="Times New Roman"/>
                <w:sz w:val="15"/>
                <w:szCs w:val="15"/>
                <w:color w:val="auto"/>
              </w:rPr>
              <w:t>72,331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17,747</w:t>
            </w: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55,395</w:t>
            </w:r>
          </w:p>
        </w:tc>
      </w:t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5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25,126</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5"/>
                <w:szCs w:val="15"/>
                <w:color w:val="auto"/>
              </w:rPr>
              <w:t>(13,125)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(20,453)</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20"/>
        </w:trPr>
        <w:tc>
          <w:tcPr>
            <w:tcW w:w="4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50"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In the nine months ended September 30, 2020, cash used in operating activities was $15.3 million, attributable to a net loss of $19.8 million, partially offset by a net change in our net operating assets and liabilities of $0.6 million and non-cash charges of $3.9 million. Non-cash charges primarily consisted of $2.6 million in stock-based compensation,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$0.5 million.</w:t>
      </w:r>
    </w:p>
    <w:p>
      <w:pPr>
        <w:spacing w:after="0" w:line="104"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In the nine months ended September 30, 2019, cash used in operating activities was $9.7 million, attributable to a net loss of $10.9 million, partially offset by a net change in our net operating assets and liabilities of $0.2 million, and by non-cash charges of $1.4 million. Non-cash charges primarily consisted of $1.2 million in stock-based compensation and $0.5 million of depreciation and amortization, offset by $0.2 million of net accretion of discounts on available-for-sales securities. The change in our net operating assets and liabilities was primarily due to increased accrued liabilities related to clinical study fees of $0.4 million, offset by deposits related to a lease agreement of $0.5 million.</w:t>
      </w:r>
    </w:p>
    <w:p>
      <w:pPr>
        <w:spacing w:after="0" w:line="104"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07"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50" w:lineRule="exact"/>
        <w:rPr>
          <w:sz w:val="20"/>
          <w:szCs w:val="20"/>
          <w:color w:val="auto"/>
        </w:rPr>
      </w:pPr>
    </w:p>
    <w:p>
      <w:pPr>
        <w:ind w:right="200" w:firstLine="273"/>
        <w:spacing w:after="0" w:line="286" w:lineRule="auto"/>
        <w:rPr>
          <w:sz w:val="20"/>
          <w:szCs w:val="20"/>
          <w:color w:val="auto"/>
        </w:rPr>
      </w:pPr>
      <w:r>
        <w:rPr>
          <w:rFonts w:ascii="Times New Roman" w:cs="Times New Roman" w:eastAsia="Times New Roman" w:hAnsi="Times New Roman"/>
          <w:sz w:val="15"/>
          <w:szCs w:val="15"/>
          <w:color w:val="auto"/>
        </w:rPr>
        <w:t>In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89" w:lineRule="exact"/>
        <w:rPr>
          <w:sz w:val="20"/>
          <w:szCs w:val="20"/>
          <w:color w:val="auto"/>
        </w:rPr>
      </w:pPr>
    </w:p>
    <w:p>
      <w:pPr>
        <w:ind w:right="200" w:firstLine="273"/>
        <w:spacing w:after="0" w:line="286" w:lineRule="auto"/>
        <w:rPr>
          <w:sz w:val="20"/>
          <w:szCs w:val="20"/>
          <w:color w:val="auto"/>
        </w:rPr>
      </w:pPr>
      <w:r>
        <w:rPr>
          <w:rFonts w:ascii="Times New Roman" w:cs="Times New Roman" w:eastAsia="Times New Roman" w:hAnsi="Times New Roman"/>
          <w:sz w:val="15"/>
          <w:szCs w:val="15"/>
          <w:color w:val="auto"/>
        </w:rPr>
        <w:t>In the nine months ended September 30, 2019, cash used in investing activities was $28.6 million, which related to purchases of available-for-sale securities, net of proceeds from maturities of $24.8 million, in addition to $3.8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1260"/>
          </w:cols>
          <w:pgMar w:left="320" w:top="121" w:right="319" w:bottom="1440" w:gutter="0" w:footer="0" w:header="0"/>
          <w:type w:val="continuous"/>
        </w:sectPr>
      </w:pPr>
    </w:p>
    <w:bookmarkStart w:id="85" w:name="page86"/>
    <w:bookmarkEnd w:id="8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firstLine="273"/>
        <w:spacing w:after="0" w:line="286" w:lineRule="auto"/>
        <w:rPr>
          <w:sz w:val="20"/>
          <w:szCs w:val="20"/>
          <w:color w:val="auto"/>
        </w:rPr>
      </w:pPr>
      <w:r>
        <w:rPr>
          <w:rFonts w:ascii="Times New Roman" w:cs="Times New Roman" w:eastAsia="Times New Roman" w:hAnsi="Times New Roman"/>
          <w:sz w:val="15"/>
          <w:szCs w:val="15"/>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89" w:lineRule="exact"/>
        <w:rPr>
          <w:sz w:val="20"/>
          <w:szCs w:val="20"/>
          <w:color w:val="auto"/>
        </w:rPr>
      </w:pPr>
    </w:p>
    <w:p>
      <w:pPr>
        <w:ind w:left="260" w:right="1840"/>
        <w:spacing w:after="0" w:line="442" w:lineRule="auto"/>
        <w:rPr>
          <w:sz w:val="20"/>
          <w:szCs w:val="20"/>
          <w:color w:val="auto"/>
        </w:rPr>
      </w:pPr>
      <w:r>
        <w:rPr>
          <w:rFonts w:ascii="Times New Roman" w:cs="Times New Roman" w:eastAsia="Times New Roman" w:hAnsi="Times New Roman"/>
          <w:sz w:val="15"/>
          <w:szCs w:val="15"/>
          <w:color w:val="auto"/>
        </w:rPr>
        <w:t xml:space="preserve">In 2018, cash used in investing activities was $0.2 million, which related to payments for property and equipment used for general business operations. </w:t>
      </w:r>
      <w:r>
        <w:rPr>
          <w:rFonts w:ascii="Times New Roman" w:cs="Times New Roman" w:eastAsia="Times New Roman" w:hAnsi="Times New Roman"/>
          <w:sz w:val="15"/>
          <w:szCs w:val="15"/>
          <w:b w:val="1"/>
          <w:bCs w:val="1"/>
          <w:i w:val="1"/>
          <w:iCs w:val="1"/>
          <w:color w:val="auto"/>
        </w:rPr>
        <w:t>Financing Activities</w:t>
      </w:r>
    </w:p>
    <w:p>
      <w:pPr>
        <w:spacing w:after="0" w:line="1" w:lineRule="exact"/>
        <w:rPr>
          <w:sz w:val="20"/>
          <w:szCs w:val="20"/>
          <w:color w:val="auto"/>
        </w:rPr>
      </w:pPr>
    </w:p>
    <w:p>
      <w:pPr>
        <w:ind w:right="140" w:firstLine="273"/>
        <w:spacing w:after="0" w:line="286" w:lineRule="auto"/>
        <w:rPr>
          <w:sz w:val="20"/>
          <w:szCs w:val="20"/>
          <w:color w:val="auto"/>
        </w:rPr>
      </w:pPr>
      <w:r>
        <w:rPr>
          <w:rFonts w:ascii="Times New Roman" w:cs="Times New Roman" w:eastAsia="Times New Roman" w:hAnsi="Times New Roman"/>
          <w:sz w:val="15"/>
          <w:szCs w:val="15"/>
          <w:color w:val="auto"/>
        </w:rPr>
        <w:t>In the nine months ended September 30, 2020, cash provided by financing activities was $55.4 million. This was attributable to the net proceeds of $54.9 million from the issuance of Series D-1 convertible preferred stock, net of issuance costs and $0.6 million from the exercise of stock options.</w:t>
      </w:r>
    </w:p>
    <w:p>
      <w:pPr>
        <w:spacing w:after="0" w:line="89" w:lineRule="exact"/>
        <w:rPr>
          <w:sz w:val="20"/>
          <w:szCs w:val="20"/>
          <w:color w:val="auto"/>
        </w:rPr>
      </w:pPr>
    </w:p>
    <w:p>
      <w:pPr>
        <w:ind w:right="140" w:firstLine="273"/>
        <w:spacing w:after="0" w:line="286" w:lineRule="auto"/>
        <w:rPr>
          <w:sz w:val="20"/>
          <w:szCs w:val="20"/>
          <w:color w:val="auto"/>
        </w:rPr>
      </w:pPr>
      <w:r>
        <w:rPr>
          <w:rFonts w:ascii="Times New Roman" w:cs="Times New Roman" w:eastAsia="Times New Roman" w:hAnsi="Times New Roman"/>
          <w:sz w:val="15"/>
          <w:szCs w:val="15"/>
          <w:color w:val="auto"/>
        </w:rPr>
        <w:t>In the nine months ended September 30, 2019, cash provided by financing activities was $17.7 million. This was attributable to the net proceeds of $17.3 million from the issuance of Series C convertible preferred stock, net of issuance costs and $0.4 million from the issuance of convertible notes payable.</w:t>
      </w:r>
    </w:p>
    <w:p>
      <w:pPr>
        <w:spacing w:after="0" w:line="89" w:lineRule="exact"/>
        <w:rPr>
          <w:sz w:val="20"/>
          <w:szCs w:val="20"/>
          <w:color w:val="auto"/>
        </w:rPr>
      </w:pPr>
    </w:p>
    <w:p>
      <w:pPr>
        <w:ind w:right="40" w:firstLine="273"/>
        <w:spacing w:after="0" w:line="286" w:lineRule="auto"/>
        <w:rPr>
          <w:sz w:val="20"/>
          <w:szCs w:val="20"/>
          <w:color w:val="auto"/>
        </w:rPr>
      </w:pPr>
      <w:r>
        <w:rPr>
          <w:rFonts w:ascii="Times New Roman" w:cs="Times New Roman" w:eastAsia="Times New Roman" w:hAnsi="Times New Roman"/>
          <w:sz w:val="15"/>
          <w:szCs w:val="15"/>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89" w:lineRule="exact"/>
        <w:rPr>
          <w:sz w:val="20"/>
          <w:szCs w:val="20"/>
          <w:color w:val="auto"/>
        </w:rPr>
      </w:pPr>
    </w:p>
    <w:p>
      <w:pPr>
        <w:ind w:right="60" w:firstLine="273"/>
        <w:spacing w:after="0" w:line="286" w:lineRule="auto"/>
        <w:rPr>
          <w:sz w:val="20"/>
          <w:szCs w:val="20"/>
          <w:color w:val="auto"/>
        </w:rPr>
      </w:pPr>
      <w:r>
        <w:rPr>
          <w:rFonts w:ascii="Times New Roman" w:cs="Times New Roman" w:eastAsia="Times New Roman" w:hAnsi="Times New Roman"/>
          <w:sz w:val="15"/>
          <w:szCs w:val="15"/>
          <w:color w:val="auto"/>
        </w:rPr>
        <w:t>In 2018, cash provided by financing activities was $29.9 million which was attributable to the net proceeds from the issuance of Series B convertible preferred stock, net of issuance costs.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summarizes our contractual obligations as of December 31,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Payments due by period</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20" w:type="dxa"/>
            <w:vAlign w:val="bottom"/>
          </w:tcPr>
          <w:p>
            <w:pPr>
              <w:spacing w:after="0"/>
              <w:rPr>
                <w:sz w:val="9"/>
                <w:szCs w:val="9"/>
                <w:color w:val="auto"/>
              </w:rPr>
            </w:pPr>
          </w:p>
        </w:tc>
        <w:tc>
          <w:tcPr>
            <w:tcW w:w="1100" w:type="dxa"/>
            <w:vAlign w:val="bottom"/>
          </w:tcPr>
          <w:p>
            <w:pPr>
              <w:jc w:val="center"/>
              <w:ind w:right="214"/>
              <w:spacing w:after="0" w:line="110"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260" w:type="dxa"/>
            <w:vAlign w:val="bottom"/>
          </w:tcPr>
          <w:p>
            <w:pPr>
              <w:spacing w:after="0"/>
              <w:rPr>
                <w:sz w:val="9"/>
                <w:szCs w:val="9"/>
                <w:color w:val="auto"/>
              </w:rPr>
            </w:pPr>
          </w:p>
        </w:tc>
        <w:tc>
          <w:tcPr>
            <w:tcW w:w="11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2"/>
                <w:szCs w:val="12"/>
                <w:b w:val="1"/>
                <w:bCs w:val="1"/>
                <w:color w:val="auto"/>
              </w:rPr>
              <w:t>1-3 years</w:t>
            </w:r>
          </w:p>
        </w:tc>
        <w:tc>
          <w:tcPr>
            <w:tcW w:w="300" w:type="dxa"/>
            <w:vAlign w:val="bottom"/>
          </w:tcPr>
          <w:p>
            <w:pPr>
              <w:spacing w:after="0"/>
              <w:rPr>
                <w:sz w:val="9"/>
                <w:szCs w:val="9"/>
                <w:color w:val="auto"/>
              </w:rPr>
            </w:pPr>
          </w:p>
        </w:tc>
        <w:tc>
          <w:tcPr>
            <w:tcW w:w="1100" w:type="dxa"/>
            <w:vAlign w:val="bottom"/>
            <w:vMerge w:val="restart"/>
          </w:tcPr>
          <w:p>
            <w:pPr>
              <w:jc w:val="right"/>
              <w:ind w:right="392"/>
              <w:spacing w:after="0"/>
              <w:rPr>
                <w:sz w:val="20"/>
                <w:szCs w:val="20"/>
                <w:color w:val="auto"/>
              </w:rPr>
            </w:pPr>
            <w:r>
              <w:rPr>
                <w:rFonts w:ascii="Times New Roman" w:cs="Times New Roman" w:eastAsia="Times New Roman" w:hAnsi="Times New Roman"/>
                <w:sz w:val="12"/>
                <w:szCs w:val="12"/>
                <w:b w:val="1"/>
                <w:bCs w:val="1"/>
                <w:color w:val="auto"/>
              </w:rPr>
              <w:t>3-5 years</w:t>
            </w:r>
          </w:p>
        </w:tc>
        <w:tc>
          <w:tcPr>
            <w:tcW w:w="300" w:type="dxa"/>
            <w:vAlign w:val="bottom"/>
          </w:tcPr>
          <w:p>
            <w:pPr>
              <w:spacing w:after="0"/>
              <w:rPr>
                <w:sz w:val="9"/>
                <w:szCs w:val="9"/>
                <w:color w:val="auto"/>
              </w:rPr>
            </w:pPr>
          </w:p>
        </w:tc>
        <w:tc>
          <w:tcPr>
            <w:tcW w:w="1080" w:type="dxa"/>
            <w:vAlign w:val="bottom"/>
          </w:tcPr>
          <w:p>
            <w:pPr>
              <w:jc w:val="center"/>
              <w:ind w:right="174"/>
              <w:spacing w:after="0" w:line="110"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2"/>
                <w:szCs w:val="12"/>
                <w:b w:val="1"/>
                <w:bCs w:val="1"/>
                <w:color w:val="auto"/>
                <w:w w:val="98"/>
              </w:rPr>
              <w:t>5 years</w:t>
            </w:r>
          </w:p>
        </w:tc>
        <w:tc>
          <w:tcPr>
            <w:tcW w:w="0" w:type="dxa"/>
            <w:vAlign w:val="bottom"/>
          </w:tcPr>
          <w:p>
            <w:pPr>
              <w:spacing w:after="0"/>
              <w:rPr>
                <w:sz w:val="1"/>
                <w:szCs w:val="1"/>
                <w:color w:val="auto"/>
              </w:rPr>
            </w:pPr>
          </w:p>
        </w:tc>
      </w:tr>
      <w:tr>
        <w:trPr>
          <w:trHeight w:val="150"/>
        </w:trPr>
        <w:tc>
          <w:tcPr>
            <w:tcW w:w="4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54"/>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obligations</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8,788</w:t>
            </w:r>
          </w:p>
        </w:tc>
        <w:tc>
          <w:tcPr>
            <w:tcW w:w="3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5"/>
                <w:szCs w:val="15"/>
                <w:color w:val="auto"/>
              </w:rPr>
              <w:t>453</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5"/>
                <w:szCs w:val="15"/>
                <w:color w:val="auto"/>
              </w:rPr>
              <w:t>1,609</w:t>
            </w:r>
          </w:p>
        </w:tc>
        <w:tc>
          <w:tcPr>
            <w:tcW w:w="3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5"/>
                <w:szCs w:val="15"/>
                <w:color w:val="auto"/>
              </w:rPr>
              <w:t>1,691</w:t>
            </w:r>
          </w:p>
        </w:tc>
        <w:tc>
          <w:tcPr>
            <w:tcW w:w="3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5,035</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addition, we enter into agreements as a part of normal course of business with various vendors, which are generally cancellable without material penalty upon written notice.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Payments associated with these agreements are not included in this table of contractual obligations.</w:t>
      </w:r>
    </w:p>
    <w:p>
      <w:pPr>
        <w:spacing w:after="0" w:line="130"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Since the date of our incorporation, we have not engaged in any off-balance sheet arrangements, as such term is defined in the rules and regulations of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Significant Judgments and Use of Estimates</w:t>
      </w:r>
    </w:p>
    <w:p>
      <w:pPr>
        <w:spacing w:after="0" w:line="150" w:lineRule="exact"/>
        <w:rPr>
          <w:sz w:val="20"/>
          <w:szCs w:val="20"/>
          <w:color w:val="auto"/>
        </w:rPr>
      </w:pPr>
    </w:p>
    <w:p>
      <w:pPr>
        <w:ind w:right="320" w:firstLine="273"/>
        <w:spacing w:after="0" w:line="264" w:lineRule="auto"/>
        <w:rPr>
          <w:sz w:val="20"/>
          <w:szCs w:val="20"/>
          <w:color w:val="auto"/>
        </w:rPr>
      </w:pPr>
      <w:r>
        <w:rPr>
          <w:rFonts w:ascii="Times New Roman" w:cs="Times New Roman" w:eastAsia="Times New Roman" w:hAnsi="Times New Roman"/>
          <w:sz w:val="15"/>
          <w:szCs w:val="15"/>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1260"/>
          </w:cols>
          <w:pgMar w:left="320" w:top="121" w:right="319" w:bottom="1440" w:gutter="0" w:footer="0" w:header="0"/>
        </w:sectPr>
      </w:pPr>
    </w:p>
    <w:bookmarkStart w:id="86" w:name="page87"/>
    <w:bookmarkEnd w:id="8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04" w:lineRule="exact"/>
        <w:rPr>
          <w:sz w:val="20"/>
          <w:szCs w:val="20"/>
          <w:color w:val="auto"/>
        </w:rPr>
      </w:pPr>
    </w:p>
    <w:p>
      <w:pPr>
        <w:ind w:right="440" w:firstLine="273"/>
        <w:spacing w:after="0" w:line="286" w:lineRule="auto"/>
        <w:rPr>
          <w:sz w:val="20"/>
          <w:szCs w:val="20"/>
          <w:color w:val="auto"/>
        </w:rPr>
      </w:pPr>
      <w:r>
        <w:rPr>
          <w:rFonts w:ascii="Times New Roman" w:cs="Times New Roman" w:eastAsia="Times New Roman" w:hAnsi="Times New Roman"/>
          <w:sz w:val="15"/>
          <w:szCs w:val="15"/>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Accrued Research and Development Expenses</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Stock-Based Compensation</w:t>
      </w:r>
    </w:p>
    <w:p>
      <w:pPr>
        <w:spacing w:after="0" w:line="150" w:lineRule="exact"/>
        <w:rPr>
          <w:sz w:val="20"/>
          <w:szCs w:val="20"/>
          <w:color w:val="auto"/>
        </w:rPr>
      </w:pPr>
    </w:p>
    <w:p>
      <w:pPr>
        <w:ind w:right="220" w:firstLine="273"/>
        <w:spacing w:after="0" w:line="261" w:lineRule="auto"/>
        <w:rPr>
          <w:sz w:val="20"/>
          <w:szCs w:val="20"/>
          <w:color w:val="auto"/>
        </w:rPr>
      </w:pPr>
      <w:r>
        <w:rPr>
          <w:rFonts w:ascii="Times New Roman" w:cs="Times New Roman" w:eastAsia="Times New Roman" w:hAnsi="Times New Roman"/>
          <w:sz w:val="15"/>
          <w:szCs w:val="15"/>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07" w:lineRule="exact"/>
        <w:rPr>
          <w:sz w:val="20"/>
          <w:szCs w:val="20"/>
          <w:color w:val="auto"/>
        </w:rPr>
      </w:pPr>
    </w:p>
    <w:p>
      <w:pPr>
        <w:ind w:right="220" w:firstLine="273"/>
        <w:spacing w:after="0" w:line="269" w:lineRule="auto"/>
        <w:rPr>
          <w:sz w:val="20"/>
          <w:szCs w:val="20"/>
          <w:color w:val="auto"/>
        </w:rPr>
      </w:pPr>
      <w:r>
        <w:rPr>
          <w:rFonts w:ascii="Times New Roman" w:cs="Times New Roman" w:eastAsia="Times New Roman" w:hAnsi="Times New Roman"/>
          <w:sz w:val="15"/>
          <w:szCs w:val="15"/>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01" w:lineRule="exact"/>
        <w:rPr>
          <w:sz w:val="20"/>
          <w:szCs w:val="20"/>
          <w:color w:val="auto"/>
        </w:rPr>
      </w:pPr>
    </w:p>
    <w:p>
      <w:pPr>
        <w:ind w:left="540" w:right="460" w:hanging="277"/>
        <w:spacing w:after="0" w:line="286" w:lineRule="auto"/>
        <w:tabs>
          <w:tab w:leader="none" w:pos="53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of common stock—Historically, as there has been no public market for our common stock, the fair value of our common stock was determined by our board of directors based in part on valuations of our common stock prepared by a third-party valuation specialist. See the subsection titled “Fair Value of Common Stock” below.</w:t>
      </w:r>
    </w:p>
    <w:p>
      <w:pPr>
        <w:spacing w:after="0" w:line="88" w:lineRule="exact"/>
        <w:rPr>
          <w:rFonts w:ascii="Times New Roman" w:cs="Times New Roman" w:eastAsia="Times New Roman" w:hAnsi="Times New Roman"/>
          <w:sz w:val="15"/>
          <w:szCs w:val="15"/>
          <w:color w:val="auto"/>
        </w:rPr>
      </w:pPr>
    </w:p>
    <w:p>
      <w:pPr>
        <w:ind w:left="540" w:right="120" w:hanging="277"/>
        <w:spacing w:after="0" w:line="269" w:lineRule="auto"/>
        <w:tabs>
          <w:tab w:leader="none" w:pos="53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1260"/>
          </w:cols>
          <w:pgMar w:left="320" w:top="121" w:right="319" w:bottom="1440" w:gutter="0" w:footer="0" w:header="0"/>
        </w:sectPr>
      </w:pPr>
    </w:p>
    <w:bookmarkStart w:id="87" w:name="page88"/>
    <w:bookmarkEnd w:id="8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160" w:hanging="277"/>
        <w:spacing w:after="0" w:line="264" w:lineRule="auto"/>
        <w:tabs>
          <w:tab w:leader="none" w:pos="5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volatility—Since we are a privately-held company and do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04" w:lineRule="exact"/>
        <w:rPr>
          <w:rFonts w:ascii="Times New Roman" w:cs="Times New Roman" w:eastAsia="Times New Roman" w:hAnsi="Times New Roman"/>
          <w:sz w:val="15"/>
          <w:szCs w:val="15"/>
          <w:color w:val="auto"/>
        </w:rPr>
      </w:pPr>
    </w:p>
    <w:p>
      <w:pPr>
        <w:ind w:left="540" w:right="280" w:hanging="277"/>
        <w:spacing w:after="0" w:line="286" w:lineRule="auto"/>
        <w:tabs>
          <w:tab w:leader="none" w:pos="5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Risk-free interest rate—The risk-free interest rate is based on the U.S. Treasury zero coupon issues in effect at the time of grant for periods corresponding with the expected term of the options.</w:t>
      </w:r>
    </w:p>
    <w:p>
      <w:pPr>
        <w:spacing w:after="0" w:line="88" w:lineRule="exact"/>
        <w:rPr>
          <w:rFonts w:ascii="Times New Roman" w:cs="Times New Roman" w:eastAsia="Times New Roman" w:hAnsi="Times New Roman"/>
          <w:sz w:val="15"/>
          <w:szCs w:val="15"/>
          <w:color w:val="auto"/>
        </w:rPr>
      </w:pPr>
    </w:p>
    <w:p>
      <w:pPr>
        <w:ind w:left="540" w:right="400" w:hanging="277"/>
        <w:spacing w:after="0" w:line="286" w:lineRule="auto"/>
        <w:tabs>
          <w:tab w:leader="none" w:pos="5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dividend yield—We have never paid dividends on our common stock and have no plans to pay dividends on our common stock. Therefore, we used an expected dividend yield of zero.</w:t>
      </w:r>
    </w:p>
    <w:p>
      <w:pPr>
        <w:spacing w:after="0" w:line="89" w:lineRule="exact"/>
        <w:rPr>
          <w:sz w:val="20"/>
          <w:szCs w:val="20"/>
          <w:color w:val="auto"/>
        </w:rPr>
      </w:pPr>
    </w:p>
    <w:p>
      <w:pPr>
        <w:ind w:right="140" w:firstLine="273"/>
        <w:spacing w:after="0" w:line="286" w:lineRule="auto"/>
        <w:rPr>
          <w:sz w:val="20"/>
          <w:szCs w:val="20"/>
          <w:color w:val="auto"/>
        </w:rPr>
      </w:pPr>
      <w:r>
        <w:rPr>
          <w:rFonts w:ascii="Times New Roman" w:cs="Times New Roman" w:eastAsia="Times New Roman" w:hAnsi="Times New Roman"/>
          <w:sz w:val="15"/>
          <w:szCs w:val="15"/>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89"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04" w:lineRule="exact"/>
        <w:rPr>
          <w:sz w:val="20"/>
          <w:szCs w:val="20"/>
          <w:color w:val="auto"/>
        </w:rPr>
      </w:pPr>
    </w:p>
    <w:p>
      <w:pPr>
        <w:ind w:right="20" w:firstLine="273"/>
        <w:spacing w:after="0" w:line="286" w:lineRule="auto"/>
        <w:rPr>
          <w:sz w:val="20"/>
          <w:szCs w:val="20"/>
          <w:color w:val="auto"/>
        </w:rPr>
      </w:pPr>
      <w:r>
        <w:rPr>
          <w:rFonts w:ascii="Times New Roman" w:cs="Times New Roman" w:eastAsia="Times New Roman" w:hAnsi="Times New Roman"/>
          <w:sz w:val="15"/>
          <w:szCs w:val="15"/>
          <w:color w:val="auto"/>
        </w:rPr>
        <w:t>The intrinsic value of all outstanding options as of September 30, 2020 was $ million, of which $ million related to unvested options as of such date, based on the assumed initial public offering price of $ per share, which is the midpoint of the price range set forth on the cover page of this prospectus.</w:t>
      </w:r>
    </w:p>
    <w:p>
      <w:pPr>
        <w:spacing w:after="0" w:line="89" w:lineRule="exact"/>
        <w:rPr>
          <w:sz w:val="20"/>
          <w:szCs w:val="20"/>
          <w:color w:val="auto"/>
        </w:rPr>
      </w:pPr>
    </w:p>
    <w:p>
      <w:pPr>
        <w:ind w:right="40" w:firstLine="273"/>
        <w:spacing w:after="0" w:line="286" w:lineRule="auto"/>
        <w:rPr>
          <w:sz w:val="20"/>
          <w:szCs w:val="20"/>
          <w:color w:val="auto"/>
        </w:rPr>
      </w:pPr>
      <w:r>
        <w:rPr>
          <w:rFonts w:ascii="Times New Roman" w:cs="Times New Roman" w:eastAsia="Times New Roman" w:hAnsi="Times New Roman"/>
          <w:sz w:val="15"/>
          <w:szCs w:val="15"/>
          <w:color w:val="auto"/>
        </w:rPr>
        <w:t>We expect to incur stock-based compensation of approximately $11.0 million to $12.7 million over the next three to four years as a result of all compensatory equity issuances made in fiscal year 2020.</w:t>
      </w:r>
    </w:p>
    <w:p>
      <w:pPr>
        <w:spacing w:after="0" w:line="89"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We expect to incur stock-based compensation of approximately $5.1 million to $6.7 million in fiscal year 2021 as a result of all compensatory equity issuances outstanding as of September 30, 2020.</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Common Stock</w:t>
      </w:r>
    </w:p>
    <w:p>
      <w:pPr>
        <w:spacing w:after="0" w:line="150"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Times New Roman" w:cs="Times New Roman" w:eastAsia="Times New Roman" w:hAnsi="Times New Roman"/>
          <w:sz w:val="15"/>
          <w:szCs w:val="15"/>
          <w:i w:val="1"/>
          <w:iCs w:val="1"/>
          <w:color w:val="auto"/>
        </w:rPr>
        <w:t>Valuation of Privately-Held-Company Equity Securities Issued as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Compensation</w:t>
      </w:r>
      <w:r>
        <w:rPr>
          <w:rFonts w:ascii="Times New Roman" w:cs="Times New Roman" w:eastAsia="Times New Roman" w:hAnsi="Times New Roman"/>
          <w:sz w:val="15"/>
          <w:szCs w:val="15"/>
          <w:color w:val="auto"/>
        </w:rPr>
        <w:t>, or the Practice Aid, our board of directors exercised reasonable judgment and considered numerous objective and subjective factors to determine the best estimate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fair value of our common stock at each grant date. These factors include:</w:t>
      </w:r>
    </w:p>
    <w:p>
      <w:pPr>
        <w:spacing w:after="0" w:line="107" w:lineRule="exact"/>
        <w:rPr>
          <w:sz w:val="20"/>
          <w:szCs w:val="20"/>
          <w:color w:val="auto"/>
        </w:rPr>
      </w:pPr>
    </w:p>
    <w:p>
      <w:pPr>
        <w:ind w:left="540" w:hanging="277"/>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external market conditions affecting the life sciences technology industry and trends within the industry;</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stage of development;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preferences and privileges of our convertible preferred stock relative to those of our common stock;</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prices at which we sold shares of our convertible preferred stock;</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operating results and financial performance, including our levels of available capital resources;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progress of our research and development efforts and business strategy;</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 market conditions affecting comparable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1240"/>
          </w:cols>
          <w:pgMar w:left="320" w:top="121" w:right="339" w:bottom="1440" w:gutter="0" w:footer="0" w:header="0"/>
        </w:sectPr>
      </w:pPr>
    </w:p>
    <w:bookmarkStart w:id="88" w:name="page89"/>
    <w:bookmarkEnd w:id="8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U.S. market conditions;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marketability of our common stock.</w:t>
      </w:r>
    </w:p>
    <w:p>
      <w:pPr>
        <w:spacing w:after="0" w:line="146" w:lineRule="exact"/>
        <w:rPr>
          <w:sz w:val="20"/>
          <w:szCs w:val="20"/>
          <w:color w:val="auto"/>
        </w:rPr>
      </w:pPr>
    </w:p>
    <w:p>
      <w:pPr>
        <w:ind w:right="60" w:firstLine="273"/>
        <w:spacing w:after="0" w:line="257" w:lineRule="auto"/>
        <w:rPr>
          <w:sz w:val="20"/>
          <w:szCs w:val="20"/>
          <w:color w:val="auto"/>
        </w:rPr>
      </w:pPr>
      <w:r>
        <w:rPr>
          <w:rFonts w:ascii="Times New Roman" w:cs="Times New Roman" w:eastAsia="Times New Roman" w:hAnsi="Times New Roman"/>
          <w:sz w:val="15"/>
          <w:szCs w:val="15"/>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12"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89" w:lineRule="exact"/>
        <w:rPr>
          <w:sz w:val="20"/>
          <w:szCs w:val="20"/>
          <w:color w:val="auto"/>
        </w:rPr>
      </w:pPr>
    </w:p>
    <w:p>
      <w:pPr>
        <w:ind w:left="540" w:right="80" w:hanging="277"/>
        <w:spacing w:after="0" w:line="269" w:lineRule="auto"/>
        <w:tabs>
          <w:tab w:leader="none" w:pos="53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01" w:lineRule="exact"/>
        <w:rPr>
          <w:rFonts w:ascii="Times New Roman" w:cs="Times New Roman" w:eastAsia="Times New Roman" w:hAnsi="Times New Roman"/>
          <w:sz w:val="15"/>
          <w:szCs w:val="15"/>
          <w:color w:val="auto"/>
        </w:rPr>
      </w:pPr>
    </w:p>
    <w:p>
      <w:pPr>
        <w:ind w:left="540" w:right="160" w:hanging="277"/>
        <w:spacing w:after="0" w:line="269" w:lineRule="auto"/>
        <w:tabs>
          <w:tab w:leader="none" w:pos="53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01"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Based on our early stage of development and other relevant factors, we determined that an OPM was the most appropriate method for allocating our enterprise value to determine the estimated fair value of our common stock for valuations during 2018 and 2019.</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Starting in 2020, we used a hybrid method to determine the estimated fair value of our common stock, which included both the OPM and PWERM models.</w:t>
      </w:r>
    </w:p>
    <w:p>
      <w:pPr>
        <w:spacing w:after="0" w:line="146"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07" w:lineRule="exact"/>
        <w:rPr>
          <w:sz w:val="20"/>
          <w:szCs w:val="20"/>
          <w:color w:val="auto"/>
        </w:rPr>
      </w:pPr>
    </w:p>
    <w:p>
      <w:pPr>
        <w:ind w:right="180" w:firstLine="273"/>
        <w:spacing w:after="0" w:line="286" w:lineRule="auto"/>
        <w:rPr>
          <w:sz w:val="20"/>
          <w:szCs w:val="20"/>
          <w:color w:val="auto"/>
        </w:rPr>
      </w:pPr>
      <w:r>
        <w:rPr>
          <w:rFonts w:ascii="Times New Roman" w:cs="Times New Roman" w:eastAsia="Times New Roman" w:hAnsi="Times New Roman"/>
          <w:sz w:val="15"/>
          <w:szCs w:val="15"/>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ectPr>
          <w:pgSz w:w="11900" w:h="16838" w:orient="portrait"/>
          <w:cols w:equalWidth="0" w:num="1">
            <w:col w:w="11260"/>
          </w:cols>
          <w:pgMar w:left="320" w:top="121" w:right="319" w:bottom="1440" w:gutter="0" w:footer="0" w:header="0"/>
        </w:sectPr>
      </w:pPr>
    </w:p>
    <w:bookmarkStart w:id="89" w:name="page90"/>
    <w:bookmarkEnd w:id="8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will remain an emerging growth company under the JOBS Act until the earliest of (i) the last day of our first fiscal year in which we have total annual gross revenue of</w:t>
      </w:r>
    </w:p>
    <w:p>
      <w:pPr>
        <w:spacing w:after="0" w:line="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50" w:lineRule="exact"/>
        <w:rPr>
          <w:sz w:val="20"/>
          <w:szCs w:val="20"/>
          <w:color w:val="auto"/>
        </w:rPr>
      </w:pPr>
    </w:p>
    <w:p>
      <w:pPr>
        <w:ind w:right="240" w:firstLine="273"/>
        <w:spacing w:after="0" w:line="286" w:lineRule="auto"/>
        <w:rPr>
          <w:sz w:val="20"/>
          <w:szCs w:val="20"/>
          <w:color w:val="auto"/>
        </w:rPr>
      </w:pPr>
      <w:r>
        <w:rPr>
          <w:rFonts w:ascii="Times New Roman" w:cs="Times New Roman" w:eastAsia="Times New Roman" w:hAnsi="Times New Roman"/>
          <w:sz w:val="15"/>
          <w:szCs w:val="15"/>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Internal Control Over Financial Reporting</w:t>
      </w:r>
    </w:p>
    <w:p>
      <w:pPr>
        <w:spacing w:after="0" w:line="150"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the first fiscal year beginning after the effective date of the registration statement of which this prospectus is a part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10" w:lineRule="exact"/>
        <w:rPr>
          <w:sz w:val="20"/>
          <w:szCs w:val="20"/>
          <w:color w:val="auto"/>
        </w:rPr>
      </w:pPr>
    </w:p>
    <w:p>
      <w:pPr>
        <w:ind w:right="520" w:firstLine="273"/>
        <w:spacing w:after="0" w:line="286" w:lineRule="auto"/>
        <w:rPr>
          <w:sz w:val="20"/>
          <w:szCs w:val="20"/>
          <w:color w:val="auto"/>
        </w:rPr>
      </w:pPr>
      <w:r>
        <w:rPr>
          <w:rFonts w:ascii="Times New Roman" w:cs="Times New Roman" w:eastAsia="Times New Roman" w:hAnsi="Times New Roman"/>
          <w:sz w:val="15"/>
          <w:szCs w:val="15"/>
          <w:color w:val="auto"/>
        </w:rPr>
        <w:t>In connection with the audits of our financial statements included elsewhere in this prospectus, we and our independent registered public accounting firm identified material weaknesses related to:</w:t>
      </w:r>
    </w:p>
    <w:p>
      <w:pPr>
        <w:spacing w:after="0" w:line="89" w:lineRule="exact"/>
        <w:rPr>
          <w:sz w:val="20"/>
          <w:szCs w:val="20"/>
          <w:color w:val="auto"/>
        </w:rPr>
      </w:pPr>
    </w:p>
    <w:p>
      <w:pPr>
        <w:ind w:left="540" w:hanging="277"/>
        <w:spacing w:after="0"/>
        <w:tabs>
          <w:tab w:leader="none" w:pos="5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being insufficient accounting personnel to enable segregation of duties relating to the general ledger, disbursement, and certain accounting functions.</w:t>
      </w:r>
    </w:p>
    <w:p>
      <w:pPr>
        <w:spacing w:after="0" w:line="145" w:lineRule="exact"/>
        <w:rPr>
          <w:rFonts w:ascii="Times New Roman" w:cs="Times New Roman" w:eastAsia="Times New Roman" w:hAnsi="Times New Roman"/>
          <w:sz w:val="15"/>
          <w:szCs w:val="15"/>
          <w:color w:val="auto"/>
        </w:rPr>
      </w:pPr>
    </w:p>
    <w:p>
      <w:pPr>
        <w:ind w:left="540" w:right="480" w:hanging="277"/>
        <w:spacing w:after="0" w:line="286" w:lineRule="auto"/>
        <w:tabs>
          <w:tab w:leader="none" w:pos="536"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not being formalized processes or controls for account reconciliations, including independent review of such reconciliations, or related financial statement analysis prepared in conformity with U.S. GAAP; and</w:t>
      </w:r>
    </w:p>
    <w:p>
      <w:pPr>
        <w:spacing w:after="0" w:line="88" w:lineRule="exact"/>
        <w:rPr>
          <w:rFonts w:ascii="Times New Roman" w:cs="Times New Roman" w:eastAsia="Times New Roman" w:hAnsi="Times New Roman"/>
          <w:sz w:val="15"/>
          <w:szCs w:val="15"/>
          <w:color w:val="auto"/>
        </w:rPr>
      </w:pPr>
    </w:p>
    <w:p>
      <w:pPr>
        <w:ind w:left="540" w:right="180" w:hanging="277"/>
        <w:spacing w:after="0" w:line="286" w:lineRule="auto"/>
        <w:tabs>
          <w:tab w:leader="none" w:pos="536"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87</w:t>
      </w:r>
    </w:p>
    <w:p>
      <w:pPr>
        <w:sectPr>
          <w:pgSz w:w="11900" w:h="16838" w:orient="portrait"/>
          <w:cols w:equalWidth="0" w:num="1">
            <w:col w:w="11220"/>
          </w:cols>
          <w:pgMar w:left="320" w:top="121" w:right="359" w:bottom="1440" w:gutter="0" w:footer="0" w:header="0"/>
        </w:sectPr>
      </w:pPr>
    </w:p>
    <w:bookmarkStart w:id="90" w:name="page91"/>
    <w:bookmarkEnd w:id="9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273"/>
        <w:spacing w:after="0" w:line="269" w:lineRule="auto"/>
        <w:rPr>
          <w:sz w:val="20"/>
          <w:szCs w:val="20"/>
          <w:color w:val="auto"/>
        </w:rPr>
      </w:pPr>
      <w:r>
        <w:rPr>
          <w:rFonts w:ascii="Times New Roman" w:cs="Times New Roman" w:eastAsia="Times New Roman" w:hAnsi="Times New Roman"/>
          <w:sz w:val="15"/>
          <w:szCs w:val="15"/>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01" w:lineRule="exact"/>
        <w:rPr>
          <w:sz w:val="20"/>
          <w:szCs w:val="20"/>
          <w:color w:val="auto"/>
        </w:rPr>
      </w:pPr>
    </w:p>
    <w:p>
      <w:pPr>
        <w:ind w:right="300" w:firstLine="273"/>
        <w:spacing w:after="0" w:line="261" w:lineRule="auto"/>
        <w:rPr>
          <w:sz w:val="20"/>
          <w:szCs w:val="20"/>
          <w:color w:val="auto"/>
        </w:rPr>
      </w:pPr>
      <w:r>
        <w:rPr>
          <w:rFonts w:ascii="Times New Roman" w:cs="Times New Roman" w:eastAsia="Times New Roman" w:hAnsi="Times New Roman"/>
          <w:sz w:val="15"/>
          <w:szCs w:val="15"/>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 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107"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Disclosures About Market Risk</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50" w:lineRule="exact"/>
        <w:rPr>
          <w:sz w:val="20"/>
          <w:szCs w:val="20"/>
          <w:color w:val="auto"/>
        </w:rPr>
      </w:pPr>
    </w:p>
    <w:p>
      <w:pPr>
        <w:ind w:right="180" w:firstLine="273"/>
        <w:spacing w:after="0" w:line="261" w:lineRule="auto"/>
        <w:rPr>
          <w:sz w:val="20"/>
          <w:szCs w:val="20"/>
          <w:color w:val="auto"/>
        </w:rPr>
      </w:pPr>
      <w:r>
        <w:rPr>
          <w:rFonts w:ascii="Times New Roman" w:cs="Times New Roman" w:eastAsia="Times New Roman" w:hAnsi="Times New Roman"/>
          <w:sz w:val="15"/>
          <w:szCs w:val="15"/>
          <w:color w:val="auto"/>
        </w:rPr>
        <w:t>Our cash, cash equivalents and investments as of December 31, 2019 and September 30, 2020 consisted of $86.0 million and $121.5 million, respectively,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1220"/>
          </w:cols>
          <w:pgMar w:left="320" w:top="121" w:right="359" w:bottom="1440" w:gutter="0" w:footer="0" w:header="0"/>
        </w:sectPr>
      </w:pPr>
    </w:p>
    <w:bookmarkStart w:id="91" w:name="page92"/>
    <w:bookmarkEnd w:id="9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09" w:lineRule="exact"/>
        <w:rPr>
          <w:sz w:val="20"/>
          <w:szCs w:val="20"/>
          <w:color w:val="auto"/>
        </w:rPr>
      </w:pPr>
    </w:p>
    <w:p>
      <w:pPr>
        <w:ind w:right="60" w:firstLine="273"/>
        <w:spacing w:after="0" w:line="257" w:lineRule="auto"/>
        <w:rPr>
          <w:sz w:val="20"/>
          <w:szCs w:val="20"/>
          <w:color w:val="auto"/>
        </w:rPr>
      </w:pPr>
      <w:r>
        <w:rPr>
          <w:rFonts w:ascii="Times New Roman" w:cs="Times New Roman" w:eastAsia="Times New Roman" w:hAnsi="Times New Roman"/>
          <w:sz w:val="15"/>
          <w:szCs w:val="15"/>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Times New Roman" w:cs="Times New Roman" w:eastAsia="Times New Roman" w:hAnsi="Times New Roman"/>
          <w:sz w:val="15"/>
          <w:szCs w:val="15"/>
          <w:i w:val="1"/>
          <w:iCs w:val="1"/>
          <w:color w:val="auto"/>
        </w:rPr>
        <w:t>de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novo</w:t>
      </w:r>
      <w:r>
        <w:rPr>
          <w:rFonts w:ascii="Times New Roman" w:cs="Times New Roman" w:eastAsia="Times New Roman" w:hAnsi="Times New Roman"/>
          <w:sz w:val="15"/>
          <w:szCs w:val="15"/>
          <w:color w:val="auto"/>
        </w:rPr>
        <w:t>, or unbiased, approaches require complex, lengthy, and labor- and capital-intensive workflows, which limit their scalability to small, under-powered studies, and require significant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09" w:lineRule="exact"/>
        <w:rPr>
          <w:sz w:val="20"/>
          <w:szCs w:val="20"/>
          <w:color w:val="auto"/>
        </w:rPr>
      </w:pPr>
    </w:p>
    <w:p>
      <w:pPr>
        <w:ind w:firstLine="273"/>
        <w:spacing w:after="0" w:line="255" w:lineRule="auto"/>
        <w:rPr>
          <w:sz w:val="20"/>
          <w:szCs w:val="20"/>
          <w:color w:val="auto"/>
        </w:rPr>
      </w:pPr>
      <w:r>
        <w:rPr>
          <w:rFonts w:ascii="Times New Roman" w:cs="Times New Roman" w:eastAsia="Times New Roman" w:hAnsi="Times New Roman"/>
          <w:sz w:val="15"/>
          <w:szCs w:val="15"/>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1240"/>
          </w:cols>
          <w:pgMar w:left="320" w:top="121" w:right="339" w:bottom="1440" w:gutter="0" w:footer="0" w:header="0"/>
        </w:sectPr>
      </w:pPr>
    </w:p>
    <w:bookmarkStart w:id="92" w:name="page93"/>
    <w:bookmarkEnd w:id="9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273"/>
        <w:spacing w:after="0" w:line="255" w:lineRule="auto"/>
        <w:rPr>
          <w:sz w:val="20"/>
          <w:szCs w:val="20"/>
          <w:color w:val="auto"/>
        </w:rPr>
      </w:pPr>
      <w:r>
        <w:rPr>
          <w:rFonts w:ascii="Times New Roman" w:cs="Times New Roman" w:eastAsia="Times New Roman" w:hAnsi="Times New Roman"/>
          <w:sz w:val="15"/>
          <w:szCs w:val="15"/>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pending any COVID-19-related delays.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Importance of Proteomics</w:t>
      </w:r>
    </w:p>
    <w:p>
      <w:pPr>
        <w:spacing w:after="0" w:line="150"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90</w:t>
      </w:r>
    </w:p>
    <w:p>
      <w:pPr>
        <w:sectPr>
          <w:pgSz w:w="11900" w:h="16838" w:orient="portrait"/>
          <w:cols w:equalWidth="0" w:num="1">
            <w:col w:w="11200"/>
          </w:cols>
          <w:pgMar w:left="320" w:top="121" w:right="379" w:bottom="1440" w:gutter="0" w:footer="0" w:header="0"/>
        </w:sectPr>
      </w:pPr>
    </w:p>
    <w:bookmarkStart w:id="93" w:name="page94"/>
    <w:bookmarkEnd w:id="9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681355</wp:posOffset>
            </wp:positionV>
            <wp:extent cx="4500245" cy="1744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00245" cy="174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Challenges of Accessing the Proteome</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1407795</wp:posOffset>
            </wp:positionH>
            <wp:positionV relativeFrom="paragraph">
              <wp:posOffset>80645</wp:posOffset>
            </wp:positionV>
            <wp:extent cx="4326890" cy="1759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26890" cy="175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Image from Isabell Bludau et al. Proteomic and interactomic insights into the molecular basis of cell functional diversity. </w:t>
      </w:r>
      <w:r>
        <w:rPr>
          <w:rFonts w:ascii="Times New Roman" w:cs="Times New Roman" w:eastAsia="Times New Roman" w:hAnsi="Times New Roman"/>
          <w:sz w:val="12"/>
          <w:szCs w:val="12"/>
          <w:i w:val="1"/>
          <w:iCs w:val="1"/>
          <w:color w:val="auto"/>
        </w:rPr>
        <w:t>Nature Reviews Molecular Cell Biology</w:t>
      </w:r>
      <w:r>
        <w:rPr>
          <w:rFonts w:ascii="Times New Roman" w:cs="Times New Roman" w:eastAsia="Times New Roman" w:hAnsi="Times New Roman"/>
          <w:sz w:val="12"/>
          <w:szCs w:val="12"/>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1200"/>
          </w:cols>
          <w:pgMar w:left="320" w:top="121" w:right="379" w:bottom="1440" w:gutter="0" w:footer="0" w:header="0"/>
        </w:sectPr>
      </w:pPr>
    </w:p>
    <w:bookmarkStart w:id="94" w:name="page95"/>
    <w:bookmarkEnd w:id="9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Limitations of Biased Approaches to Proteomics</w:t>
      </w:r>
    </w:p>
    <w:p>
      <w:pPr>
        <w:spacing w:after="0" w:line="148" w:lineRule="exact"/>
        <w:rPr>
          <w:sz w:val="20"/>
          <w:szCs w:val="20"/>
          <w:color w:val="auto"/>
        </w:rPr>
      </w:pPr>
    </w:p>
    <w:p>
      <w:pPr>
        <w:ind w:firstLine="273"/>
        <w:spacing w:after="0" w:line="255" w:lineRule="auto"/>
        <w:rPr>
          <w:sz w:val="20"/>
          <w:szCs w:val="20"/>
          <w:color w:val="auto"/>
        </w:rPr>
      </w:pPr>
      <w:r>
        <w:rPr>
          <w:rFonts w:ascii="Times New Roman" w:cs="Times New Roman" w:eastAsia="Times New Roman" w:hAnsi="Times New Roman"/>
          <w:sz w:val="15"/>
          <w:szCs w:val="15"/>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1681480</wp:posOffset>
            </wp:positionH>
            <wp:positionV relativeFrom="paragraph">
              <wp:posOffset>83185</wp:posOffset>
            </wp:positionV>
            <wp:extent cx="3785870" cy="1795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85870" cy="179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Limitations of Current Unbiased Approaches to Proteomics</w:t>
      </w:r>
    </w:p>
    <w:p>
      <w:pPr>
        <w:spacing w:after="0" w:line="148"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92</w:t>
      </w:r>
    </w:p>
    <w:p>
      <w:pPr>
        <w:sectPr>
          <w:pgSz w:w="11900" w:h="16838" w:orient="portrait"/>
          <w:cols w:equalWidth="0" w:num="1">
            <w:col w:w="11220"/>
          </w:cols>
          <w:pgMar w:left="320" w:top="121" w:right="359" w:bottom="1440" w:gutter="0" w:footer="0" w:header="0"/>
        </w:sectPr>
      </w:pPr>
    </w:p>
    <w:bookmarkStart w:id="95" w:name="page96"/>
    <w:bookmarkEnd w:id="9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101600</wp:posOffset>
            </wp:positionV>
            <wp:extent cx="3606165" cy="1593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06165" cy="159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firstLine="273"/>
        <w:spacing w:after="0" w:line="258" w:lineRule="auto"/>
        <w:rPr>
          <w:sz w:val="20"/>
          <w:szCs w:val="20"/>
          <w:color w:val="auto"/>
        </w:rPr>
      </w:pPr>
      <w:r>
        <w:rPr>
          <w:rFonts w:ascii="Times New Roman" w:cs="Times New Roman" w:eastAsia="Times New Roman" w:hAnsi="Times New Roman"/>
          <w:sz w:val="15"/>
          <w:szCs w:val="15"/>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Times New Roman" w:cs="Times New Roman" w:eastAsia="Times New Roman" w:hAnsi="Times New Roman"/>
          <w:sz w:val="15"/>
          <w:szCs w:val="15"/>
          <w:i w:val="1"/>
          <w:iCs w:val="1"/>
          <w:color w:val="auto"/>
        </w:rPr>
        <w:t>Keshishian, H. et al.</w:t>
      </w:r>
      <w:r>
        <w:rPr>
          <w:rFonts w:ascii="Times New Roman" w:cs="Times New Roman" w:eastAsia="Times New Roman" w:hAnsi="Times New Roman"/>
          <w:sz w:val="15"/>
          <w:szCs w:val="15"/>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10" w:lineRule="exact"/>
        <w:rPr>
          <w:sz w:val="20"/>
          <w:szCs w:val="20"/>
          <w:color w:val="auto"/>
        </w:rPr>
      </w:pPr>
    </w:p>
    <w:p>
      <w:pPr>
        <w:ind w:right="20" w:firstLine="273"/>
        <w:spacing w:after="0" w:line="269" w:lineRule="auto"/>
        <w:rPr>
          <w:sz w:val="20"/>
          <w:szCs w:val="20"/>
          <w:color w:val="auto"/>
        </w:rPr>
      </w:pPr>
      <w:r>
        <w:rPr>
          <w:rFonts w:ascii="Times New Roman" w:cs="Times New Roman" w:eastAsia="Times New Roman" w:hAnsi="Times New Roman"/>
          <w:sz w:val="15"/>
          <w:szCs w:val="15"/>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Background of Massively Parallel Sampling</w:t>
      </w:r>
    </w:p>
    <w:p>
      <w:pPr>
        <w:spacing w:after="0" w:line="148"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93</w:t>
      </w:r>
    </w:p>
    <w:p>
      <w:pPr>
        <w:sectPr>
          <w:pgSz w:w="11900" w:h="16838" w:orient="portrait"/>
          <w:cols w:equalWidth="0" w:num="1">
            <w:col w:w="11200"/>
          </w:cols>
          <w:pgMar w:left="320" w:top="121" w:right="379" w:bottom="1440" w:gutter="0" w:footer="0" w:header="0"/>
        </w:sectPr>
      </w:pPr>
    </w:p>
    <w:bookmarkStart w:id="96" w:name="page97"/>
    <w:bookmarkEnd w:id="9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Proprietary Engineered Nanoparticle Technology</w:t>
      </w:r>
    </w:p>
    <w:p>
      <w:pPr>
        <w:spacing w:after="0" w:line="150" w:lineRule="exact"/>
        <w:rPr>
          <w:sz w:val="20"/>
          <w:szCs w:val="20"/>
          <w:color w:val="auto"/>
        </w:rPr>
      </w:pPr>
    </w:p>
    <w:p>
      <w:pPr>
        <w:ind w:right="300" w:firstLine="273"/>
        <w:spacing w:after="0" w:line="264" w:lineRule="auto"/>
        <w:rPr>
          <w:sz w:val="20"/>
          <w:szCs w:val="20"/>
          <w:color w:val="auto"/>
        </w:rPr>
      </w:pPr>
      <w:r>
        <w:rPr>
          <w:rFonts w:ascii="Times New Roman" w:cs="Times New Roman" w:eastAsia="Times New Roman" w:hAnsi="Times New Roman"/>
          <w:sz w:val="15"/>
          <w:szCs w:val="15"/>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04"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78740</wp:posOffset>
            </wp:positionV>
            <wp:extent cx="4500245" cy="1543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0024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94</w:t>
      </w:r>
    </w:p>
    <w:p>
      <w:pPr>
        <w:sectPr>
          <w:pgSz w:w="11900" w:h="16838" w:orient="portrait"/>
          <w:cols w:equalWidth="0" w:num="1">
            <w:col w:w="11240"/>
          </w:cols>
          <w:pgMar w:left="320" w:top="121" w:right="339" w:bottom="1440" w:gutter="0" w:footer="0" w:header="0"/>
        </w:sectPr>
      </w:pPr>
    </w:p>
    <w:bookmarkStart w:id="97" w:name="page98"/>
    <w:bookmarkEnd w:id="9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firstLine="273"/>
        <w:spacing w:after="0" w:line="286" w:lineRule="auto"/>
        <w:rPr>
          <w:sz w:val="20"/>
          <w:szCs w:val="20"/>
          <w:color w:val="auto"/>
        </w:rPr>
      </w:pPr>
      <w:r>
        <w:rPr>
          <w:rFonts w:ascii="Times New Roman" w:cs="Times New Roman" w:eastAsia="Times New Roman" w:hAnsi="Times New Roman"/>
          <w:sz w:val="15"/>
          <w:szCs w:val="15"/>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65405</wp:posOffset>
            </wp:positionV>
            <wp:extent cx="4500245" cy="2272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024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NPs enable the unique capabilities of our Proteograph Product Suite, including the ability to:</w:t>
      </w:r>
    </w:p>
    <w:p>
      <w:pPr>
        <w:spacing w:after="0" w:line="146" w:lineRule="exact"/>
        <w:rPr>
          <w:sz w:val="20"/>
          <w:szCs w:val="20"/>
          <w:color w:val="auto"/>
        </w:rPr>
      </w:pPr>
    </w:p>
    <w:p>
      <w:pPr>
        <w:ind w:left="540" w:hanging="277"/>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eliminate complex biofluid processing workflows required by other unbiased proteomic approaches;</w:t>
      </w:r>
    </w:p>
    <w:p>
      <w:pPr>
        <w:spacing w:after="0" w:line="145" w:lineRule="exact"/>
        <w:rPr>
          <w:rFonts w:ascii="Times New Roman" w:cs="Times New Roman" w:eastAsia="Times New Roman" w:hAnsi="Times New Roman"/>
          <w:sz w:val="15"/>
          <w:szCs w:val="15"/>
          <w:color w:val="auto"/>
        </w:rPr>
      </w:pPr>
    </w:p>
    <w:p>
      <w:pPr>
        <w:ind w:left="540" w:right="180" w:hanging="277"/>
        <w:spacing w:after="0" w:line="286" w:lineRule="auto"/>
        <w:tabs>
          <w:tab w:leader="none" w:pos="536"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distinguish protein variants at the peptide level;</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quantify protein variants and PPIs;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machine learning to design, synthesize and select different NPs and NP panels to create multiple products and applications;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compatible across a wide range of laboratory workflows, automation equipment and sample processing and detection methods, lowering the hurdle for product adoption.</w:t>
      </w:r>
    </w:p>
    <w:p>
      <w:pPr>
        <w:spacing w:after="0" w:line="146"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Times New Roman" w:cs="Times New Roman" w:eastAsia="Times New Roman" w:hAnsi="Times New Roman"/>
          <w:sz w:val="15"/>
          <w:szCs w:val="15"/>
          <w:i w:val="1"/>
          <w:iCs w:val="1"/>
          <w:color w:val="auto"/>
        </w:rPr>
        <w:t>Nature Communications</w:t>
      </w:r>
      <w:r>
        <w:rPr>
          <w:rFonts w:ascii="Times New Roman" w:cs="Times New Roman" w:eastAsia="Times New Roman" w:hAnsi="Times New Roman"/>
          <w:sz w:val="15"/>
          <w:szCs w:val="15"/>
          <w:color w:val="auto"/>
        </w:rPr>
        <w:t xml:space="preserve"> (Blume et al.), we demonstrated a rapid, deep and precise profiling of the plasma proteome with our proprietary engineered NP technology.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Proteograph Product Suite</w:t>
      </w:r>
    </w:p>
    <w:p>
      <w:pPr>
        <w:spacing w:after="0" w:line="15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95</w:t>
      </w:r>
    </w:p>
    <w:p>
      <w:pPr>
        <w:sectPr>
          <w:pgSz w:w="11900" w:h="16838" w:orient="portrait"/>
          <w:cols w:equalWidth="0" w:num="1">
            <w:col w:w="11180"/>
          </w:cols>
          <w:pgMar w:left="320" w:top="121" w:right="399" w:bottom="1440" w:gutter="0" w:footer="0" w:header="0"/>
        </w:sectPr>
      </w:pPr>
    </w:p>
    <w:bookmarkStart w:id="98" w:name="page99"/>
    <w:bookmarkEnd w:id="9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79375</wp:posOffset>
            </wp:positionV>
            <wp:extent cx="4500245" cy="14712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00245" cy="147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Consumables</w:t>
      </w:r>
    </w:p>
    <w:p>
      <w:pPr>
        <w:spacing w:after="0" w:line="150"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78740</wp:posOffset>
            </wp:positionV>
            <wp:extent cx="1731010" cy="1882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31010"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96</w:t>
      </w:r>
    </w:p>
    <w:p>
      <w:pPr>
        <w:sectPr>
          <w:pgSz w:w="11900" w:h="16838" w:orient="portrait"/>
          <w:cols w:equalWidth="0" w:num="1">
            <w:col w:w="11200"/>
          </w:cols>
          <w:pgMar w:left="320" w:top="121" w:right="379" w:bottom="1440" w:gutter="0" w:footer="0" w:header="0"/>
        </w:sectPr>
      </w:pPr>
    </w:p>
    <w:bookmarkStart w:id="99" w:name="page100"/>
    <w:bookmarkEnd w:id="9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Automation Instrument</w:t>
      </w:r>
    </w:p>
    <w:p>
      <w:pPr>
        <w:spacing w:after="0" w:line="150"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76835</wp:posOffset>
            </wp:positionV>
            <wp:extent cx="1983105" cy="149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3105" cy="149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 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Software</w:t>
      </w:r>
    </w:p>
    <w:p>
      <w:pPr>
        <w:spacing w:after="0" w:line="150" w:lineRule="exact"/>
        <w:rPr>
          <w:sz w:val="20"/>
          <w:szCs w:val="20"/>
          <w:color w:val="auto"/>
        </w:rPr>
      </w:pPr>
    </w:p>
    <w:p>
      <w:pPr>
        <w:ind w:right="140" w:firstLine="273"/>
        <w:spacing w:after="0" w:line="261" w:lineRule="auto"/>
        <w:rPr>
          <w:sz w:val="20"/>
          <w:szCs w:val="20"/>
          <w:color w:val="auto"/>
        </w:rPr>
      </w:pPr>
      <w:r>
        <w:rPr>
          <w:rFonts w:ascii="Times New Roman" w:cs="Times New Roman" w:eastAsia="Times New Roman" w:hAnsi="Times New Roman"/>
          <w:sz w:val="15"/>
          <w:szCs w:val="15"/>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 adoption among non-proteomic experts by providing an intuitive user interface that automates and simplifies data handling, processing and analysis, and which provides access to a scalable infrastructure.</w:t>
      </w:r>
    </w:p>
    <w:p>
      <w:pPr>
        <w:spacing w:after="0" w:line="107"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ectPr>
          <w:pgSz w:w="11900" w:h="16838" w:orient="portrait"/>
          <w:cols w:equalWidth="0" w:num="1">
            <w:col w:w="11260"/>
          </w:cols>
          <w:pgMar w:left="320" w:top="121" w:right="319" w:bottom="1440" w:gutter="0" w:footer="0" w:header="0"/>
        </w:sectPr>
      </w:pPr>
    </w:p>
    <w:bookmarkStart w:id="100" w:name="page101"/>
    <w:bookmarkEnd w:id="10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60"/>
        <w:spacing w:after="0" w:line="269" w:lineRule="auto"/>
        <w:rPr>
          <w:sz w:val="20"/>
          <w:szCs w:val="20"/>
          <w:color w:val="auto"/>
        </w:rPr>
      </w:pPr>
      <w:r>
        <w:rPr>
          <w:rFonts w:ascii="Times New Roman" w:cs="Times New Roman" w:eastAsia="Times New Roman" w:hAnsi="Times New Roman"/>
          <w:sz w:val="15"/>
          <w:szCs w:val="15"/>
          <w:color w:val="auto"/>
        </w:rPr>
        <w:t>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01"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From Sample to Data Using our Proteograph Product Suite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Proteomic analysis using our Proteograph Product Suite has five primary steps:</w:t>
      </w:r>
    </w:p>
    <w:p>
      <w:pPr>
        <w:spacing w:after="0" w:line="144" w:lineRule="exact"/>
        <w:rPr>
          <w:sz w:val="20"/>
          <w:szCs w:val="20"/>
          <w:color w:val="auto"/>
        </w:rPr>
      </w:pPr>
    </w:p>
    <w:p>
      <w:pPr>
        <w:ind w:left="540" w:right="80" w:hanging="277"/>
        <w:spacing w:after="0" w:line="271" w:lineRule="auto"/>
        <w:tabs>
          <w:tab w:leader="none" w:pos="5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Particle-Matrix Association</w:t>
      </w:r>
      <w:r>
        <w:rPr>
          <w:rFonts w:ascii="Times New Roman" w:cs="Times New Roman" w:eastAsia="Times New Roman" w:hAnsi="Times New Roman"/>
          <w:sz w:val="15"/>
          <w:szCs w:val="15"/>
          <w:color w:val="auto"/>
        </w:rPr>
        <w:t>. NPs can be mixed with a wide variety of soluble biological sample types (matrices), including cell or tissue homogenates, blood or blood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97"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Particle Wash</w:t>
      </w:r>
      <w:r>
        <w:rPr>
          <w:rFonts w:ascii="Times New Roman" w:cs="Times New Roman" w:eastAsia="Times New Roman" w:hAnsi="Times New Roman"/>
          <w:sz w:val="15"/>
          <w:szCs w:val="15"/>
          <w:color w:val="auto"/>
        </w:rPr>
        <w:t>. NPs are then captured by a magnetic field, after which they undergo repeated cycles of wash with buffer to remove unbound, or loosely bound, proteins.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In-plate Digestion</w:t>
      </w:r>
      <w:r>
        <w:rPr>
          <w:rFonts w:ascii="Times New Roman" w:cs="Times New Roman" w:eastAsia="Times New Roman" w:hAnsi="Times New Roman"/>
          <w:sz w:val="15"/>
          <w:szCs w:val="15"/>
          <w:color w:val="auto"/>
        </w:rPr>
        <w:t>. Washed NPs are subject to enzymatic digestion to generate peptides, which are collected, quantified, dried and ready for subsequent MS analysis.</w:t>
      </w:r>
    </w:p>
    <w:p>
      <w:pPr>
        <w:spacing w:after="0" w:line="145" w:lineRule="exact"/>
        <w:rPr>
          <w:rFonts w:ascii="Times New Roman" w:cs="Times New Roman" w:eastAsia="Times New Roman" w:hAnsi="Times New Roman"/>
          <w:sz w:val="15"/>
          <w:szCs w:val="15"/>
          <w:color w:val="auto"/>
        </w:rPr>
      </w:pPr>
    </w:p>
    <w:p>
      <w:pPr>
        <w:ind w:left="540" w:right="180" w:hanging="277"/>
        <w:spacing w:after="0" w:line="289" w:lineRule="auto"/>
        <w:tabs>
          <w:tab w:leader="none" w:pos="5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Mass Spectrometry</w:t>
      </w:r>
      <w:r>
        <w:rPr>
          <w:rFonts w:ascii="Times New Roman" w:cs="Times New Roman" w:eastAsia="Times New Roman" w:hAnsi="Times New Roman"/>
          <w:sz w:val="15"/>
          <w:szCs w:val="15"/>
          <w:color w:val="auto"/>
        </w:rPr>
        <w:t>. The researcher prepares the digested peptides for measurement by dissolution in appropriate peptide reconstitution buffer suitable for MS injection, at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volume and concentration that meets the researcher’s MS instrument and liquid chromatography gradient requirements.</w:t>
      </w:r>
    </w:p>
    <w:p>
      <w:pPr>
        <w:spacing w:after="0" w:line="84" w:lineRule="exact"/>
        <w:rPr>
          <w:rFonts w:ascii="Times New Roman" w:cs="Times New Roman" w:eastAsia="Times New Roman" w:hAnsi="Times New Roman"/>
          <w:sz w:val="15"/>
          <w:szCs w:val="15"/>
          <w:color w:val="auto"/>
        </w:rPr>
      </w:pPr>
    </w:p>
    <w:p>
      <w:pPr>
        <w:ind w:left="540" w:right="320" w:hanging="277"/>
        <w:spacing w:after="0" w:line="289" w:lineRule="auto"/>
        <w:tabs>
          <w:tab w:leader="none" w:pos="5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Data analysis. </w:t>
      </w:r>
      <w:r>
        <w:rPr>
          <w:rFonts w:ascii="Times New Roman" w:cs="Times New Roman" w:eastAsia="Times New Roman" w:hAnsi="Times New Roman"/>
          <w:sz w:val="15"/>
          <w:szCs w:val="15"/>
          <w:color w:val="auto"/>
        </w:rPr>
        <w:t>After data acquisition, typical MS analysis methods are employed within our Proteograph software to identify and quantify the peptides and proteins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sample. Quality control metrics are reported for the MS sample data, sample data summaries and output files are created, and initial cross-sample analyses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6350</wp:posOffset>
            </wp:positionV>
            <wp:extent cx="4146550" cy="1723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4655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98</w:t>
      </w:r>
    </w:p>
    <w:p>
      <w:pPr>
        <w:sectPr>
          <w:pgSz w:w="11900" w:h="16838" w:orient="portrait"/>
          <w:cols w:equalWidth="0" w:num="1">
            <w:col w:w="11140"/>
          </w:cols>
          <w:pgMar w:left="320" w:top="121" w:right="439" w:bottom="1440" w:gutter="0" w:footer="0" w:header="0"/>
        </w:sectPr>
      </w:pPr>
    </w:p>
    <w:bookmarkStart w:id="101" w:name="page102"/>
    <w:bookmarkEnd w:id="10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0" w:firstLine="273"/>
        <w:spacing w:after="0" w:line="269" w:lineRule="auto"/>
        <w:rPr>
          <w:sz w:val="20"/>
          <w:szCs w:val="20"/>
          <w:color w:val="auto"/>
        </w:rPr>
      </w:pPr>
      <w:r>
        <w:rPr>
          <w:rFonts w:ascii="Times New Roman" w:cs="Times New Roman" w:eastAsia="Times New Roman" w:hAnsi="Times New Roman"/>
          <w:sz w:val="15"/>
          <w:szCs w:val="15"/>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1407795</wp:posOffset>
            </wp:positionH>
            <wp:positionV relativeFrom="paragraph">
              <wp:posOffset>73660</wp:posOffset>
            </wp:positionV>
            <wp:extent cx="4326890" cy="1845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26890" cy="184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Proteograph Product Suite Performance</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03" w:lineRule="exact"/>
        <w:rPr>
          <w:sz w:val="20"/>
          <w:szCs w:val="20"/>
          <w:color w:val="auto"/>
        </w:rPr>
      </w:pPr>
    </w:p>
    <w:p>
      <w:pPr>
        <w:ind w:left="540" w:hanging="277"/>
        <w:spacing w:after="0" w:line="262" w:lineRule="auto"/>
        <w:tabs>
          <w:tab w:leader="none" w:pos="536"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Breadth of protein sampling. </w:t>
      </w:r>
      <w:r>
        <w:rPr>
          <w:rFonts w:ascii="Times New Roman" w:cs="Times New Roman" w:eastAsia="Times New Roman" w:hAnsi="Times New Roman"/>
          <w:sz w:val="15"/>
          <w:szCs w:val="15"/>
          <w:color w:val="auto"/>
        </w:rPr>
        <w:t>Breadth of protein sampling refers to our Proteograph Product Suite’s ability to conduct unbiased, highly parallel sampling of the proteome across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99</w:t>
      </w:r>
    </w:p>
    <w:p>
      <w:pPr>
        <w:sectPr>
          <w:pgSz w:w="11900" w:h="16838" w:orient="portrait"/>
          <w:cols w:equalWidth="0" w:num="1">
            <w:col w:w="11220"/>
          </w:cols>
          <w:pgMar w:left="320" w:top="121" w:right="359" w:bottom="1440" w:gutter="0" w:footer="0" w:header="0"/>
        </w:sectPr>
      </w:pPr>
    </w:p>
    <w:bookmarkStart w:id="102" w:name="page103"/>
    <w:bookmarkEnd w:id="10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360"/>
        <w:spacing w:after="0" w:line="286" w:lineRule="auto"/>
        <w:rPr>
          <w:sz w:val="20"/>
          <w:szCs w:val="20"/>
          <w:color w:val="auto"/>
        </w:rPr>
      </w:pPr>
      <w:r>
        <w:rPr>
          <w:rFonts w:ascii="Times New Roman" w:cs="Times New Roman" w:eastAsia="Times New Roman" w:hAnsi="Times New Roman"/>
          <w:sz w:val="15"/>
          <w:szCs w:val="15"/>
          <w:color w:val="auto"/>
        </w:rPr>
        <w:t>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65405</wp:posOffset>
            </wp:positionV>
            <wp:extent cx="1082040" cy="2689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82040" cy="268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00" w:lineRule="exact"/>
        <w:rPr>
          <w:sz w:val="20"/>
          <w:szCs w:val="20"/>
          <w:color w:val="auto"/>
        </w:rPr>
      </w:pPr>
    </w:p>
    <w:p>
      <w:pPr>
        <w:ind w:left="540" w:hanging="277"/>
        <w:spacing w:after="0" w:line="259" w:lineRule="auto"/>
        <w:tabs>
          <w:tab w:leader="none" w:pos="53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Depth of coverage. </w:t>
      </w:r>
      <w:r>
        <w:rPr>
          <w:rFonts w:ascii="Times New Roman" w:cs="Times New Roman" w:eastAsia="Times New Roman" w:hAnsi="Times New Roman"/>
          <w:sz w:val="15"/>
          <w:szCs w:val="15"/>
          <w:color w:val="auto"/>
        </w:rPr>
        <w:t>Depth of coverage refers to our Proteograph’s ability to evaluate the proteome across the wide dynamic range of abundance of proteins. The range from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100</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101600</wp:posOffset>
            </wp:positionV>
            <wp:extent cx="3606165" cy="2618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06165" cy="261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80" w:hanging="277"/>
        <w:spacing w:after="0" w:line="259" w:lineRule="auto"/>
        <w:tabs>
          <w:tab w:leader="none" w:pos="27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Accuracy of measurement. </w:t>
      </w:r>
      <w:r>
        <w:rPr>
          <w:rFonts w:ascii="Times New Roman" w:cs="Times New Roman" w:eastAsia="Times New Roman" w:hAnsi="Times New Roman"/>
          <w:sz w:val="15"/>
          <w:szCs w:val="15"/>
          <w:color w:val="auto"/>
        </w:rPr>
        <w:t>Accuracy refers to how close the measured abundance of a protein is to the true abundance in a sample. Accuracy of protein abundance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101</w:t>
      </w:r>
    </w:p>
    <w:p>
      <w:pPr>
        <w:sectPr>
          <w:pgSz w:w="11900" w:h="16838" w:orient="portrait"/>
          <w:cols w:equalWidth="0" w:num="1">
            <w:col w:w="11000"/>
          </w:cols>
          <w:pgMar w:left="580" w:top="121" w:right="319" w:bottom="1440" w:gutter="0" w:footer="0" w:header="0"/>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2324100</wp:posOffset>
            </wp:positionH>
            <wp:positionV relativeFrom="paragraph">
              <wp:posOffset>681355</wp:posOffset>
            </wp:positionV>
            <wp:extent cx="2163445" cy="1802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3445" cy="180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hanging="277"/>
        <w:spacing w:after="0" w:line="257" w:lineRule="auto"/>
        <w:tabs>
          <w:tab w:leader="none" w:pos="276"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Precision of measurement. </w:t>
      </w:r>
      <w:r>
        <w:rPr>
          <w:rFonts w:ascii="Times New Roman" w:cs="Times New Roman" w:eastAsia="Times New Roman" w:hAnsi="Times New Roman"/>
          <w:sz w:val="15"/>
          <w:szCs w:val="15"/>
          <w:color w:val="auto"/>
        </w:rPr>
        <w:t>Precision refers to how close several measurements of protein abundance in the same sample are to each other. Less precision in the measurement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81280</wp:posOffset>
            </wp:positionV>
            <wp:extent cx="1442085" cy="2221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20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102</w:t>
      </w:r>
    </w:p>
    <w:p>
      <w:pPr>
        <w:sectPr>
          <w:pgSz w:w="11900" w:h="16838" w:orient="portrait"/>
          <w:cols w:equalWidth="0" w:num="1">
            <w:col w:w="11000"/>
          </w:cols>
          <w:pgMar w:left="580" w:top="121" w:right="319" w:bottom="1440" w:gutter="0" w:footer="0" w:header="0"/>
        </w:sectPr>
      </w:pPr>
    </w:p>
    <w:bookmarkStart w:id="105" w:name="page106"/>
    <w:bookmarkEnd w:id="10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right="20" w:hanging="277"/>
        <w:spacing w:after="0" w:line="257" w:lineRule="auto"/>
        <w:tabs>
          <w:tab w:leader="none" w:pos="536"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Rapid and large-scale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Proteograph enables rapid and large-scale proteomic sample processing in a seven-hour workflow, compared to other unbiased solutions that can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Times New Roman" w:cs="Times New Roman" w:eastAsia="Times New Roman" w:hAnsi="Times New Roman"/>
          <w:sz w:val="15"/>
          <w:szCs w:val="15"/>
          <w:i w:val="1"/>
          <w:iCs w:val="1"/>
          <w:color w:val="auto"/>
        </w:rPr>
        <w:t>Nature Communications</w:t>
      </w:r>
      <w:r>
        <w:rPr>
          <w:rFonts w:ascii="Times New Roman" w:cs="Times New Roman" w:eastAsia="Times New Roman" w:hAnsi="Times New Roman"/>
          <w:sz w:val="15"/>
          <w:szCs w:val="15"/>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10"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Markets</w:t>
      </w:r>
    </w:p>
    <w:p>
      <w:pPr>
        <w:spacing w:after="0" w:line="150" w:lineRule="exact"/>
        <w:rPr>
          <w:sz w:val="20"/>
          <w:szCs w:val="20"/>
          <w:color w:val="auto"/>
        </w:rPr>
      </w:pPr>
    </w:p>
    <w:p>
      <w:pPr>
        <w:ind w:right="40" w:firstLine="273"/>
        <w:spacing w:after="0" w:line="259" w:lineRule="auto"/>
        <w:rPr>
          <w:sz w:val="20"/>
          <w:szCs w:val="20"/>
          <w:color w:val="auto"/>
        </w:rPr>
      </w:pPr>
      <w:r>
        <w:rPr>
          <w:rFonts w:ascii="Times New Roman" w:cs="Times New Roman" w:eastAsia="Times New Roman" w:hAnsi="Times New Roman"/>
          <w:sz w:val="15"/>
          <w:szCs w:val="15"/>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10" w:lineRule="exact"/>
        <w:rPr>
          <w:sz w:val="20"/>
          <w:szCs w:val="20"/>
          <w:color w:val="auto"/>
        </w:rPr>
      </w:pPr>
    </w:p>
    <w:p>
      <w:pPr>
        <w:ind w:firstLine="273"/>
        <w:spacing w:after="0" w:line="255" w:lineRule="auto"/>
        <w:rPr>
          <w:sz w:val="20"/>
          <w:szCs w:val="20"/>
          <w:color w:val="auto"/>
        </w:rPr>
      </w:pPr>
      <w:r>
        <w:rPr>
          <w:rFonts w:ascii="Times New Roman" w:cs="Times New Roman" w:eastAsia="Times New Roman" w:hAnsi="Times New Roman"/>
          <w:sz w:val="15"/>
          <w:szCs w:val="15"/>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ectPr>
          <w:pgSz w:w="11900" w:h="16838" w:orient="portrait"/>
          <w:cols w:equalWidth="0" w:num="1">
            <w:col w:w="11260"/>
          </w:cols>
          <w:pgMar w:left="320" w:top="121" w:right="319" w:bottom="1440" w:gutter="0" w:footer="0" w:header="0"/>
        </w:sectPr>
      </w:pPr>
    </w:p>
    <w:bookmarkStart w:id="106" w:name="page107"/>
    <w:bookmarkEnd w:id="10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681355</wp:posOffset>
            </wp:positionV>
            <wp:extent cx="4500245" cy="17595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00245" cy="175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Proteomics</w:t>
      </w:r>
    </w:p>
    <w:p>
      <w:pPr>
        <w:spacing w:after="0" w:line="150" w:lineRule="exact"/>
        <w:rPr>
          <w:sz w:val="20"/>
          <w:szCs w:val="20"/>
          <w:color w:val="auto"/>
        </w:rPr>
      </w:pPr>
    </w:p>
    <w:p>
      <w:pPr>
        <w:ind w:right="80" w:firstLine="273"/>
        <w:spacing w:after="0" w:line="256" w:lineRule="auto"/>
        <w:rPr>
          <w:sz w:val="20"/>
          <w:szCs w:val="20"/>
          <w:color w:val="auto"/>
        </w:rPr>
      </w:pPr>
      <w:r>
        <w:rPr>
          <w:rFonts w:ascii="Times New Roman" w:cs="Times New Roman" w:eastAsia="Times New Roman" w:hAnsi="Times New Roman"/>
          <w:sz w:val="15"/>
          <w:szCs w:val="15"/>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Times New Roman" w:cs="Times New Roman" w:eastAsia="Times New Roman" w:hAnsi="Times New Roman"/>
          <w:sz w:val="15"/>
          <w:szCs w:val="15"/>
          <w:i w:val="1"/>
          <w:iCs w:val="1"/>
          <w:color w:val="auto"/>
        </w:rPr>
        <w:t>de novo</w:t>
      </w:r>
      <w:r>
        <w:rPr>
          <w:rFonts w:ascii="Times New Roman" w:cs="Times New Roman" w:eastAsia="Times New Roman" w:hAnsi="Times New Roman"/>
          <w:sz w:val="15"/>
          <w:szCs w:val="15"/>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Genomics</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 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104</w:t>
      </w:r>
    </w:p>
    <w:p>
      <w:pPr>
        <w:sectPr>
          <w:pgSz w:w="11900" w:h="16838" w:orient="portrait"/>
          <w:cols w:equalWidth="0" w:num="1">
            <w:col w:w="11260"/>
          </w:cols>
          <w:pgMar w:left="320" w:top="121" w:right="319" w:bottom="1440" w:gutter="0" w:footer="0" w:header="0"/>
        </w:sectPr>
      </w:pPr>
    </w:p>
    <w:bookmarkStart w:id="107" w:name="page108"/>
    <w:bookmarkEnd w:id="107"/>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New Markets</w:t>
      </w:r>
    </w:p>
    <w:p>
      <w:pPr>
        <w:spacing w:after="0" w:line="150" w:lineRule="exact"/>
        <w:rPr>
          <w:sz w:val="20"/>
          <w:szCs w:val="20"/>
          <w:color w:val="auto"/>
        </w:rPr>
      </w:pPr>
    </w:p>
    <w:p>
      <w:pPr>
        <w:ind w:left="9" w:firstLine="273"/>
        <w:spacing w:after="0" w:line="258" w:lineRule="auto"/>
        <w:rPr>
          <w:sz w:val="20"/>
          <w:szCs w:val="20"/>
          <w:color w:val="auto"/>
        </w:rPr>
      </w:pPr>
      <w:r>
        <w:rPr>
          <w:rFonts w:ascii="Times New Roman" w:cs="Times New Roman" w:eastAsia="Times New Roman" w:hAnsi="Times New Roman"/>
          <w:sz w:val="15"/>
          <w:szCs w:val="15"/>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0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The Advantages of Our Proteograph Product Suite</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We believe our Proteograph Product Suite and its underlying NP technology have the following advantages:</w:t>
      </w:r>
    </w:p>
    <w:p>
      <w:pPr>
        <w:spacing w:after="0" w:line="142" w:lineRule="exact"/>
        <w:rPr>
          <w:sz w:val="20"/>
          <w:szCs w:val="20"/>
          <w:color w:val="auto"/>
        </w:rPr>
      </w:pPr>
    </w:p>
    <w:p>
      <w:pPr>
        <w:ind w:left="269" w:right="200" w:hanging="269"/>
        <w:spacing w:after="0" w:line="262" w:lineRule="auto"/>
        <w:tabs>
          <w:tab w:leader="none" w:pos="265"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Times New Roman" w:cs="Times New Roman" w:eastAsia="Times New Roman" w:hAnsi="Times New Roman"/>
          <w:sz w:val="15"/>
          <w:szCs w:val="15"/>
          <w:color w:val="auto"/>
        </w:rPr>
        <w:t>While other proteomics technologies exist today, we believe that our Proteograph is the first and only product to provide the combination of these four attributes in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77470</wp:posOffset>
            </wp:positionV>
            <wp:extent cx="4500245" cy="2047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00245" cy="204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9" w:hanging="269"/>
        <w:spacing w:after="0" w:line="259" w:lineRule="auto"/>
        <w:tabs>
          <w:tab w:leader="none" w:pos="265"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Times New Roman" w:cs="Times New Roman" w:eastAsia="Times New Roman" w:hAnsi="Times New Roman"/>
          <w:sz w:val="15"/>
          <w:szCs w:val="15"/>
          <w:color w:val="auto"/>
        </w:rPr>
        <w:t>The ability to observe the myriad of possible protein variations, which go beyond simple total protein abundance, with the accuracy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 polymorphisms and PTMs, but not at scale. Moreover, these unbiased approaches are not able to capture PPIs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105</w:t>
      </w:r>
    </w:p>
    <w:p>
      <w:pPr>
        <w:sectPr>
          <w:pgSz w:w="11900" w:h="16838" w:orient="portrait"/>
          <w:cols w:equalWidth="0" w:num="1">
            <w:col w:w="11249"/>
          </w:cols>
          <w:pgMar w:left="311" w:top="121" w:right="339" w:bottom="1440" w:gutter="0" w:footer="0" w:header="0"/>
        </w:sectPr>
      </w:pPr>
    </w:p>
    <w:bookmarkStart w:id="108" w:name="page109"/>
    <w:bookmarkEnd w:id="108"/>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color w:val="auto"/>
        </w:rPr>
        <w:t>and protein pathway information at scale. We believe that our Proteograph is uniquely positioned to fully capture the breadth, depth and the complexity of the proteome at scale.</w:t>
      </w:r>
    </w:p>
    <w:p>
      <w:pPr>
        <w:spacing w:after="0" w:line="142" w:lineRule="exact"/>
        <w:rPr>
          <w:sz w:val="20"/>
          <w:szCs w:val="20"/>
          <w:color w:val="auto"/>
        </w:rPr>
      </w:pPr>
    </w:p>
    <w:p>
      <w:pPr>
        <w:ind w:left="269" w:hanging="269"/>
        <w:spacing w:after="0" w:line="259" w:lineRule="auto"/>
        <w:tabs>
          <w:tab w:leader="none" w:pos="26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Our Proteograph Product Suite was designed to enable broad adoption across a wide variety of customers in both decentralized and centralized settings. </w:t>
      </w:r>
      <w:r>
        <w:rPr>
          <w:rFonts w:ascii="Times New Roman" w:cs="Times New Roman" w:eastAsia="Times New Roman" w:hAnsi="Times New Roman"/>
          <w:sz w:val="15"/>
          <w:szCs w:val="15"/>
          <w:color w:val="auto"/>
        </w:rPr>
        <w:t>Our Proteograph is 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integrated solution comprised of consumables, an automation instrument and software, and was designed to deliver 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05" w:lineRule="exact"/>
        <w:rPr>
          <w:rFonts w:ascii="Times New Roman" w:cs="Times New Roman" w:eastAsia="Times New Roman" w:hAnsi="Times New Roman"/>
          <w:sz w:val="15"/>
          <w:szCs w:val="15"/>
          <w:color w:val="auto"/>
        </w:rPr>
      </w:pPr>
    </w:p>
    <w:p>
      <w:pPr>
        <w:ind w:left="269" w:right="20" w:hanging="269"/>
        <w:spacing w:after="0" w:line="259" w:lineRule="auto"/>
        <w:tabs>
          <w:tab w:leader="none" w:pos="26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Our proprietary engineered NPs are a core technology from which we can develop a range of products, applications and platforms. </w:t>
      </w:r>
      <w:r>
        <w:rPr>
          <w:rFonts w:ascii="Times New Roman" w:cs="Times New Roman" w:eastAsia="Times New Roman" w:hAnsi="Times New Roman"/>
          <w:sz w:val="15"/>
          <w:szCs w:val="15"/>
          <w:color w:val="auto"/>
        </w:rPr>
        <w:t>We have evaluated over 250 different NPs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05" w:lineRule="exact"/>
        <w:rPr>
          <w:rFonts w:ascii="Times New Roman" w:cs="Times New Roman" w:eastAsia="Times New Roman" w:hAnsi="Times New Roman"/>
          <w:sz w:val="15"/>
          <w:szCs w:val="15"/>
          <w:color w:val="auto"/>
        </w:rPr>
      </w:pPr>
    </w:p>
    <w:p>
      <w:pPr>
        <w:ind w:left="269" w:right="180" w:hanging="269"/>
        <w:spacing w:after="0" w:line="262" w:lineRule="auto"/>
        <w:tabs>
          <w:tab w:leader="none" w:pos="26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Our NP technology inherently provides significant operational leverage in research and development, manufacturing and commercialization. </w:t>
      </w:r>
      <w:r>
        <w:rPr>
          <w:rFonts w:ascii="Times New Roman" w:cs="Times New Roman" w:eastAsia="Times New Roman" w:hAnsi="Times New Roman"/>
          <w:sz w:val="15"/>
          <w:szCs w:val="15"/>
          <w:color w:val="auto"/>
        </w:rPr>
        <w:t>NPs are efficient to design,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03" w:lineRule="exact"/>
        <w:rPr>
          <w:rFonts w:ascii="Times New Roman" w:cs="Times New Roman" w:eastAsia="Times New Roman" w:hAnsi="Times New Roman"/>
          <w:sz w:val="15"/>
          <w:szCs w:val="15"/>
          <w:color w:val="auto"/>
        </w:rPr>
      </w:pPr>
    </w:p>
    <w:p>
      <w:pPr>
        <w:ind w:left="269" w:right="40" w:hanging="269"/>
        <w:spacing w:after="0" w:line="260" w:lineRule="auto"/>
        <w:tabs>
          <w:tab w:leader="none" w:pos="26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Our Proteograph Product Suite has the potential to provide sustainable differentiation. </w:t>
      </w:r>
      <w:r>
        <w:rPr>
          <w:rFonts w:ascii="Times New Roman" w:cs="Times New Roman" w:eastAsia="Times New Roman" w:hAnsi="Times New Roman"/>
          <w:sz w:val="15"/>
          <w:szCs w:val="15"/>
          <w:color w:val="auto"/>
        </w:rPr>
        <w:t>Our Proteograph is uniquely capable of generating robust, reproducible, deep and unbiased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over 25 pending patent applications, worldwide, as of September 30, 2020, covering improvements in NPs, assay methods and ways to leverage proteomic data and information for life sciences research and clinical diagnostic and drug discovery applications.</w:t>
      </w:r>
    </w:p>
    <w:p>
      <w:pPr>
        <w:spacing w:after="0" w:line="1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50" w:lineRule="exact"/>
        <w:rPr>
          <w:sz w:val="20"/>
          <w:szCs w:val="20"/>
          <w:color w:val="auto"/>
        </w:rPr>
      </w:pPr>
    </w:p>
    <w:p>
      <w:pPr>
        <w:ind w:left="9" w:right="100" w:firstLine="273"/>
        <w:spacing w:after="0" w:line="286" w:lineRule="auto"/>
        <w:rPr>
          <w:sz w:val="20"/>
          <w:szCs w:val="20"/>
          <w:color w:val="auto"/>
        </w:rPr>
      </w:pPr>
      <w:r>
        <w:rPr>
          <w:rFonts w:ascii="Times New Roman" w:cs="Times New Roman" w:eastAsia="Times New Roman" w:hAnsi="Times New Roman"/>
          <w:sz w:val="15"/>
          <w:szCs w:val="15"/>
          <w:color w:val="auto"/>
        </w:rPr>
        <w:t>We aim to enable exceptional scientific outcomes by commercializing transformative products for researchers to unlock deep, unbiased biological information. Our growth strategy is to:</w:t>
      </w:r>
    </w:p>
    <w:p>
      <w:pPr>
        <w:spacing w:after="0" w:line="85" w:lineRule="exact"/>
        <w:rPr>
          <w:sz w:val="20"/>
          <w:szCs w:val="20"/>
          <w:color w:val="auto"/>
        </w:rPr>
      </w:pPr>
    </w:p>
    <w:p>
      <w:pPr>
        <w:ind w:left="269" w:right="240" w:hanging="269"/>
        <w:spacing w:after="0" w:line="292" w:lineRule="auto"/>
        <w:tabs>
          <w:tab w:leader="none" w:pos="265"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Drive adoption of our Proteograph Product Suite to enable researchers to create large-scale unbiased proteomic datasets that generate transformative scientific insights. </w:t>
      </w:r>
      <w:r>
        <w:rPr>
          <w:rFonts w:ascii="Times New Roman" w:cs="Times New Roman" w:eastAsia="Times New Roman" w:hAnsi="Times New Roman"/>
          <w:sz w:val="15"/>
          <w:szCs w:val="15"/>
          <w:color w:val="auto"/>
        </w:rPr>
        <w:t>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initial product, the Proteograph, uniquely enables researchers and clinicians to generate unbiased, deep proteomic information at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106</w:t>
      </w:r>
    </w:p>
    <w:p>
      <w:pPr>
        <w:sectPr>
          <w:pgSz w:w="11900" w:h="16838" w:orient="portrait"/>
          <w:cols w:equalWidth="0" w:num="1">
            <w:col w:w="11269"/>
          </w:cols>
          <w:pgMar w:left="311" w:top="121" w:right="319" w:bottom="1440" w:gutter="0" w:footer="0" w:header="0"/>
        </w:sectPr>
      </w:pPr>
    </w:p>
    <w:bookmarkStart w:id="109" w:name="page110"/>
    <w:bookmarkEnd w:id="109"/>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9" w:right="40"/>
        <w:spacing w:after="0" w:line="264" w:lineRule="auto"/>
        <w:rPr>
          <w:sz w:val="20"/>
          <w:szCs w:val="20"/>
          <w:color w:val="auto"/>
        </w:rPr>
      </w:pPr>
      <w:r>
        <w:rPr>
          <w:rFonts w:ascii="Times New Roman" w:cs="Times New Roman" w:eastAsia="Times New Roman" w:hAnsi="Times New Roman"/>
          <w:sz w:val="15"/>
          <w:szCs w:val="15"/>
          <w:color w:val="auto"/>
        </w:rPr>
        <w:t>which are not possible today. The utility and potential applications of these capabilities are broad, spanning 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00" w:lineRule="exact"/>
        <w:rPr>
          <w:sz w:val="20"/>
          <w:szCs w:val="20"/>
          <w:color w:val="auto"/>
        </w:rPr>
      </w:pPr>
    </w:p>
    <w:p>
      <w:pPr>
        <w:ind w:left="269" w:right="400" w:hanging="269"/>
        <w:spacing w:after="0" w:line="260" w:lineRule="auto"/>
        <w:tabs>
          <w:tab w:leader="none" w:pos="265"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Invest in market development activities to increase awareness of the importance of large-scale proteomic data and the ability to access it</w:t>
      </w:r>
      <w:r>
        <w:rPr>
          <w:rFonts w:ascii="Times New Roman" w:cs="Times New Roman" w:eastAsia="Times New Roman" w:hAnsi="Times New Roman"/>
          <w:sz w:val="15"/>
          <w:szCs w:val="15"/>
          <w:color w:val="auto"/>
        </w:rPr>
        <w:t>. In order to expand and accelerate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05" w:lineRule="exact"/>
        <w:rPr>
          <w:rFonts w:ascii="Times New Roman" w:cs="Times New Roman" w:eastAsia="Times New Roman" w:hAnsi="Times New Roman"/>
          <w:sz w:val="15"/>
          <w:szCs w:val="15"/>
          <w:color w:val="auto"/>
        </w:rPr>
      </w:pPr>
    </w:p>
    <w:p>
      <w:pPr>
        <w:ind w:left="269" w:hanging="269"/>
        <w:spacing w:after="0" w:line="262" w:lineRule="auto"/>
        <w:tabs>
          <w:tab w:leader="none" w:pos="265"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Continually innovate to develop and commercialize additional transformative products to access the proteome and accelerate our understanding of biology</w:t>
      </w:r>
      <w:r>
        <w:rPr>
          <w:rFonts w:ascii="Times New Roman" w:cs="Times New Roman" w:eastAsia="Times New Roman" w:hAnsi="Times New Roman"/>
          <w:sz w:val="15"/>
          <w:szCs w:val="15"/>
          <w:color w:val="auto"/>
        </w:rPr>
        <w:t>. We aim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continually innovate and develop new products, applications, workflows and analysis tools that simplify and accelerate researchers 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03" w:lineRule="exact"/>
        <w:rPr>
          <w:rFonts w:ascii="Times New Roman" w:cs="Times New Roman" w:eastAsia="Times New Roman" w:hAnsi="Times New Roman"/>
          <w:sz w:val="15"/>
          <w:szCs w:val="15"/>
          <w:color w:val="auto"/>
        </w:rPr>
      </w:pPr>
    </w:p>
    <w:p>
      <w:pPr>
        <w:ind w:left="269" w:right="80" w:hanging="269"/>
        <w:spacing w:after="0" w:line="266" w:lineRule="auto"/>
        <w:tabs>
          <w:tab w:leader="none" w:pos="265"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Rapidly build our commercial infrastructure and NP manufacturing capabilities to provide for our commercial launch in the United States and internationally. </w:t>
      </w:r>
      <w:r>
        <w:rPr>
          <w:rFonts w:ascii="Times New Roman" w:cs="Times New Roman" w:eastAsia="Times New Roman" w:hAnsi="Times New Roman"/>
          <w:sz w:val="15"/>
          <w:szCs w:val="15"/>
          <w:color w:val="auto"/>
        </w:rPr>
        <w:t>We are initially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building our commercial infrastructure to sell and support our products directly in the United States, the European 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98" w:lineRule="exact"/>
        <w:rPr>
          <w:rFonts w:ascii="Times New Roman" w:cs="Times New Roman" w:eastAsia="Times New Roman" w:hAnsi="Times New Roman"/>
          <w:sz w:val="15"/>
          <w:szCs w:val="15"/>
          <w:color w:val="auto"/>
        </w:rPr>
      </w:pPr>
    </w:p>
    <w:p>
      <w:pPr>
        <w:ind w:left="269" w:hanging="269"/>
        <w:spacing w:after="0" w:line="260" w:lineRule="auto"/>
        <w:tabs>
          <w:tab w:leader="none" w:pos="265"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Foster the creation of an ecosystem of customers, partners and collaborators whose expertise and offerings complement and enhance the power and utility of our products. </w:t>
      </w:r>
      <w:r>
        <w:rPr>
          <w:rFonts w:ascii="Times New Roman" w:cs="Times New Roman" w:eastAsia="Times New Roman" w:hAnsi="Times New Roman"/>
          <w:sz w:val="15"/>
          <w:szCs w:val="15"/>
          <w:color w:val="auto"/>
        </w:rPr>
        <w:t>We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intend to seed and develop a new ecosystem of applications and organizations that can take advantage of large-scale 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05" w:lineRule="exact"/>
        <w:rPr>
          <w:rFonts w:ascii="Times New Roman" w:cs="Times New Roman" w:eastAsia="Times New Roman" w:hAnsi="Times New Roman"/>
          <w:sz w:val="15"/>
          <w:szCs w:val="15"/>
          <w:color w:val="auto"/>
        </w:rPr>
      </w:pPr>
    </w:p>
    <w:p>
      <w:pPr>
        <w:ind w:left="269" w:right="20" w:hanging="269"/>
        <w:spacing w:after="0" w:line="262" w:lineRule="auto"/>
        <w:tabs>
          <w:tab w:leader="none" w:pos="265"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Expand our proprietary engineered NP technology to analyze molecules beyond proteins. </w:t>
      </w:r>
      <w:r>
        <w:rPr>
          <w:rFonts w:ascii="Times New Roman" w:cs="Times New Roman" w:eastAsia="Times New Roman" w:hAnsi="Times New Roman"/>
          <w:sz w:val="15"/>
          <w:szCs w:val="15"/>
          <w:color w:val="auto"/>
        </w:rPr>
        <w:t>Given the inherent flexibility and ability to synthesize myriad NPs, we intend to seek</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107</w:t>
      </w:r>
    </w:p>
    <w:p>
      <w:pPr>
        <w:sectPr>
          <w:pgSz w:w="11900" w:h="16838" w:orient="portrait"/>
          <w:cols w:equalWidth="0" w:num="1">
            <w:col w:w="11229"/>
          </w:cols>
          <w:pgMar w:left="311" w:top="121" w:right="359" w:bottom="1440" w:gutter="0" w:footer="0" w:header="0"/>
        </w:sectPr>
      </w:pPr>
    </w:p>
    <w:bookmarkStart w:id="110" w:name="page111"/>
    <w:bookmarkEnd w:id="11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Applications of our Proteograph Product Suite</w:t>
      </w:r>
    </w:p>
    <w:p>
      <w:pPr>
        <w:spacing w:after="0" w:line="150"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Basic Research and Discovery Applications</w:t>
      </w:r>
    </w:p>
    <w:p>
      <w:pPr>
        <w:spacing w:after="0" w:line="150"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Cataloging protein diversity</w:t>
      </w:r>
    </w:p>
    <w:p>
      <w:pPr>
        <w:spacing w:after="0" w:line="148"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05" w:lineRule="exact"/>
        <w:rPr>
          <w:sz w:val="20"/>
          <w:szCs w:val="20"/>
          <w:color w:val="auto"/>
        </w:rPr>
      </w:pPr>
    </w:p>
    <w:p>
      <w:pPr>
        <w:ind w:right="260" w:firstLine="273"/>
        <w:spacing w:after="0" w:line="271" w:lineRule="auto"/>
        <w:rPr>
          <w:sz w:val="20"/>
          <w:szCs w:val="20"/>
          <w:color w:val="auto"/>
        </w:rPr>
      </w:pPr>
      <w:r>
        <w:rPr>
          <w:rFonts w:ascii="Times New Roman" w:cs="Times New Roman" w:eastAsia="Times New Roman" w:hAnsi="Times New Roman"/>
          <w:sz w:val="15"/>
          <w:szCs w:val="15"/>
          <w:color w:val="auto"/>
        </w:rPr>
        <w:t xml:space="preserve">The figure below shows the type of protein cataloging possible with our Proteograph Product Suite. Interrogating the protein data from our previously published work in </w:t>
      </w:r>
      <w:r>
        <w:rPr>
          <w:rFonts w:ascii="Times New Roman" w:cs="Times New Roman" w:eastAsia="Times New Roman" w:hAnsi="Times New Roman"/>
          <w:sz w:val="15"/>
          <w:szCs w:val="15"/>
          <w:i w:val="1"/>
          <w:iCs w:val="1"/>
          <w:color w:val="auto"/>
        </w:rPr>
        <w:t>Nature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Communications </w:t>
      </w:r>
      <w:r>
        <w:rPr>
          <w:rFonts w:ascii="Times New Roman" w:cs="Times New Roman" w:eastAsia="Times New Roman" w:hAnsi="Times New Roman"/>
          <w:sz w:val="15"/>
          <w:szCs w:val="15"/>
          <w:color w:val="auto"/>
        </w:rPr>
        <w:t>(Blume et al.), we illustrate below that our Proteograph can identify a range of peptides for the proteins in plasma samples from lung cancer patients and healthy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2489200</wp:posOffset>
            </wp:positionH>
            <wp:positionV relativeFrom="paragraph">
              <wp:posOffset>72390</wp:posOffset>
            </wp:positionV>
            <wp:extent cx="2163445" cy="2134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6344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1200"/>
          </w:cols>
          <w:pgMar w:left="320" w:top="121" w:right="379" w:bottom="1440" w:gutter="0" w:footer="0" w:header="0"/>
        </w:sectPr>
      </w:pPr>
    </w:p>
    <w:bookmarkStart w:id="111" w:name="page112"/>
    <w:bookmarkEnd w:id="11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78740</wp:posOffset>
            </wp:positionV>
            <wp:extent cx="3966210" cy="28917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66210" cy="289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109</w:t>
      </w:r>
    </w:p>
    <w:p>
      <w:pPr>
        <w:sectPr>
          <w:pgSz w:w="11900" w:h="16838" w:orient="portrait"/>
          <w:cols w:equalWidth="0" w:num="1">
            <w:col w:w="11220"/>
          </w:cols>
          <w:pgMar w:left="320" w:top="121" w:right="359" w:bottom="1440" w:gutter="0" w:footer="0" w:header="0"/>
        </w:sectPr>
      </w:pPr>
    </w:p>
    <w:bookmarkStart w:id="112" w:name="page113"/>
    <w:bookmarkEnd w:id="11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681355</wp:posOffset>
            </wp:positionV>
            <wp:extent cx="1442085" cy="2329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2085" cy="232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Proteogenomics</w:t>
      </w:r>
    </w:p>
    <w:p>
      <w:pPr>
        <w:spacing w:after="0" w:line="148"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Times New Roman" w:cs="Times New Roman" w:eastAsia="Times New Roman" w:hAnsi="Times New Roman"/>
          <w:sz w:val="15"/>
          <w:szCs w:val="15"/>
          <w:i w:val="1"/>
          <w:iCs w:val="1"/>
          <w:color w:val="auto"/>
        </w:rPr>
        <w:t>Nature Communications</w:t>
      </w:r>
      <w:r>
        <w:rPr>
          <w:rFonts w:ascii="Times New Roman" w:cs="Times New Roman" w:eastAsia="Times New Roman" w:hAnsi="Times New Roman"/>
          <w:sz w:val="15"/>
          <w:szCs w:val="15"/>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110</w:t>
      </w:r>
    </w:p>
    <w:p>
      <w:pPr>
        <w:sectPr>
          <w:pgSz w:w="11900" w:h="16838" w:orient="portrait"/>
          <w:cols w:equalWidth="0" w:num="1">
            <w:col w:w="11240"/>
          </w:cols>
          <w:pgMar w:left="320" w:top="121" w:right="339" w:bottom="1440" w:gutter="0" w:footer="0" w:header="0"/>
        </w:sectPr>
      </w:pPr>
    </w:p>
    <w:bookmarkStart w:id="113" w:name="page114"/>
    <w:bookmarkEnd w:id="11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681355</wp:posOffset>
            </wp:positionV>
            <wp:extent cx="4500245" cy="2235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00245" cy="223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Interactome</w:t>
      </w:r>
    </w:p>
    <w:p>
      <w:pPr>
        <w:spacing w:after="0" w:line="148"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04"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 xml:space="preserve">We interrogated the plasma proteome of 276 subjects across early- and late-stage non-small-cell lung carcinoma (NSCLC), co-morbid and healthy controls. These subjects are a subset of those described in our </w:t>
      </w:r>
      <w:r>
        <w:rPr>
          <w:rFonts w:ascii="Times New Roman" w:cs="Times New Roman" w:eastAsia="Times New Roman" w:hAnsi="Times New Roman"/>
          <w:sz w:val="15"/>
          <w:szCs w:val="15"/>
          <w:i w:val="1"/>
          <w:iCs w:val="1"/>
          <w:color w:val="auto"/>
        </w:rPr>
        <w:t>Nature Communications</w:t>
      </w:r>
      <w:r>
        <w:rPr>
          <w:rFonts w:ascii="Times New Roman" w:cs="Times New Roman" w:eastAsia="Times New Roman" w:hAnsi="Times New Roman"/>
          <w:sz w:val="15"/>
          <w:szCs w:val="15"/>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111</w:t>
      </w:r>
    </w:p>
    <w:p>
      <w:pPr>
        <w:sectPr>
          <w:pgSz w:w="11900" w:h="16838" w:orient="portrait"/>
          <w:cols w:equalWidth="0" w:num="1">
            <w:col w:w="11180"/>
          </w:cols>
          <w:pgMar w:left="320" w:top="121" w:right="399" w:bottom="1440" w:gutter="0" w:footer="0" w:header="0"/>
        </w:sectPr>
      </w:pPr>
    </w:p>
    <w:bookmarkStart w:id="114" w:name="page115"/>
    <w:bookmarkEnd w:id="11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101600</wp:posOffset>
            </wp:positionV>
            <wp:extent cx="4500245" cy="1673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00245"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Translational Research Applications</w:t>
      </w:r>
    </w:p>
    <w:p>
      <w:pPr>
        <w:spacing w:after="0" w:line="15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Biomarker discovery</w:t>
      </w:r>
    </w:p>
    <w:p>
      <w:pPr>
        <w:spacing w:after="0" w:line="146" w:lineRule="exact"/>
        <w:rPr>
          <w:sz w:val="20"/>
          <w:szCs w:val="20"/>
          <w:color w:val="auto"/>
        </w:rPr>
      </w:pPr>
    </w:p>
    <w:p>
      <w:pPr>
        <w:ind w:right="160" w:firstLine="273"/>
        <w:spacing w:after="0" w:line="271" w:lineRule="auto"/>
        <w:rPr>
          <w:sz w:val="20"/>
          <w:szCs w:val="20"/>
          <w:color w:val="auto"/>
        </w:rPr>
      </w:pPr>
      <w:r>
        <w:rPr>
          <w:rFonts w:ascii="Times New Roman" w:cs="Times New Roman" w:eastAsia="Times New Roman" w:hAnsi="Times New Roman"/>
          <w:sz w:val="15"/>
          <w:szCs w:val="15"/>
          <w:color w:val="auto"/>
        </w:rPr>
        <w:t xml:space="preserve">To date, most </w:t>
      </w:r>
      <w:r>
        <w:rPr>
          <w:rFonts w:ascii="Times New Roman" w:cs="Times New Roman" w:eastAsia="Times New Roman" w:hAnsi="Times New Roman"/>
          <w:sz w:val="15"/>
          <w:szCs w:val="15"/>
          <w:i w:val="1"/>
          <w:iCs w:val="1"/>
          <w:color w:val="auto"/>
        </w:rPr>
        <w:t>de novo</w:t>
      </w:r>
      <w:r>
        <w:rPr>
          <w:rFonts w:ascii="Times New Roman" w:cs="Times New Roman" w:eastAsia="Times New Roman" w:hAnsi="Times New Roman"/>
          <w:sz w:val="15"/>
          <w:szCs w:val="15"/>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97"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 xml:space="preserve">The utility of our Proteograph for exploration of potential biomarkers is illustrated in a proof-of-principle study in lung-cancer, as published in </w:t>
      </w:r>
      <w:r>
        <w:rPr>
          <w:rFonts w:ascii="Times New Roman" w:cs="Times New Roman" w:eastAsia="Times New Roman" w:hAnsi="Times New Roman"/>
          <w:sz w:val="15"/>
          <w:szCs w:val="15"/>
          <w:i w:val="1"/>
          <w:iCs w:val="1"/>
          <w:color w:val="auto"/>
        </w:rPr>
        <w:t>Nature Communications</w:t>
      </w:r>
      <w:r>
        <w:rPr>
          <w:rFonts w:ascii="Times New Roman" w:cs="Times New Roman" w:eastAsia="Times New Roman" w:hAnsi="Times New Roman"/>
          <w:sz w:val="15"/>
          <w:szCs w:val="15"/>
          <w:color w:val="auto"/>
        </w:rPr>
        <w:t xml:space="preserve"> (Blume et al.). In this study, approximately 2,000 proteins were quantified across 141 subjects comprising early stage lung cancer (i.e., 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112</w:t>
      </w:r>
    </w:p>
    <w:p>
      <w:pPr>
        <w:sectPr>
          <w:pgSz w:w="11900" w:h="16838" w:orient="portrait"/>
          <w:cols w:equalWidth="0" w:num="1">
            <w:col w:w="11240"/>
          </w:cols>
          <w:pgMar w:left="320" w:top="121" w:right="339" w:bottom="1440" w:gutter="0" w:footer="0" w:header="0"/>
        </w:sectPr>
      </w:pPr>
    </w:p>
    <w:bookmarkStart w:id="115" w:name="page116"/>
    <w:bookmarkEnd w:id="11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681355</wp:posOffset>
            </wp:positionV>
            <wp:extent cx="4500245" cy="1946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0024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Target Identification and Exploration</w:t>
      </w:r>
    </w:p>
    <w:p>
      <w:pPr>
        <w:spacing w:after="0" w:line="148"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Clinical Trial Applications</w:t>
      </w:r>
    </w:p>
    <w:p>
      <w:pPr>
        <w:spacing w:after="0" w:line="148"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04"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ectPr>
          <w:pgSz w:w="11900" w:h="16838" w:orient="portrait"/>
          <w:cols w:equalWidth="0" w:num="1">
            <w:col w:w="11240"/>
          </w:cols>
          <w:pgMar w:left="320" w:top="121" w:right="339" w:bottom="1440" w:gutter="0" w:footer="0" w:header="0"/>
        </w:sectPr>
      </w:pPr>
    </w:p>
    <w:bookmarkStart w:id="116" w:name="page117"/>
    <w:bookmarkEnd w:id="11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Diagnostic Applications</w:t>
      </w:r>
    </w:p>
    <w:p>
      <w:pPr>
        <w:spacing w:after="0" w:line="150" w:lineRule="exact"/>
        <w:rPr>
          <w:sz w:val="20"/>
          <w:szCs w:val="20"/>
          <w:color w:val="auto"/>
        </w:rPr>
      </w:pPr>
    </w:p>
    <w:p>
      <w:pPr>
        <w:ind w:right="120" w:firstLine="273"/>
        <w:spacing w:after="0" w:line="258" w:lineRule="auto"/>
        <w:rPr>
          <w:sz w:val="20"/>
          <w:szCs w:val="20"/>
          <w:color w:val="auto"/>
        </w:rPr>
      </w:pPr>
      <w:r>
        <w:rPr>
          <w:rFonts w:ascii="Times New Roman" w:cs="Times New Roman" w:eastAsia="Times New Roman" w:hAnsi="Times New Roman"/>
          <w:sz w:val="15"/>
          <w:szCs w:val="15"/>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Applied Applications in Agriculture, Environmental and Food Safety</w:t>
      </w:r>
    </w:p>
    <w:p>
      <w:pPr>
        <w:spacing w:after="0" w:line="150"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07"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89" w:lineRule="exact"/>
        <w:rPr>
          <w:sz w:val="20"/>
          <w:szCs w:val="20"/>
          <w:color w:val="auto"/>
        </w:rPr>
      </w:pPr>
    </w:p>
    <w:p>
      <w:pPr>
        <w:ind w:right="200" w:firstLine="273"/>
        <w:spacing w:after="0" w:line="269" w:lineRule="auto"/>
        <w:rPr>
          <w:sz w:val="20"/>
          <w:szCs w:val="20"/>
          <w:color w:val="auto"/>
        </w:rPr>
      </w:pPr>
      <w:r>
        <w:rPr>
          <w:rFonts w:ascii="Times New Roman" w:cs="Times New Roman" w:eastAsia="Times New Roman" w:hAnsi="Times New Roman"/>
          <w:sz w:val="15"/>
          <w:szCs w:val="15"/>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PrognomIQ</w:t>
      </w:r>
    </w:p>
    <w:p>
      <w:pPr>
        <w:spacing w:after="0" w:line="150" w:lineRule="exact"/>
        <w:rPr>
          <w:sz w:val="20"/>
          <w:szCs w:val="20"/>
          <w:color w:val="auto"/>
        </w:rPr>
      </w:pPr>
    </w:p>
    <w:p>
      <w:pPr>
        <w:ind w:right="340" w:firstLine="273"/>
        <w:spacing w:after="0" w:line="269" w:lineRule="auto"/>
        <w:rPr>
          <w:sz w:val="20"/>
          <w:szCs w:val="20"/>
          <w:color w:val="auto"/>
        </w:rPr>
      </w:pPr>
      <w:r>
        <w:rPr>
          <w:rFonts w:ascii="Times New Roman" w:cs="Times New Roman" w:eastAsia="Times New Roman" w:hAnsi="Times New Roman"/>
          <w:sz w:val="15"/>
          <w:szCs w:val="15"/>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01"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10" w:lineRule="exact"/>
        <w:rPr>
          <w:sz w:val="20"/>
          <w:szCs w:val="20"/>
          <w:color w:val="auto"/>
        </w:rPr>
      </w:pPr>
    </w:p>
    <w:p>
      <w:pPr>
        <w:ind w:right="40" w:firstLine="273"/>
        <w:spacing w:after="0" w:line="269" w:lineRule="auto"/>
        <w:rPr>
          <w:sz w:val="20"/>
          <w:szCs w:val="20"/>
          <w:color w:val="auto"/>
        </w:rPr>
      </w:pPr>
      <w:r>
        <w:rPr>
          <w:rFonts w:ascii="Times New Roman" w:cs="Times New Roman" w:eastAsia="Times New Roman" w:hAnsi="Times New Roman"/>
          <w:sz w:val="15"/>
          <w:szCs w:val="15"/>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114</w:t>
      </w:r>
    </w:p>
    <w:p>
      <w:pPr>
        <w:sectPr>
          <w:pgSz w:w="11900" w:h="16838" w:orient="portrait"/>
          <w:cols w:equalWidth="0" w:num="1">
            <w:col w:w="11200"/>
          </w:cols>
          <w:pgMar w:left="320" w:top="121" w:right="379" w:bottom="1440" w:gutter="0" w:footer="0" w:header="0"/>
        </w:sectPr>
      </w:pPr>
    </w:p>
    <w:bookmarkStart w:id="117" w:name="page118"/>
    <w:bookmarkEnd w:id="11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transition services and support, including laboratory and office space to PrognomIQ during the transition period. We anticipate these services to continue through the first half of 2021.</w:t>
      </w:r>
    </w:p>
    <w:p>
      <w:pPr>
        <w:spacing w:after="0" w:line="146" w:lineRule="exact"/>
        <w:rPr>
          <w:sz w:val="20"/>
          <w:szCs w:val="20"/>
          <w:color w:val="auto"/>
        </w:rPr>
      </w:pPr>
    </w:p>
    <w:p>
      <w:pPr>
        <w:ind w:right="40" w:firstLine="273"/>
        <w:spacing w:after="0" w:line="258" w:lineRule="auto"/>
        <w:rPr>
          <w:sz w:val="20"/>
          <w:szCs w:val="20"/>
          <w:color w:val="auto"/>
        </w:rPr>
      </w:pPr>
      <w:r>
        <w:rPr>
          <w:rFonts w:ascii="Times New Roman" w:cs="Times New Roman" w:eastAsia="Times New Roman" w:hAnsi="Times New Roman"/>
          <w:sz w:val="15"/>
          <w:szCs w:val="15"/>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Times New Roman" w:cs="Times New Roman" w:eastAsia="Times New Roman" w:hAnsi="Times New Roman"/>
          <w:sz w:val="15"/>
          <w:szCs w:val="15"/>
          <w:i w:val="1"/>
          <w:iCs w:val="1"/>
          <w:color w:val="auto"/>
        </w:rPr>
        <w:t>PrognomIQ</w:t>
      </w:r>
      <w:r>
        <w:rPr>
          <w:rFonts w:ascii="Times New Roman" w:cs="Times New Roman" w:eastAsia="Times New Roman" w:hAnsi="Times New Roman"/>
          <w:sz w:val="15"/>
          <w:szCs w:val="15"/>
          <w:color w:val="auto"/>
        </w:rPr>
        <w:t>.” We do not view these amounts to be material to our financial condition and results of operations nor do we expect these amounts to ever be material to us in the future.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Commercial</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Commercial Strategy</w:t>
      </w:r>
    </w:p>
    <w:p>
      <w:pPr>
        <w:spacing w:after="0" w:line="15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01"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w:t>
      </w:r>
    </w:p>
    <w:p>
      <w:pPr>
        <w:spacing w:after="0" w:line="107" w:lineRule="exact"/>
        <w:rPr>
          <w:sz w:val="20"/>
          <w:szCs w:val="20"/>
          <w:color w:val="auto"/>
        </w:rPr>
      </w:pPr>
    </w:p>
    <w:p>
      <w:pPr>
        <w:jc w:val="both"/>
        <w:ind w:right="100" w:firstLine="273"/>
        <w:spacing w:after="0" w:line="269" w:lineRule="auto"/>
        <w:rPr>
          <w:sz w:val="20"/>
          <w:szCs w:val="20"/>
          <w:color w:val="auto"/>
        </w:rPr>
      </w:pPr>
      <w:r>
        <w:rPr>
          <w:rFonts w:ascii="Times New Roman" w:cs="Times New Roman" w:eastAsia="Times New Roman" w:hAnsi="Times New Roman"/>
          <w:sz w:val="15"/>
          <w:szCs w:val="15"/>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01" w:lineRule="exact"/>
        <w:rPr>
          <w:sz w:val="20"/>
          <w:szCs w:val="20"/>
          <w:color w:val="auto"/>
        </w:rPr>
      </w:pPr>
    </w:p>
    <w:p>
      <w:pPr>
        <w:ind w:right="80" w:firstLine="273"/>
        <w:spacing w:after="0" w:line="258" w:lineRule="auto"/>
        <w:rPr>
          <w:sz w:val="20"/>
          <w:szCs w:val="20"/>
          <w:color w:val="auto"/>
        </w:rPr>
      </w:pPr>
      <w:r>
        <w:rPr>
          <w:rFonts w:ascii="Times New Roman" w:cs="Times New Roman" w:eastAsia="Times New Roman" w:hAnsi="Times New Roman"/>
          <w:sz w:val="15"/>
          <w:szCs w:val="15"/>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1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To service our potential Proteograph customers, we will provide multiple levels of technical service for our Proteograph automation instruments, depending upon customer need. We recognize that excellent customer support can be a critical part of a customer experience, and we will invest accordingly in our technical and application support to achieve the desired levels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115</w:t>
      </w:r>
    </w:p>
    <w:p>
      <w:pPr>
        <w:sectPr>
          <w:pgSz w:w="11900" w:h="16838" w:orient="portrait"/>
          <w:cols w:equalWidth="0" w:num="1">
            <w:col w:w="11220"/>
          </w:cols>
          <w:pgMar w:left="320" w:top="121" w:right="359" w:bottom="1440" w:gutter="0" w:footer="0" w:header="0"/>
        </w:sectPr>
      </w:pPr>
    </w:p>
    <w:bookmarkStart w:id="118" w:name="page119"/>
    <w:bookmarkEnd w:id="11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Proteograph Product Suite Commercial Launch Plan</w:t>
      </w:r>
    </w:p>
    <w:p>
      <w:pPr>
        <w:spacing w:after="0" w:line="150"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04" w:lineRule="exact"/>
        <w:rPr>
          <w:sz w:val="20"/>
          <w:szCs w:val="20"/>
          <w:color w:val="auto"/>
        </w:rPr>
      </w:pPr>
    </w:p>
    <w:p>
      <w:pPr>
        <w:ind w:left="540" w:right="40" w:hanging="277"/>
        <w:spacing w:after="0" w:line="259" w:lineRule="auto"/>
        <w:tabs>
          <w:tab w:leader="none" w:pos="536"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and we expect to place another Proteograph with a second collaborator before the end of 2020, pending any COVID-19-related delays.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Proteograph automation instrument for a minimal fee and also provide consumables at a reduced price. The sites will be given the option to purchase the automation instrument at a reduced price following the completion of the collaboration phase.</w:t>
      </w:r>
    </w:p>
    <w:p>
      <w:pPr>
        <w:spacing w:after="0" w:line="170" w:lineRule="exact"/>
        <w:rPr>
          <w:rFonts w:ascii="Times New Roman" w:cs="Times New Roman" w:eastAsia="Times New Roman" w:hAnsi="Times New Roman"/>
          <w:sz w:val="15"/>
          <w:szCs w:val="15"/>
          <w:color w:val="auto"/>
        </w:rPr>
      </w:pPr>
    </w:p>
    <w:p>
      <w:pPr>
        <w:ind w:left="540" w:right="20" w:hanging="277"/>
        <w:spacing w:after="0" w:line="254" w:lineRule="auto"/>
        <w:tabs>
          <w:tab w:leader="none" w:pos="536"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Early access limited release: We expect to start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15" w:lineRule="exact"/>
        <w:rPr>
          <w:rFonts w:ascii="Times New Roman" w:cs="Times New Roman" w:eastAsia="Times New Roman" w:hAnsi="Times New Roman"/>
          <w:sz w:val="15"/>
          <w:szCs w:val="15"/>
          <w:color w:val="auto"/>
        </w:rPr>
      </w:pPr>
    </w:p>
    <w:p>
      <w:pPr>
        <w:ind w:left="540" w:right="260" w:hanging="277"/>
        <w:spacing w:after="0" w:line="286" w:lineRule="auto"/>
        <w:tabs>
          <w:tab w:leader="none" w:pos="536"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Commercial Organization</w:t>
      </w:r>
    </w:p>
    <w:p>
      <w:pPr>
        <w:spacing w:after="0" w:line="150" w:lineRule="exact"/>
        <w:rPr>
          <w:sz w:val="20"/>
          <w:szCs w:val="20"/>
          <w:color w:val="auto"/>
        </w:rPr>
      </w:pPr>
    </w:p>
    <w:p>
      <w:pPr>
        <w:ind w:right="320" w:firstLine="273"/>
        <w:spacing w:after="0" w:line="261" w:lineRule="auto"/>
        <w:rPr>
          <w:sz w:val="20"/>
          <w:szCs w:val="20"/>
          <w:color w:val="auto"/>
        </w:rPr>
      </w:pPr>
      <w:r>
        <w:rPr>
          <w:rFonts w:ascii="Times New Roman" w:cs="Times New Roman" w:eastAsia="Times New Roman" w:hAnsi="Times New Roman"/>
          <w:sz w:val="15"/>
          <w:szCs w:val="15"/>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07" w:lineRule="exact"/>
        <w:rPr>
          <w:sz w:val="20"/>
          <w:szCs w:val="20"/>
          <w:color w:val="auto"/>
        </w:rPr>
      </w:pPr>
    </w:p>
    <w:p>
      <w:pPr>
        <w:ind w:right="40" w:firstLine="273"/>
        <w:spacing w:after="0" w:line="269" w:lineRule="auto"/>
        <w:rPr>
          <w:sz w:val="20"/>
          <w:szCs w:val="20"/>
          <w:color w:val="auto"/>
        </w:rPr>
      </w:pPr>
      <w:r>
        <w:rPr>
          <w:rFonts w:ascii="Times New Roman" w:cs="Times New Roman" w:eastAsia="Times New Roman" w:hAnsi="Times New Roman"/>
          <w:sz w:val="15"/>
          <w:szCs w:val="15"/>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Suppliers and Manufacturing</w:t>
      </w:r>
    </w:p>
    <w:p>
      <w:pPr>
        <w:spacing w:after="0" w:line="150" w:lineRule="exact"/>
        <w:rPr>
          <w:sz w:val="20"/>
          <w:szCs w:val="20"/>
          <w:color w:val="auto"/>
        </w:rPr>
      </w:pPr>
    </w:p>
    <w:p>
      <w:pPr>
        <w:ind w:right="60" w:firstLine="273"/>
        <w:spacing w:after="0" w:line="286" w:lineRule="auto"/>
        <w:rPr>
          <w:sz w:val="20"/>
          <w:szCs w:val="20"/>
          <w:color w:val="auto"/>
        </w:rPr>
      </w:pPr>
      <w:r>
        <w:rPr>
          <w:rFonts w:ascii="Times New Roman" w:cs="Times New Roman" w:eastAsia="Times New Roman" w:hAnsi="Times New Roman"/>
          <w:sz w:val="15"/>
          <w:szCs w:val="15"/>
          <w:color w:val="auto"/>
        </w:rPr>
        <w:t>Our overall manufacturing strategy is to continuously develop and refine our processes to achieve our objectives of continuity of supply, quality of supply and margin enhancement. Over time, this may lead to in-sourcing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ectPr>
          <w:pgSz w:w="11900" w:h="16838" w:orient="portrait"/>
          <w:cols w:equalWidth="0" w:num="1">
            <w:col w:w="11240"/>
          </w:cols>
          <w:pgMar w:left="320" w:top="121" w:right="339" w:bottom="1440" w:gutter="0" w:footer="0" w:header="0"/>
        </w:sectPr>
      </w:pPr>
    </w:p>
    <w:bookmarkStart w:id="119" w:name="page120"/>
    <w:bookmarkEnd w:id="11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outsourcing certain functions, including manufacturing, in various geographic locations in order to achieve our objectives.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Consumables</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Automation Instrument</w:t>
      </w:r>
    </w:p>
    <w:p>
      <w:pPr>
        <w:spacing w:after="0" w:line="150"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50"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0" w:lineRule="exact"/>
        <w:rPr>
          <w:sz w:val="20"/>
          <w:szCs w:val="20"/>
          <w:color w:val="auto"/>
        </w:rPr>
      </w:pPr>
    </w:p>
    <w:p>
      <w:pPr>
        <w:ind w:right="200" w:firstLine="273"/>
        <w:spacing w:after="0" w:line="269" w:lineRule="auto"/>
        <w:rPr>
          <w:sz w:val="20"/>
          <w:szCs w:val="20"/>
          <w:color w:val="auto"/>
        </w:rPr>
      </w:pPr>
      <w:r>
        <w:rPr>
          <w:rFonts w:ascii="Times New Roman" w:cs="Times New Roman" w:eastAsia="Times New Roman" w:hAnsi="Times New Roman"/>
          <w:sz w:val="15"/>
          <w:szCs w:val="15"/>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150"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117</w:t>
      </w:r>
    </w:p>
    <w:p>
      <w:pPr>
        <w:sectPr>
          <w:pgSz w:w="11900" w:h="16838" w:orient="portrait"/>
          <w:cols w:equalWidth="0" w:num="1">
            <w:col w:w="11260"/>
          </w:cols>
          <w:pgMar w:left="320" w:top="121" w:right="319" w:bottom="1440" w:gutter="0" w:footer="0" w:header="0"/>
        </w:sectPr>
      </w:pPr>
    </w:p>
    <w:bookmarkStart w:id="120" w:name="page121"/>
    <w:bookmarkEnd w:id="12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5"/>
          <w:szCs w:val="15"/>
          <w:color w:val="auto"/>
        </w:rPr>
        <w:t>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01"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07" w:lineRule="exact"/>
        <w:rPr>
          <w:sz w:val="20"/>
          <w:szCs w:val="20"/>
          <w:color w:val="auto"/>
        </w:rPr>
      </w:pPr>
    </w:p>
    <w:p>
      <w:pPr>
        <w:ind w:right="100" w:firstLine="273"/>
        <w:spacing w:after="0" w:line="257" w:lineRule="auto"/>
        <w:rPr>
          <w:sz w:val="20"/>
          <w:szCs w:val="20"/>
          <w:color w:val="auto"/>
        </w:rPr>
      </w:pPr>
      <w:r>
        <w:rPr>
          <w:rFonts w:ascii="Times New Roman" w:cs="Times New Roman" w:eastAsia="Times New Roman" w:hAnsi="Times New Roman"/>
          <w:sz w:val="15"/>
          <w:szCs w:val="15"/>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12" w:lineRule="exact"/>
        <w:rPr>
          <w:sz w:val="20"/>
          <w:szCs w:val="20"/>
          <w:color w:val="auto"/>
        </w:rPr>
      </w:pPr>
    </w:p>
    <w:p>
      <w:pPr>
        <w:ind w:right="20" w:firstLine="273"/>
        <w:spacing w:after="0" w:line="259" w:lineRule="auto"/>
        <w:rPr>
          <w:sz w:val="20"/>
          <w:szCs w:val="20"/>
          <w:color w:val="auto"/>
        </w:rPr>
      </w:pPr>
      <w:r>
        <w:rPr>
          <w:rFonts w:ascii="Times New Roman" w:cs="Times New Roman" w:eastAsia="Times New Roman" w:hAnsi="Times New Roman"/>
          <w:sz w:val="15"/>
          <w:szCs w:val="15"/>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1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118</w:t>
      </w:r>
    </w:p>
    <w:p>
      <w:pPr>
        <w:sectPr>
          <w:pgSz w:w="11900" w:h="16838" w:orient="portrait"/>
          <w:cols w:equalWidth="0" w:num="1">
            <w:col w:w="11240"/>
          </w:cols>
          <w:pgMar w:left="320" w:top="121" w:right="339" w:bottom="1440" w:gutter="0" w:footer="0" w:header="0"/>
        </w:sectPr>
      </w:pPr>
    </w:p>
    <w:bookmarkStart w:id="121" w:name="page122"/>
    <w:bookmarkEnd w:id="12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firstLine="273"/>
        <w:spacing w:after="0" w:line="257" w:lineRule="auto"/>
        <w:rPr>
          <w:sz w:val="20"/>
          <w:szCs w:val="20"/>
          <w:color w:val="auto"/>
        </w:rPr>
      </w:pPr>
      <w:r>
        <w:rPr>
          <w:rFonts w:ascii="Times New Roman" w:cs="Times New Roman" w:eastAsia="Times New Roman" w:hAnsi="Times New Roman"/>
          <w:sz w:val="15"/>
          <w:szCs w:val="15"/>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12"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291" w:lineRule="exact"/>
        <w:rPr>
          <w:sz w:val="20"/>
          <w:szCs w:val="20"/>
          <w:color w:val="auto"/>
        </w:rPr>
      </w:pPr>
    </w:p>
    <w:p>
      <w:pPr>
        <w:ind w:right="200" w:firstLine="273"/>
        <w:spacing w:after="0" w:line="264" w:lineRule="auto"/>
        <w:rPr>
          <w:sz w:val="20"/>
          <w:szCs w:val="20"/>
          <w:color w:val="auto"/>
        </w:rPr>
      </w:pPr>
      <w:r>
        <w:rPr>
          <w:rFonts w:ascii="Times New Roman" w:cs="Times New Roman" w:eastAsia="Times New Roman" w:hAnsi="Times New Roman"/>
          <w:sz w:val="15"/>
          <w:szCs w:val="15"/>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04" w:lineRule="exact"/>
        <w:rPr>
          <w:sz w:val="20"/>
          <w:szCs w:val="20"/>
          <w:color w:val="auto"/>
        </w:rPr>
      </w:pPr>
    </w:p>
    <w:p>
      <w:pPr>
        <w:ind w:right="40" w:firstLine="273"/>
        <w:spacing w:after="0" w:line="255" w:lineRule="auto"/>
        <w:rPr>
          <w:sz w:val="20"/>
          <w:szCs w:val="20"/>
          <w:color w:val="auto"/>
        </w:rPr>
      </w:pPr>
      <w:r>
        <w:rPr>
          <w:rFonts w:ascii="Times New Roman" w:cs="Times New Roman" w:eastAsia="Times New Roman" w:hAnsi="Times New Roman"/>
          <w:sz w:val="15"/>
          <w:szCs w:val="15"/>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18"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119</w:t>
      </w:r>
    </w:p>
    <w:p>
      <w:pPr>
        <w:sectPr>
          <w:pgSz w:w="11900" w:h="16838" w:orient="portrait"/>
          <w:cols w:equalWidth="0" w:num="1">
            <w:col w:w="11240"/>
          </w:cols>
          <w:pgMar w:left="320" w:top="121" w:right="339" w:bottom="1440" w:gutter="0" w:footer="0" w:header="0"/>
        </w:sectPr>
      </w:pPr>
    </w:p>
    <w:bookmarkStart w:id="122" w:name="page123"/>
    <w:bookmarkEnd w:id="12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89"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11" w:lineRule="exact"/>
        <w:rPr>
          <w:sz w:val="20"/>
          <w:szCs w:val="20"/>
          <w:color w:val="auto"/>
        </w:rPr>
      </w:pPr>
    </w:p>
    <w:p>
      <w:pPr>
        <w:ind w:right="20" w:firstLine="273"/>
        <w:spacing w:after="0" w:line="259" w:lineRule="auto"/>
        <w:rPr>
          <w:sz w:val="20"/>
          <w:szCs w:val="20"/>
          <w:color w:val="auto"/>
        </w:rPr>
      </w:pPr>
      <w:r>
        <w:rPr>
          <w:rFonts w:ascii="Times New Roman" w:cs="Times New Roman" w:eastAsia="Times New Roman" w:hAnsi="Times New Roman"/>
          <w:sz w:val="15"/>
          <w:szCs w:val="15"/>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08" w:lineRule="exact"/>
        <w:rPr>
          <w:sz w:val="20"/>
          <w:szCs w:val="20"/>
          <w:color w:val="auto"/>
        </w:rPr>
      </w:pPr>
    </w:p>
    <w:p>
      <w:pPr>
        <w:ind w:right="120" w:firstLine="273"/>
        <w:spacing w:after="0" w:line="262" w:lineRule="auto"/>
        <w:rPr>
          <w:sz w:val="20"/>
          <w:szCs w:val="20"/>
          <w:color w:val="auto"/>
        </w:rPr>
      </w:pPr>
      <w:r>
        <w:rPr>
          <w:rFonts w:ascii="Times New Roman" w:cs="Times New Roman" w:eastAsia="Times New Roman" w:hAnsi="Times New Roman"/>
          <w:sz w:val="15"/>
          <w:szCs w:val="15"/>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5"/>
          <w:szCs w:val="15"/>
          <w:i w:val="1"/>
          <w:iCs w:val="1"/>
          <w:color w:val="auto"/>
        </w:rPr>
        <w:t>Our products could become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10" w:lineRule="exact"/>
        <w:rPr>
          <w:sz w:val="20"/>
          <w:szCs w:val="20"/>
          <w:color w:val="auto"/>
        </w:rPr>
      </w:pPr>
    </w:p>
    <w:p>
      <w:pPr>
        <w:ind w:right="220" w:firstLine="273"/>
        <w:spacing w:after="0" w:line="286" w:lineRule="auto"/>
        <w:rPr>
          <w:sz w:val="20"/>
          <w:szCs w:val="20"/>
          <w:color w:val="auto"/>
        </w:rPr>
      </w:pPr>
      <w:r>
        <w:rPr>
          <w:rFonts w:ascii="Times New Roman" w:cs="Times New Roman" w:eastAsia="Times New Roman" w:hAnsi="Times New Roman"/>
          <w:sz w:val="15"/>
          <w:szCs w:val="15"/>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120</w:t>
      </w:r>
    </w:p>
    <w:p>
      <w:pPr>
        <w:sectPr>
          <w:pgSz w:w="11900" w:h="16838" w:orient="portrait"/>
          <w:cols w:equalWidth="0" w:num="1">
            <w:col w:w="11240"/>
          </w:cols>
          <w:pgMar w:left="320" w:top="121" w:right="339" w:bottom="1440" w:gutter="0" w:footer="0" w:header="0"/>
        </w:sectPr>
      </w:pPr>
    </w:p>
    <w:bookmarkStart w:id="123" w:name="page124"/>
    <w:bookmarkEnd w:id="12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5"/>
          <w:szCs w:val="15"/>
          <w:color w:val="auto"/>
        </w:rPr>
        <w:t>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01" w:lineRule="exact"/>
        <w:rPr>
          <w:sz w:val="20"/>
          <w:szCs w:val="20"/>
          <w:color w:val="auto"/>
        </w:rPr>
      </w:pPr>
    </w:p>
    <w:p>
      <w:pPr>
        <w:ind w:right="20" w:firstLine="273"/>
        <w:spacing w:after="0" w:line="255" w:lineRule="auto"/>
        <w:rPr>
          <w:sz w:val="20"/>
          <w:szCs w:val="20"/>
          <w:color w:val="auto"/>
        </w:rPr>
      </w:pPr>
      <w:r>
        <w:rPr>
          <w:rFonts w:ascii="Times New Roman" w:cs="Times New Roman" w:eastAsia="Times New Roman" w:hAnsi="Times New Roman"/>
          <w:sz w:val="15"/>
          <w:szCs w:val="15"/>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w:t>
      </w:r>
    </w:p>
    <w:p>
      <w:pPr>
        <w:spacing w:after="0" w:line="114" w:lineRule="exact"/>
        <w:rPr>
          <w:sz w:val="20"/>
          <w:szCs w:val="20"/>
          <w:color w:val="auto"/>
        </w:rPr>
      </w:pPr>
    </w:p>
    <w:p>
      <w:pPr>
        <w:ind w:right="80" w:firstLine="273"/>
        <w:spacing w:after="0" w:line="262" w:lineRule="auto"/>
        <w:rPr>
          <w:sz w:val="20"/>
          <w:szCs w:val="20"/>
          <w:color w:val="auto"/>
        </w:rPr>
      </w:pPr>
      <w:r>
        <w:rPr>
          <w:rFonts w:ascii="Times New Roman" w:cs="Times New Roman" w:eastAsia="Times New Roman" w:hAnsi="Times New Roman"/>
          <w:sz w:val="15"/>
          <w:szCs w:val="15"/>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5"/>
          <w:szCs w:val="15"/>
          <w:i w:val="1"/>
          <w:iCs w:val="1"/>
          <w:color w:val="auto"/>
        </w:rPr>
        <w:t>We are currently subject to,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Times New Roman" w:cs="Times New Roman" w:eastAsia="Times New Roman" w:hAnsi="Times New Roman"/>
          <w:sz w:val="15"/>
          <w:szCs w:val="15"/>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50"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89" w:lineRule="exact"/>
        <w:rPr>
          <w:sz w:val="20"/>
          <w:szCs w:val="20"/>
          <w:color w:val="auto"/>
        </w:rPr>
      </w:pPr>
    </w:p>
    <w:p>
      <w:pPr>
        <w:ind w:right="380" w:firstLine="273"/>
        <w:spacing w:after="0" w:line="269" w:lineRule="auto"/>
        <w:rPr>
          <w:sz w:val="20"/>
          <w:szCs w:val="20"/>
          <w:color w:val="auto"/>
        </w:rPr>
      </w:pPr>
      <w:r>
        <w:rPr>
          <w:rFonts w:ascii="Times New Roman" w:cs="Times New Roman" w:eastAsia="Times New Roman" w:hAnsi="Times New Roman"/>
          <w:sz w:val="15"/>
          <w:szCs w:val="15"/>
          <w:color w:val="auto"/>
        </w:rPr>
        <w:t>As of September 30, 2020, we own approximately two issued U.S. patents, eight U.S. pending patent applications and four pending Patent Cooperation Treaty (PCT) patent applications. Our owned patents and patent 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Such patent portfolio owned by us includes:</w:t>
      </w:r>
    </w:p>
    <w:p>
      <w:pPr>
        <w:spacing w:after="0" w:line="146" w:lineRule="exact"/>
        <w:rPr>
          <w:sz w:val="20"/>
          <w:szCs w:val="20"/>
          <w:color w:val="auto"/>
        </w:rPr>
      </w:pPr>
    </w:p>
    <w:p>
      <w:pPr>
        <w:ind w:left="540" w:right="160" w:hanging="277"/>
        <w:spacing w:after="0" w:line="286" w:lineRule="auto"/>
        <w:tabs>
          <w:tab w:leader="none" w:pos="536"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pending U.S. patent applications that are directed to methods for interrogating protein pathways and PPIs with the biosensors;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121</w:t>
      </w:r>
    </w:p>
    <w:p>
      <w:pPr>
        <w:sectPr>
          <w:pgSz w:w="11900" w:h="16838" w:orient="portrait"/>
          <w:cols w:equalWidth="0" w:num="1">
            <w:col w:w="11240"/>
          </w:cols>
          <w:pgMar w:left="320" w:top="121" w:right="339" w:bottom="1440" w:gutter="0" w:footer="0" w:header="0"/>
        </w:sectPr>
      </w:pPr>
    </w:p>
    <w:bookmarkStart w:id="124" w:name="page125"/>
    <w:bookmarkEnd w:id="12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issued U.S. patent and a pending U.S. patent application directed to the classification of biological states; and</w:t>
      </w:r>
    </w:p>
    <w:p>
      <w:pPr>
        <w:spacing w:after="0" w:line="145" w:lineRule="exact"/>
        <w:rPr>
          <w:rFonts w:ascii="Times New Roman" w:cs="Times New Roman" w:eastAsia="Times New Roman" w:hAnsi="Times New Roman"/>
          <w:sz w:val="15"/>
          <w:szCs w:val="15"/>
          <w:color w:val="auto"/>
        </w:rPr>
      </w:pPr>
    </w:p>
    <w:p>
      <w:pPr>
        <w:ind w:left="540" w:right="240" w:hanging="277"/>
        <w:spacing w:after="0" w:line="286" w:lineRule="auto"/>
        <w:tabs>
          <w:tab w:leader="none" w:pos="536"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issued U.S. patent and a pending PCT patent application directed to methods for biomarker discovery, including an algorithm-based method that uses data sampled by the biosensor platform.</w:t>
      </w:r>
    </w:p>
    <w:p>
      <w:pPr>
        <w:spacing w:after="0" w:line="89"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We exclusively license from The Brigham and Women’s Hospital, Inc. (BWH), two issued U.S. patents, five U.S. pending patent applications, one issued ex-U.S. patent and eight ex-U.S. pending patent applications, as of September 30,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07"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cs="Times New Roman" w:eastAsia="Times New Roman" w:hAnsi="Times New Roman"/>
          <w:sz w:val="15"/>
          <w:szCs w:val="15"/>
          <w:i w:val="1"/>
          <w:iCs w:val="1"/>
          <w:color w:val="auto"/>
        </w:rPr>
        <w:t>“Business —Collaboration and License Agreements.”</w:t>
      </w:r>
    </w:p>
    <w:p>
      <w:pPr>
        <w:spacing w:after="0" w:line="107" w:lineRule="exact"/>
        <w:rPr>
          <w:sz w:val="20"/>
          <w:szCs w:val="20"/>
          <w:color w:val="auto"/>
        </w:rPr>
      </w:pPr>
    </w:p>
    <w:p>
      <w:pPr>
        <w:ind w:right="60" w:firstLine="273"/>
        <w:spacing w:after="0" w:line="258" w:lineRule="auto"/>
        <w:rPr>
          <w:sz w:val="20"/>
          <w:szCs w:val="20"/>
          <w:color w:val="auto"/>
        </w:rPr>
      </w:pPr>
      <w:r>
        <w:rPr>
          <w:rFonts w:ascii="Times New Roman" w:cs="Times New Roman" w:eastAsia="Times New Roman" w:hAnsi="Times New Roman"/>
          <w:sz w:val="15"/>
          <w:szCs w:val="15"/>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10"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cs="Times New Roman" w:eastAsia="Times New Roman" w:hAnsi="Times New Roman"/>
          <w:sz w:val="15"/>
          <w:szCs w:val="15"/>
          <w:i w:val="1"/>
          <w:iCs w:val="1"/>
          <w:color w:val="auto"/>
        </w:rPr>
        <w:t>“Risk factors—Risks Related to our Intellectual Property.”</w:t>
      </w:r>
    </w:p>
    <w:p>
      <w:pPr>
        <w:spacing w:after="0" w:line="106" w:lineRule="exact"/>
        <w:rPr>
          <w:sz w:val="20"/>
          <w:szCs w:val="20"/>
          <w:color w:val="auto"/>
        </w:rPr>
      </w:pPr>
    </w:p>
    <w:p>
      <w:pPr>
        <w:jc w:val="right"/>
        <w:ind w:right="8740"/>
        <w:spacing w:after="0"/>
        <w:rPr>
          <w:sz w:val="20"/>
          <w:szCs w:val="20"/>
          <w:color w:val="auto"/>
        </w:rPr>
      </w:pPr>
      <w:r>
        <w:rPr>
          <w:rFonts w:ascii="Times New Roman" w:cs="Times New Roman" w:eastAsia="Times New Roman" w:hAnsi="Times New Roman"/>
          <w:sz w:val="15"/>
          <w:szCs w:val="15"/>
          <w:b w:val="1"/>
          <w:bCs w:val="1"/>
          <w:color w:val="auto"/>
        </w:rPr>
        <w:t>Collaboration and License Agreements</w:t>
      </w:r>
    </w:p>
    <w:p>
      <w:pPr>
        <w:spacing w:after="0" w:line="146"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5"/>
          <w:szCs w:val="15"/>
          <w:b w:val="1"/>
          <w:bCs w:val="1"/>
          <w:i w:val="1"/>
          <w:iCs w:val="1"/>
          <w:color w:val="auto"/>
        </w:rPr>
        <w:t>The Brigham and Women’s Hospital</w:t>
      </w:r>
    </w:p>
    <w:p>
      <w:pPr>
        <w:spacing w:after="0" w:line="150" w:lineRule="exact"/>
        <w:rPr>
          <w:sz w:val="20"/>
          <w:szCs w:val="20"/>
          <w:color w:val="auto"/>
        </w:rPr>
      </w:pPr>
    </w:p>
    <w:p>
      <w:pPr>
        <w:ind w:right="100" w:firstLine="273"/>
        <w:spacing w:after="0" w:line="269" w:lineRule="auto"/>
        <w:rPr>
          <w:sz w:val="20"/>
          <w:szCs w:val="20"/>
          <w:color w:val="auto"/>
        </w:rPr>
      </w:pPr>
      <w:r>
        <w:rPr>
          <w:rFonts w:ascii="Times New Roman" w:cs="Times New Roman" w:eastAsia="Times New Roman" w:hAnsi="Times New Roman"/>
          <w:sz w:val="15"/>
          <w:szCs w:val="15"/>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122</w:t>
      </w:r>
    </w:p>
    <w:p>
      <w:pPr>
        <w:sectPr>
          <w:pgSz w:w="11900" w:h="16838" w:orient="portrait"/>
          <w:cols w:equalWidth="0" w:num="1">
            <w:col w:w="11240"/>
          </w:cols>
          <w:pgMar w:left="320" w:top="121" w:right="339" w:bottom="1440" w:gutter="0" w:footer="0" w:header="0"/>
        </w:sectPr>
      </w:pPr>
    </w:p>
    <w:bookmarkStart w:id="125" w:name="page126"/>
    <w:bookmarkEnd w:id="12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5"/>
          <w:szCs w:val="15"/>
          <w:color w:val="auto"/>
        </w:rPr>
        <w:t>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10"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07" w:lineRule="exact"/>
        <w:rPr>
          <w:sz w:val="20"/>
          <w:szCs w:val="20"/>
          <w:color w:val="auto"/>
        </w:rPr>
      </w:pPr>
    </w:p>
    <w:p>
      <w:pPr>
        <w:ind w:right="20" w:firstLine="273"/>
        <w:spacing w:after="0" w:line="269" w:lineRule="auto"/>
        <w:rPr>
          <w:sz w:val="20"/>
          <w:szCs w:val="20"/>
          <w:color w:val="auto"/>
        </w:rPr>
      </w:pPr>
      <w:r>
        <w:rPr>
          <w:rFonts w:ascii="Times New Roman" w:cs="Times New Roman" w:eastAsia="Times New Roman" w:hAnsi="Times New Roman"/>
          <w:sz w:val="15"/>
          <w:szCs w:val="15"/>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01"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PrognomIQ</w:t>
      </w:r>
    </w:p>
    <w:p>
      <w:pPr>
        <w:spacing w:after="0" w:line="150" w:lineRule="exact"/>
        <w:rPr>
          <w:sz w:val="20"/>
          <w:szCs w:val="20"/>
          <w:color w:val="auto"/>
        </w:rPr>
      </w:pPr>
    </w:p>
    <w:p>
      <w:pPr>
        <w:ind w:right="40" w:firstLine="273"/>
        <w:spacing w:after="0" w:line="257" w:lineRule="auto"/>
        <w:rPr>
          <w:sz w:val="20"/>
          <w:szCs w:val="20"/>
          <w:color w:val="auto"/>
        </w:rPr>
      </w:pPr>
      <w:r>
        <w:rPr>
          <w:rFonts w:ascii="Times New Roman" w:cs="Times New Roman" w:eastAsia="Times New Roman" w:hAnsi="Times New Roman"/>
          <w:sz w:val="15"/>
          <w:szCs w:val="15"/>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09"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ectPr>
          <w:pgSz w:w="11900" w:h="16838" w:orient="portrait"/>
          <w:cols w:equalWidth="0" w:num="1">
            <w:col w:w="11240"/>
          </w:cols>
          <w:pgMar w:left="320" w:top="121" w:right="339" w:bottom="1440" w:gutter="0" w:footer="0" w:header="0"/>
        </w:sectPr>
      </w:pPr>
    </w:p>
    <w:bookmarkStart w:id="126" w:name="page127"/>
    <w:bookmarkEnd w:id="12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Collaborators</w:t>
      </w:r>
    </w:p>
    <w:p>
      <w:pPr>
        <w:spacing w:after="0" w:line="150"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intend to use our product to analyze protein signatures in diseased vs. non-diseased samples undergoing drug perturbations in various clinical applications including cardiovascular disease.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Scientific Advisory Board</w:t>
      </w:r>
    </w:p>
    <w:p>
      <w:pPr>
        <w:spacing w:after="0" w:line="150" w:lineRule="exact"/>
        <w:rPr>
          <w:sz w:val="20"/>
          <w:szCs w:val="20"/>
          <w:color w:val="auto"/>
        </w:rPr>
      </w:pPr>
    </w:p>
    <w:p>
      <w:pPr>
        <w:ind w:right="260" w:firstLine="273"/>
        <w:spacing w:after="0" w:line="269" w:lineRule="auto"/>
        <w:rPr>
          <w:sz w:val="20"/>
          <w:szCs w:val="20"/>
          <w:color w:val="auto"/>
        </w:rPr>
      </w:pPr>
      <w:r>
        <w:rPr>
          <w:rFonts w:ascii="Times New Roman" w:cs="Times New Roman" w:eastAsia="Times New Roman" w:hAnsi="Times New Roman"/>
          <w:sz w:val="15"/>
          <w:szCs w:val="15"/>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and Ralph Weissleder, M.D.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Employees and Human Capital</w:t>
      </w:r>
    </w:p>
    <w:p>
      <w:pPr>
        <w:spacing w:after="0" w:line="150" w:lineRule="exact"/>
        <w:rPr>
          <w:sz w:val="20"/>
          <w:szCs w:val="20"/>
          <w:color w:val="auto"/>
        </w:rPr>
      </w:pPr>
    </w:p>
    <w:p>
      <w:pPr>
        <w:ind w:right="280" w:firstLine="273"/>
        <w:spacing w:after="0" w:line="269" w:lineRule="auto"/>
        <w:rPr>
          <w:sz w:val="20"/>
          <w:szCs w:val="20"/>
          <w:color w:val="auto"/>
        </w:rPr>
      </w:pPr>
      <w:r>
        <w:rPr>
          <w:rFonts w:ascii="Times New Roman" w:cs="Times New Roman" w:eastAsia="Times New Roman" w:hAnsi="Times New Roman"/>
          <w:sz w:val="15"/>
          <w:szCs w:val="15"/>
          <w:color w:val="auto"/>
        </w:rPr>
        <w:t>As of September 30, 2020, we had 60 employees, all based in the United States, many of whom hold doctorate degrees. Of these employees, 46 were engaged in in research and development activities, and 14 were engaged in selling, general and administrative activities. None of our employees are represented by a labor union or covered under a collective bargaining agreement.</w:t>
      </w:r>
    </w:p>
    <w:p>
      <w:pPr>
        <w:spacing w:after="0" w:line="101" w:lineRule="exact"/>
        <w:rPr>
          <w:sz w:val="20"/>
          <w:szCs w:val="20"/>
          <w:color w:val="auto"/>
        </w:rPr>
      </w:pPr>
    </w:p>
    <w:p>
      <w:pPr>
        <w:ind w:right="180" w:firstLine="273"/>
        <w:spacing w:after="0" w:line="269" w:lineRule="auto"/>
        <w:rPr>
          <w:sz w:val="20"/>
          <w:szCs w:val="20"/>
          <w:color w:val="auto"/>
        </w:rPr>
      </w:pPr>
      <w:r>
        <w:rPr>
          <w:rFonts w:ascii="Times New Roman" w:cs="Times New Roman" w:eastAsia="Times New Roman" w:hAnsi="Times New Roman"/>
          <w:sz w:val="15"/>
          <w:szCs w:val="15"/>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150"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Our corporate headquarters, research and development facilities, and manufacturing and distribution centers are located at 3800 Bridge Parkway, Redwood City, CA 94065. The facility is approximately 25,600 square feet and is compliant with all relevant stage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50" w:lineRule="exact"/>
        <w:rPr>
          <w:sz w:val="20"/>
          <w:szCs w:val="20"/>
          <w:color w:val="auto"/>
        </w:rPr>
      </w:pPr>
    </w:p>
    <w:p>
      <w:pPr>
        <w:ind w:right="20" w:firstLine="273"/>
        <w:spacing w:after="0" w:line="286" w:lineRule="auto"/>
        <w:rPr>
          <w:sz w:val="20"/>
          <w:szCs w:val="20"/>
          <w:color w:val="auto"/>
        </w:rPr>
      </w:pPr>
      <w:r>
        <w:rPr>
          <w:rFonts w:ascii="Times New Roman" w:cs="Times New Roman" w:eastAsia="Times New Roman" w:hAnsi="Times New Roman"/>
          <w:sz w:val="15"/>
          <w:szCs w:val="15"/>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124</w:t>
      </w:r>
    </w:p>
    <w:p>
      <w:pPr>
        <w:sectPr>
          <w:pgSz w:w="11900" w:h="16838" w:orient="portrait"/>
          <w:cols w:equalWidth="0" w:num="1">
            <w:col w:w="11220"/>
          </w:cols>
          <w:pgMar w:left="320" w:top="121" w:right="359" w:bottom="1440" w:gutter="0" w:footer="0" w:header="0"/>
        </w:sectPr>
      </w:pPr>
    </w:p>
    <w:bookmarkStart w:id="127" w:name="page128"/>
    <w:bookmarkEnd w:id="127"/>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sets forth the names, ages and positions of our executive officers and directors as of September 30, 2020:</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4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r>
      <w:tr>
        <w:trPr>
          <w:trHeight w:val="198"/>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Executive Officers:</w:t>
            </w: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940" w:type="dxa"/>
            <w:vAlign w:val="bottom"/>
            <w:tcBorders>
              <w:bottom w:val="single" w:sz="8" w:color="CCEEFF"/>
            </w:tcBorders>
            <w:shd w:val="clear" w:color="auto" w:fill="CCEEFF"/>
          </w:tcPr>
          <w:p>
            <w:pPr>
              <w:spacing w:after="0"/>
              <w:rPr>
                <w:sz w:val="17"/>
                <w:szCs w:val="17"/>
                <w:color w:val="auto"/>
              </w:rPr>
            </w:pPr>
          </w:p>
        </w:tc>
      </w:tr>
      <w:tr>
        <w:trPr>
          <w:trHeight w:val="22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Omid Farokhzad, M.D.</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 and Chair of the Board of Directors</w:t>
            </w:r>
          </w:p>
        </w:tc>
      </w:tr>
      <w:tr>
        <w:trPr>
          <w:trHeight w:val="227"/>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David R. Horn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22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Omead Ostadan</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Chief Operating Officer and Director</w:t>
            </w:r>
          </w:p>
        </w:tc>
      </w:tr>
      <w:tr>
        <w:trPr>
          <w:trHeight w:val="227"/>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Elona Kogan</w:t>
            </w:r>
            <w:r>
              <w:rPr>
                <w:rFonts w:ascii="Times New Roman" w:cs="Times New Roman" w:eastAsia="Times New Roman" w:hAnsi="Times New Roman"/>
                <w:sz w:val="19"/>
                <w:szCs w:val="19"/>
                <w:color w:val="auto"/>
                <w:vertAlign w:val="superscript"/>
              </w:rPr>
              <w:t>(1)</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Counsel and Secretary</w:t>
            </w:r>
          </w:p>
        </w:tc>
      </w:tr>
      <w:tr>
        <w:trPr>
          <w:trHeight w:val="227"/>
        </w:trPr>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207"/>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Non-Employee Directors:</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18"/>
                <w:szCs w:val="18"/>
                <w:color w:val="auto"/>
              </w:rPr>
            </w:pPr>
          </w:p>
        </w:tc>
      </w:tr>
      <w:tr>
        <w:trPr>
          <w:trHeight w:val="22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David Hallal</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Lead Independent Director</w:t>
            </w:r>
          </w:p>
        </w:tc>
      </w:tr>
      <w:tr>
        <w:trPr>
          <w:trHeight w:val="227"/>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Catherine J. Friedman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shd w:val="clear" w:color="auto" w:fill="CCEEFF"/>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22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Robert Langer, Sc.D.</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227"/>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Terrance McGuire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shd w:val="clear" w:color="auto" w:fill="CCEEFF"/>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20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David Singer</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r>
      <w:tr>
        <w:trPr>
          <w:trHeight w:val="150"/>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40" w:type="dxa"/>
            <w:vAlign w:val="bottom"/>
          </w:tcPr>
          <w:p>
            <w:pPr>
              <w:spacing w:after="0"/>
              <w:rPr>
                <w:sz w:val="13"/>
                <w:szCs w:val="13"/>
                <w:color w:val="auto"/>
              </w:rPr>
            </w:pPr>
          </w:p>
        </w:tc>
      </w:tr>
    </w:tbl>
    <w:p>
      <w:pPr>
        <w:ind w:left="269" w:hanging="269"/>
        <w:spacing w:after="0" w:line="237" w:lineRule="auto"/>
        <w:tabs>
          <w:tab w:leader="none" w:pos="26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Joined the Company on November 6, 2020</w:t>
      </w:r>
    </w:p>
    <w:p>
      <w:pPr>
        <w:ind w:left="269" w:hanging="269"/>
        <w:spacing w:after="0" w:line="237" w:lineRule="auto"/>
        <w:tabs>
          <w:tab w:leader="none" w:pos="26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audit committee</w:t>
      </w:r>
    </w:p>
    <w:p>
      <w:pPr>
        <w:ind w:left="269" w:hanging="269"/>
        <w:spacing w:after="0" w:line="237" w:lineRule="auto"/>
        <w:tabs>
          <w:tab w:leader="none" w:pos="26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compensation committee</w:t>
      </w:r>
    </w:p>
    <w:p>
      <w:pPr>
        <w:ind w:left="269" w:hanging="269"/>
        <w:spacing w:after="0"/>
        <w:tabs>
          <w:tab w:leader="none" w:pos="269"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corporate governance and nominating committee</w:t>
      </w:r>
    </w:p>
    <w:p>
      <w:pPr>
        <w:spacing w:after="0" w:line="12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48" w:lineRule="exact"/>
        <w:rPr>
          <w:sz w:val="20"/>
          <w:szCs w:val="20"/>
          <w:color w:val="auto"/>
        </w:rPr>
      </w:pPr>
    </w:p>
    <w:p>
      <w:pPr>
        <w:ind w:left="9" w:firstLine="273"/>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Omid Farokhzad, M.D. </w:t>
      </w:r>
      <w:r>
        <w:rPr>
          <w:rFonts w:ascii="Times New Roman" w:cs="Times New Roman" w:eastAsia="Times New Roman" w:hAnsi="Times New Roman"/>
          <w:sz w:val="15"/>
          <w:szCs w:val="15"/>
          <w:color w:val="auto"/>
        </w:rPr>
        <w:t>co-founded our Company and has served as our Chief Executive Officer since February 2018 and as a member of our board of directors since March 2017,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10" w:lineRule="exact"/>
        <w:rPr>
          <w:sz w:val="20"/>
          <w:szCs w:val="20"/>
          <w:color w:val="auto"/>
        </w:rPr>
      </w:pPr>
    </w:p>
    <w:p>
      <w:pPr>
        <w:ind w:left="9" w:right="220" w:firstLine="273"/>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David R. Horn </w:t>
      </w:r>
      <w:r>
        <w:rPr>
          <w:rFonts w:ascii="Times New Roman" w:cs="Times New Roman" w:eastAsia="Times New Roman" w:hAnsi="Times New Roman"/>
          <w:sz w:val="15"/>
          <w:szCs w:val="15"/>
          <w:color w:val="auto"/>
        </w:rPr>
        <w:t>has served as our Chief Financial Officer since May 2020. Prior to joining us, Mr. Horn was with Morgan Stanley, an investment bank and financial services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01" w:lineRule="exact"/>
        <w:rPr>
          <w:sz w:val="20"/>
          <w:szCs w:val="20"/>
          <w:color w:val="auto"/>
        </w:rPr>
      </w:pPr>
    </w:p>
    <w:p>
      <w:pPr>
        <w:ind w:left="9" w:right="60" w:firstLine="273"/>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Omead Ostadan </w:t>
      </w:r>
      <w:r>
        <w:rPr>
          <w:rFonts w:ascii="Times New Roman" w:cs="Times New Roman" w:eastAsia="Times New Roman" w:hAnsi="Times New Roman"/>
          <w:sz w:val="15"/>
          <w:szCs w:val="15"/>
          <w:color w:val="auto"/>
        </w:rPr>
        <w:t>has served as our President and Chief Operating Officer since July 2020 and as a member of our board of directors since March 2020. Prior to joining us, Mr.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125</w:t>
      </w:r>
    </w:p>
    <w:p>
      <w:pPr>
        <w:sectPr>
          <w:pgSz w:w="11900" w:h="16838" w:orient="portrait"/>
          <w:cols w:equalWidth="0" w:num="1">
            <w:col w:w="11269"/>
          </w:cols>
          <w:pgMar w:left="311" w:top="121" w:right="319" w:bottom="1440" w:gutter="0" w:footer="0" w:header="0"/>
        </w:sectPr>
      </w:pPr>
    </w:p>
    <w:bookmarkStart w:id="128" w:name="page129"/>
    <w:bookmarkEnd w:id="12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5"/>
          <w:szCs w:val="15"/>
          <w:color w:val="auto"/>
        </w:rPr>
        <w:t>California, Davis and an M.B.A from the Wharton School of Business. We believe Mr. Ostadan is qualified to serve on our board of directors because of his extensive experience in product development at life science companies, his leadership skills, as well as his strong strategic planning and product knowledge.</w:t>
      </w:r>
    </w:p>
    <w:p>
      <w:pPr>
        <w:spacing w:after="0" w:line="87"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Elona Kogan </w:t>
      </w:r>
      <w:r>
        <w:rPr>
          <w:rFonts w:ascii="Times New Roman" w:cs="Times New Roman" w:eastAsia="Times New Roman" w:hAnsi="Times New Roman"/>
          <w:sz w:val="15"/>
          <w:szCs w:val="15"/>
          <w:color w:val="auto"/>
        </w:rPr>
        <w:t>has served as our General Counsel and Secretary since November 2020. Prior to joining us, Ms. Kogan served as General Counsel and Secretary of Selecta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also a member of the board of Cardax, Inc.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Non-Employee Directors</w:t>
      </w:r>
    </w:p>
    <w:p>
      <w:pPr>
        <w:spacing w:after="0" w:line="148" w:lineRule="exact"/>
        <w:rPr>
          <w:sz w:val="20"/>
          <w:szCs w:val="20"/>
          <w:color w:val="auto"/>
        </w:rPr>
      </w:pPr>
    </w:p>
    <w:p>
      <w:pPr>
        <w:ind w:right="60" w:firstLine="273"/>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David Hallal </w:t>
      </w:r>
      <w:r>
        <w:rPr>
          <w:rFonts w:ascii="Times New Roman" w:cs="Times New Roman" w:eastAsia="Times New Roman" w:hAnsi="Times New Roman"/>
          <w:sz w:val="15"/>
          <w:szCs w:val="15"/>
          <w:color w:val="auto"/>
        </w:rPr>
        <w:t>has served as a member of our board of directors since February 2018 and as Lead Independent Director since September 2020. Mr. Hallal has served as Chief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05"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Catherine J. Friedman </w:t>
      </w:r>
      <w:r>
        <w:rPr>
          <w:rFonts w:ascii="Times New Roman" w:cs="Times New Roman" w:eastAsia="Times New Roman" w:hAnsi="Times New Roman"/>
          <w:sz w:val="15"/>
          <w:szCs w:val="15"/>
          <w:color w:val="auto"/>
        </w:rPr>
        <w:t>has served as a member of our board of directors since September 2020. Ms. Friedman has been an independent financial consultant serving public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07" w:lineRule="exact"/>
        <w:rPr>
          <w:sz w:val="20"/>
          <w:szCs w:val="20"/>
          <w:color w:val="auto"/>
        </w:rPr>
      </w:pPr>
    </w:p>
    <w:p>
      <w:pPr>
        <w:ind w:right="140" w:firstLine="273"/>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Robert Langer, Sc.D. </w:t>
      </w:r>
      <w:r>
        <w:rPr>
          <w:rFonts w:ascii="Times New Roman" w:cs="Times New Roman" w:eastAsia="Times New Roman" w:hAnsi="Times New Roman"/>
          <w:sz w:val="15"/>
          <w:szCs w:val="15"/>
          <w:color w:val="auto"/>
        </w:rPr>
        <w:t>has served as a member of our board of directors since December 2017. Dr. Langer has served as a David H. Koch Institute Professor at the Massachusetts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Institute of Technology since July 2005. He currently serves on the board of directors of Abpro Bio Co. Ltd., Frequency Therapeutics, Inc., Lyra Therapeutics, Inc., Moderna, Inc. and Puretech Health plc, and previously served on the board of directors of Alkermes, Inc., Kala Pharmaceuticals, Inc., Momentum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126</w:t>
      </w:r>
    </w:p>
    <w:p>
      <w:pPr>
        <w:sectPr>
          <w:pgSz w:w="11900" w:h="16838" w:orient="portrait"/>
          <w:cols w:equalWidth="0" w:num="1">
            <w:col w:w="11240"/>
          </w:cols>
          <w:pgMar w:left="320" w:top="121" w:right="339" w:bottom="1440" w:gutter="0" w:footer="0" w:header="0"/>
        </w:sectPr>
      </w:pPr>
    </w:p>
    <w:bookmarkStart w:id="129" w:name="page130"/>
    <w:bookmarkEnd w:id="12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Terrance McGuire </w:t>
      </w:r>
      <w:r>
        <w:rPr>
          <w:rFonts w:ascii="Times New Roman" w:cs="Times New Roman" w:eastAsia="Times New Roman" w:hAnsi="Times New Roman"/>
          <w:sz w:val="15"/>
          <w:szCs w:val="15"/>
          <w:color w:val="auto"/>
        </w:rPr>
        <w:t>has served as a member of our board of directors since December 2017. Mr. McGuire serves as a General Partner of Polaris Partners, a venture capital firm he co-founded in 1996. He currently serves on the 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11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i w:val="1"/>
          <w:iCs w:val="1"/>
          <w:color w:val="auto"/>
        </w:rPr>
        <w:t>David B. Singe</w:t>
      </w:r>
      <w:r>
        <w:rPr>
          <w:rFonts w:ascii="Times New Roman" w:cs="Times New Roman" w:eastAsia="Times New Roman" w:hAnsi="Times New Roman"/>
          <w:sz w:val="15"/>
          <w:szCs w:val="15"/>
          <w:color w:val="auto"/>
        </w:rPr>
        <w:t>r has served as a member of our board of directors since December 2017. Mr. Singer has held various positions at Maverick Ventures, a venture capital firm, or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Composition</w:t>
      </w:r>
    </w:p>
    <w:p>
      <w:pPr>
        <w:spacing w:after="0" w:line="15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01" w:lineRule="exact"/>
        <w:rPr>
          <w:sz w:val="20"/>
          <w:szCs w:val="20"/>
          <w:color w:val="auto"/>
        </w:rPr>
      </w:pPr>
    </w:p>
    <w:p>
      <w:pPr>
        <w:jc w:val="both"/>
        <w:ind w:right="220" w:firstLine="273"/>
        <w:spacing w:after="0" w:line="269" w:lineRule="auto"/>
        <w:rPr>
          <w:sz w:val="20"/>
          <w:szCs w:val="20"/>
          <w:color w:val="auto"/>
        </w:rPr>
      </w:pPr>
      <w:r>
        <w:rPr>
          <w:rFonts w:ascii="Times New Roman" w:cs="Times New Roman" w:eastAsia="Times New Roman" w:hAnsi="Times New Roman"/>
          <w:sz w:val="15"/>
          <w:szCs w:val="15"/>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01"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Class I directors will be</w:t>
            </w:r>
          </w:p>
        </w:tc>
        <w:tc>
          <w:tcPr>
            <w:tcW w:w="636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 and their terms will expire at the annual meeting of stockholders to be held in 2021;</w:t>
            </w:r>
          </w:p>
        </w:tc>
      </w:tr>
      <w:tr>
        <w:trPr>
          <w:trHeight w:val="318"/>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Class II directors will be</w:t>
            </w:r>
          </w:p>
        </w:tc>
        <w:tc>
          <w:tcPr>
            <w:tcW w:w="636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 and their terms will expire at the annual meeting of stockholders to be held in 2022; and</w:t>
            </w:r>
          </w:p>
        </w:tc>
      </w:tr>
      <w:tr>
        <w:trPr>
          <w:trHeight w:val="318"/>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2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Class III directors will be</w:t>
            </w:r>
          </w:p>
        </w:tc>
        <w:tc>
          <w:tcPr>
            <w:tcW w:w="636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 and their terms will expire at the annual meeting of stockholders to be held in 2023.</w:t>
            </w:r>
          </w:p>
        </w:tc>
      </w:tr>
    </w:tbl>
    <w:p>
      <w:pPr>
        <w:spacing w:after="0" w:line="121"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classification of our board of directors may have the effect of delaying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127</w:t>
      </w:r>
    </w:p>
    <w:p>
      <w:pPr>
        <w:sectPr>
          <w:pgSz w:w="11900" w:h="16838" w:orient="portrait"/>
          <w:cols w:equalWidth="0" w:num="1">
            <w:col w:w="11220"/>
          </w:cols>
          <w:pgMar w:left="320" w:top="121" w:right="359" w:bottom="1440" w:gutter="0" w:footer="0" w:header="0"/>
        </w:sectPr>
      </w:pPr>
    </w:p>
    <w:bookmarkStart w:id="130" w:name="page131"/>
    <w:bookmarkEnd w:id="13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50" w:lineRule="exact"/>
        <w:rPr>
          <w:sz w:val="20"/>
          <w:szCs w:val="20"/>
          <w:color w:val="auto"/>
        </w:rPr>
      </w:pPr>
    </w:p>
    <w:p>
      <w:pPr>
        <w:ind w:right="80" w:firstLine="273"/>
        <w:spacing w:after="0" w:line="259" w:lineRule="auto"/>
        <w:rPr>
          <w:sz w:val="20"/>
          <w:szCs w:val="20"/>
          <w:color w:val="auto"/>
        </w:rPr>
      </w:pPr>
      <w:r>
        <w:rPr>
          <w:rFonts w:ascii="Times New Roman" w:cs="Times New Roman" w:eastAsia="Times New Roman" w:hAnsi="Times New Roman"/>
          <w:sz w:val="15"/>
          <w:szCs w:val="15"/>
          <w:color w:val="auto"/>
        </w:rPr>
        <w:t>Upon the completion of this offering, we anticipate that our Class A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0" w:lineRule="exact"/>
        <w:rPr>
          <w:sz w:val="20"/>
          <w:szCs w:val="20"/>
          <w:color w:val="auto"/>
        </w:rPr>
      </w:pPr>
    </w:p>
    <w:p>
      <w:pPr>
        <w:ind w:right="60" w:firstLine="273"/>
        <w:spacing w:after="0" w:line="269" w:lineRule="auto"/>
        <w:rPr>
          <w:sz w:val="20"/>
          <w:szCs w:val="20"/>
          <w:color w:val="auto"/>
        </w:rPr>
      </w:pPr>
      <w:r>
        <w:rPr>
          <w:rFonts w:ascii="Times New Roman" w:cs="Times New Roman" w:eastAsia="Times New Roman" w:hAnsi="Times New Roman"/>
          <w:sz w:val="15"/>
          <w:szCs w:val="15"/>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01"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07" w:lineRule="exact"/>
        <w:rPr>
          <w:sz w:val="20"/>
          <w:szCs w:val="20"/>
          <w:color w:val="auto"/>
        </w:rPr>
      </w:pPr>
    </w:p>
    <w:p>
      <w:pPr>
        <w:jc w:val="center"/>
        <w:ind w:right="20"/>
        <w:spacing w:after="0" w:line="263" w:lineRule="auto"/>
        <w:rPr>
          <w:sz w:val="20"/>
          <w:szCs w:val="20"/>
          <w:color w:val="auto"/>
        </w:rPr>
      </w:pPr>
      <w:r>
        <w:rPr>
          <w:rFonts w:ascii="Times New Roman" w:cs="Times New Roman" w:eastAsia="Times New Roman" w:hAnsi="Times New Roman"/>
          <w:sz w:val="15"/>
          <w:szCs w:val="15"/>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and provided by each director concerning his background, employment and affiliations, including family relationships, our board of directors has determined that , representing a majority of our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08"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150" w:lineRule="exact"/>
        <w:rPr>
          <w:sz w:val="20"/>
          <w:szCs w:val="20"/>
          <w:color w:val="auto"/>
        </w:rPr>
      </w:pPr>
    </w:p>
    <w:p>
      <w:pPr>
        <w:jc w:val="both"/>
        <w:ind w:right="20" w:firstLine="273"/>
        <w:spacing w:after="0" w:line="264" w:lineRule="auto"/>
        <w:rPr>
          <w:sz w:val="20"/>
          <w:szCs w:val="20"/>
          <w:color w:val="auto"/>
        </w:rPr>
      </w:pPr>
      <w:r>
        <w:rPr>
          <w:rFonts w:ascii="Times New Roman" w:cs="Times New Roman" w:eastAsia="Times New Roman" w:hAnsi="Times New Roman"/>
          <w:sz w:val="15"/>
          <w:szCs w:val="15"/>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Role of the Board in Risk Oversight</w:t>
      </w:r>
    </w:p>
    <w:p>
      <w:pPr>
        <w:spacing w:after="0" w:line="150"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Our board of directors has an active role, as a whole and also at the committee level, in overseeing the management of our risks. Our board of directors is responsible for general oversight of risks and regular review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128</w:t>
      </w:r>
    </w:p>
    <w:p>
      <w:pPr>
        <w:sectPr>
          <w:pgSz w:w="11900" w:h="16838" w:orient="portrait"/>
          <w:cols w:equalWidth="0" w:num="1">
            <w:col w:w="11260"/>
          </w:cols>
          <w:pgMar w:left="320" w:top="121" w:right="319" w:bottom="1440" w:gutter="0" w:footer="0" w:header="0"/>
        </w:sectPr>
      </w:pPr>
    </w:p>
    <w:bookmarkStart w:id="131" w:name="page132"/>
    <w:bookmarkEnd w:id="13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Committees</w:t>
      </w:r>
    </w:p>
    <w:p>
      <w:pPr>
        <w:spacing w:after="0" w:line="150" w:lineRule="exact"/>
        <w:rPr>
          <w:sz w:val="20"/>
          <w:szCs w:val="20"/>
          <w:color w:val="auto"/>
        </w:rPr>
      </w:pPr>
    </w:p>
    <w:p>
      <w:pPr>
        <w:ind w:right="480" w:firstLine="273"/>
        <w:spacing w:after="0" w:line="286" w:lineRule="auto"/>
        <w:rPr>
          <w:sz w:val="20"/>
          <w:szCs w:val="20"/>
          <w:color w:val="auto"/>
        </w:rPr>
      </w:pPr>
      <w:r>
        <w:rPr>
          <w:rFonts w:ascii="Times New Roman" w:cs="Times New Roman" w:eastAsia="Times New Roman" w:hAnsi="Times New Roman"/>
          <w:sz w:val="15"/>
          <w:szCs w:val="15"/>
          <w:color w:val="auto"/>
        </w:rPr>
        <w:t>Our board of directors has an audit committee, a compensation committee and a corporate governance and nominating committee, each of which has the composition and the responsibilities described below.</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150" w:lineRule="exact"/>
        <w:rPr>
          <w:sz w:val="20"/>
          <w:szCs w:val="20"/>
          <w:color w:val="auto"/>
        </w:rPr>
      </w:pPr>
    </w:p>
    <w:p>
      <w:pPr>
        <w:jc w:val="both"/>
        <w:ind w:right="20" w:firstLine="273"/>
        <w:spacing w:after="0" w:line="269" w:lineRule="auto"/>
        <w:rPr>
          <w:sz w:val="20"/>
          <w:szCs w:val="20"/>
          <w:color w:val="auto"/>
        </w:rPr>
      </w:pPr>
      <w:r>
        <w:rPr>
          <w:rFonts w:ascii="Times New Roman" w:cs="Times New Roman" w:eastAsia="Times New Roman" w:hAnsi="Times New Roman"/>
          <w:sz w:val="15"/>
          <w:szCs w:val="15"/>
          <w:color w:val="auto"/>
        </w:rPr>
        <w:t>The members of our audit committee are . is the chair of our audit committee. Each of is an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01" w:lineRule="exact"/>
        <w:rPr>
          <w:sz w:val="20"/>
          <w:szCs w:val="20"/>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 and hire the independent registered public accounting firm to audit our financial statements;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help to ensure the independence and performance of the independent registered public accounting firm;</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audit and non-audit services and fees;</w:t>
      </w:r>
    </w:p>
    <w:p>
      <w:pPr>
        <w:spacing w:after="0" w:line="145" w:lineRule="exact"/>
        <w:rPr>
          <w:rFonts w:ascii="Times New Roman" w:cs="Times New Roman" w:eastAsia="Times New Roman" w:hAnsi="Times New Roman"/>
          <w:sz w:val="15"/>
          <w:szCs w:val="15"/>
          <w:color w:val="auto"/>
        </w:rPr>
      </w:pPr>
    </w:p>
    <w:p>
      <w:pPr>
        <w:ind w:left="540" w:right="380" w:hanging="277"/>
        <w:spacing w:after="0" w:line="286" w:lineRule="auto"/>
        <w:tabs>
          <w:tab w:leader="none" w:pos="53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 the audit committee report that the SEC requires to be included in our annual proxy statement;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reports and communications from the independent registered public accounting firm;</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the adequacy and effectiveness of our internal controls and disclosure controls and procedure;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our policies on risk assessment and risk management;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related-party transactions; and</w:t>
      </w:r>
    </w:p>
    <w:p>
      <w:pPr>
        <w:spacing w:after="0" w:line="145" w:lineRule="exact"/>
        <w:rPr>
          <w:rFonts w:ascii="Times New Roman" w:cs="Times New Roman" w:eastAsia="Times New Roman" w:hAnsi="Times New Roman"/>
          <w:sz w:val="15"/>
          <w:szCs w:val="15"/>
          <w:color w:val="auto"/>
        </w:rPr>
      </w:pPr>
    </w:p>
    <w:p>
      <w:pPr>
        <w:ind w:left="540" w:right="520" w:hanging="277"/>
        <w:spacing w:after="0" w:line="286" w:lineRule="auto"/>
        <w:tabs>
          <w:tab w:leader="none" w:pos="53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89"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Our audit committee will operate under a written charter, to be effective prior to the completion of this offering, which will satisfy the applicable rules of the SEC and the listing standards of Nasdaq.</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50" w:lineRule="exact"/>
        <w:rPr>
          <w:sz w:val="20"/>
          <w:szCs w:val="20"/>
          <w:color w:val="auto"/>
        </w:rPr>
      </w:pPr>
    </w:p>
    <w:p>
      <w:pPr>
        <w:ind w:right="140" w:firstLine="273"/>
        <w:spacing w:after="0" w:line="286" w:lineRule="auto"/>
        <w:rPr>
          <w:sz w:val="20"/>
          <w:szCs w:val="20"/>
          <w:color w:val="auto"/>
        </w:rPr>
      </w:pPr>
      <w:r>
        <w:rPr>
          <w:rFonts w:ascii="Times New Roman" w:cs="Times New Roman" w:eastAsia="Times New Roman" w:hAnsi="Times New Roman"/>
          <w:sz w:val="15"/>
          <w:szCs w:val="15"/>
          <w:color w:val="auto"/>
        </w:rPr>
        <w:t>The members of our compensation committee are . is the chair of our compensation committee. Our compensation committee oversees our compensation policies, plans and benefits programs. The compensation committee will also:</w:t>
      </w:r>
    </w:p>
    <w:p>
      <w:pPr>
        <w:spacing w:after="0" w:line="89" w:lineRule="exact"/>
        <w:rPr>
          <w:sz w:val="20"/>
          <w:szCs w:val="20"/>
          <w:color w:val="auto"/>
        </w:rPr>
      </w:pPr>
    </w:p>
    <w:p>
      <w:pPr>
        <w:ind w:left="540" w:hanging="277"/>
        <w:spacing w:after="0"/>
        <w:tabs>
          <w:tab w:leader="none" w:pos="5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 our overall compensation philosophy and compensation policies, plans and benefit programs;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17" w:lineRule="exact"/>
        <w:rPr>
          <w:rFonts w:ascii="Times New Roman" w:cs="Times New Roman" w:eastAsia="Times New Roman" w:hAnsi="Times New Roman"/>
          <w:sz w:val="15"/>
          <w:szCs w:val="15"/>
          <w:color w:val="auto"/>
        </w:rPr>
      </w:pPr>
    </w:p>
    <w:p>
      <w:pPr>
        <w:ind w:left="5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129</w:t>
      </w:r>
    </w:p>
    <w:p>
      <w:pPr>
        <w:sectPr>
          <w:pgSz w:w="11900" w:h="16838" w:orient="portrait"/>
          <w:cols w:equalWidth="0" w:num="1">
            <w:col w:w="11240"/>
          </w:cols>
          <w:pgMar w:left="320" w:top="121" w:right="339" w:bottom="1440" w:gutter="0" w:footer="0" w:header="0"/>
        </w:sectPr>
      </w:pPr>
    </w:p>
    <w:bookmarkStart w:id="132" w:name="page133"/>
    <w:bookmarkEnd w:id="13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277"/>
        <w:spacing w:after="0"/>
        <w:tabs>
          <w:tab w:leader="none" w:pos="5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and approve or recommend to the board of directors for approval compensation for our executive officers and directors;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 the compensation committee report that the SEC will require to be included in our annual proxy statement;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administer our equity compensation plans.</w:t>
      </w:r>
    </w:p>
    <w:p>
      <w:pPr>
        <w:spacing w:after="0" w:line="146"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Our compensation committee will operate under a written charter, to be effective prior to the completion of this offering, which will satisfy the applicable rules of the SEC and the listing standards of Nasdaq.</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Corporate Governance and Nominating Committee</w:t>
      </w:r>
    </w:p>
    <w:p>
      <w:pPr>
        <w:spacing w:after="0" w:line="150" w:lineRule="exact"/>
        <w:rPr>
          <w:sz w:val="20"/>
          <w:szCs w:val="20"/>
          <w:color w:val="auto"/>
        </w:rPr>
      </w:pPr>
    </w:p>
    <w:p>
      <w:pPr>
        <w:jc w:val="both"/>
        <w:ind w:right="520" w:firstLine="273"/>
        <w:spacing w:after="0" w:line="269" w:lineRule="auto"/>
        <w:rPr>
          <w:sz w:val="20"/>
          <w:szCs w:val="20"/>
          <w:color w:val="auto"/>
        </w:rPr>
      </w:pPr>
      <w:r>
        <w:rPr>
          <w:rFonts w:ascii="Times New Roman" w:cs="Times New Roman" w:eastAsia="Times New Roman" w:hAnsi="Times New Roman"/>
          <w:sz w:val="15"/>
          <w:szCs w:val="15"/>
          <w:color w:val="auto"/>
        </w:rPr>
        <w:t>The members of our corporate governance and nominating committee are . is the chair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101" w:lineRule="exact"/>
        <w:rPr>
          <w:sz w:val="20"/>
          <w:szCs w:val="20"/>
          <w:color w:val="auto"/>
        </w:rPr>
      </w:pPr>
    </w:p>
    <w:p>
      <w:pPr>
        <w:ind w:left="540" w:hanging="277"/>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evaluate and make recommendations to our board of directors regarding nominees for election to our board of directors and its committees;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 and make recommendations to our board of directors regarding the composition of our board of directors and its committees;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developments in corporate governance practices;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adequacy of our corporate governance practices and reporting;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performance of our board of directors and of individual directors.</w:t>
      </w:r>
    </w:p>
    <w:p>
      <w:pPr>
        <w:spacing w:after="0" w:line="146" w:lineRule="exact"/>
        <w:rPr>
          <w:sz w:val="20"/>
          <w:szCs w:val="20"/>
          <w:color w:val="auto"/>
        </w:rPr>
      </w:pPr>
    </w:p>
    <w:p>
      <w:pPr>
        <w:ind w:right="180" w:firstLine="273"/>
        <w:spacing w:after="0" w:line="286" w:lineRule="auto"/>
        <w:rPr>
          <w:sz w:val="20"/>
          <w:szCs w:val="20"/>
          <w:color w:val="auto"/>
        </w:rPr>
      </w:pPr>
      <w:r>
        <w:rPr>
          <w:rFonts w:ascii="Times New Roman" w:cs="Times New Roman" w:eastAsia="Times New Roman" w:hAnsi="Times New Roman"/>
          <w:sz w:val="15"/>
          <w:szCs w:val="15"/>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Scientific Advisory Board Compensation</w:t>
      </w:r>
    </w:p>
    <w:p>
      <w:pPr>
        <w:spacing w:after="0" w:line="150" w:lineRule="exact"/>
        <w:rPr>
          <w:sz w:val="20"/>
          <w:szCs w:val="20"/>
          <w:color w:val="auto"/>
        </w:rPr>
      </w:pPr>
    </w:p>
    <w:p>
      <w:pPr>
        <w:jc w:val="both"/>
        <w:ind w:firstLine="273"/>
        <w:spacing w:after="0" w:line="269" w:lineRule="auto"/>
        <w:rPr>
          <w:sz w:val="20"/>
          <w:szCs w:val="20"/>
          <w:color w:val="auto"/>
        </w:rPr>
      </w:pPr>
      <w:r>
        <w:rPr>
          <w:rFonts w:ascii="Times New Roman" w:cs="Times New Roman" w:eastAsia="Times New Roman" w:hAnsi="Times New Roman"/>
          <w:sz w:val="15"/>
          <w:szCs w:val="15"/>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50" w:lineRule="exact"/>
        <w:rPr>
          <w:sz w:val="20"/>
          <w:szCs w:val="20"/>
          <w:color w:val="auto"/>
        </w:rPr>
      </w:pPr>
    </w:p>
    <w:p>
      <w:pPr>
        <w:ind w:right="320" w:firstLine="273"/>
        <w:spacing w:after="0" w:line="286" w:lineRule="auto"/>
        <w:rPr>
          <w:sz w:val="20"/>
          <w:szCs w:val="20"/>
          <w:color w:val="auto"/>
        </w:rPr>
      </w:pPr>
      <w:r>
        <w:rPr>
          <w:rFonts w:ascii="Times New Roman" w:cs="Times New Roman" w:eastAsia="Times New Roman" w:hAnsi="Times New Roman"/>
          <w:sz w:val="15"/>
          <w:szCs w:val="15"/>
          <w:color w:val="auto"/>
        </w:rPr>
        <w:t>Our employee director, Dr. Farokhzad, did not receive any compensation for his service as a director for the year ended December 31, 2019. The compensation received by Dr. Farokhzad as an employee is set forth in the section titled “Executive Compensation—Summary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130</w:t>
      </w:r>
    </w:p>
    <w:p>
      <w:pPr>
        <w:sectPr>
          <w:pgSz w:w="11900" w:h="16838" w:orient="portrait"/>
          <w:cols w:equalWidth="0" w:num="1">
            <w:col w:w="11200"/>
          </w:cols>
          <w:pgMar w:left="320" w:top="121" w:right="379" w:bottom="1440" w:gutter="0" w:footer="0" w:header="0"/>
        </w:sectPr>
      </w:pPr>
    </w:p>
    <w:bookmarkStart w:id="133" w:name="page134"/>
    <w:bookmarkEnd w:id="133"/>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provides information regarding the compensation of our non-employee directors for service as directors for the year ended December 31, 2019:</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81"/>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Option Awards ($)</w:t>
            </w:r>
            <w:r>
              <w:rPr>
                <w:rFonts w:ascii="Times New Roman" w:cs="Times New Roman" w:eastAsia="Times New Roman" w:hAnsi="Times New Roman"/>
                <w:sz w:val="15"/>
                <w:szCs w:val="15"/>
                <w:b w:val="1"/>
                <w:bCs w:val="1"/>
                <w:color w:val="auto"/>
                <w:vertAlign w:val="superscript"/>
              </w:rPr>
              <w:t>(1)</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2"/>
                <w:szCs w:val="12"/>
                <w:b w:val="1"/>
                <w:bCs w:val="1"/>
                <w:color w:val="auto"/>
              </w:rPr>
              <w:t>Total ($)</w:t>
            </w:r>
          </w:p>
        </w:tc>
      </w:tr>
      <w:tr>
        <w:trPr>
          <w:trHeight w:val="219"/>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Catherine J. Friedman</w:t>
            </w:r>
            <w:r>
              <w:rPr>
                <w:rFonts w:ascii="Times New Roman" w:cs="Times New Roman" w:eastAsia="Times New Roman" w:hAnsi="Times New Roman"/>
                <w:sz w:val="19"/>
                <w:szCs w:val="19"/>
                <w:color w:val="auto"/>
                <w:vertAlign w:val="superscript"/>
              </w:rPr>
              <w:t>(2)</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Hallal</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Langer, Sc.D.</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8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Mark McClellan, Ph.D.</w:t>
            </w:r>
            <w:r>
              <w:rPr>
                <w:rFonts w:ascii="Times New Roman" w:cs="Times New Roman" w:eastAsia="Times New Roman" w:hAnsi="Times New Roman"/>
                <w:sz w:val="19"/>
                <w:szCs w:val="19"/>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658,600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658,600</w:t>
            </w:r>
          </w:p>
        </w:tc>
      </w:tr>
      <w:tr>
        <w:trPr>
          <w:trHeight w:val="207"/>
        </w:trPr>
        <w:tc>
          <w:tcPr>
            <w:tcW w:w="8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Terrance McGuire</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Singer</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53"/>
        </w:trPr>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bl>
    <w:p>
      <w:pPr>
        <w:ind w:left="269" w:right="20" w:hanging="269"/>
        <w:spacing w:after="0" w:line="237" w:lineRule="auto"/>
        <w:tabs>
          <w:tab w:leader="none" w:pos="26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in this column represents the aggregate grant-date fair value of the award as computed as of the grant date of each option awarded in fiscal 2019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ind w:left="269" w:hanging="269"/>
        <w:spacing w:after="0" w:line="237" w:lineRule="auto"/>
        <w:tabs>
          <w:tab w:leader="none" w:pos="269"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Friedman joined our board of directors in September 2020.</w:t>
      </w:r>
    </w:p>
    <w:p>
      <w:pPr>
        <w:ind w:left="269" w:hanging="269"/>
        <w:spacing w:after="0"/>
        <w:tabs>
          <w:tab w:leader="none" w:pos="269"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McClellan resigned from our board of directors in September 2020.</w:t>
      </w:r>
    </w:p>
    <w:p>
      <w:pPr>
        <w:spacing w:after="0" w:line="12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lists all outstanding equity awards held by our non-employee directors as of December 31, 2019:</w:t>
      </w:r>
    </w:p>
    <w:p>
      <w:pPr>
        <w:spacing w:after="0" w:line="182"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Number of Securities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2"/>
                <w:szCs w:val="12"/>
                <w:b w:val="1"/>
                <w:bCs w:val="1"/>
                <w:color w:val="auto"/>
                <w:w w:val="99"/>
              </w:rPr>
              <w:t>Underlying Unvested</w:t>
            </w:r>
          </w:p>
        </w:tc>
        <w:tc>
          <w:tcPr>
            <w:tcW w:w="14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2"/>
                <w:szCs w:val="12"/>
                <w:b w:val="1"/>
                <w:bCs w:val="1"/>
                <w:color w:val="auto"/>
              </w:rPr>
              <w:t>Underlying Unexercised</w:t>
            </w:r>
          </w:p>
        </w:tc>
        <w:tc>
          <w:tcPr>
            <w:tcW w:w="11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2"/>
                <w:szCs w:val="12"/>
                <w:b w:val="1"/>
                <w:bCs w:val="1"/>
                <w:color w:val="auto"/>
              </w:rPr>
              <w:t>Option Exercise</w:t>
            </w:r>
          </w:p>
        </w:tc>
        <w:tc>
          <w:tcPr>
            <w:tcW w:w="1200" w:type="dxa"/>
            <w:vAlign w:val="bottom"/>
          </w:tcPr>
          <w:p>
            <w:pPr>
              <w:ind w:left="120"/>
              <w:spacing w:after="0" w:line="137" w:lineRule="exact"/>
              <w:rPr>
                <w:sz w:val="20"/>
                <w:szCs w:val="20"/>
                <w:color w:val="auto"/>
              </w:rPr>
            </w:pPr>
            <w:r>
              <w:rPr>
                <w:rFonts w:ascii="Times New Roman" w:cs="Times New Roman" w:eastAsia="Times New Roman" w:hAnsi="Times New Roman"/>
                <w:sz w:val="12"/>
                <w:szCs w:val="12"/>
                <w:b w:val="1"/>
                <w:bCs w:val="1"/>
                <w:color w:val="auto"/>
              </w:rPr>
              <w:t>Option Expiration</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Pr>
          <w:p>
            <w:pPr>
              <w:spacing w:after="0"/>
              <w:rPr>
                <w:sz w:val="13"/>
                <w:szCs w:val="13"/>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Options (#)</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Price Per Share ($)</w:t>
            </w:r>
          </w:p>
        </w:tc>
        <w:tc>
          <w:tcPr>
            <w:tcW w:w="120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0" w:type="dxa"/>
            <w:vAlign w:val="bottom"/>
          </w:tcPr>
          <w:p>
            <w:pPr>
              <w:spacing w:after="0"/>
              <w:rPr>
                <w:sz w:val="1"/>
                <w:szCs w:val="1"/>
                <w:color w:val="auto"/>
              </w:rPr>
            </w:pP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4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Catherine J. Friedman</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left="747"/>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444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David Hallal</w:t>
            </w:r>
          </w:p>
        </w:tc>
        <w:tc>
          <w:tcPr>
            <w:tcW w:w="14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5"/>
                <w:szCs w:val="15"/>
                <w:color w:val="auto"/>
              </w:rPr>
              <w:t>2/19/2018</w:t>
            </w:r>
          </w:p>
        </w:tc>
        <w:tc>
          <w:tcPr>
            <w:tcW w:w="10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192,031</w:t>
            </w: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647"/>
              <w:spacing w:after="0" w:line="148" w:lineRule="exact"/>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tcPr>
          <w:p>
            <w:pPr>
              <w:ind w:left="980"/>
              <w:spacing w:after="0" w:line="14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5/18/2018</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125,235</w:t>
            </w:r>
          </w:p>
        </w:tc>
        <w:tc>
          <w:tcPr>
            <w:tcW w:w="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left="647"/>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5"/>
        </w:trPr>
        <w:tc>
          <w:tcPr>
            <w:tcW w:w="4440" w:type="dxa"/>
            <w:vAlign w:val="bottom"/>
          </w:tcPr>
          <w:p>
            <w:pPr>
              <w:spacing w:after="0"/>
              <w:rPr>
                <w:sz w:val="3"/>
                <w:szCs w:val="3"/>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9/20/2017</w:t>
            </w:r>
          </w:p>
        </w:tc>
        <w:tc>
          <w:tcPr>
            <w:tcW w:w="100" w:type="dxa"/>
            <w:vAlign w:val="bottom"/>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119,792</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vMerge w:val="restart"/>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restart"/>
          </w:tcPr>
          <w:p>
            <w:pPr>
              <w:jc w:val="center"/>
              <w:ind w:left="647"/>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vMerge w:val="restart"/>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Robert Langer, Sc.D.</w:t>
            </w: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440" w:type="dxa"/>
            <w:vAlign w:val="bottom"/>
            <w:shd w:val="clear" w:color="auto" w:fill="CCEEFF"/>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2/19/2018</w:t>
            </w:r>
          </w:p>
        </w:tc>
        <w:tc>
          <w:tcPr>
            <w:tcW w:w="100" w:type="dxa"/>
            <w:vAlign w:val="bottom"/>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47,598</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vMerge w:val="restart"/>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3"/>
                <w:szCs w:val="3"/>
                <w:color w:val="auto"/>
              </w:rPr>
            </w:pPr>
          </w:p>
        </w:tc>
        <w:tc>
          <w:tcPr>
            <w:tcW w:w="1180" w:type="dxa"/>
            <w:vAlign w:val="bottom"/>
            <w:gridSpan w:val="2"/>
            <w:vMerge w:val="restart"/>
          </w:tcPr>
          <w:p>
            <w:pPr>
              <w:jc w:val="center"/>
              <w:ind w:left="647"/>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vMerge w:val="restart"/>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5/18/2018</w:t>
            </w:r>
          </w:p>
        </w:tc>
        <w:tc>
          <w:tcPr>
            <w:tcW w:w="100" w:type="dxa"/>
            <w:vAlign w:val="bottom"/>
          </w:tcPr>
          <w:p>
            <w:pPr>
              <w:spacing w:after="0"/>
              <w:rPr>
                <w:sz w:val="15"/>
                <w:szCs w:val="15"/>
                <w:color w:val="auto"/>
              </w:rPr>
            </w:pP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222,639</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707"/>
              <w:spacing w:after="0" w:line="148" w:lineRule="exact"/>
              <w:rPr>
                <w:sz w:val="20"/>
                <w:szCs w:val="20"/>
                <w:color w:val="auto"/>
              </w:rPr>
            </w:pPr>
            <w:r>
              <w:rPr>
                <w:rFonts w:ascii="Times New Roman" w:cs="Times New Roman" w:eastAsia="Times New Roman" w:hAnsi="Times New Roman"/>
                <w:sz w:val="15"/>
                <w:szCs w:val="15"/>
                <w:color w:val="auto"/>
                <w:w w:val="98"/>
              </w:rPr>
              <w:t>0.02</w:t>
            </w:r>
          </w:p>
        </w:tc>
        <w:tc>
          <w:tcPr>
            <w:tcW w:w="100" w:type="dxa"/>
            <w:vAlign w:val="bottom"/>
          </w:tcPr>
          <w:p>
            <w:pPr>
              <w:spacing w:after="0"/>
              <w:rPr>
                <w:sz w:val="15"/>
                <w:szCs w:val="15"/>
                <w:color w:val="auto"/>
              </w:rPr>
            </w:pPr>
          </w:p>
        </w:tc>
        <w:tc>
          <w:tcPr>
            <w:tcW w:w="1200" w:type="dxa"/>
            <w:vAlign w:val="bottom"/>
          </w:tcPr>
          <w:p>
            <w:pPr>
              <w:ind w:left="560"/>
              <w:spacing w:after="0" w:line="148" w:lineRule="exact"/>
              <w:rPr>
                <w:sz w:val="20"/>
                <w:szCs w:val="20"/>
                <w:color w:val="auto"/>
              </w:rPr>
            </w:pPr>
            <w:r>
              <w:rPr>
                <w:rFonts w:ascii="Times New Roman" w:cs="Times New Roman" w:eastAsia="Times New Roman" w:hAnsi="Times New Roman"/>
                <w:sz w:val="15"/>
                <w:szCs w:val="15"/>
                <w:color w:val="auto"/>
              </w:rPr>
              <w:t>5/17/2028</w:t>
            </w:r>
          </w:p>
        </w:tc>
        <w:tc>
          <w:tcPr>
            <w:tcW w:w="0" w:type="dxa"/>
            <w:vAlign w:val="bottom"/>
          </w:tcPr>
          <w:p>
            <w:pPr>
              <w:spacing w:after="0"/>
              <w:rPr>
                <w:sz w:val="1"/>
                <w:szCs w:val="1"/>
                <w:color w:val="auto"/>
              </w:rPr>
            </w:pPr>
          </w:p>
        </w:tc>
      </w:tr>
      <w:tr>
        <w:trPr>
          <w:trHeight w:val="193"/>
        </w:trPr>
        <w:tc>
          <w:tcPr>
            <w:tcW w:w="44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Mark McClellan, Ph.D.</w:t>
            </w:r>
            <w:r>
              <w:rPr>
                <w:rFonts w:ascii="Times New Roman" w:cs="Times New Roman" w:eastAsia="Times New Roman" w:hAnsi="Times New Roman"/>
                <w:sz w:val="19"/>
                <w:szCs w:val="19"/>
                <w:color w:val="auto"/>
                <w:vertAlign w:val="superscript"/>
              </w:rPr>
              <w:t>(7)</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6/27/2019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644,927</w:t>
            </w:r>
          </w:p>
        </w:tc>
        <w:tc>
          <w:tcPr>
            <w:tcW w:w="460" w:type="dxa"/>
            <w:vAlign w:val="bottom"/>
          </w:tcPr>
          <w:p>
            <w:pPr>
              <w:ind w:left="40"/>
              <w:spacing w:after="0" w:line="82" w:lineRule="exact"/>
              <w:rPr>
                <w:sz w:val="20"/>
                <w:szCs w:val="20"/>
                <w:color w:val="auto"/>
              </w:rPr>
            </w:pPr>
            <w:r>
              <w:rPr>
                <w:rFonts w:ascii="Times New Roman" w:cs="Times New Roman" w:eastAsia="Times New Roman" w:hAnsi="Times New Roman"/>
                <w:sz w:val="9"/>
                <w:szCs w:val="9"/>
                <w:color w:val="auto"/>
              </w:rPr>
              <w:t>(8)</w:t>
            </w:r>
          </w:p>
        </w:tc>
        <w:tc>
          <w:tcPr>
            <w:tcW w:w="80" w:type="dxa"/>
            <w:vAlign w:val="bottom"/>
          </w:tcPr>
          <w:p>
            <w:pPr>
              <w:spacing w:after="0"/>
              <w:rPr>
                <w:sz w:val="16"/>
                <w:szCs w:val="16"/>
                <w:color w:val="auto"/>
              </w:rPr>
            </w:pPr>
          </w:p>
        </w:tc>
        <w:tc>
          <w:tcPr>
            <w:tcW w:w="1080" w:type="dxa"/>
            <w:vAlign w:val="bottom"/>
          </w:tcPr>
          <w:p>
            <w:pPr>
              <w:jc w:val="center"/>
              <w:ind w:left="707"/>
              <w:spacing w:after="0"/>
              <w:rPr>
                <w:sz w:val="20"/>
                <w:szCs w:val="20"/>
                <w:color w:val="auto"/>
              </w:rPr>
            </w:pPr>
            <w:r>
              <w:rPr>
                <w:rFonts w:ascii="Times New Roman" w:cs="Times New Roman" w:eastAsia="Times New Roman" w:hAnsi="Times New Roman"/>
                <w:sz w:val="15"/>
                <w:szCs w:val="15"/>
                <w:color w:val="auto"/>
                <w:w w:val="98"/>
              </w:rPr>
              <w:t>1.03</w:t>
            </w:r>
          </w:p>
        </w:tc>
        <w:tc>
          <w:tcPr>
            <w:tcW w:w="100" w:type="dxa"/>
            <w:vAlign w:val="bottom"/>
          </w:tcPr>
          <w:p>
            <w:pPr>
              <w:spacing w:after="0"/>
              <w:rPr>
                <w:sz w:val="16"/>
                <w:szCs w:val="16"/>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6/26/2029</w:t>
            </w:r>
          </w:p>
        </w:tc>
        <w:tc>
          <w:tcPr>
            <w:tcW w:w="0" w:type="dxa"/>
            <w:vAlign w:val="bottom"/>
          </w:tcPr>
          <w:p>
            <w:pPr>
              <w:spacing w:after="0"/>
              <w:rPr>
                <w:sz w:val="1"/>
                <w:szCs w:val="1"/>
                <w:color w:val="auto"/>
              </w:rPr>
            </w:pPr>
          </w:p>
        </w:tc>
      </w:tr>
      <w:tr>
        <w:trPr>
          <w:trHeight w:val="148"/>
        </w:trPr>
        <w:tc>
          <w:tcPr>
            <w:tcW w:w="44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Terrance McGuire</w:t>
            </w:r>
          </w:p>
        </w:tc>
        <w:tc>
          <w:tcPr>
            <w:tcW w:w="14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5"/>
                <w:szCs w:val="15"/>
                <w:color w:val="auto"/>
              </w:rPr>
              <w:t>11/15/2017</w:t>
            </w:r>
          </w:p>
        </w:tc>
        <w:tc>
          <w:tcPr>
            <w:tcW w:w="10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130,209</w:t>
            </w: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647"/>
              <w:spacing w:after="0" w:line="148" w:lineRule="exact"/>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tcPr>
          <w:p>
            <w:pPr>
              <w:ind w:left="980"/>
              <w:spacing w:after="0" w:line="14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5"/>
        </w:trPr>
        <w:tc>
          <w:tcPr>
            <w:tcW w:w="4440" w:type="dxa"/>
            <w:vAlign w:val="bottom"/>
            <w:shd w:val="clear" w:color="auto" w:fill="CCEEFF"/>
          </w:tcPr>
          <w:p>
            <w:pPr>
              <w:spacing w:after="0"/>
              <w:rPr>
                <w:sz w:val="3"/>
                <w:szCs w:val="3"/>
                <w:color w:val="auto"/>
              </w:rPr>
            </w:pPr>
          </w:p>
        </w:tc>
        <w:tc>
          <w:tcPr>
            <w:tcW w:w="14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47,598</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vMerge w:val="restart"/>
          </w:tcPr>
          <w:p>
            <w:pPr>
              <w:spacing w:after="0"/>
              <w:rPr>
                <w:sz w:val="3"/>
                <w:szCs w:val="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3"/>
                <w:szCs w:val="3"/>
                <w:color w:val="auto"/>
              </w:rPr>
            </w:pPr>
          </w:p>
        </w:tc>
        <w:tc>
          <w:tcPr>
            <w:tcW w:w="1180" w:type="dxa"/>
            <w:vAlign w:val="bottom"/>
            <w:gridSpan w:val="2"/>
            <w:vMerge w:val="restart"/>
          </w:tcPr>
          <w:p>
            <w:pPr>
              <w:jc w:val="center"/>
              <w:ind w:left="647"/>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vMerge w:val="restart"/>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2/19/2018</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5/18/2018</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222,639</w:t>
            </w: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left="707"/>
              <w:spacing w:after="0"/>
              <w:rPr>
                <w:sz w:val="20"/>
                <w:szCs w:val="20"/>
                <w:color w:val="auto"/>
              </w:rPr>
            </w:pPr>
            <w:r>
              <w:rPr>
                <w:rFonts w:ascii="Times New Roman" w:cs="Times New Roman" w:eastAsia="Times New Roman" w:hAnsi="Times New Roman"/>
                <w:sz w:val="15"/>
                <w:szCs w:val="15"/>
                <w:color w:val="auto"/>
                <w:w w:val="98"/>
              </w:rPr>
              <w:t>0.02</w:t>
            </w:r>
          </w:p>
        </w:tc>
        <w:tc>
          <w:tcPr>
            <w:tcW w:w="100" w:type="dxa"/>
            <w:vAlign w:val="bottom"/>
          </w:tcPr>
          <w:p>
            <w:pPr>
              <w:spacing w:after="0"/>
              <w:rPr>
                <w:sz w:val="16"/>
                <w:szCs w:val="16"/>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5/17/2028</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David Singer</w:t>
            </w:r>
          </w:p>
        </w:tc>
        <w:tc>
          <w:tcPr>
            <w:tcW w:w="80" w:type="dxa"/>
            <w:vAlign w:val="bottom"/>
          </w:tcPr>
          <w:p>
            <w:pPr>
              <w:spacing w:after="0"/>
              <w:rPr>
                <w:sz w:val="15"/>
                <w:szCs w:val="15"/>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left="647"/>
              <w:spacing w:after="0"/>
              <w:rPr>
                <w:sz w:val="20"/>
                <w:szCs w:val="20"/>
                <w:color w:val="auto"/>
              </w:rPr>
            </w:pPr>
            <w:r>
              <w:rPr>
                <w:rFonts w:ascii="Times New Roman" w:cs="Times New Roman" w:eastAsia="Times New Roman" w:hAnsi="Times New Roman"/>
                <w:sz w:val="15"/>
                <w:szCs w:val="15"/>
                <w:color w:val="auto"/>
                <w:w w:val="93"/>
              </w:rPr>
              <w:t>—</w:t>
            </w:r>
          </w:p>
        </w:tc>
        <w:tc>
          <w:tcPr>
            <w:tcW w:w="120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-1438275</wp:posOffset>
            </wp:positionV>
            <wp:extent cx="7153910" cy="129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1295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-1062990</wp:posOffset>
            </wp:positionV>
            <wp:extent cx="7153910" cy="367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3676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-572770</wp:posOffset>
            </wp:positionV>
            <wp:extent cx="7153910" cy="367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367665"/>
                    </a:xfrm>
                    <a:prstGeom prst="rect">
                      <a:avLst/>
                    </a:prstGeom>
                    <a:noFill/>
                  </pic:spPr>
                </pic:pic>
              </a:graphicData>
            </a:graphic>
          </wp:anchor>
        </w:drawing>
      </w:r>
    </w:p>
    <w:p>
      <w:pPr>
        <w:ind w:left="269" w:hanging="269"/>
        <w:spacing w:after="0" w:line="237" w:lineRule="auto"/>
        <w:tabs>
          <w:tab w:leader="none" w:pos="269"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Friedman joined our board of directors in September 2020.</w:t>
      </w:r>
    </w:p>
    <w:p>
      <w:pPr>
        <w:ind w:left="269" w:hanging="269"/>
        <w:spacing w:after="0" w:line="237" w:lineRule="auto"/>
        <w:tabs>
          <w:tab w:leader="none" w:pos="269"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were acquired pursuant to a restricted stock award and vest in 27 equal monthly installments beginning on January 23, 2020, subject to continued service to the Company.</w:t>
      </w:r>
    </w:p>
    <w:p>
      <w:pPr>
        <w:ind w:left="269" w:hanging="269"/>
        <w:spacing w:after="0" w:line="237" w:lineRule="auto"/>
        <w:tabs>
          <w:tab w:leader="none" w:pos="269"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were acquired pursuant to an early option exercise and vest in 27 equal monthly installments beginning on January 23, 2020, subject to continued service to the Company.</w:t>
      </w:r>
    </w:p>
    <w:p>
      <w:pPr>
        <w:ind w:left="269" w:hanging="269"/>
        <w:spacing w:after="0" w:line="237" w:lineRule="auto"/>
        <w:tabs>
          <w:tab w:leader="none" w:pos="269"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were acquired pursuant to a restricted stock award and vest in 23 equal monthly installments beginning on January 31, 2020, subject to continued service to the Company.</w:t>
      </w:r>
    </w:p>
    <w:p>
      <w:pPr>
        <w:ind w:left="269" w:hanging="269"/>
        <w:spacing w:after="0" w:line="237" w:lineRule="auto"/>
        <w:tabs>
          <w:tab w:leader="none" w:pos="269"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were acquired pursuant to a restricted stock award and vest in 25 equal monthly installments beginning on January 31, 2020, subject to continued service to the Company.</w:t>
      </w:r>
    </w:p>
    <w:p>
      <w:pPr>
        <w:ind w:left="269" w:right="360" w:hanging="269"/>
        <w:spacing w:after="0" w:line="237" w:lineRule="auto"/>
        <w:tabs>
          <w:tab w:leader="none" w:pos="263"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 subject to continued service to the Company.</w:t>
      </w:r>
    </w:p>
    <w:p>
      <w:pPr>
        <w:ind w:left="269" w:hanging="269"/>
        <w:spacing w:after="0" w:line="237" w:lineRule="auto"/>
        <w:tabs>
          <w:tab w:leader="none" w:pos="269"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McClellan resigned from our board of directors in September 2020, subject to continued service to the Company.</w:t>
      </w:r>
    </w:p>
    <w:p>
      <w:pPr>
        <w:ind w:left="269" w:right="420" w:hanging="269"/>
        <w:spacing w:after="0" w:line="237" w:lineRule="auto"/>
        <w:tabs>
          <w:tab w:leader="none" w:pos="263"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underlying the option are subject to an early exercise provision and are immediately exercisable. One-fourth of the shares underlying the option vested on March 6, 2020 and 1/48th of the shares vest monthly thereafter, subject to continued service to the Company.</w:t>
      </w:r>
    </w:p>
    <w:p>
      <w:pPr>
        <w:ind w:left="269" w:right="500" w:hanging="269"/>
        <w:spacing w:after="0" w:line="247" w:lineRule="auto"/>
        <w:tabs>
          <w:tab w:leader="none" w:pos="263"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are held of record by Strong Bridge LLC (Strong Bridge) for which Mr. McGuire serves as an operating manager. The shares were acquired pursuant to a restricted stock award and vest in 25 equal monthly installments beginning on January 31, 2020, subject to Mr. McGuire’s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131</w:t>
      </w:r>
    </w:p>
    <w:p>
      <w:pPr>
        <w:sectPr>
          <w:pgSz w:w="11900" w:h="16838" w:orient="portrait"/>
          <w:cols w:equalWidth="0" w:num="1">
            <w:col w:w="11269"/>
          </w:cols>
          <w:pgMar w:left="311" w:top="121" w:right="319" w:bottom="1440" w:gutter="0" w:footer="0" w:header="0"/>
        </w:sectPr>
      </w:pPr>
    </w:p>
    <w:bookmarkStart w:id="134" w:name="page135"/>
    <w:bookmarkEnd w:id="134"/>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9" w:right="360" w:hanging="269"/>
        <w:spacing w:after="0" w:line="249" w:lineRule="auto"/>
        <w:tabs>
          <w:tab w:leader="none" w:pos="266"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are held of record by Strong Bridge LLC. The shares were acquired pursuant to an early exercise provision and vest in 25 equal monthly installments beginning on January 31, 2020, subject to Mr. McGuire’s continued service to the Company.</w:t>
      </w:r>
    </w:p>
    <w:p>
      <w:pPr>
        <w:ind w:left="269" w:right="140" w:hanging="269"/>
        <w:spacing w:after="0" w:line="247" w:lineRule="auto"/>
        <w:tabs>
          <w:tab w:leader="none" w:pos="262"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16" w:lineRule="exact"/>
        <w:rPr>
          <w:sz w:val="20"/>
          <w:szCs w:val="20"/>
          <w:color w:val="auto"/>
        </w:rPr>
      </w:pPr>
    </w:p>
    <w:p>
      <w:pPr>
        <w:ind w:left="9" w:right="1900" w:firstLine="273"/>
        <w:spacing w:after="0" w:line="442" w:lineRule="auto"/>
        <w:rPr>
          <w:sz w:val="20"/>
          <w:szCs w:val="20"/>
          <w:color w:val="auto"/>
        </w:rPr>
      </w:pPr>
      <w:r>
        <w:rPr>
          <w:rFonts w:ascii="Times New Roman" w:cs="Times New Roman" w:eastAsia="Times New Roman" w:hAnsi="Times New Roman"/>
          <w:sz w:val="15"/>
          <w:szCs w:val="15"/>
          <w:color w:val="auto"/>
        </w:rPr>
        <w:t xml:space="preserve">Following the completion of this offering, we expect to implement an annual cash and equity compensation program for our non-employee directors. </w:t>
      </w:r>
      <w:r>
        <w:rPr>
          <w:rFonts w:ascii="Times New Roman" w:cs="Times New Roman" w:eastAsia="Times New Roman" w:hAnsi="Times New Roman"/>
          <w:sz w:val="15"/>
          <w:szCs w:val="15"/>
          <w:b w:val="1"/>
          <w:bCs w:val="1"/>
          <w:color w:val="auto"/>
        </w:rPr>
        <w:t>Outside Director Compensation Policy</w:t>
      </w:r>
    </w:p>
    <w:p>
      <w:pPr>
        <w:spacing w:after="0" w:line="1" w:lineRule="exact"/>
        <w:rPr>
          <w:sz w:val="20"/>
          <w:szCs w:val="20"/>
          <w:color w:val="auto"/>
        </w:rPr>
      </w:pPr>
    </w:p>
    <w:p>
      <w:pPr>
        <w:jc w:val="both"/>
        <w:ind w:left="9" w:firstLine="273"/>
        <w:spacing w:after="0" w:line="269" w:lineRule="auto"/>
        <w:rPr>
          <w:sz w:val="20"/>
          <w:szCs w:val="20"/>
          <w:color w:val="auto"/>
        </w:rPr>
      </w:pPr>
      <w:r>
        <w:rPr>
          <w:rFonts w:ascii="Times New Roman" w:cs="Times New Roman" w:eastAsia="Times New Roman" w:hAnsi="Times New Roman"/>
          <w:sz w:val="15"/>
          <w:szCs w:val="15"/>
          <w:color w:val="auto"/>
        </w:rPr>
        <w:t>Prior to this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01" w:lineRule="exact"/>
        <w:rPr>
          <w:sz w:val="20"/>
          <w:szCs w:val="20"/>
          <w:color w:val="auto"/>
        </w:rPr>
      </w:pPr>
    </w:p>
    <w:p>
      <w:pPr>
        <w:ind w:left="9" w:firstLine="273"/>
        <w:spacing w:after="0" w:line="259" w:lineRule="auto"/>
        <w:rPr>
          <w:sz w:val="20"/>
          <w:szCs w:val="20"/>
          <w:color w:val="auto"/>
        </w:rPr>
      </w:pPr>
      <w:r>
        <w:rPr>
          <w:rFonts w:ascii="Times New Roman" w:cs="Times New Roman" w:eastAsia="Times New Roman" w:hAnsi="Times New Roman"/>
          <w:sz w:val="15"/>
          <w:szCs w:val="15"/>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prior to the completion of this offering, our board of directors intends to adopt, and we expect our stockholders will approve, an Outside Director Compensation Policy that will provide for certain compensation to our non-employee directors on and after the effective date of the registration statement of which this prospectus forms a part. The below is a summary of the terms currently expected to be implemented under the Outside Director Compensation Policy, which are subject to change.</w:t>
      </w:r>
    </w:p>
    <w:p>
      <w:pPr>
        <w:spacing w:after="0" w:line="10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Cash Compensation</w:t>
      </w:r>
    </w:p>
    <w:p>
      <w:pPr>
        <w:spacing w:after="0" w:line="150" w:lineRule="exact"/>
        <w:rPr>
          <w:sz w:val="20"/>
          <w:szCs w:val="20"/>
          <w:color w:val="auto"/>
        </w:rPr>
      </w:pPr>
    </w:p>
    <w:p>
      <w:pPr>
        <w:ind w:left="9" w:right="400" w:firstLine="273"/>
        <w:spacing w:after="0" w:line="286" w:lineRule="auto"/>
        <w:rPr>
          <w:sz w:val="20"/>
          <w:szCs w:val="20"/>
          <w:color w:val="auto"/>
        </w:rPr>
      </w:pPr>
      <w:r>
        <w:rPr>
          <w:rFonts w:ascii="Times New Roman" w:cs="Times New Roman" w:eastAsia="Times New Roman" w:hAnsi="Times New Roman"/>
          <w:sz w:val="15"/>
          <w:szCs w:val="15"/>
          <w:color w:val="auto"/>
        </w:rPr>
        <w:t>The Outside Director Compensation Policy will provide for the following cash compensation program for our non-employee directors, effective upon the effective date of the registration statement of which this prospectus forms a part:</w:t>
      </w:r>
    </w:p>
    <w:p>
      <w:pPr>
        <w:spacing w:after="0" w:line="89" w:lineRule="exact"/>
        <w:rPr>
          <w:sz w:val="20"/>
          <w:szCs w:val="20"/>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a non-employee director;</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lead independent director;</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chair of the audit committee;</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a member of the audit committee;</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chair of the compensation committee;</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a member of the compensation committee;</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chair of the corporate governance and nominating committee; and</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year for service as a member of the corporate governance and nominating committee.</w:t>
      </w:r>
    </w:p>
    <w:p>
      <w:pPr>
        <w:spacing w:after="0" w:line="146" w:lineRule="exact"/>
        <w:rPr>
          <w:sz w:val="20"/>
          <w:szCs w:val="20"/>
          <w:color w:val="auto"/>
        </w:rPr>
      </w:pPr>
    </w:p>
    <w:p>
      <w:pPr>
        <w:ind w:left="9" w:firstLine="273"/>
        <w:spacing w:after="0" w:line="261" w:lineRule="auto"/>
        <w:rPr>
          <w:sz w:val="20"/>
          <w:szCs w:val="20"/>
          <w:color w:val="auto"/>
        </w:rPr>
      </w:pPr>
      <w:r>
        <w:rPr>
          <w:rFonts w:ascii="Times New Roman" w:cs="Times New Roman" w:eastAsia="Times New Roman" w:hAnsi="Times New Roman"/>
          <w:sz w:val="15"/>
          <w:szCs w:val="15"/>
          <w:color w:val="auto"/>
        </w:rPr>
        <w:t>Each non-employee director who serves as a committee chair will receive only the cash retainer fee as the chair of the committee but not the cash retainer fee as a member of that committee, provided that the non-employee director who serves as lead independent director will receive the annual retainer fees for such role as well as the annual retainer fee for service as a non-employee director. These fees to our non-employee directors will be paid quarterly in arrears on a prorated basis. The above-listed fees for service as lead independent director, a chair or member of any committee are payable in addition to the non-employee director retainer. Under our Outside Director Compensation Policy, we also will reimburse our non-employee directors for reasonable travel expenses to attend meetings of our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132</w:t>
      </w:r>
    </w:p>
    <w:p>
      <w:pPr>
        <w:sectPr>
          <w:pgSz w:w="11900" w:h="16838" w:orient="portrait"/>
          <w:cols w:equalWidth="0" w:num="1">
            <w:col w:w="11209"/>
          </w:cols>
          <w:pgMar w:left="311" w:top="121" w:right="379" w:bottom="1440" w:gutter="0" w:footer="0" w:header="0"/>
        </w:sectPr>
      </w:pPr>
    </w:p>
    <w:bookmarkStart w:id="135" w:name="page136"/>
    <w:bookmarkEnd w:id="13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Initial Award</w:t>
      </w:r>
      <w:r>
        <w:rPr>
          <w:rFonts w:ascii="Times New Roman" w:cs="Times New Roman" w:eastAsia="Times New Roman" w:hAnsi="Times New Roman"/>
          <w:sz w:val="15"/>
          <w:szCs w:val="15"/>
          <w:color w:val="auto"/>
        </w:rPr>
        <w:t>. Pursuant to our Outside Director Compensation Policy, each person who first becomes a non-employee director after the effective date of such policy will receive, on</w:t>
      </w:r>
    </w:p>
    <w:p>
      <w:pPr>
        <w:spacing w:after="0" w:line="2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5"/>
          <w:szCs w:val="15"/>
          <w:color w:val="auto"/>
        </w:rPr>
        <w:t>the first trading day on or after the date that the person first becomes a non-employee director, an initial award of stock options to purchase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Annual Award</w:t>
      </w:r>
      <w:r>
        <w:rPr>
          <w:rFonts w:ascii="Times New Roman" w:cs="Times New Roman" w:eastAsia="Times New Roman" w:hAnsi="Times New Roman"/>
          <w:sz w:val="15"/>
          <w:szCs w:val="15"/>
          <w:color w:val="auto"/>
        </w:rPr>
        <w:t>. Each non-employee director automatically will receive, on the first trading day immediately after the date of each annual meeting of our stockholders (an Annual</w:t>
      </w:r>
    </w:p>
    <w:p>
      <w:pPr>
        <w:spacing w:after="0" w:line="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Meeting) that occurs following the effective date of our Outside Director Compensation Policy, an annual award of stock options to purchase shares of our common stock (the Annual Award), except if an individual began service as a non-employee director after the date of the Annual Meeting that occurred immediately prior to such Annual Meeting (or if there is no such prior Annual Meeting, then the effective date of the registration statement of the offering of which this prospectus forms a part),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 xml:space="preserve">IPO Awards. </w:t>
      </w:r>
      <w:r>
        <w:rPr>
          <w:rFonts w:ascii="Times New Roman" w:cs="Times New Roman" w:eastAsia="Times New Roman" w:hAnsi="Times New Roman"/>
          <w:sz w:val="15"/>
          <w:szCs w:val="15"/>
          <w:color w:val="auto"/>
        </w:rPr>
        <w:t>Effective as of the effective date of the registration statement of which this prospectus forms a part, each non-employee director who previously was granted any stock</w:t>
      </w:r>
    </w:p>
    <w:p>
      <w:pPr>
        <w:spacing w:after="0" w:line="26"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5"/>
          <w:szCs w:val="15"/>
          <w:color w:val="auto"/>
        </w:rPr>
        <w:t>options covering shares of our common stock prior to such date will be granted an award of stock options to purchase shares of our common stock (a Continuing Director IPO Award) and each non-employee director who, prior to such date, was not granted any stock options covering shares of our common stock will be granted an award of stock options to</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purchase shares of our common stock (a New Director IPO Award). Each New Director IPO Award will be scheduled to vest in equal installments as to 1/36th of the shares of our common stock subject to the New Director IPO Award on a monthly basis following the effective date of the registration statement of which this prospectus forms a part, on the same day of the month as such date, subject to continued services to us through the applicable vesting dates. Each Continuing Director IPO Award will be scheduled to vest as to all of the shares of our common stock subject to such award on the earlier of (i) the one year anniversary of the date the Continuing Director IPO Award is granted or (ii) the day immediately before the date of the next Annual Meeting that occurs after the effective date of the registration statement of which this prospectus forms a part, subject to continued services to us through the applicable vesting date.</w:t>
      </w:r>
    </w:p>
    <w:p>
      <w:pPr>
        <w:spacing w:after="0" w:line="110" w:lineRule="exact"/>
        <w:rPr>
          <w:sz w:val="20"/>
          <w:szCs w:val="20"/>
          <w:color w:val="auto"/>
        </w:rPr>
      </w:pPr>
    </w:p>
    <w:p>
      <w:pPr>
        <w:ind w:right="20" w:firstLine="273"/>
        <w:spacing w:after="0" w:line="271" w:lineRule="auto"/>
        <w:rPr>
          <w:sz w:val="20"/>
          <w:szCs w:val="20"/>
          <w:color w:val="auto"/>
        </w:rPr>
      </w:pPr>
      <w:r>
        <w:rPr>
          <w:rFonts w:ascii="Times New Roman" w:cs="Times New Roman" w:eastAsia="Times New Roman" w:hAnsi="Times New Roman"/>
          <w:sz w:val="15"/>
          <w:szCs w:val="15"/>
          <w:i w:val="1"/>
          <w:iCs w:val="1"/>
          <w:color w:val="auto"/>
        </w:rPr>
        <w:t>Change in Control</w:t>
      </w:r>
      <w:r>
        <w:rPr>
          <w:rFonts w:ascii="Times New Roman" w:cs="Times New Roman" w:eastAsia="Times New Roman" w:hAnsi="Times New Roman"/>
          <w:sz w:val="15"/>
          <w:szCs w:val="15"/>
          <w:color w:val="auto"/>
        </w:rPr>
        <w:t>. In the event of our change in control, as defined in our 2020 Equity Incentive Plan, each non-employee director’s then outstanding equity awards covering shares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our common stock that were granted to him or her while a non-employee director will accelerate vesting in full, provided that he or she remains a non-employee director through the date of our change in control.</w:t>
      </w:r>
    </w:p>
    <w:p>
      <w:pPr>
        <w:spacing w:after="0" w:line="97" w:lineRule="exact"/>
        <w:rPr>
          <w:sz w:val="20"/>
          <w:szCs w:val="20"/>
          <w:color w:val="auto"/>
        </w:rPr>
      </w:pPr>
    </w:p>
    <w:p>
      <w:pPr>
        <w:jc w:val="both"/>
        <w:ind w:right="60" w:firstLine="273"/>
        <w:spacing w:after="0" w:line="271" w:lineRule="auto"/>
        <w:rPr>
          <w:sz w:val="20"/>
          <w:szCs w:val="20"/>
          <w:color w:val="auto"/>
        </w:rPr>
      </w:pPr>
      <w:r>
        <w:rPr>
          <w:rFonts w:ascii="Times New Roman" w:cs="Times New Roman" w:eastAsia="Times New Roman" w:hAnsi="Times New Roman"/>
          <w:sz w:val="15"/>
          <w:szCs w:val="15"/>
          <w:i w:val="1"/>
          <w:iCs w:val="1"/>
          <w:color w:val="auto"/>
        </w:rPr>
        <w:t>Other Award Terms</w:t>
      </w:r>
      <w:r>
        <w:rPr>
          <w:rFonts w:ascii="Times New Roman" w:cs="Times New Roman" w:eastAsia="Times New Roman" w:hAnsi="Times New Roman"/>
          <w:sz w:val="15"/>
          <w:szCs w:val="15"/>
          <w:color w:val="auto"/>
        </w:rPr>
        <w:t>. Each Initial Award, Annual Award, Continuing Director IPO Award, and New Director IPO Award will be granted under our 2020 Equity Incentive Plan (or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Director Compensation Limits</w:t>
      </w:r>
      <w:r>
        <w:rPr>
          <w:rFonts w:ascii="Times New Roman" w:cs="Times New Roman" w:eastAsia="Times New Roman" w:hAnsi="Times New Roman"/>
          <w:sz w:val="15"/>
          <w:szCs w:val="15"/>
          <w:color w:val="auto"/>
        </w:rPr>
        <w:t>. Our Outside Director Compensation Policy will provide that in any fiscal year, a non-employee director may be paid cash compensation and granted</w:t>
      </w:r>
    </w:p>
    <w:p>
      <w:pPr>
        <w:spacing w:after="0" w:line="26"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15"/>
          <w:szCs w:val="15"/>
          <w:color w:val="auto"/>
        </w:rPr>
        <w:t>equity awards with an aggregate value of no more than $</w:t>
      </w:r>
      <w:r>
        <w:rPr>
          <w:sz w:val="20"/>
          <w:szCs w:val="20"/>
          <w:color w:val="auto"/>
        </w:rPr>
        <w:tab/>
      </w:r>
      <w:r>
        <w:rPr>
          <w:rFonts w:ascii="Times New Roman" w:cs="Times New Roman" w:eastAsia="Times New Roman" w:hAnsi="Times New Roman"/>
          <w:sz w:val="15"/>
          <w:szCs w:val="15"/>
          <w:color w:val="auto"/>
        </w:rPr>
        <w:t>(with the value of equity awards based on its grant date fair value determined in accordance with GAAP for purposes of</w:t>
      </w:r>
    </w:p>
    <w:p>
      <w:pPr>
        <w:spacing w:after="0" w:line="9"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15"/>
          <w:szCs w:val="15"/>
          <w:color w:val="auto"/>
        </w:rPr>
        <w:t>this limit), with such limit increased to $</w:t>
      </w:r>
      <w:r>
        <w:rPr>
          <w:sz w:val="20"/>
          <w:szCs w:val="20"/>
          <w:color w:val="auto"/>
        </w:rPr>
        <w:tab/>
      </w:r>
      <w:r>
        <w:rPr>
          <w:rFonts w:ascii="Times New Roman" w:cs="Times New Roman" w:eastAsia="Times New Roman" w:hAnsi="Times New Roman"/>
          <w:sz w:val="15"/>
          <w:szCs w:val="15"/>
          <w:color w:val="auto"/>
        </w:rPr>
        <w:t>in the fiscal year of his or her initial service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133</w:t>
      </w:r>
    </w:p>
    <w:p>
      <w:pPr>
        <w:sectPr>
          <w:pgSz w:w="11900" w:h="16838" w:orient="portrait"/>
          <w:cols w:equalWidth="0" w:num="1">
            <w:col w:w="11260"/>
          </w:cols>
          <w:pgMar w:left="320" w:top="121" w:right="319" w:bottom="1440" w:gutter="0" w:footer="0" w:header="0"/>
        </w:sectPr>
      </w:pPr>
    </w:p>
    <w:bookmarkStart w:id="136" w:name="page137"/>
    <w:bookmarkEnd w:id="13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5"/>
          <w:szCs w:val="15"/>
          <w:color w:val="auto"/>
        </w:rPr>
        <w:t>a non-employee director. Equity awards granted or other compensation provided to a non-employee director for services provided as an employee or consultant (other than a non-employee director), or provided before the effective date of the registration statement of which this prospectus forms a part, will not count toward this annual limit.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 Participation</w:t>
      </w:r>
    </w:p>
    <w:p>
      <w:pPr>
        <w:spacing w:after="0" w:line="15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Business Conduct and Ethics</w:t>
      </w:r>
    </w:p>
    <w:p>
      <w:pPr>
        <w:spacing w:after="0" w:line="150" w:lineRule="exact"/>
        <w:rPr>
          <w:sz w:val="20"/>
          <w:szCs w:val="20"/>
          <w:color w:val="auto"/>
        </w:rPr>
      </w:pPr>
    </w:p>
    <w:p>
      <w:pPr>
        <w:jc w:val="both"/>
        <w:ind w:right="60" w:firstLine="273"/>
        <w:spacing w:after="0" w:line="261" w:lineRule="auto"/>
        <w:rPr>
          <w:sz w:val="20"/>
          <w:szCs w:val="20"/>
          <w:color w:val="auto"/>
        </w:rPr>
      </w:pPr>
      <w:r>
        <w:rPr>
          <w:rFonts w:ascii="Times New Roman" w:cs="Times New Roman" w:eastAsia="Times New Roman" w:hAnsi="Times New Roman"/>
          <w:sz w:val="15"/>
          <w:szCs w:val="15"/>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134</w:t>
      </w:r>
    </w:p>
    <w:p>
      <w:pPr>
        <w:sectPr>
          <w:pgSz w:w="11900" w:h="16838" w:orient="portrait"/>
          <w:cols w:equalWidth="0" w:num="1">
            <w:col w:w="11240"/>
          </w:cols>
          <w:pgMar w:left="320" w:top="121" w:right="339" w:bottom="1440" w:gutter="0" w:footer="0" w:header="0"/>
        </w:sectPr>
      </w:pPr>
    </w:p>
    <w:bookmarkStart w:id="137" w:name="page138"/>
    <w:bookmarkEnd w:id="137"/>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50"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5"/>
          <w:szCs w:val="15"/>
          <w:color w:val="auto"/>
        </w:rPr>
        <w:t>Our named executive officers for the year ended December 31, 2019, which consist of our principal executive officer and our only other executive officer for that year, are:</w:t>
      </w:r>
    </w:p>
    <w:p>
      <w:pPr>
        <w:spacing w:after="0" w:line="146" w:lineRule="exact"/>
        <w:rPr>
          <w:sz w:val="20"/>
          <w:szCs w:val="20"/>
          <w:color w:val="auto"/>
        </w:rPr>
      </w:pPr>
    </w:p>
    <w:p>
      <w:pPr>
        <w:ind w:left="549" w:hanging="277"/>
        <w:spacing w:after="0"/>
        <w:tabs>
          <w:tab w:leader="none" w:pos="549"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Omid Farokhzad, M.D., our Chief Executive Officer; and</w:t>
      </w:r>
    </w:p>
    <w:p>
      <w:pPr>
        <w:spacing w:after="0" w:line="145" w:lineRule="exact"/>
        <w:rPr>
          <w:rFonts w:ascii="Times New Roman" w:cs="Times New Roman" w:eastAsia="Times New Roman" w:hAnsi="Times New Roman"/>
          <w:sz w:val="15"/>
          <w:szCs w:val="15"/>
          <w:color w:val="auto"/>
        </w:rPr>
      </w:pPr>
    </w:p>
    <w:p>
      <w:pPr>
        <w:ind w:left="549" w:hanging="277"/>
        <w:spacing w:after="0"/>
        <w:tabs>
          <w:tab w:leader="none" w:pos="549"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Philip Ma, Ph.D., our Chief Business Officer and former President.</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sets forth information regarding the compensation of our named executive officers for the year ended December 31, 2019.</w:t>
      </w:r>
    </w:p>
    <w:p>
      <w:pPr>
        <w:sectPr>
          <w:pgSz w:w="11900" w:h="16838" w:orient="portrait"/>
          <w:cols w:equalWidth="0" w:num="1">
            <w:col w:w="11269"/>
          </w:cols>
          <w:pgMar w:left="311" w:top="121" w:right="319" w:bottom="1440" w:gutter="0" w:footer="0" w:header="0"/>
        </w:sectPr>
      </w:pPr>
    </w:p>
    <w:p>
      <w:pPr>
        <w:spacing w:after="0" w:line="3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Year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Salary</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Bonus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Stock Awards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b w:val="1"/>
          <w:bCs w:val="1"/>
          <w:color w:val="auto"/>
        </w:rPr>
        <w:t>Non-Equity Incentive</w:t>
      </w:r>
    </w:p>
    <w:p>
      <w:pPr>
        <w:spacing w:after="0" w:line="14" w:lineRule="exact"/>
        <w:rPr>
          <w:sz w:val="20"/>
          <w:szCs w:val="20"/>
          <w:color w:val="auto"/>
        </w:rPr>
      </w:pPr>
    </w:p>
    <w:p>
      <w:pPr>
        <w:spacing w:after="0"/>
        <w:tabs>
          <w:tab w:leader="none" w:pos="1040" w:val="left"/>
          <w:tab w:leader="none" w:pos="2340" w:val="left"/>
        </w:tabs>
        <w:rPr>
          <w:sz w:val="20"/>
          <w:szCs w:val="20"/>
          <w:color w:val="auto"/>
        </w:rPr>
      </w:pPr>
      <w:r>
        <w:rPr>
          <w:rFonts w:ascii="Times New Roman" w:cs="Times New Roman" w:eastAsia="Times New Roman" w:hAnsi="Times New Roman"/>
          <w:sz w:val="12"/>
          <w:szCs w:val="12"/>
          <w:b w:val="1"/>
          <w:bCs w:val="1"/>
          <w:color w:val="auto"/>
        </w:rPr>
        <w:t>Option Awards</w:t>
      </w:r>
      <w:r>
        <w:rPr>
          <w:sz w:val="20"/>
          <w:szCs w:val="20"/>
          <w:color w:val="auto"/>
        </w:rPr>
        <w:tab/>
      </w:r>
      <w:r>
        <w:rPr>
          <w:rFonts w:ascii="Times New Roman" w:cs="Times New Roman" w:eastAsia="Times New Roman" w:hAnsi="Times New Roman"/>
          <w:sz w:val="12"/>
          <w:szCs w:val="12"/>
          <w:b w:val="1"/>
          <w:bCs w:val="1"/>
          <w:color w:val="auto"/>
        </w:rPr>
        <w:t>Plan Compensation</w:t>
      </w:r>
      <w:r>
        <w:rPr>
          <w:sz w:val="20"/>
          <w:szCs w:val="20"/>
          <w:color w:val="auto"/>
        </w:rPr>
        <w:tab/>
      </w:r>
      <w:r>
        <w:rPr>
          <w:rFonts w:ascii="Times New Roman" w:cs="Times New Roman" w:eastAsia="Times New Roman" w:hAnsi="Times New Roman"/>
          <w:sz w:val="11"/>
          <w:szCs w:val="11"/>
          <w:b w:val="1"/>
          <w:bCs w:val="1"/>
          <w:color w:val="auto"/>
        </w:rPr>
        <w:t>All Other Compensation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Total</w:t>
      </w:r>
    </w:p>
    <w:p>
      <w:pPr>
        <w:spacing w:after="0" w:line="34" w:lineRule="exact"/>
        <w:rPr>
          <w:sz w:val="20"/>
          <w:szCs w:val="20"/>
          <w:color w:val="auto"/>
        </w:rPr>
      </w:pPr>
    </w:p>
    <w:p>
      <w:pPr>
        <w:sectPr>
          <w:pgSz w:w="11900" w:h="16838" w:orient="portrait"/>
          <w:cols w:equalWidth="0" w:num="7">
            <w:col w:w="2249" w:space="720"/>
            <w:col w:w="240" w:space="680"/>
            <w:col w:w="340" w:space="660"/>
            <w:col w:w="320" w:space="360"/>
            <w:col w:w="700" w:space="180"/>
            <w:col w:w="3620" w:space="540"/>
            <w:col w:w="660"/>
          </w:cols>
          <w:pgMar w:left="311" w:top="121" w:right="319" w:bottom="1440" w:gutter="0" w:footer="0" w:header="0"/>
          <w:type w:val="continuous"/>
        </w:sectPr>
      </w:pPr>
    </w:p>
    <w:tbl>
      <w:tblPr>
        <w:tblLayout w:type="fixed"/>
        <w:tblInd w:w="9" w:type="dxa"/>
        <w:tblCellMar>
          <w:top w:w="0" w:type="dxa"/>
          <w:left w:w="0" w:type="dxa"/>
          <w:bottom w:w="0" w:type="dxa"/>
          <w:right w:w="0" w:type="dxa"/>
        </w:tblCellMar>
      </w:tblPr>
      <w:tr>
        <w:trPr>
          <w:trHeight w:val="159"/>
        </w:trPr>
        <w:tc>
          <w:tcPr>
            <w:tcW w:w="26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Omid Farokhzad, M.D.</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2019</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421,011</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vMerge w:val="restart"/>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vMerge w:val="restart"/>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vMerge w:val="restart"/>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214,240</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115,872</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751,123</w:t>
            </w:r>
          </w:p>
        </w:tc>
        <w:tc>
          <w:tcPr>
            <w:tcW w:w="0" w:type="dxa"/>
            <w:vAlign w:val="bottom"/>
          </w:tcPr>
          <w:p>
            <w:pPr>
              <w:spacing w:after="0"/>
              <w:rPr>
                <w:sz w:val="1"/>
                <w:szCs w:val="1"/>
                <w:color w:val="auto"/>
              </w:rPr>
            </w:pPr>
          </w:p>
        </w:tc>
      </w:tr>
      <w:tr>
        <w:trPr>
          <w:trHeight w:val="19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Chief Executive Officer</w:t>
            </w: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Philip Ma, Ph.D.</w:t>
            </w:r>
            <w:r>
              <w:rPr>
                <w:rFonts w:ascii="Times New Roman" w:cs="Times New Roman" w:eastAsia="Times New Roman" w:hAnsi="Times New Roman"/>
                <w:sz w:val="17"/>
                <w:szCs w:val="17"/>
                <w:color w:val="auto"/>
                <w:vertAlign w:val="superscript"/>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2019</w:t>
            </w:r>
          </w:p>
        </w:tc>
        <w:tc>
          <w:tcPr>
            <w:tcW w:w="80" w:type="dxa"/>
            <w:vAlign w:val="bottom"/>
          </w:tcPr>
          <w:p>
            <w:pPr>
              <w:spacing w:after="0"/>
              <w:rPr>
                <w:sz w:val="12"/>
                <w:szCs w:val="12"/>
                <w:color w:val="auto"/>
              </w:rPr>
            </w:pPr>
          </w:p>
        </w:tc>
        <w:tc>
          <w:tcPr>
            <w:tcW w:w="30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342,071</w:t>
            </w:r>
          </w:p>
        </w:tc>
        <w:tc>
          <w:tcPr>
            <w:tcW w:w="8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vMerge w:val="restart"/>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130,000</w:t>
            </w:r>
          </w:p>
        </w:tc>
        <w:tc>
          <w:tcPr>
            <w:tcW w:w="100" w:type="dxa"/>
            <w:vAlign w:val="bottom"/>
          </w:tcPr>
          <w:p>
            <w:pPr>
              <w:spacing w:after="0"/>
              <w:rPr>
                <w:sz w:val="12"/>
                <w:szCs w:val="12"/>
                <w:color w:val="auto"/>
              </w:rPr>
            </w:pPr>
          </w:p>
        </w:tc>
        <w:tc>
          <w:tcPr>
            <w:tcW w:w="440" w:type="dxa"/>
            <w:vAlign w:val="bottom"/>
            <w:vMerge w:val="restart"/>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15,014</w:t>
            </w:r>
          </w:p>
        </w:tc>
        <w:tc>
          <w:tcPr>
            <w:tcW w:w="80" w:type="dxa"/>
            <w:vAlign w:val="bottom"/>
          </w:tcPr>
          <w:p>
            <w:pPr>
              <w:spacing w:after="0"/>
              <w:rPr>
                <w:sz w:val="12"/>
                <w:szCs w:val="12"/>
                <w:color w:val="auto"/>
              </w:rPr>
            </w:pPr>
          </w:p>
        </w:tc>
        <w:tc>
          <w:tcPr>
            <w:tcW w:w="30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487,085</w:t>
            </w:r>
          </w:p>
        </w:tc>
        <w:tc>
          <w:tcPr>
            <w:tcW w:w="0" w:type="dxa"/>
            <w:vAlign w:val="bottom"/>
          </w:tcPr>
          <w:p>
            <w:pPr>
              <w:spacing w:after="0"/>
              <w:rPr>
                <w:sz w:val="1"/>
                <w:szCs w:val="1"/>
                <w:color w:val="auto"/>
              </w:rPr>
            </w:pPr>
          </w:p>
        </w:tc>
      </w:tr>
      <w:tr>
        <w:trPr>
          <w:trHeight w:val="187"/>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Chief Business Officer</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9"/>
        <w:spacing w:after="0" w:line="237" w:lineRule="auto"/>
        <w:rPr>
          <w:sz w:val="20"/>
          <w:szCs w:val="20"/>
          <w:color w:val="auto"/>
        </w:rPr>
      </w:pPr>
      <w:r>
        <w:rPr>
          <w:rFonts w:ascii="Times New Roman" w:cs="Times New Roman" w:eastAsia="Times New Roman" w:hAnsi="Times New Roman"/>
          <w:sz w:val="12"/>
          <w:szCs w:val="12"/>
          <w:color w:val="auto"/>
        </w:rPr>
        <w:t>__________________</w:t>
      </w:r>
    </w:p>
    <w:p>
      <w:pPr>
        <w:ind w:left="269" w:hanging="269"/>
        <w:spacing w:after="0"/>
        <w:tabs>
          <w:tab w:leader="none" w:pos="269"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Ma transitioned to PrognomIQ to serve as its full-time chief executive officer as of October 15, 2020. He will remain a consultant of the Company until April 2021.</w:t>
      </w:r>
    </w:p>
    <w:p>
      <w:pPr>
        <w:spacing w:after="0" w:line="12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Outstanding Equity Awards at Fiscal Year-End</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sets forth information regarding outstanding equity awards held by each of our named executive officers as of December 31, 2019:</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ind w:left="620"/>
              <w:spacing w:after="0"/>
              <w:rPr>
                <w:sz w:val="20"/>
                <w:szCs w:val="20"/>
                <w:color w:val="auto"/>
              </w:rPr>
            </w:pPr>
            <w:r>
              <w:rPr>
                <w:rFonts w:ascii="Times New Roman" w:cs="Times New Roman" w:eastAsia="Times New Roman" w:hAnsi="Times New Roman"/>
                <w:sz w:val="12"/>
                <w:szCs w:val="12"/>
                <w:b w:val="1"/>
                <w:bCs w:val="1"/>
                <w:color w:val="auto"/>
                <w:w w:val="98"/>
              </w:rPr>
              <w:t>Option Awards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3"/>
          </w:tcPr>
          <w:p>
            <w:pPr>
              <w:jc w:val="right"/>
              <w:ind w:right="1034"/>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Market Value of Shares or</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14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Number of Shares or</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Units of Stock That Have</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240"/>
              <w:spacing w:after="0" w:line="138" w:lineRule="exact"/>
              <w:rPr>
                <w:sz w:val="20"/>
                <w:szCs w:val="20"/>
                <w:color w:val="auto"/>
              </w:rPr>
            </w:pPr>
            <w:r>
              <w:rPr>
                <w:rFonts w:ascii="Times New Roman" w:cs="Times New Roman" w:eastAsia="Times New Roman" w:hAnsi="Times New Roman"/>
                <w:sz w:val="12"/>
                <w:szCs w:val="12"/>
                <w:b w:val="1"/>
                <w:bCs w:val="1"/>
                <w:color w:val="auto"/>
              </w:rPr>
              <w:t>Grant Date</w:t>
            </w:r>
            <w:r>
              <w:rPr>
                <w:rFonts w:ascii="Times New Roman" w:cs="Times New Roman" w:eastAsia="Times New Roman" w:hAnsi="Times New Roman"/>
                <w:sz w:val="15"/>
                <w:szCs w:val="15"/>
                <w:b w:val="1"/>
                <w:bCs w:val="1"/>
                <w:color w:val="auto"/>
                <w:vertAlign w:val="superscript"/>
              </w:rPr>
              <w:t>(1)</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Underlying Unexercised</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Unexercised Options</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Option Exercise</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Option Expiration</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Units of Stock That Have</w:t>
            </w:r>
          </w:p>
        </w:tc>
        <w:tc>
          <w:tcPr>
            <w:tcW w:w="1440" w:type="dxa"/>
            <w:vAlign w:val="bottom"/>
          </w:tcPr>
          <w:p>
            <w:pPr>
              <w:jc w:val="center"/>
              <w:spacing w:after="0" w:line="138" w:lineRule="exact"/>
              <w:rPr>
                <w:sz w:val="20"/>
                <w:szCs w:val="20"/>
                <w:color w:val="auto"/>
              </w:rPr>
            </w:pPr>
            <w:r>
              <w:rPr>
                <w:rFonts w:ascii="Times New Roman" w:cs="Times New Roman" w:eastAsia="Times New Roman" w:hAnsi="Times New Roman"/>
                <w:sz w:val="12"/>
                <w:szCs w:val="12"/>
                <w:b w:val="1"/>
                <w:bCs w:val="1"/>
                <w:color w:val="auto"/>
                <w:w w:val="96"/>
              </w:rPr>
              <w:t>Not Vested ($)</w:t>
            </w:r>
            <w:r>
              <w:rPr>
                <w:rFonts w:ascii="Times New Roman" w:cs="Times New Roman" w:eastAsia="Times New Roman" w:hAnsi="Times New Roman"/>
                <w:sz w:val="15"/>
                <w:szCs w:val="15"/>
                <w:b w:val="1"/>
                <w:bCs w:val="1"/>
                <w:color w:val="auto"/>
                <w:w w:val="96"/>
                <w:vertAlign w:val="superscript"/>
              </w:rPr>
              <w:t>(2)</w:t>
            </w:r>
          </w:p>
        </w:tc>
        <w:tc>
          <w:tcPr>
            <w:tcW w:w="0" w:type="dxa"/>
            <w:vAlign w:val="bottom"/>
          </w:tcPr>
          <w:p>
            <w:pPr>
              <w:spacing w:after="0"/>
              <w:rPr>
                <w:sz w:val="1"/>
                <w:szCs w:val="1"/>
                <w:color w:val="auto"/>
              </w:rPr>
            </w:pPr>
          </w:p>
        </w:tc>
      </w:tr>
      <w:tr>
        <w:trPr>
          <w:trHeight w:val="160"/>
        </w:trPr>
        <w:tc>
          <w:tcPr>
            <w:tcW w:w="206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Options (#) Exercisable</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 Unexercisable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Price ($)</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Not Vested (#)</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
        </w:trPr>
        <w:tc>
          <w:tcPr>
            <w:tcW w:w="2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80" w:type="dxa"/>
            <w:vAlign w:val="bottom"/>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Omid Farokhzad, M.D.</w:t>
            </w:r>
          </w:p>
        </w:tc>
        <w:tc>
          <w:tcPr>
            <w:tcW w:w="122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9/20/2017</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4"/>
                <w:szCs w:val="14"/>
                <w:color w:val="auto"/>
              </w:rPr>
              <w:t>625,000</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787,500</w:t>
            </w:r>
          </w:p>
        </w:tc>
        <w:tc>
          <w:tcPr>
            <w:tcW w:w="0" w:type="dxa"/>
            <w:vAlign w:val="bottom"/>
          </w:tcPr>
          <w:p>
            <w:pPr>
              <w:spacing w:after="0"/>
              <w:rPr>
                <w:sz w:val="1"/>
                <w:szCs w:val="1"/>
                <w:color w:val="auto"/>
              </w:rPr>
            </w:pPr>
          </w:p>
        </w:tc>
      </w:tr>
      <w:tr>
        <w:trPr>
          <w:trHeight w:val="115"/>
        </w:trPr>
        <w:tc>
          <w:tcPr>
            <w:tcW w:w="2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w w:val="98"/>
              </w:rPr>
              <w:t>2/19/2018</w:t>
            </w: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4"/>
                <w:szCs w:val="14"/>
                <w:color w:val="auto"/>
              </w:rPr>
              <w:t>247,507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311,859</w:t>
            </w:r>
          </w:p>
        </w:tc>
        <w:tc>
          <w:tcPr>
            <w:tcW w:w="0" w:type="dxa"/>
            <w:vAlign w:val="bottom"/>
          </w:tcPr>
          <w:p>
            <w:pPr>
              <w:spacing w:after="0"/>
              <w:rPr>
                <w:sz w:val="1"/>
                <w:szCs w:val="1"/>
                <w:color w:val="auto"/>
              </w:rPr>
            </w:pPr>
          </w:p>
        </w:tc>
      </w:tr>
      <w:tr>
        <w:trPr>
          <w:trHeight w:val="115"/>
        </w:trPr>
        <w:tc>
          <w:tcPr>
            <w:tcW w:w="2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w w:val="98"/>
              </w:rPr>
              <w:t>5/18/2018</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4"/>
                <w:szCs w:val="14"/>
                <w:color w:val="auto"/>
              </w:rPr>
              <w:t>1,113,195</w:t>
            </w:r>
          </w:p>
        </w:tc>
        <w:tc>
          <w:tcPr>
            <w:tcW w:w="1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8"/>
              </w:rPr>
              <w:t>5/17/2028</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2"/>
        </w:trPr>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Philip Ma, Ph.D.</w:t>
            </w:r>
          </w:p>
        </w:tc>
        <w:tc>
          <w:tcPr>
            <w:tcW w:w="122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color w:val="auto"/>
              </w:rPr>
              <w:t>9/20/2017</w:t>
            </w:r>
          </w:p>
        </w:tc>
        <w:tc>
          <w:tcPr>
            <w:tcW w:w="8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341"/>
              <w:spacing w:after="0"/>
              <w:rPr>
                <w:sz w:val="20"/>
                <w:szCs w:val="20"/>
                <w:color w:val="auto"/>
              </w:rPr>
            </w:pPr>
            <w:r>
              <w:rPr>
                <w:rFonts w:ascii="Times New Roman" w:cs="Times New Roman" w:eastAsia="Times New Roman" w:hAnsi="Times New Roman"/>
                <w:sz w:val="14"/>
                <w:szCs w:val="14"/>
                <w:color w:val="auto"/>
              </w:rPr>
              <w:t>187,500</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236,250</w:t>
            </w:r>
          </w:p>
        </w:tc>
        <w:tc>
          <w:tcPr>
            <w:tcW w:w="0" w:type="dxa"/>
            <w:vAlign w:val="bottom"/>
          </w:tcPr>
          <w:p>
            <w:pPr>
              <w:spacing w:after="0"/>
              <w:rPr>
                <w:sz w:val="1"/>
                <w:szCs w:val="1"/>
                <w:color w:val="auto"/>
              </w:rPr>
            </w:pPr>
          </w:p>
        </w:tc>
      </w:tr>
      <w:tr>
        <w:trPr>
          <w:trHeight w:val="115"/>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22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color w:val="auto"/>
              </w:rPr>
              <w:t>2/19/2018</w:t>
            </w:r>
          </w:p>
        </w:tc>
        <w:tc>
          <w:tcPr>
            <w:tcW w:w="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341"/>
              <w:spacing w:after="0"/>
              <w:rPr>
                <w:sz w:val="20"/>
                <w:szCs w:val="20"/>
                <w:color w:val="auto"/>
              </w:rPr>
            </w:pPr>
            <w:r>
              <w:rPr>
                <w:rFonts w:ascii="Times New Roman" w:cs="Times New Roman" w:eastAsia="Times New Roman" w:hAnsi="Times New Roman"/>
                <w:sz w:val="14"/>
                <w:szCs w:val="14"/>
                <w:color w:val="auto"/>
              </w:rPr>
              <w:t>74,252</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93,558</w:t>
            </w:r>
          </w:p>
        </w:tc>
        <w:tc>
          <w:tcPr>
            <w:tcW w:w="0" w:type="dxa"/>
            <w:vAlign w:val="bottom"/>
          </w:tcPr>
          <w:p>
            <w:pPr>
              <w:spacing w:after="0"/>
              <w:rPr>
                <w:sz w:val="1"/>
                <w:szCs w:val="1"/>
                <w:color w:val="auto"/>
              </w:rPr>
            </w:pPr>
          </w:p>
        </w:tc>
      </w:tr>
      <w:tr>
        <w:trPr>
          <w:trHeight w:val="115"/>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w:t>
            </w:r>
          </w:p>
        </w:tc>
        <w:tc>
          <w:tcPr>
            <w:tcW w:w="122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color w:val="auto"/>
              </w:rPr>
              <w:t>5/18/2018</w:t>
            </w:r>
          </w:p>
        </w:tc>
        <w:tc>
          <w:tcPr>
            <w:tcW w:w="80" w:type="dxa"/>
            <w:vAlign w:val="bottom"/>
          </w:tcPr>
          <w:p>
            <w:pPr>
              <w:spacing w:after="0"/>
              <w:rPr>
                <w:sz w:val="16"/>
                <w:szCs w:val="16"/>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4"/>
                <w:szCs w:val="14"/>
                <w:color w:val="auto"/>
              </w:rPr>
              <w:t>333,959</w:t>
            </w:r>
          </w:p>
        </w:tc>
        <w:tc>
          <w:tcPr>
            <w:tcW w:w="100" w:type="dxa"/>
            <w:vAlign w:val="bottom"/>
          </w:tcPr>
          <w:p>
            <w:pPr>
              <w:spacing w:after="0"/>
              <w:rPr>
                <w:sz w:val="16"/>
                <w:szCs w:val="16"/>
                <w:color w:val="auto"/>
              </w:rPr>
            </w:pP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6"/>
                <w:szCs w:val="16"/>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8"/>
              </w:rPr>
              <w:t>5/17/2028</w:t>
            </w:r>
          </w:p>
        </w:tc>
        <w:tc>
          <w:tcPr>
            <w:tcW w:w="8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69" w:hanging="269"/>
        <w:spacing w:after="0" w:line="237" w:lineRule="auto"/>
        <w:tabs>
          <w:tab w:leader="none" w:pos="269"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outstanding equity awards was granted pursuant to our 2017 Plan.</w:t>
      </w:r>
    </w:p>
    <w:p>
      <w:pPr>
        <w:ind w:left="269" w:right="160" w:hanging="269"/>
        <w:spacing w:after="0" w:line="237" w:lineRule="auto"/>
        <w:tabs>
          <w:tab w:leader="none" w:pos="263"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amount reflects the fair market value of our common stock of $1.26 as of December 31, 2019 (the determination of the fair market value by our board of directors as of the most proximate date) multiplied by the amount shown in the column for the number of shares or units that have not vested.</w:t>
      </w:r>
    </w:p>
    <w:p>
      <w:pPr>
        <w:ind w:left="269" w:hanging="269"/>
        <w:spacing w:after="0" w:line="237" w:lineRule="auto"/>
        <w:tabs>
          <w:tab w:leader="none" w:pos="269"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were acquired pursuant to a restricted stock award and vest in 24 equal monthly installments beginning on January 20, 2020, subject to continued service to the Company.</w:t>
      </w:r>
    </w:p>
    <w:p>
      <w:pPr>
        <w:ind w:left="269" w:hanging="269"/>
        <w:spacing w:after="0" w:line="237" w:lineRule="auto"/>
        <w:tabs>
          <w:tab w:leader="none" w:pos="269"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were acquired pursuant to a restricted stock award and vest in 26 equal monthly installments beginning on January 31, 2020, subject to continued service to the Company.</w:t>
      </w:r>
    </w:p>
    <w:p>
      <w:pPr>
        <w:ind w:left="269" w:right="180" w:hanging="269"/>
        <w:spacing w:after="0" w:line="247" w:lineRule="auto"/>
        <w:tabs>
          <w:tab w:leader="none" w:pos="263"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spacing w:after="0" w:line="1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Employment Arrangements with Our Named Executive Officers</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Each of our named executive officers has executed our standard form of confidential information, invention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135</w:t>
      </w:r>
    </w:p>
    <w:p>
      <w:pPr>
        <w:sectPr>
          <w:pgSz w:w="11900" w:h="16838" w:orient="portrait"/>
          <w:cols w:equalWidth="0" w:num="1">
            <w:col w:w="11269"/>
          </w:cols>
          <w:pgMar w:left="311" w:top="121" w:right="319" w:bottom="1440" w:gutter="0" w:footer="0" w:header="0"/>
          <w:type w:val="continuous"/>
        </w:sectPr>
      </w:pPr>
    </w:p>
    <w:bookmarkStart w:id="138" w:name="page139"/>
    <w:bookmarkEnd w:id="13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Dr. Omid Farokhzad</w:t>
      </w:r>
    </w:p>
    <w:p>
      <w:pPr>
        <w:spacing w:after="0" w:line="150" w:lineRule="exact"/>
        <w:rPr>
          <w:sz w:val="20"/>
          <w:szCs w:val="20"/>
          <w:color w:val="auto"/>
        </w:rPr>
      </w:pPr>
    </w:p>
    <w:p>
      <w:pPr>
        <w:ind w:right="60" w:firstLine="273"/>
        <w:spacing w:after="0" w:line="258" w:lineRule="auto"/>
        <w:rPr>
          <w:sz w:val="20"/>
          <w:szCs w:val="20"/>
          <w:color w:val="auto"/>
        </w:rPr>
      </w:pPr>
      <w:r>
        <w:rPr>
          <w:rFonts w:ascii="Times New Roman" w:cs="Times New Roman" w:eastAsia="Times New Roman" w:hAnsi="Times New Roman"/>
          <w:sz w:val="15"/>
          <w:szCs w:val="15"/>
          <w:color w:val="auto"/>
        </w:rPr>
        <w:t>Prior to the completion of this offering, we intend to enter into a confirmatory employment letter with Dr. Farokhzad, our chief executive officer, which employment letter will be effective as of the day before the effective date of our registration statement of which this prospectus forms a part. The confirmatory employment letter will have no specific term and will provide that Dr. Farokhzad is an at-will employee. Dr. Farokhzad’s current annual base salary is $426,500 and he is eligible for an annual target cash incentive bonus for our fiscal year 2020 equal to 50% of his annual base salary. Provided Dr. Farokhzad remains employed by us through the effective date of this offering, his annual base salary will be immediately increased to $510,000 and his annual target cash incentive bonus for both 2020 and 2021 will be increased to 65% of his annual base salary. The employment letter will continue to provide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Change in Control and Severance Agreement</w:t>
      </w:r>
    </w:p>
    <w:p>
      <w:pPr>
        <w:spacing w:after="0" w:line="150" w:lineRule="exact"/>
        <w:rPr>
          <w:sz w:val="20"/>
          <w:szCs w:val="20"/>
          <w:color w:val="auto"/>
        </w:rPr>
      </w:pPr>
    </w:p>
    <w:p>
      <w:pPr>
        <w:ind w:right="140" w:firstLine="273"/>
        <w:spacing w:after="0" w:line="269" w:lineRule="auto"/>
        <w:rPr>
          <w:sz w:val="20"/>
          <w:szCs w:val="20"/>
          <w:color w:val="auto"/>
        </w:rPr>
      </w:pPr>
      <w:r>
        <w:rPr>
          <w:rFonts w:ascii="Times New Roman" w:cs="Times New Roman" w:eastAsia="Times New Roman" w:hAnsi="Times New Roman"/>
          <w:sz w:val="15"/>
          <w:szCs w:val="15"/>
          <w:color w:val="auto"/>
        </w:rPr>
        <w:t>Prior to the completion of this offering, we expect to enter into a change in control and severance agreement (the Severance Agreement) with Dr. Farokhzad, which Severance Agreement would provide for certain severance and change in control benefits as described below. The Severance Agreement will be effective as of the day before the effective date of our registration statement of which this prospectus forms a part.</w:t>
      </w:r>
    </w:p>
    <w:p>
      <w:pPr>
        <w:spacing w:after="0" w:line="101" w:lineRule="exact"/>
        <w:rPr>
          <w:sz w:val="20"/>
          <w:szCs w:val="20"/>
          <w:color w:val="auto"/>
        </w:rPr>
      </w:pPr>
    </w:p>
    <w:p>
      <w:pPr>
        <w:ind w:right="80" w:firstLine="273"/>
        <w:spacing w:after="0" w:line="264" w:lineRule="auto"/>
        <w:rPr>
          <w:sz w:val="20"/>
          <w:szCs w:val="20"/>
          <w:color w:val="auto"/>
        </w:rPr>
      </w:pPr>
      <w:r>
        <w:rPr>
          <w:rFonts w:ascii="Times New Roman" w:cs="Times New Roman" w:eastAsia="Times New Roman" w:hAnsi="Times New Roman"/>
          <w:sz w:val="15"/>
          <w:szCs w:val="15"/>
          <w:color w:val="auto"/>
        </w:rPr>
        <w:t>If Dr. Farokhzad’s employment is terminated outside the period beginning on the date that is three months prior to the date of a change in control and ending on the date that is twelve months following such change in control (the Change in Control Period) either (1) by the Company without “cause” (excluding by reason of death or disability) or (2) by Dr. Farokhzad as a “good reason termination” (as such terms are defined in and the Severance Agreement), Dr. Farokhzad will receive the following benefits if he timely signs and does not revoke a release of claims in our favor:</w:t>
      </w:r>
    </w:p>
    <w:p>
      <w:pPr>
        <w:spacing w:after="0" w:line="104" w:lineRule="exact"/>
        <w:rPr>
          <w:sz w:val="20"/>
          <w:szCs w:val="20"/>
          <w:color w:val="auto"/>
        </w:rPr>
      </w:pPr>
    </w:p>
    <w:p>
      <w:pPr>
        <w:ind w:left="540" w:right="40" w:hanging="277"/>
        <w:spacing w:after="0" w:line="286" w:lineRule="auto"/>
        <w:tabs>
          <w:tab w:leader="none" w:pos="536"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88" w:lineRule="exact"/>
        <w:rPr>
          <w:rFonts w:ascii="Times New Roman" w:cs="Times New Roman" w:eastAsia="Times New Roman" w:hAnsi="Times New Roman"/>
          <w:sz w:val="15"/>
          <w:szCs w:val="15"/>
          <w:color w:val="auto"/>
        </w:rPr>
      </w:pPr>
    </w:p>
    <w:p>
      <w:pPr>
        <w:ind w:left="540" w:right="180" w:hanging="277"/>
        <w:spacing w:after="0" w:line="286" w:lineRule="auto"/>
        <w:tabs>
          <w:tab w:leader="none" w:pos="536"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lump sum cash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88" w:lineRule="exact"/>
        <w:rPr>
          <w:rFonts w:ascii="Times New Roman" w:cs="Times New Roman" w:eastAsia="Times New Roman" w:hAnsi="Times New Roman"/>
          <w:sz w:val="15"/>
          <w:szCs w:val="15"/>
          <w:color w:val="auto"/>
        </w:rPr>
      </w:pPr>
    </w:p>
    <w:p>
      <w:pPr>
        <w:ind w:left="540" w:right="160" w:hanging="277"/>
        <w:spacing w:after="0" w:line="269" w:lineRule="auto"/>
        <w:tabs>
          <w:tab w:leader="none" w:pos="536"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Dr. Farokhzad and his eligible dependents have qualifying health care at the time of such termination, then either reimbursements for or direct payments of payment of premiums for coverage under the Consolidated Omnibus Budget Reconciliation Act of 1985, as amended (COBRA), for Dr. Farokhzad and his eligible dependents, if any, for up to 12 months; and</w:t>
      </w:r>
    </w:p>
    <w:p>
      <w:pPr>
        <w:spacing w:after="0" w:line="101" w:lineRule="exact"/>
        <w:rPr>
          <w:rFonts w:ascii="Times New Roman" w:cs="Times New Roman" w:eastAsia="Times New Roman" w:hAnsi="Times New Roman"/>
          <w:sz w:val="15"/>
          <w:szCs w:val="15"/>
          <w:color w:val="auto"/>
        </w:rPr>
      </w:pPr>
    </w:p>
    <w:p>
      <w:pPr>
        <w:ind w:left="540" w:hanging="277"/>
        <w:spacing w:after="0" w:line="261" w:lineRule="auto"/>
        <w:tabs>
          <w:tab w:leader="none" w:pos="536"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only, if greater, 100% acceleration of the number of shares that are otherwise scheduled to vest if Dr. Farokhzad remained employed by the Company (or any parent or subsidiary of the Company) through the one year anniversary of his termination.</w:t>
      </w:r>
    </w:p>
    <w:p>
      <w:pPr>
        <w:spacing w:after="0" w:line="107" w:lineRule="exact"/>
        <w:rPr>
          <w:sz w:val="20"/>
          <w:szCs w:val="20"/>
          <w:color w:val="auto"/>
        </w:rPr>
      </w:pPr>
    </w:p>
    <w:p>
      <w:pPr>
        <w:ind w:right="260" w:firstLine="273"/>
        <w:spacing w:after="0" w:line="286" w:lineRule="auto"/>
        <w:rPr>
          <w:sz w:val="20"/>
          <w:szCs w:val="20"/>
          <w:color w:val="auto"/>
        </w:rPr>
      </w:pPr>
      <w:r>
        <w:rPr>
          <w:rFonts w:ascii="Times New Roman" w:cs="Times New Roman" w:eastAsia="Times New Roman" w:hAnsi="Times New Roman"/>
          <w:sz w:val="15"/>
          <w:szCs w:val="15"/>
          <w:color w:val="auto"/>
        </w:rPr>
        <w:t>If, during the Change in Control Period, Dr. Farokhzad’s employment with the Company is terminated either (1) by the Company without cause (excluding by reason of death or disability) or (2) by Dr. Farokhzad as a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136</w:t>
      </w:r>
    </w:p>
    <w:p>
      <w:pPr>
        <w:sectPr>
          <w:pgSz w:w="11900" w:h="16838" w:orient="portrait"/>
          <w:cols w:equalWidth="0" w:num="1">
            <w:col w:w="11240"/>
          </w:cols>
          <w:pgMar w:left="320" w:top="121" w:right="339" w:bottom="1440" w:gutter="0" w:footer="0" w:header="0"/>
        </w:sectPr>
      </w:pPr>
    </w:p>
    <w:bookmarkStart w:id="139" w:name="page140"/>
    <w:bookmarkEnd w:id="13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termination, Dr. Farokhzad will receive the following benefits if he timely signs and does not revoke a separation agreement and release of claims in our favor:</w:t>
      </w:r>
    </w:p>
    <w:p>
      <w:pPr>
        <w:spacing w:after="0" w:line="146" w:lineRule="exact"/>
        <w:rPr>
          <w:sz w:val="20"/>
          <w:szCs w:val="20"/>
          <w:color w:val="auto"/>
        </w:rPr>
      </w:pPr>
    </w:p>
    <w:p>
      <w:pPr>
        <w:jc w:val="both"/>
        <w:ind w:left="540" w:right="40" w:hanging="277"/>
        <w:spacing w:after="0" w:line="286" w:lineRule="auto"/>
        <w:tabs>
          <w:tab w:leader="none" w:pos="53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continuing payments of Dr. Farokhzad’s base salary for a period of 18 months following the date of such termination (or if such termination is a good reason termination by Dr. Farokhzad based on a material reduction in base salary, then as in effect immediately prior to the reduction)(or, if higher, as in effect immediately before the change in control);</w:t>
      </w:r>
    </w:p>
    <w:p>
      <w:pPr>
        <w:spacing w:after="0" w:line="88" w:lineRule="exact"/>
        <w:rPr>
          <w:rFonts w:ascii="Times New Roman" w:cs="Times New Roman" w:eastAsia="Times New Roman" w:hAnsi="Times New Roman"/>
          <w:sz w:val="15"/>
          <w:szCs w:val="15"/>
          <w:color w:val="auto"/>
        </w:rPr>
      </w:pPr>
    </w:p>
    <w:p>
      <w:pPr>
        <w:ind w:left="540" w:right="160" w:hanging="277"/>
        <w:spacing w:after="0" w:line="286" w:lineRule="auto"/>
        <w:tabs>
          <w:tab w:leader="none" w:pos="53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lump sum cash equal to 150% of Dr. Farokhzad’s annualized target bonus as in effect for the performance period in which such termination occurs, or, if greater, as in effect for the performance period in which a change in control occurs;</w:t>
      </w:r>
    </w:p>
    <w:p>
      <w:pPr>
        <w:spacing w:after="0" w:line="88" w:lineRule="exact"/>
        <w:rPr>
          <w:rFonts w:ascii="Times New Roman" w:cs="Times New Roman" w:eastAsia="Times New Roman" w:hAnsi="Times New Roman"/>
          <w:sz w:val="15"/>
          <w:szCs w:val="15"/>
          <w:color w:val="auto"/>
        </w:rPr>
      </w:pPr>
    </w:p>
    <w:p>
      <w:pPr>
        <w:ind w:left="540" w:right="440" w:hanging="277"/>
        <w:spacing w:after="0" w:line="286" w:lineRule="auto"/>
        <w:tabs>
          <w:tab w:leader="none" w:pos="53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acceleration of 100% of the shares subject to Dr. Farokhzad’s outstanding time-based equity awards.</w:t>
      </w:r>
    </w:p>
    <w:p>
      <w:pPr>
        <w:spacing w:after="0" w:line="146" w:lineRule="exact"/>
        <w:rPr>
          <w:sz w:val="20"/>
          <w:szCs w:val="20"/>
          <w:color w:val="auto"/>
        </w:rPr>
      </w:pPr>
    </w:p>
    <w:p>
      <w:pPr>
        <w:ind w:right="440" w:firstLine="273"/>
        <w:spacing w:after="0" w:line="269" w:lineRule="auto"/>
        <w:rPr>
          <w:sz w:val="20"/>
          <w:szCs w:val="20"/>
          <w:color w:val="auto"/>
        </w:rPr>
      </w:pPr>
      <w:r>
        <w:rPr>
          <w:rFonts w:ascii="Times New Roman" w:cs="Times New Roman" w:eastAsia="Times New Roman" w:hAnsi="Times New Roman"/>
          <w:sz w:val="15"/>
          <w:szCs w:val="15"/>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101" w:lineRule="exact"/>
        <w:rPr>
          <w:sz w:val="20"/>
          <w:szCs w:val="20"/>
          <w:color w:val="auto"/>
        </w:rPr>
      </w:pPr>
    </w:p>
    <w:p>
      <w:pPr>
        <w:ind w:right="400" w:firstLine="273"/>
        <w:spacing w:after="0" w:line="269" w:lineRule="auto"/>
        <w:rPr>
          <w:sz w:val="20"/>
          <w:szCs w:val="20"/>
          <w:color w:val="auto"/>
        </w:rPr>
      </w:pPr>
      <w:r>
        <w:rPr>
          <w:rFonts w:ascii="Times New Roman" w:cs="Times New Roman" w:eastAsia="Times New Roman" w:hAnsi="Times New Roman"/>
          <w:sz w:val="15"/>
          <w:szCs w:val="15"/>
          <w:color w:val="auto"/>
        </w:rPr>
        <w:t>If Dr. Farokhzad begins employment or enters into a consultant entity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101" w:lineRule="exact"/>
        <w:rPr>
          <w:sz w:val="20"/>
          <w:szCs w:val="20"/>
          <w:color w:val="auto"/>
        </w:rPr>
      </w:pPr>
    </w:p>
    <w:p>
      <w:pPr>
        <w:ind w:right="480" w:firstLine="273"/>
        <w:spacing w:after="0" w:line="269" w:lineRule="auto"/>
        <w:rPr>
          <w:sz w:val="20"/>
          <w:szCs w:val="20"/>
          <w:color w:val="auto"/>
        </w:rPr>
      </w:pPr>
      <w:r>
        <w:rPr>
          <w:rFonts w:ascii="Times New Roman" w:cs="Times New Roman" w:eastAsia="Times New Roman" w:hAnsi="Times New Roman"/>
          <w:sz w:val="15"/>
          <w:szCs w:val="15"/>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the effective date of the registration statement of which this prospectus forms a part.</w:t>
      </w:r>
    </w:p>
    <w:p>
      <w:pPr>
        <w:spacing w:after="0" w:line="10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04"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04"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continues to serve as executive chair of the Company with a base salary and target bonus opportunity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137</w:t>
      </w:r>
    </w:p>
    <w:p>
      <w:pPr>
        <w:sectPr>
          <w:pgSz w:w="11900" w:h="16838" w:orient="portrait"/>
          <w:cols w:equalWidth="0" w:num="1">
            <w:col w:w="11220"/>
          </w:cols>
          <w:pgMar w:left="320" w:top="121" w:right="359" w:bottom="1440" w:gutter="0" w:footer="0" w:header="0"/>
        </w:sectPr>
      </w:pPr>
    </w:p>
    <w:bookmarkStart w:id="140" w:name="page141"/>
    <w:bookmarkEnd w:id="14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servicing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 Benefit and Stock Plans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Executive Incentive Compensation Plan</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Prior to the completion of this offering, our board of directors intends to adopt our Executive Incentive Compensation Plan. Our Executive Incentive Compensation Plan will be administered by our board of directors or a committee appointed by our board of directors. Unless and until our board of directors determines otherwise, our compensation committee will administer our Executive Incentive Compensation Plan. Our Executive Incentive Compensation Plan will allow us to grant incentive awards, generally payable in cash, to employees selected by the administrator, including our named executive officers, based upon any performance goals that may be established by the administrator. The below is a summary of the terms currently expected to be implemented under the Executive Incentive Compensation Plan, which are subject to change.</w:t>
      </w:r>
    </w:p>
    <w:p>
      <w:pPr>
        <w:spacing w:after="0" w:line="107" w:lineRule="exact"/>
        <w:rPr>
          <w:sz w:val="20"/>
          <w:szCs w:val="20"/>
          <w:color w:val="auto"/>
        </w:rPr>
      </w:pPr>
    </w:p>
    <w:p>
      <w:pPr>
        <w:ind w:right="40" w:firstLine="273"/>
        <w:spacing w:after="0" w:line="255" w:lineRule="auto"/>
        <w:rPr>
          <w:sz w:val="20"/>
          <w:szCs w:val="20"/>
          <w:color w:val="auto"/>
        </w:rPr>
      </w:pPr>
      <w:r>
        <w:rPr>
          <w:rFonts w:ascii="Times New Roman" w:cs="Times New Roman" w:eastAsia="Times New Roman" w:hAnsi="Times New Roman"/>
          <w:sz w:val="15"/>
          <w:szCs w:val="15"/>
          <w:color w:val="auto"/>
        </w:rPr>
        <w:t>Under our Executive Incentive Compensation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18"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04" w:lineRule="exact"/>
        <w:rPr>
          <w:sz w:val="20"/>
          <w:szCs w:val="20"/>
          <w:color w:val="auto"/>
        </w:rPr>
      </w:pPr>
    </w:p>
    <w:p>
      <w:pPr>
        <w:jc w:val="both"/>
        <w:ind w:right="220" w:firstLine="273"/>
        <w:spacing w:after="0" w:line="269" w:lineRule="auto"/>
        <w:rPr>
          <w:sz w:val="20"/>
          <w:szCs w:val="20"/>
          <w:color w:val="auto"/>
        </w:rPr>
      </w:pPr>
      <w:r>
        <w:rPr>
          <w:rFonts w:ascii="Times New Roman" w:cs="Times New Roman" w:eastAsia="Times New Roman" w:hAnsi="Times New Roman"/>
          <w:sz w:val="15"/>
          <w:szCs w:val="15"/>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138</w:t>
      </w:r>
    </w:p>
    <w:p>
      <w:pPr>
        <w:sectPr>
          <w:pgSz w:w="11900" w:h="16838" w:orient="portrait"/>
          <w:cols w:equalWidth="0" w:num="1">
            <w:col w:w="11260"/>
          </w:cols>
          <w:pgMar w:left="320" w:top="121" w:right="319" w:bottom="1440" w:gutter="0" w:footer="0" w:header="0"/>
        </w:sectPr>
      </w:pPr>
    </w:p>
    <w:bookmarkStart w:id="141" w:name="page142"/>
    <w:bookmarkEnd w:id="14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5"/>
          <w:szCs w:val="15"/>
          <w:color w:val="auto"/>
        </w:rPr>
        <w:t>and conditions, including vesting, as determined by the administrator. Payment of awards occurs as soon as administratively practicable after they are earned, but no later than the dates set forth in our Executive Incentive Compensation Plan.</w:t>
      </w:r>
    </w:p>
    <w:p>
      <w:pPr>
        <w:spacing w:after="0" w:line="89" w:lineRule="exact"/>
        <w:rPr>
          <w:sz w:val="20"/>
          <w:szCs w:val="20"/>
          <w:color w:val="auto"/>
        </w:rPr>
      </w:pPr>
    </w:p>
    <w:p>
      <w:pPr>
        <w:ind w:right="80" w:firstLine="273"/>
        <w:spacing w:after="0" w:line="259" w:lineRule="auto"/>
        <w:rPr>
          <w:sz w:val="20"/>
          <w:szCs w:val="20"/>
          <w:color w:val="auto"/>
        </w:rPr>
      </w:pPr>
      <w:r>
        <w:rPr>
          <w:rFonts w:ascii="Times New Roman" w:cs="Times New Roman" w:eastAsia="Times New Roman" w:hAnsi="Times New Roman"/>
          <w:sz w:val="15"/>
          <w:szCs w:val="15"/>
          <w:color w:val="auto"/>
        </w:rPr>
        <w:t>Awards under our Executive Incentive Compensation Plan are subject to any clawback policy we are required to adopt from time to time to comply with the listing standards of any national securities exchange or association on which our securities are listed or as is otherwise required by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10" w:lineRule="exact"/>
        <w:rPr>
          <w:sz w:val="20"/>
          <w:szCs w:val="20"/>
          <w:color w:val="auto"/>
        </w:rPr>
      </w:pPr>
    </w:p>
    <w:p>
      <w:pPr>
        <w:ind w:right="40" w:firstLine="273"/>
        <w:spacing w:after="0" w:line="269" w:lineRule="auto"/>
        <w:rPr>
          <w:sz w:val="20"/>
          <w:szCs w:val="20"/>
          <w:color w:val="auto"/>
        </w:rPr>
      </w:pPr>
      <w:r>
        <w:rPr>
          <w:rFonts w:ascii="Times New Roman" w:cs="Times New Roman" w:eastAsia="Times New Roman" w:hAnsi="Times New Roman"/>
          <w:sz w:val="15"/>
          <w:szCs w:val="15"/>
          <w:color w:val="auto"/>
        </w:rPr>
        <w:t>The administrator of our Executive Incentive Compensation Plan will have the authority to amend, alter, suspend or terminate our Executive Incentive Compensation Plan, provided such action does not materially alter or materially impair the existing rights or obligations of any participant with respect to any earned awards. Our Executive Incentive Compensation Plan will remain in effect until terminated in accordance with its terms.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2020 Equity Incentive Plan</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Prior to the completion of this offering, our board of directors intends to adopt, and we expect our stockholders will approve, our 2020 Equity Incentive Plan or, the 2020 Plan. We expect that the 2020 Plan will be effective on the business day immediately before the effective date of our registration statement of which this prospectus forms a part. Our 2020 Plan will provide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The below is a summary of the terms currently expected to be implemented, which are subject to change.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Authorized Shares</w:t>
      </w:r>
    </w:p>
    <w:p>
      <w:pPr>
        <w:spacing w:after="0" w:line="148" w:lineRule="exact"/>
        <w:rPr>
          <w:sz w:val="20"/>
          <w:szCs w:val="20"/>
          <w:color w:val="auto"/>
        </w:rPr>
      </w:pPr>
    </w:p>
    <w:p>
      <w:pPr>
        <w:ind w:right="20" w:firstLine="273"/>
        <w:spacing w:after="0" w:line="256" w:lineRule="auto"/>
        <w:rPr>
          <w:sz w:val="20"/>
          <w:szCs w:val="20"/>
          <w:color w:val="auto"/>
        </w:rPr>
      </w:pPr>
      <w:r>
        <w:rPr>
          <w:rFonts w:ascii="Times New Roman" w:cs="Times New Roman" w:eastAsia="Times New Roman" w:hAnsi="Times New Roman"/>
          <w:sz w:val="15"/>
          <w:szCs w:val="15"/>
          <w:color w:val="auto"/>
        </w:rPr>
        <w:t>A total of shares of our Class A common stock will be reserved for issuance pursuant to our 2020 Plan. In addition, the shares reserved for issuance under our 2020 Plan will include (i) a number of shares of our Class A common stock equal to the number of shares of all classes of our common stock subject to awards granted under our 2020 RSU Equity Incentive Plan or 2017 Stock Incentive Plan (each, a Prior Plan) that, on or after the date the applicable Prior Plan is terminated, are terminated, canceled, expire or otherwise terminate without having been exercised in full, are tendered to or withheld by us for payment of an exercise price or for tax withholding obligations, or are forfeited to or repurchased by us due to failure to vest, and (ii) a number of shares of our Class A common stock equal to the number of shares of all classes of our common stock that, as of immediately prior to the termination of each Prior Plan, have been reserved but not issued pursuant to awards granted under each Prior Plan and are not subject to any awards under each Prior Plan (provided that the</w:t>
      </w:r>
    </w:p>
    <w:p>
      <w:pPr>
        <w:spacing w:after="0" w:line="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5"/>
          <w:szCs w:val="15"/>
          <w:color w:val="auto"/>
        </w:rPr>
        <w:t>maximum number of shares that may be added to the 2020 Plan pursuant to this sentence is shares). The number of shares available for issuance under our 2020 Plan also will include an annual increase, or the evergreen feature, on the first day of each of our fiscal years, beginning with our fiscal year 2021, equal to the least of:</w:t>
      </w:r>
    </w:p>
    <w:p>
      <w:pPr>
        <w:spacing w:after="0" w:line="104" w:lineRule="exact"/>
        <w:rPr>
          <w:sz w:val="20"/>
          <w:szCs w:val="20"/>
          <w:color w:val="auto"/>
        </w:rPr>
      </w:pPr>
    </w:p>
    <w:p>
      <w:pPr>
        <w:ind w:left="1140" w:hanging="877"/>
        <w:spacing w:after="0"/>
        <w:tabs>
          <w:tab w:leader="none" w:pos="11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w:t>
      </w:r>
    </w:p>
    <w:p>
      <w:pPr>
        <w:spacing w:after="0" w:line="146" w:lineRule="exact"/>
        <w:rPr>
          <w:sz w:val="20"/>
          <w:szCs w:val="20"/>
          <w:color w:val="auto"/>
        </w:rPr>
      </w:pPr>
    </w:p>
    <w:p>
      <w:pPr>
        <w:ind w:left="260"/>
        <w:spacing w:after="0"/>
        <w:tabs>
          <w:tab w:leader="none" w:pos="520" w:val="left"/>
          <w:tab w:leader="none" w:pos="2440" w:val="left"/>
        </w:tabs>
        <w:rPr>
          <w:sz w:val="20"/>
          <w:szCs w:val="20"/>
          <w:color w:val="auto"/>
        </w:rPr>
      </w:pPr>
      <w:r>
        <w:rPr>
          <w:rFonts w:ascii="Times New Roman" w:cs="Times New Roman" w:eastAsia="Times New Roman" w:hAnsi="Times New Roman"/>
          <w:sz w:val="15"/>
          <w:szCs w:val="15"/>
          <w:color w:val="auto"/>
        </w:rPr>
        <w:t>•</w:t>
        <w:tab/>
        <w:t>a number of shares equal to</w:t>
      </w:r>
      <w:r>
        <w:rPr>
          <w:sz w:val="20"/>
          <w:szCs w:val="20"/>
          <w:color w:val="auto"/>
        </w:rPr>
        <w:tab/>
      </w:r>
      <w:r>
        <w:rPr>
          <w:rFonts w:ascii="Times New Roman" w:cs="Times New Roman" w:eastAsia="Times New Roman" w:hAnsi="Times New Roman"/>
          <w:sz w:val="15"/>
          <w:szCs w:val="15"/>
          <w:color w:val="auto"/>
        </w:rPr>
        <w:t>% of the outstanding shares of all classes of our common stock as of the last day of the immediately preceding fiscal year; or</w:t>
      </w:r>
    </w:p>
    <w:p>
      <w:pPr>
        <w:spacing w:after="0" w:line="146" w:lineRule="exact"/>
        <w:rPr>
          <w:sz w:val="20"/>
          <w:szCs w:val="20"/>
          <w:color w:val="auto"/>
        </w:rPr>
      </w:pPr>
    </w:p>
    <w:p>
      <w:pPr>
        <w:ind w:left="540" w:hanging="277"/>
        <w:spacing w:after="0"/>
        <w:tabs>
          <w:tab w:leader="none" w:pos="5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number of shares as our board of directors or its designated committee may determine no later than the last day of our immediately preceding fiscal year.</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17" w:lineRule="exact"/>
        <w:rPr>
          <w:rFonts w:ascii="Times New Roman" w:cs="Times New Roman" w:eastAsia="Times New Roman" w:hAnsi="Times New Roman"/>
          <w:sz w:val="15"/>
          <w:szCs w:val="15"/>
          <w:color w:val="auto"/>
        </w:rPr>
      </w:pPr>
    </w:p>
    <w:p>
      <w:pPr>
        <w:ind w:left="5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139</w:t>
      </w:r>
    </w:p>
    <w:p>
      <w:pPr>
        <w:sectPr>
          <w:pgSz w:w="11900" w:h="16838" w:orient="portrait"/>
          <w:cols w:equalWidth="0" w:num="1">
            <w:col w:w="11240"/>
          </w:cols>
          <w:pgMar w:left="320" w:top="121" w:right="339" w:bottom="1440" w:gutter="0" w:footer="0" w:header="0"/>
        </w:sectPr>
      </w:pPr>
    </w:p>
    <w:bookmarkStart w:id="142" w:name="page143"/>
    <w:bookmarkEnd w:id="14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273"/>
        <w:spacing w:after="0" w:line="256" w:lineRule="auto"/>
        <w:rPr>
          <w:sz w:val="20"/>
          <w:szCs w:val="20"/>
          <w:color w:val="auto"/>
        </w:rPr>
      </w:pPr>
      <w:r>
        <w:rPr>
          <w:rFonts w:ascii="Times New Roman" w:cs="Times New Roman" w:eastAsia="Times New Roman" w:hAnsi="Times New Roman"/>
          <w:sz w:val="15"/>
          <w:szCs w:val="15"/>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Plan Administration</w:t>
      </w:r>
    </w:p>
    <w:p>
      <w:pPr>
        <w:spacing w:after="0" w:line="148" w:lineRule="exact"/>
        <w:rPr>
          <w:sz w:val="20"/>
          <w:szCs w:val="20"/>
          <w:color w:val="auto"/>
        </w:rPr>
      </w:pPr>
    </w:p>
    <w:p>
      <w:pPr>
        <w:ind w:right="20" w:firstLine="273"/>
        <w:spacing w:after="0" w:line="255" w:lineRule="auto"/>
        <w:rPr>
          <w:sz w:val="20"/>
          <w:szCs w:val="20"/>
          <w:color w:val="auto"/>
        </w:rPr>
      </w:pPr>
      <w:r>
        <w:rPr>
          <w:rFonts w:ascii="Times New Roman" w:cs="Times New Roman" w:eastAsia="Times New Roman" w:hAnsi="Times New Roman"/>
          <w:sz w:val="15"/>
          <w:szCs w:val="15"/>
          <w:color w:val="auto"/>
        </w:rPr>
        <w:t>Our board of directors or one or more committees appointed by our board of directors will have authority to administer our 2020 Plan. We expect that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 the service providers to whom awards may be granted, determine the number of shares or dollar amounts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Stock Options</w:t>
      </w:r>
    </w:p>
    <w:p>
      <w:pPr>
        <w:spacing w:after="0" w:line="148"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Stock options may be granted under our 2020 Plan. The exercise price of options granted under our 2020 Plan generally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140</w:t>
      </w:r>
    </w:p>
    <w:p>
      <w:pPr>
        <w:sectPr>
          <w:pgSz w:w="11900" w:h="16838" w:orient="portrait"/>
          <w:cols w:equalWidth="0" w:num="1">
            <w:col w:w="11260"/>
          </w:cols>
          <w:pgMar w:left="320" w:top="121" w:right="319" w:bottom="1440" w:gutter="0" w:footer="0" w:header="0"/>
        </w:sectPr>
      </w:pPr>
    </w:p>
    <w:bookmarkStart w:id="143" w:name="page144"/>
    <w:bookmarkEnd w:id="14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5"/>
          <w:szCs w:val="15"/>
          <w:color w:val="auto"/>
        </w:rPr>
        <w:t>termination of service, except that in the event a participant’s service is terminated by the Company for Cause (as defined in our 2020 Plan), the option will terminate immediately. An option, however, may not be exercised later than the expiration of its term. Subject to the provisions of our 2020 Plan, the administrator determines the terms of options.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Stock Appreciation Rights</w:t>
      </w:r>
    </w:p>
    <w:p>
      <w:pPr>
        <w:spacing w:after="0" w:line="148" w:lineRule="exact"/>
        <w:rPr>
          <w:sz w:val="20"/>
          <w:szCs w:val="20"/>
          <w:color w:val="auto"/>
        </w:rPr>
      </w:pPr>
    </w:p>
    <w:p>
      <w:pPr>
        <w:ind w:right="20" w:firstLine="273"/>
        <w:spacing w:after="0" w:line="257" w:lineRule="auto"/>
        <w:rPr>
          <w:sz w:val="20"/>
          <w:szCs w:val="20"/>
          <w:color w:val="auto"/>
        </w:rPr>
      </w:pPr>
      <w:r>
        <w:rPr>
          <w:rFonts w:ascii="Times New Roman" w:cs="Times New Roman" w:eastAsia="Times New Roman" w:hAnsi="Times New Roman"/>
          <w:sz w:val="15"/>
          <w:szCs w:val="15"/>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Restricted Stock</w:t>
      </w:r>
    </w:p>
    <w:p>
      <w:pPr>
        <w:spacing w:after="0" w:line="148"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Restricted stock may be granted under our 2020 Plan. Restricted stock awards (RSAs) are grants of shares of our Class A common stock that may have vesting requirements under any such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our right of repurchase or forfeiture.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Restricted Stock Units</w:t>
      </w:r>
    </w:p>
    <w:p>
      <w:pPr>
        <w:spacing w:after="0" w:line="148" w:lineRule="exact"/>
        <w:rPr>
          <w:sz w:val="20"/>
          <w:szCs w:val="20"/>
          <w:color w:val="auto"/>
        </w:rPr>
      </w:pPr>
    </w:p>
    <w:p>
      <w:pPr>
        <w:ind w:right="20" w:firstLine="273"/>
        <w:spacing w:after="0" w:line="259" w:lineRule="auto"/>
        <w:rPr>
          <w:sz w:val="20"/>
          <w:szCs w:val="20"/>
          <w:color w:val="auto"/>
        </w:rPr>
      </w:pPr>
      <w:r>
        <w:rPr>
          <w:rFonts w:ascii="Times New Roman" w:cs="Times New Roman" w:eastAsia="Times New Roman" w:hAnsi="Times New Roman"/>
          <w:sz w:val="15"/>
          <w:szCs w:val="15"/>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Performance Awards</w:t>
      </w:r>
    </w:p>
    <w:p>
      <w:pPr>
        <w:spacing w:after="0" w:line="148"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141</w:t>
      </w:r>
    </w:p>
    <w:p>
      <w:pPr>
        <w:sectPr>
          <w:pgSz w:w="11900" w:h="16838" w:orient="portrait"/>
          <w:cols w:equalWidth="0" w:num="1">
            <w:col w:w="11260"/>
          </w:cols>
          <w:pgMar w:left="320" w:top="121" w:right="319" w:bottom="1440" w:gutter="0" w:footer="0" w:header="0"/>
        </w:sectPr>
      </w:pPr>
    </w:p>
    <w:bookmarkStart w:id="144" w:name="page145"/>
    <w:bookmarkEnd w:id="14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5"/>
          <w:szCs w:val="15"/>
          <w:color w:val="auto"/>
        </w:rPr>
        <w:t>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Non-Employee Directors</w:t>
      </w:r>
    </w:p>
    <w:p>
      <w:pPr>
        <w:spacing w:after="0" w:line="148" w:lineRule="exact"/>
        <w:rPr>
          <w:sz w:val="20"/>
          <w:szCs w:val="20"/>
          <w:color w:val="auto"/>
        </w:rPr>
      </w:pPr>
    </w:p>
    <w:p>
      <w:pPr>
        <w:jc w:val="both"/>
        <w:ind w:right="100" w:firstLine="273"/>
        <w:spacing w:after="0" w:line="259" w:lineRule="auto"/>
        <w:rPr>
          <w:sz w:val="20"/>
          <w:szCs w:val="20"/>
          <w:color w:val="auto"/>
        </w:rPr>
      </w:pPr>
      <w:r>
        <w:rPr>
          <w:rFonts w:ascii="Times New Roman" w:cs="Times New Roman" w:eastAsia="Times New Roman" w:hAnsi="Times New Roman"/>
          <w:sz w:val="15"/>
          <w:szCs w:val="15"/>
          <w:color w:val="auto"/>
        </w:rPr>
        <w:t>All outside (non-employee) directors will be eligible to receive all types of awards (except for incentive stock options) under our 2020 Plan. Prior to the completion of this offering, we intend to implement a formal Outside Director Compensation Policy pursuant to which our outside directors will be eligible to receive equity awards under our 2020 Plan. Our 2020 Plan will provide that in any given fiscal year, no outside director may be granted awards (the value of which will be based on their grant date fair value) under our 2020 Plan and be</w:t>
      </w:r>
    </w:p>
    <w:p>
      <w:pPr>
        <w:spacing w:after="0" w:line="2"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15"/>
          <w:szCs w:val="15"/>
          <w:color w:val="auto"/>
        </w:rPr>
        <w:t>provided any other compensation (including without limitation any cash retainers and fees) that in the aggregate exceed $</w:t>
      </w:r>
      <w:r>
        <w:rPr>
          <w:sz w:val="20"/>
          <w:szCs w:val="20"/>
          <w:color w:val="auto"/>
        </w:rPr>
        <w:tab/>
      </w:r>
      <w:r>
        <w:rPr>
          <w:rFonts w:ascii="Times New Roman" w:cs="Times New Roman" w:eastAsia="Times New Roman" w:hAnsi="Times New Roman"/>
          <w:sz w:val="15"/>
          <w:szCs w:val="15"/>
          <w:color w:val="auto"/>
        </w:rPr>
        <w:t>, provided that in the fiscal year of the individual’s initial</w:t>
      </w:r>
    </w:p>
    <w:p>
      <w:pPr>
        <w:spacing w:after="0" w:line="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5"/>
          <w:szCs w:val="15"/>
          <w:color w:val="auto"/>
        </w:rPr>
        <w:t>service as a non-employee director, such amount is increased to $ .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before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Non-Transferability of Awards</w:t>
      </w:r>
    </w:p>
    <w:p>
      <w:pPr>
        <w:spacing w:after="0" w:line="148" w:lineRule="exact"/>
        <w:rPr>
          <w:sz w:val="20"/>
          <w:szCs w:val="20"/>
          <w:color w:val="auto"/>
        </w:rPr>
      </w:pPr>
    </w:p>
    <w:p>
      <w:pPr>
        <w:jc w:val="both"/>
        <w:ind w:right="40" w:firstLine="273"/>
        <w:spacing w:after="0" w:line="269" w:lineRule="auto"/>
        <w:rPr>
          <w:sz w:val="20"/>
          <w:szCs w:val="20"/>
          <w:color w:val="auto"/>
        </w:rPr>
      </w:pPr>
      <w:r>
        <w:rPr>
          <w:rFonts w:ascii="Times New Roman" w:cs="Times New Roman" w:eastAsia="Times New Roman" w:hAnsi="Times New Roman"/>
          <w:sz w:val="15"/>
          <w:szCs w:val="15"/>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Certain Adjustments</w:t>
      </w:r>
    </w:p>
    <w:p>
      <w:pPr>
        <w:spacing w:after="0" w:line="148"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Dissolution or Liquidation</w:t>
      </w:r>
    </w:p>
    <w:p>
      <w:pPr>
        <w:spacing w:after="0" w:line="148" w:lineRule="exact"/>
        <w:rPr>
          <w:sz w:val="20"/>
          <w:szCs w:val="20"/>
          <w:color w:val="auto"/>
        </w:rPr>
      </w:pPr>
    </w:p>
    <w:p>
      <w:pPr>
        <w:ind w:right="620" w:firstLine="273"/>
        <w:spacing w:after="0" w:line="286" w:lineRule="auto"/>
        <w:rPr>
          <w:sz w:val="20"/>
          <w:szCs w:val="20"/>
          <w:color w:val="auto"/>
        </w:rPr>
      </w:pPr>
      <w:r>
        <w:rPr>
          <w:rFonts w:ascii="Times New Roman" w:cs="Times New Roman" w:eastAsia="Times New Roman" w:hAnsi="Times New Roman"/>
          <w:sz w:val="15"/>
          <w:szCs w:val="15"/>
          <w:color w:val="auto"/>
        </w:rPr>
        <w:t>In the event of our proposed liquidation or dissolution, the administrator will notify participants as soon as practicable and all awards will terminate immediately before the consummation of such proposed transaction.</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Merger or Change in Control</w:t>
      </w:r>
    </w:p>
    <w:p>
      <w:pPr>
        <w:spacing w:after="0" w:line="148"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07" w:lineRule="exact"/>
        <w:rPr>
          <w:sz w:val="20"/>
          <w:szCs w:val="20"/>
          <w:color w:val="auto"/>
        </w:rPr>
      </w:pPr>
    </w:p>
    <w:p>
      <w:pPr>
        <w:ind w:right="160" w:firstLine="273"/>
        <w:spacing w:after="0" w:line="286" w:lineRule="auto"/>
        <w:rPr>
          <w:sz w:val="20"/>
          <w:szCs w:val="20"/>
          <w:color w:val="auto"/>
        </w:rPr>
      </w:pPr>
      <w:r>
        <w:rPr>
          <w:rFonts w:ascii="Times New Roman" w:cs="Times New Roman" w:eastAsia="Times New Roman" w:hAnsi="Times New Roman"/>
          <w:sz w:val="15"/>
          <w:szCs w:val="15"/>
          <w:color w:val="auto"/>
        </w:rPr>
        <w:t>If a successor corporation or its parent or subsidiary does not assume or substitute an equivalent award for any outstanding award (or a portion of such award), then such award (or its applicable portion) will fully vest,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142</w:t>
      </w:r>
    </w:p>
    <w:p>
      <w:pPr>
        <w:sectPr>
          <w:pgSz w:w="11900" w:h="16838" w:orient="portrait"/>
          <w:cols w:equalWidth="0" w:num="1">
            <w:col w:w="11260"/>
          </w:cols>
          <w:pgMar w:left="320" w:top="121" w:right="319" w:bottom="1440" w:gutter="0" w:footer="0" w:header="0"/>
        </w:sectPr>
      </w:pPr>
    </w:p>
    <w:bookmarkStart w:id="145" w:name="page146"/>
    <w:bookmarkEnd w:id="14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10" w:lineRule="exact"/>
        <w:rPr>
          <w:sz w:val="20"/>
          <w:szCs w:val="20"/>
          <w:color w:val="auto"/>
        </w:rPr>
      </w:pPr>
    </w:p>
    <w:p>
      <w:pPr>
        <w:ind w:right="120" w:firstLine="273"/>
        <w:spacing w:after="0" w:line="261" w:lineRule="auto"/>
        <w:rPr>
          <w:sz w:val="20"/>
          <w:szCs w:val="20"/>
          <w:color w:val="auto"/>
        </w:rPr>
      </w:pPr>
      <w:r>
        <w:rPr>
          <w:rFonts w:ascii="Times New Roman" w:cs="Times New Roman" w:eastAsia="Times New Roman" w:hAnsi="Times New Roman"/>
          <w:sz w:val="15"/>
          <w:szCs w:val="15"/>
          <w:color w:val="auto"/>
        </w:rPr>
        <w:t>If awards granted to an outside director while such individual was an outside director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outside director.</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Clawback</w:t>
      </w:r>
    </w:p>
    <w:p>
      <w:pPr>
        <w:spacing w:after="0" w:line="148" w:lineRule="exact"/>
        <w:rPr>
          <w:sz w:val="20"/>
          <w:szCs w:val="20"/>
          <w:color w:val="auto"/>
        </w:rPr>
      </w:pPr>
    </w:p>
    <w:p>
      <w:pPr>
        <w:ind w:right="140" w:firstLine="273"/>
        <w:spacing w:after="0" w:line="261" w:lineRule="auto"/>
        <w:rPr>
          <w:sz w:val="20"/>
          <w:szCs w:val="20"/>
          <w:color w:val="auto"/>
        </w:rPr>
      </w:pPr>
      <w:r>
        <w:rPr>
          <w:rFonts w:ascii="Times New Roman" w:cs="Times New Roman" w:eastAsia="Times New Roman" w:hAnsi="Times New Roman"/>
          <w:sz w:val="15"/>
          <w:szCs w:val="15"/>
          <w:color w:val="auto"/>
        </w:rPr>
        <w:t>Awards are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all or a portion of the award and any amounts paid under the award in order to comply with any clawback policy of ours as described in the first sentence of this paragraph or with applicable laws.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Amendment; Termination</w:t>
      </w:r>
    </w:p>
    <w:p>
      <w:pPr>
        <w:spacing w:after="0" w:line="148" w:lineRule="exact"/>
        <w:rPr>
          <w:sz w:val="20"/>
          <w:szCs w:val="20"/>
          <w:color w:val="auto"/>
        </w:rPr>
      </w:pPr>
    </w:p>
    <w:p>
      <w:pPr>
        <w:jc w:val="both"/>
        <w:ind w:firstLine="273"/>
        <w:spacing w:after="0" w:line="269" w:lineRule="auto"/>
        <w:rPr>
          <w:sz w:val="20"/>
          <w:szCs w:val="20"/>
          <w:color w:val="auto"/>
        </w:rPr>
      </w:pPr>
      <w:r>
        <w:rPr>
          <w:rFonts w:ascii="Times New Roman" w:cs="Times New Roman" w:eastAsia="Times New Roman" w:hAnsi="Times New Roman"/>
          <w:sz w:val="15"/>
          <w:szCs w:val="15"/>
          <w:color w:val="auto"/>
        </w:rPr>
        <w:t>The administrator has the authority to amend, alter, suspend or terminate our 2020 Plan, provided such action does not materially impair the rights of any participant unless mutually agreed otherwise. Our 2020 Plan will remain in effect for a term of ten years from the date of adoption of the 2020 Plan by our board of directors unless terminated earlier pursuant to the terms of our 2020 Plan.</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2020 RSU Equity Incentive Plan</w:t>
      </w:r>
    </w:p>
    <w:p>
      <w:pPr>
        <w:spacing w:after="0" w:line="150" w:lineRule="exact"/>
        <w:rPr>
          <w:sz w:val="20"/>
          <w:szCs w:val="20"/>
          <w:color w:val="auto"/>
        </w:rPr>
      </w:pPr>
    </w:p>
    <w:p>
      <w:pPr>
        <w:ind w:right="40" w:firstLine="273"/>
        <w:spacing w:after="0" w:line="259" w:lineRule="auto"/>
        <w:rPr>
          <w:sz w:val="20"/>
          <w:szCs w:val="20"/>
          <w:color w:val="auto"/>
        </w:rPr>
      </w:pPr>
      <w:r>
        <w:rPr>
          <w:rFonts w:ascii="Times New Roman" w:cs="Times New Roman" w:eastAsia="Times New Roman" w:hAnsi="Times New Roman"/>
          <w:sz w:val="15"/>
          <w:szCs w:val="15"/>
          <w:color w:val="auto"/>
        </w:rPr>
        <w:t>Our 2020 RSU Equity Incentive Plan, or RSU Plan, was adopted by our board of directors in April 2020, and was most recently amended and restated in July 2020, and we expect the RSU Plan to be further amended and restated before the effectiveness of the registration statement of which this prospectus forms a part. Our stockholders last approved our 2020 Plan in August 2020. It is expected that as of one business day before the effectiveness of the registration statement of which this prospectus forms a part, our RSU Plan will be terminated and we will not grant any additional awards under our RSU Plan thereafter. However, our RSU Plan will continue to govern the terms and conditions of the outstanding awards previously granted under our RSU Plan. The below is a summary of the terms currently expected to be implemented under the upcoming amendment and restatement of the RSU Plan, which are subject to change.</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RSU Plan allows us to grant restricted stock units to employees, directors, officers and consultants of ours and any parent or subsidiary of ours.</w:t>
      </w:r>
    </w:p>
    <w:p>
      <w:pPr>
        <w:spacing w:after="0" w:line="146" w:lineRule="exact"/>
        <w:rPr>
          <w:sz w:val="20"/>
          <w:szCs w:val="20"/>
          <w:color w:val="auto"/>
        </w:rPr>
      </w:pPr>
    </w:p>
    <w:p>
      <w:pPr>
        <w:ind w:right="220" w:firstLine="273"/>
        <w:spacing w:after="0" w:line="286" w:lineRule="auto"/>
        <w:rPr>
          <w:sz w:val="20"/>
          <w:szCs w:val="20"/>
          <w:color w:val="auto"/>
        </w:rPr>
      </w:pPr>
      <w:r>
        <w:rPr>
          <w:rFonts w:ascii="Times New Roman" w:cs="Times New Roman" w:eastAsia="Times New Roman" w:hAnsi="Times New Roman"/>
          <w:sz w:val="15"/>
          <w:szCs w:val="15"/>
          <w:color w:val="auto"/>
        </w:rPr>
        <w:t>As of September 30, 2020, an aggregate of 717,319 shares of our Class A common stock is reserved for issuance under our RSU Plan. As of September 30, 2020, restricted stock unit awards covering an aggregate of 717,319 shares of our Class A common stock were outstanding under our RSU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143</w:t>
      </w:r>
    </w:p>
    <w:p>
      <w:pPr>
        <w:sectPr>
          <w:pgSz w:w="11900" w:h="16838" w:orient="portrait"/>
          <w:cols w:equalWidth="0" w:num="1">
            <w:col w:w="11240"/>
          </w:cols>
          <w:pgMar w:left="320" w:top="121" w:right="339" w:bottom="1440" w:gutter="0" w:footer="0" w:header="0"/>
        </w:sectPr>
      </w:pPr>
    </w:p>
    <w:bookmarkStart w:id="146" w:name="page147"/>
    <w:bookmarkEnd w:id="14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Plan Administration</w:t>
      </w:r>
    </w:p>
    <w:p>
      <w:pPr>
        <w:spacing w:after="0" w:line="148"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may be granted, determine the number of shares covered by each award, approve forms of award agreements for use under the RSU Plan, determine the terms and conditions of awards, construe and interpret the terms of our RSU Plan and awards granted under it, prescribe, amend and rescind rules 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Restricted Stock Units</w:t>
      </w:r>
    </w:p>
    <w:p>
      <w:pPr>
        <w:spacing w:after="0" w:line="148" w:lineRule="exact"/>
        <w:rPr>
          <w:sz w:val="20"/>
          <w:szCs w:val="20"/>
          <w:color w:val="auto"/>
        </w:rPr>
      </w:pPr>
    </w:p>
    <w:p>
      <w:pPr>
        <w:ind w:right="20" w:firstLine="273"/>
        <w:spacing w:after="0" w:line="259" w:lineRule="auto"/>
        <w:rPr>
          <w:sz w:val="20"/>
          <w:szCs w:val="20"/>
          <w:color w:val="auto"/>
        </w:rPr>
      </w:pPr>
      <w:r>
        <w:rPr>
          <w:rFonts w:ascii="Times New Roman" w:cs="Times New Roman" w:eastAsia="Times New Roman" w:hAnsi="Times New Roman"/>
          <w:sz w:val="15"/>
          <w:szCs w:val="15"/>
          <w:color w:val="auto"/>
        </w:rPr>
        <w:t>Restricted stock units may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may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Non-Transferability of Awards</w:t>
      </w:r>
    </w:p>
    <w:p>
      <w:pPr>
        <w:spacing w:after="0" w:line="148" w:lineRule="exact"/>
        <w:rPr>
          <w:sz w:val="20"/>
          <w:szCs w:val="20"/>
          <w:color w:val="auto"/>
        </w:rPr>
      </w:pPr>
    </w:p>
    <w:p>
      <w:pPr>
        <w:ind w:right="320" w:firstLine="273"/>
        <w:spacing w:after="0" w:line="269" w:lineRule="auto"/>
        <w:rPr>
          <w:sz w:val="20"/>
          <w:szCs w:val="20"/>
          <w:color w:val="auto"/>
        </w:rPr>
      </w:pPr>
      <w:r>
        <w:rPr>
          <w:rFonts w:ascii="Times New Roman" w:cs="Times New Roman" w:eastAsia="Times New Roman" w:hAnsi="Times New Roman"/>
          <w:sz w:val="15"/>
          <w:szCs w:val="15"/>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Certain Adjustments</w:t>
      </w:r>
    </w:p>
    <w:p>
      <w:pPr>
        <w:spacing w:after="0" w:line="148"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Dissolution or Liquidation</w:t>
      </w:r>
    </w:p>
    <w:p>
      <w:pPr>
        <w:spacing w:after="0" w:line="148" w:lineRule="exact"/>
        <w:rPr>
          <w:sz w:val="20"/>
          <w:szCs w:val="20"/>
          <w:color w:val="auto"/>
        </w:rPr>
      </w:pPr>
    </w:p>
    <w:p>
      <w:pPr>
        <w:ind w:right="560" w:firstLine="273"/>
        <w:spacing w:after="0" w:line="286" w:lineRule="auto"/>
        <w:rPr>
          <w:sz w:val="20"/>
          <w:szCs w:val="20"/>
          <w:color w:val="auto"/>
        </w:rPr>
      </w:pPr>
      <w:r>
        <w:rPr>
          <w:rFonts w:ascii="Times New Roman" w:cs="Times New Roman" w:eastAsia="Times New Roman" w:hAnsi="Times New Roman"/>
          <w:sz w:val="15"/>
          <w:szCs w:val="15"/>
          <w:color w:val="auto"/>
        </w:rPr>
        <w:t>In the event of our proposed liquidation or dissolution, the administrator will notify participants as soon as practicable and all awards will terminate immediately before the consummation of such proposed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144</w:t>
      </w:r>
    </w:p>
    <w:p>
      <w:pPr>
        <w:sectPr>
          <w:pgSz w:w="11900" w:h="16838" w:orient="portrait"/>
          <w:cols w:equalWidth="0" w:num="1">
            <w:col w:w="11200"/>
          </w:cols>
          <w:pgMar w:left="320" w:top="121" w:right="379" w:bottom="1440" w:gutter="0" w:footer="0" w:header="0"/>
        </w:sectPr>
      </w:pPr>
    </w:p>
    <w:bookmarkStart w:id="147" w:name="page148"/>
    <w:bookmarkEnd w:id="14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Merger or Change in Control</w:t>
      </w:r>
    </w:p>
    <w:p>
      <w:pPr>
        <w:spacing w:after="0" w:line="148"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07"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If a successor corporation does not assume or substitute an equivalent award for any outstanding award (or a portion of such award), then all restrictions on such award (or its applicable portion) will lapse and all performance goals or other vesting criteria applicable to such award (or its applicable portion) will be deemed achieved at 100% of target levels and all other terms and conditions will be considered fulfilled, unless specifically provided otherwise under the applicable award agreement or other written agreement authorized by the administrator of the RSU Plan with the participant.</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Clawback</w:t>
      </w:r>
    </w:p>
    <w:p>
      <w:pPr>
        <w:spacing w:after="0" w:line="148"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Amendment; Termination</w:t>
      </w:r>
    </w:p>
    <w:p>
      <w:pPr>
        <w:spacing w:after="0" w:line="148"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Our board of directors has the authority to amend, suspend or terminate our RSU Plan, provided such action does not materially impair the rights of any participant unless mutually agreed otherwise. Unless sooner terminated by our board of directors, the RSU Plan will continue in effect for a term of ten (10) years from the later of (a) the effective date of the RSU Plan in April 2020, or (b) the earlier of the most recent board of directors or stockholder approval of an increase in the number of shares reserved for issuance under the RSU Plan. As noted above, it is expected that as of one business day before the effectiveness of the registration statement of which this prospectus forms a part, our RSU Plan will be terminated and we will not grant any additional awards under our RSU Plan thereafter.</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2017 Stock Incentive Plan</w:t>
      </w:r>
    </w:p>
    <w:p>
      <w:pPr>
        <w:spacing w:after="0" w:line="150" w:lineRule="exact"/>
        <w:rPr>
          <w:sz w:val="20"/>
          <w:szCs w:val="20"/>
          <w:color w:val="auto"/>
        </w:rPr>
      </w:pPr>
    </w:p>
    <w:p>
      <w:pPr>
        <w:ind w:right="20" w:firstLine="273"/>
        <w:spacing w:after="0" w:line="259" w:lineRule="auto"/>
        <w:rPr>
          <w:sz w:val="20"/>
          <w:szCs w:val="20"/>
          <w:color w:val="auto"/>
        </w:rPr>
      </w:pPr>
      <w:r>
        <w:rPr>
          <w:rFonts w:ascii="Times New Roman" w:cs="Times New Roman" w:eastAsia="Times New Roman" w:hAnsi="Times New Roman"/>
          <w:sz w:val="15"/>
          <w:szCs w:val="15"/>
          <w:color w:val="auto"/>
        </w:rPr>
        <w:t>Our 2017 Stock Incentive Plan, or 2017 Plan, originally was adopted by our board of directors in September 2017 and was most recently amended and restated in May 2020, and we expect the 2017 Plan to be further amended and restated before the effectiveness of the registration statement of which this prospectus forms a part. Our stockholders last approved our 2017 Plan in May 2020. It is expected that as of one business day before the effectiveness of the registration statement of which this prospectus forms a part, our 2017 Plan will be terminated and we will not grant any additional awards under our 2017 Plan thereafter. However, our 2017 Plan will continue to govern the terms and conditions of the outstanding awards previously granted under our 2017 Plan. The below is a summary of the terms currently expected to be implemented under the upcoming amendment and restatement of the 2017 Plan, which are subject to change.</w:t>
      </w:r>
    </w:p>
    <w:p>
      <w:pPr>
        <w:spacing w:after="0" w:line="110" w:lineRule="exact"/>
        <w:rPr>
          <w:sz w:val="20"/>
          <w:szCs w:val="20"/>
          <w:color w:val="auto"/>
        </w:rPr>
      </w:pPr>
    </w:p>
    <w:p>
      <w:pPr>
        <w:ind w:right="480" w:firstLine="273"/>
        <w:spacing w:after="0" w:line="286" w:lineRule="auto"/>
        <w:rPr>
          <w:sz w:val="20"/>
          <w:szCs w:val="20"/>
          <w:color w:val="auto"/>
        </w:rPr>
      </w:pPr>
      <w:r>
        <w:rPr>
          <w:rFonts w:ascii="Times New Roman" w:cs="Times New Roman" w:eastAsia="Times New Roman" w:hAnsi="Times New Roman"/>
          <w:sz w:val="15"/>
          <w:szCs w:val="15"/>
          <w:color w:val="auto"/>
        </w:rPr>
        <w:t>Our 2017 Plan allows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145</w:t>
      </w:r>
    </w:p>
    <w:p>
      <w:pPr>
        <w:sectPr>
          <w:pgSz w:w="11900" w:h="16838" w:orient="portrait"/>
          <w:cols w:equalWidth="0" w:num="1">
            <w:col w:w="11240"/>
          </w:cols>
          <w:pgMar w:left="320" w:top="121" w:right="339" w:bottom="1440" w:gutter="0" w:footer="0" w:header="0"/>
        </w:sectPr>
      </w:pPr>
    </w:p>
    <w:bookmarkStart w:id="148" w:name="page149"/>
    <w:bookmarkEnd w:id="14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00" w:firstLine="273"/>
        <w:spacing w:after="0" w:line="286" w:lineRule="auto"/>
        <w:rPr>
          <w:sz w:val="20"/>
          <w:szCs w:val="20"/>
          <w:color w:val="auto"/>
        </w:rPr>
      </w:pPr>
      <w:r>
        <w:rPr>
          <w:rFonts w:ascii="Times New Roman" w:cs="Times New Roman" w:eastAsia="Times New Roman" w:hAnsi="Times New Roman"/>
          <w:sz w:val="15"/>
          <w:szCs w:val="15"/>
          <w:color w:val="auto"/>
        </w:rPr>
        <w:t>As of September 30, 2020, an aggregate of 25,283,351 shares of our Class A common stock, is reserved for issuance under our 2017 Plan. As of September 30, 2020, awards outstanding under our 2017 Plan consisted of stock options to purchase an aggregate of 16,164,706 shares of our Class A common stock and no RSAs .</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Plan Administration</w:t>
      </w:r>
    </w:p>
    <w:p>
      <w:pPr>
        <w:spacing w:after="0" w:line="148"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authorize the issuance of restricted stock grant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 extend the period or periods of time during which all, or any particular, stock option or stock options may be exercised. Subject to the consent of any adversely affected participant, the administrator also has the authority to allow participants the opportunity under an exchange program to transfer outstanding awards granted under the 2017 Plan to a financial institution or other person or entity selected by the administrator, and to institute an exchange program by which outstanding awards granted under the 2017 Plan may be surrendered or cancelled in exchange for awards of the same type, which may have a higher or lower exercise price and/or different terms, awards of a different type and/or cash, or by which the exercise price of an outstanding award granted under the 2017 Plan is increased or reduced. The administrator’s construction and interpretation of the terms and provisions of our 2017 Plan is final and conclusive.</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Eligibility</w:t>
      </w:r>
    </w:p>
    <w:p>
      <w:pPr>
        <w:spacing w:after="0" w:line="148" w:lineRule="exact"/>
        <w:rPr>
          <w:sz w:val="20"/>
          <w:szCs w:val="20"/>
          <w:color w:val="auto"/>
        </w:rPr>
      </w:pPr>
    </w:p>
    <w:p>
      <w:pPr>
        <w:ind w:right="340" w:firstLine="273"/>
        <w:spacing w:after="0" w:line="286" w:lineRule="auto"/>
        <w:rPr>
          <w:sz w:val="20"/>
          <w:szCs w:val="20"/>
          <w:color w:val="auto"/>
        </w:rPr>
      </w:pPr>
      <w:r>
        <w:rPr>
          <w:rFonts w:ascii="Times New Roman" w:cs="Times New Roman" w:eastAsia="Times New Roman" w:hAnsi="Times New Roman"/>
          <w:sz w:val="15"/>
          <w:szCs w:val="15"/>
          <w:color w:val="auto"/>
        </w:rPr>
        <w:t>Employees, officers, directors and consultants or advisors of ours or our parent or subsidiary companies are eligible to receive awards. Only our employees or employees of our parent or subsidiary companies are eligible to receive incentive stock options.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Stock Options</w:t>
      </w:r>
    </w:p>
    <w:p>
      <w:pPr>
        <w:spacing w:after="0" w:line="148" w:lineRule="exact"/>
        <w:rPr>
          <w:sz w:val="20"/>
          <w:szCs w:val="20"/>
          <w:color w:val="auto"/>
        </w:rPr>
      </w:pPr>
    </w:p>
    <w:p>
      <w:pPr>
        <w:ind w:right="60" w:firstLine="273"/>
        <w:spacing w:after="0" w:line="255" w:lineRule="auto"/>
        <w:rPr>
          <w:sz w:val="20"/>
          <w:szCs w:val="20"/>
          <w:color w:val="auto"/>
        </w:rPr>
      </w:pPr>
      <w:r>
        <w:rPr>
          <w:rFonts w:ascii="Times New Roman" w:cs="Times New Roman" w:eastAsia="Times New Roman" w:hAnsi="Times New Roman"/>
          <w:sz w:val="15"/>
          <w:szCs w:val="15"/>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our outstanding stock,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 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146</w:t>
      </w:r>
    </w:p>
    <w:p>
      <w:pPr>
        <w:sectPr>
          <w:pgSz w:w="11900" w:h="16838" w:orient="portrait"/>
          <w:cols w:equalWidth="0" w:num="1">
            <w:col w:w="11260"/>
          </w:cols>
          <w:pgMar w:left="320" w:top="121" w:right="319" w:bottom="1440" w:gutter="0" w:footer="0" w:header="0"/>
        </w:sectPr>
      </w:pPr>
    </w:p>
    <w:bookmarkStart w:id="149" w:name="page150"/>
    <w:bookmarkEnd w:id="14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Restricted Stock</w:t>
      </w:r>
    </w:p>
    <w:p>
      <w:pPr>
        <w:spacing w:after="0" w:line="148"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our board of directors.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Non-transferability of Stock Options</w:t>
      </w:r>
    </w:p>
    <w:p>
      <w:pPr>
        <w:spacing w:after="0" w:line="148" w:lineRule="exact"/>
        <w:rPr>
          <w:sz w:val="20"/>
          <w:szCs w:val="20"/>
          <w:color w:val="auto"/>
        </w:rPr>
      </w:pPr>
    </w:p>
    <w:p>
      <w:pPr>
        <w:ind w:right="60" w:firstLine="273"/>
        <w:spacing w:after="0" w:line="286" w:lineRule="auto"/>
        <w:rPr>
          <w:sz w:val="20"/>
          <w:szCs w:val="20"/>
          <w:color w:val="auto"/>
        </w:rPr>
      </w:pPr>
      <w:r>
        <w:rPr>
          <w:rFonts w:ascii="Times New Roman" w:cs="Times New Roman" w:eastAsia="Times New Roman" w:hAnsi="Times New Roman"/>
          <w:sz w:val="15"/>
          <w:szCs w:val="15"/>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Certain Adjustments</w:t>
      </w:r>
    </w:p>
    <w:p>
      <w:pPr>
        <w:spacing w:after="0" w:line="148" w:lineRule="exact"/>
        <w:rPr>
          <w:sz w:val="20"/>
          <w:szCs w:val="20"/>
          <w:color w:val="auto"/>
        </w:rPr>
      </w:pPr>
    </w:p>
    <w:p>
      <w:pPr>
        <w:ind w:right="20" w:firstLine="273"/>
        <w:spacing w:after="0" w:line="257" w:lineRule="auto"/>
        <w:rPr>
          <w:sz w:val="20"/>
          <w:szCs w:val="20"/>
          <w:color w:val="auto"/>
        </w:rPr>
      </w:pPr>
      <w:r>
        <w:rPr>
          <w:rFonts w:ascii="Times New Roman" w:cs="Times New Roman" w:eastAsia="Times New Roman" w:hAnsi="Times New Roman"/>
          <w:sz w:val="15"/>
          <w:szCs w:val="15"/>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reserved for issuance under the 2017 Plan, the number and kind of shares or other securities subject to any then outstanding stock options, and the price of shares covered by each outstanding stock option. Except as 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Effect of Certain Transactions</w:t>
      </w:r>
    </w:p>
    <w:p>
      <w:pPr>
        <w:spacing w:after="0" w:line="148" w:lineRule="exact"/>
        <w:rPr>
          <w:sz w:val="20"/>
          <w:szCs w:val="20"/>
          <w:color w:val="auto"/>
        </w:rPr>
      </w:pPr>
    </w:p>
    <w:p>
      <w:pPr>
        <w:ind w:firstLine="273"/>
        <w:spacing w:after="0" w:line="255" w:lineRule="auto"/>
        <w:rPr>
          <w:sz w:val="20"/>
          <w:szCs w:val="20"/>
          <w:color w:val="auto"/>
        </w:rPr>
      </w:pPr>
      <w:r>
        <w:rPr>
          <w:rFonts w:ascii="Times New Roman" w:cs="Times New Roman" w:eastAsia="Times New Roman" w:hAnsi="Times New Roman"/>
          <w:sz w:val="15"/>
          <w:szCs w:val="15"/>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the number of shares of Class A common stock subject to outstanding vested stock options, </w:t>
      </w:r>
      <w:r>
        <w:rPr>
          <w:rFonts w:ascii="Times New Roman" w:cs="Times New Roman" w:eastAsia="Times New Roman" w:hAnsi="Times New Roman"/>
          <w:sz w:val="15"/>
          <w:szCs w:val="15"/>
          <w:i w:val="1"/>
          <w:iCs w:val="1"/>
          <w:color w:val="auto"/>
        </w:rPr>
        <w:t>less</w:t>
      </w:r>
      <w:r>
        <w:rPr>
          <w:rFonts w:ascii="Times New Roman" w:cs="Times New Roman" w:eastAsia="Times New Roman" w:hAnsi="Times New Roman"/>
          <w:sz w:val="15"/>
          <w:szCs w:val="15"/>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 cash or other property may be held in escrow on such terms as the administrator may direct. The administrator need not take the same action with respect to all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147</w:t>
      </w:r>
    </w:p>
    <w:p>
      <w:pPr>
        <w:sectPr>
          <w:pgSz w:w="11900" w:h="16838" w:orient="portrait"/>
          <w:cols w:equalWidth="0" w:num="1">
            <w:col w:w="11240"/>
          </w:cols>
          <w:pgMar w:left="320" w:top="121" w:right="339" w:bottom="1440" w:gutter="0" w:footer="0" w:header="0"/>
        </w:sectPr>
      </w:pPr>
    </w:p>
    <w:bookmarkStart w:id="150" w:name="page151"/>
    <w:bookmarkEnd w:id="15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If a successor corporation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our board of directors with the participant. The award (or its applicable portion) will then terminate upon the expiration of the specified period of time. If an option (or portion of such option) is not assumed or substituted, our board of directors will notify the participant that such option will be exercisable for a period of time determined by our board of directors in its sole discretion and the option will terminate upon the expiration of such period.</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Amendment and Termination</w:t>
      </w:r>
    </w:p>
    <w:p>
      <w:pPr>
        <w:spacing w:after="0" w:line="148"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Our board of directors may amend or terminate our 2017 Plan at any time. Amendments to our 2017 Plan not requiring shareholder approval will become effective when adopted by our board of directors. Amendments requiring shareholder approval will become effective when adopted by our board of directors, but if shareholder approval is not obtained within twelve months of such adoption, any incentive stock options granted pursuant to such amendment will be deemed to be non-statutory options, provided that such stock options are authorized by our 2017 Plan. Unless sooner terminated by action of our board of directors, the 2017 Plan will terminate upon the close of business on the day next preceding the tenth anniversary of the date of its adoption by our board of directors. As noted above, it is expected that as of one business day before the effectiveness of the registration statement of which this prospectus forms a part, our 2017 Plan will be terminated and we will not grant any additional awards under our 2017 Plan thereafter.</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2020 Employee Stock Purchase Plan</w:t>
      </w:r>
    </w:p>
    <w:p>
      <w:pPr>
        <w:spacing w:after="0" w:line="150"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Prior to the completion of this offering, we expect that our board of directors will adopt, and our stockholders will approve, our 2020 Employee Stock Purchase Plan (the ESPP). Our ESPP will be effective upon the later of its adoption by our board of directors or one business day immediately before the effective date of the registration statement of which this prospectus forms a part. The below is a summary of the terms currently expected to be implemented under the ESPP, which are subject to change.</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Authorized Shares</w:t>
      </w:r>
    </w:p>
    <w:p>
      <w:pPr>
        <w:spacing w:after="0" w:line="148" w:lineRule="exact"/>
        <w:rPr>
          <w:sz w:val="20"/>
          <w:szCs w:val="20"/>
          <w:color w:val="auto"/>
        </w:rPr>
      </w:pPr>
    </w:p>
    <w:p>
      <w:pPr>
        <w:ind w:right="40" w:firstLine="273"/>
        <w:spacing w:after="0" w:line="286" w:lineRule="auto"/>
        <w:rPr>
          <w:sz w:val="20"/>
          <w:szCs w:val="20"/>
          <w:color w:val="auto"/>
        </w:rPr>
      </w:pPr>
      <w:r>
        <w:rPr>
          <w:rFonts w:ascii="Times New Roman" w:cs="Times New Roman" w:eastAsia="Times New Roman" w:hAnsi="Times New Roman"/>
          <w:sz w:val="15"/>
          <w:szCs w:val="15"/>
          <w:color w:val="auto"/>
        </w:rPr>
        <w:t>A total of shares of our Class A common stock will be available for issuance under our ESPP. In addition, our ESPP will provide for annual increases in the number of shares of our Class A common stock available for issuance under our ESPP on the first day of each of our fiscal years beginning with our fiscal year 2021, in an amount equal to the least of:</w:t>
      </w:r>
    </w:p>
    <w:p>
      <w:pPr>
        <w:spacing w:after="0" w:line="89" w:lineRule="exact"/>
        <w:rPr>
          <w:sz w:val="20"/>
          <w:szCs w:val="20"/>
          <w:color w:val="auto"/>
        </w:rPr>
      </w:pPr>
    </w:p>
    <w:p>
      <w:pPr>
        <w:ind w:left="980" w:hanging="717"/>
        <w:spacing w:after="0"/>
        <w:tabs>
          <w:tab w:leader="none" w:pos="98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w:t>
      </w:r>
    </w:p>
    <w:p>
      <w:pPr>
        <w:spacing w:after="0" w:line="146" w:lineRule="exact"/>
        <w:rPr>
          <w:sz w:val="20"/>
          <w:szCs w:val="20"/>
          <w:color w:val="auto"/>
        </w:rPr>
      </w:pPr>
    </w:p>
    <w:p>
      <w:pPr>
        <w:ind w:left="260"/>
        <w:spacing w:after="0"/>
        <w:tabs>
          <w:tab w:leader="none" w:pos="520" w:val="left"/>
          <w:tab w:leader="none" w:pos="2680" w:val="left"/>
        </w:tabs>
        <w:rPr>
          <w:sz w:val="20"/>
          <w:szCs w:val="20"/>
          <w:color w:val="auto"/>
        </w:rPr>
      </w:pPr>
      <w:r>
        <w:rPr>
          <w:rFonts w:ascii="Times New Roman" w:cs="Times New Roman" w:eastAsia="Times New Roman" w:hAnsi="Times New Roman"/>
          <w:sz w:val="15"/>
          <w:szCs w:val="15"/>
          <w:color w:val="auto"/>
        </w:rPr>
        <w:t>•</w:t>
        <w:tab/>
        <w:t>a number of shares equal to</w:t>
      </w:r>
      <w:r>
        <w:rPr>
          <w:sz w:val="20"/>
          <w:szCs w:val="20"/>
          <w:color w:val="auto"/>
        </w:rPr>
        <w:tab/>
      </w:r>
      <w:r>
        <w:rPr>
          <w:rFonts w:ascii="Times New Roman" w:cs="Times New Roman" w:eastAsia="Times New Roman" w:hAnsi="Times New Roman"/>
          <w:sz w:val="15"/>
          <w:szCs w:val="15"/>
          <w:color w:val="auto"/>
        </w:rPr>
        <w:t>% of the outstanding shares of all classes of our common stock on the last day of our immediately preceding fiscal year; and</w:t>
      </w:r>
    </w:p>
    <w:p>
      <w:pPr>
        <w:spacing w:after="0" w:line="146" w:lineRule="exact"/>
        <w:rPr>
          <w:sz w:val="20"/>
          <w:szCs w:val="20"/>
          <w:color w:val="auto"/>
        </w:rPr>
      </w:pPr>
    </w:p>
    <w:p>
      <w:pPr>
        <w:ind w:left="260" w:right="2180" w:firstLine="3"/>
        <w:spacing w:after="0" w:line="441" w:lineRule="auto"/>
        <w:tabs>
          <w:tab w:leader="none" w:pos="529"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number of shares as our board of directors may determine as of no later than the last day of our immediately preceding fiscal year. Shares issuable under the ESPP will be authorized, but unissued, or reacquired shares of our Class A common stock.</w:t>
      </w:r>
    </w:p>
    <w:p>
      <w:pPr>
        <w:ind w:left="260"/>
        <w:spacing w:after="0"/>
        <w:rPr>
          <w:sz w:val="20"/>
          <w:szCs w:val="20"/>
          <w:color w:val="auto"/>
        </w:rPr>
      </w:pPr>
      <w:r>
        <w:rPr>
          <w:rFonts w:ascii="Times New Roman" w:cs="Times New Roman" w:eastAsia="Times New Roman" w:hAnsi="Times New Roman"/>
          <w:sz w:val="15"/>
          <w:szCs w:val="15"/>
          <w:i w:val="1"/>
          <w:iCs w:val="1"/>
          <w:color w:val="auto"/>
        </w:rPr>
        <w:t>Plan Administration</w:t>
      </w:r>
    </w:p>
    <w:p>
      <w:pPr>
        <w:spacing w:after="0" w:line="148" w:lineRule="exact"/>
        <w:rPr>
          <w:sz w:val="20"/>
          <w:szCs w:val="20"/>
          <w:color w:val="auto"/>
        </w:rPr>
      </w:pPr>
    </w:p>
    <w:p>
      <w:pPr>
        <w:ind w:right="220" w:firstLine="273"/>
        <w:spacing w:after="0" w:line="264" w:lineRule="auto"/>
        <w:rPr>
          <w:sz w:val="20"/>
          <w:szCs w:val="20"/>
          <w:color w:val="auto"/>
        </w:rPr>
      </w:pPr>
      <w:r>
        <w:rPr>
          <w:rFonts w:ascii="Times New Roman" w:cs="Times New Roman" w:eastAsia="Times New Roman" w:hAnsi="Times New Roman"/>
          <w:sz w:val="15"/>
          <w:szCs w:val="15"/>
          <w:color w:val="auto"/>
        </w:rPr>
        <w:t>Our board of directors or a committee appointed by our board of directors may administer the ESPP. We expect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148</w:t>
      </w:r>
    </w:p>
    <w:p>
      <w:pPr>
        <w:sectPr>
          <w:pgSz w:w="11900" w:h="16838" w:orient="portrait"/>
          <w:cols w:equalWidth="0" w:num="1">
            <w:col w:w="11260"/>
          </w:cols>
          <w:pgMar w:left="320" w:top="121" w:right="319" w:bottom="1440" w:gutter="0" w:footer="0" w:header="0"/>
        </w:sectPr>
      </w:pPr>
    </w:p>
    <w:bookmarkStart w:id="151" w:name="page152"/>
    <w:bookmarkEnd w:id="15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560"/>
        <w:spacing w:after="0" w:line="187" w:lineRule="exact"/>
        <w:rPr>
          <w:sz w:val="20"/>
          <w:szCs w:val="20"/>
          <w:color w:val="auto"/>
        </w:rPr>
      </w:pPr>
      <w:r>
        <w:rPr>
          <w:rFonts w:ascii="Times New Roman" w:cs="Times New Roman" w:eastAsia="Times New Roman" w:hAnsi="Times New Roman"/>
          <w:sz w:val="15"/>
          <w:szCs w:val="15"/>
          <w:color w:val="auto"/>
        </w:rPr>
        <w:t>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U.S. nationals or employed outside the U.S. The administrator’s findings, decisions, and determinations are final and binding on all participants to the maximum extent permitted by law.</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Eligibility</w:t>
      </w:r>
    </w:p>
    <w:p>
      <w:pPr>
        <w:spacing w:after="0" w:line="148" w:lineRule="exact"/>
        <w:rPr>
          <w:sz w:val="20"/>
          <w:szCs w:val="20"/>
          <w:color w:val="auto"/>
        </w:rPr>
      </w:pPr>
    </w:p>
    <w:p>
      <w:pPr>
        <w:ind w:firstLine="273"/>
        <w:spacing w:after="0" w:line="256" w:lineRule="auto"/>
        <w:rPr>
          <w:sz w:val="20"/>
          <w:szCs w:val="20"/>
          <w:color w:val="auto"/>
        </w:rPr>
      </w:pPr>
      <w:r>
        <w:rPr>
          <w:rFonts w:ascii="Times New Roman" w:cs="Times New Roman" w:eastAsia="Times New Roman" w:hAnsi="Times New Roman"/>
          <w:sz w:val="15"/>
          <w:szCs w:val="15"/>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is an officer or subject to disclosure requirements under Section 16(a) of the Exchange Act, is or is not eligible to participate in an offering. However, an employee may not be granted an option to purchase stock under our ESPP if the employee (i) immediately after the grant, would own stock and/or hold outstanding options to purchase such stock possessing 5% or more of the total combined voting power or value of all classes of our (or any of our parent’s or subsidiary’s) capital stock; or (ii) holds rights to purchase stock under all of our employee stock purchase plans that accrue at a rate that exceeds $25,000 worth of stock for each calendar year.</w:t>
      </w:r>
    </w:p>
    <w:p>
      <w:pPr>
        <w:spacing w:after="0" w:line="114" w:lineRule="exact"/>
        <w:rPr>
          <w:sz w:val="20"/>
          <w:szCs w:val="20"/>
          <w:color w:val="auto"/>
        </w:rPr>
      </w:pPr>
    </w:p>
    <w:p>
      <w:pPr>
        <w:ind w:right="420" w:firstLine="273"/>
        <w:spacing w:after="0" w:line="286" w:lineRule="auto"/>
        <w:rPr>
          <w:sz w:val="20"/>
          <w:szCs w:val="20"/>
          <w:color w:val="auto"/>
        </w:rPr>
      </w:pPr>
      <w:r>
        <w:rPr>
          <w:rFonts w:ascii="Times New Roman" w:cs="Times New Roman" w:eastAsia="Times New Roman" w:hAnsi="Times New Roman"/>
          <w:sz w:val="15"/>
          <w:szCs w:val="15"/>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Offering Periods and Purchase Periods</w:t>
      </w:r>
    </w:p>
    <w:p>
      <w:pPr>
        <w:spacing w:after="0" w:line="148" w:lineRule="exact"/>
        <w:rPr>
          <w:sz w:val="20"/>
          <w:szCs w:val="20"/>
          <w:color w:val="auto"/>
        </w:rPr>
      </w:pPr>
    </w:p>
    <w:p>
      <w:pPr>
        <w:ind w:firstLine="273"/>
        <w:spacing w:after="0" w:line="183" w:lineRule="exact"/>
        <w:rPr>
          <w:sz w:val="20"/>
          <w:szCs w:val="20"/>
          <w:color w:val="auto"/>
        </w:rPr>
      </w:pPr>
      <w:r>
        <w:rPr>
          <w:rFonts w:ascii="Times New Roman" w:cs="Times New Roman" w:eastAsia="Times New Roman" w:hAnsi="Times New Roman"/>
          <w:sz w:val="15"/>
          <w:szCs w:val="15"/>
          <w:color w:val="auto"/>
        </w:rPr>
        <w:t>Our ESPP includes a component that is intended to qualify as an “employee stock purchase plan” under Code Section 423 (the 423 Component), and a component that does not comply with Code Section 423 (the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423 Component). For purposes of this summary, a reference to our ESPP generally will mean the terms and operations of the 423 Component. Upon the administrator’s determination that offering periods will commence under our ESPP (the Offer Commencement Approval), our ESPP will provide for six-month offering periods, unless the administrator determines otherwise. Each offering period will have one purchase period with the same duration as the offering period. The offering periods will be scheduled to begin on the first trading day on or after (a) February 15 and August 15 of each year following the date of the Offer Commencement Approval, or, (b) on May 15 and November 15 of each year following the Offer Commencement Approval if either of May 15 or November 15 occurs earlier than February 15 or August 15 in the year of the Offer Commencement Approval.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Contributions</w:t>
      </w:r>
    </w:p>
    <w:p>
      <w:pPr>
        <w:spacing w:after="0" w:line="148" w:lineRule="exact"/>
        <w:rPr>
          <w:sz w:val="20"/>
          <w:szCs w:val="20"/>
          <w:color w:val="auto"/>
        </w:rPr>
      </w:pPr>
    </w:p>
    <w:p>
      <w:pPr>
        <w:ind w:right="120" w:firstLine="273"/>
        <w:spacing w:after="0" w:line="269" w:lineRule="auto"/>
        <w:rPr>
          <w:sz w:val="20"/>
          <w:szCs w:val="20"/>
          <w:color w:val="auto"/>
        </w:rPr>
      </w:pPr>
      <w:r>
        <w:rPr>
          <w:rFonts w:ascii="Times New Roman" w:cs="Times New Roman" w:eastAsia="Times New Roman" w:hAnsi="Times New Roman"/>
          <w:sz w:val="15"/>
          <w:szCs w:val="15"/>
          <w:color w:val="auto"/>
        </w:rPr>
        <w:t>Our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149</w:t>
      </w:r>
    </w:p>
    <w:p>
      <w:pPr>
        <w:sectPr>
          <w:pgSz w:w="11900" w:h="16838" w:orient="portrait"/>
          <w:cols w:equalWidth="0" w:num="1">
            <w:col w:w="11240"/>
          </w:cols>
          <w:pgMar w:left="320" w:top="121" w:right="339" w:bottom="1440" w:gutter="0" w:footer="0" w:header="0"/>
        </w:sectPr>
      </w:pPr>
    </w:p>
    <w:bookmarkStart w:id="152" w:name="page153"/>
    <w:bookmarkEnd w:id="15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Exercise of Purchase Right</w:t>
      </w:r>
    </w:p>
    <w:p>
      <w:pPr>
        <w:spacing w:after="0" w:line="148" w:lineRule="exact"/>
        <w:rPr>
          <w:sz w:val="20"/>
          <w:szCs w:val="20"/>
          <w:color w:val="auto"/>
        </w:rPr>
      </w:pPr>
    </w:p>
    <w:p>
      <w:pPr>
        <w:ind w:right="120" w:firstLine="273"/>
        <w:spacing w:after="0" w:line="269" w:lineRule="auto"/>
        <w:rPr>
          <w:sz w:val="20"/>
          <w:szCs w:val="20"/>
          <w:color w:val="auto"/>
        </w:rPr>
      </w:pPr>
      <w:r>
        <w:rPr>
          <w:rFonts w:ascii="Times New Roman" w:cs="Times New Roman" w:eastAsia="Times New Roman" w:hAnsi="Times New Roman"/>
          <w:sz w:val="15"/>
          <w:szCs w:val="15"/>
          <w:color w:val="auto"/>
        </w:rPr>
        <w:t>Amounts deducted and accumulated by a participant under our ESPP are used to purchase shares of our common stock at the end of each offering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2,500 shares during each offering period.</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Non-Transferability</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 participant may not transfer the contributions credited to his or her ESPP account or rights granted under our ESPP, other than by will or the laws of descent and distribution.</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Certain Adjustments</w:t>
      </w:r>
    </w:p>
    <w:p>
      <w:pPr>
        <w:spacing w:after="0" w:line="148"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Our ESPP provides that if any dividend or other distribution (whether in the form of cash, our common stock, other securities, or other property), recapitalization, stock split, reverse stock split, reorganization, merger, consolidation, split up, spin 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Merger or Change in Control</w:t>
      </w:r>
    </w:p>
    <w:p>
      <w:pPr>
        <w:spacing w:after="0" w:line="148"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before such date the participant has withdrawn from the offering period or a participant’s participation has terminated due to termination of employment.</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Amendment; Termination</w:t>
      </w:r>
    </w:p>
    <w:p>
      <w:pPr>
        <w:spacing w:after="0" w:line="148" w:lineRule="exact"/>
        <w:rPr>
          <w:sz w:val="20"/>
          <w:szCs w:val="20"/>
          <w:color w:val="auto"/>
        </w:rPr>
      </w:pPr>
    </w:p>
    <w:p>
      <w:pPr>
        <w:ind w:right="20" w:firstLine="273"/>
        <w:spacing w:after="0" w:line="269" w:lineRule="auto"/>
        <w:rPr>
          <w:sz w:val="20"/>
          <w:szCs w:val="20"/>
          <w:color w:val="auto"/>
        </w:rPr>
      </w:pPr>
      <w:r>
        <w:rPr>
          <w:rFonts w:ascii="Times New Roman" w:cs="Times New Roman" w:eastAsia="Times New Roman" w:hAnsi="Times New Roman"/>
          <w:sz w:val="15"/>
          <w:szCs w:val="15"/>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before the effective date of our registration statement of which this prospectus forms a part, unless we terminate it earlier.</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401(k) Plan</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150</w:t>
      </w:r>
    </w:p>
    <w:p>
      <w:pPr>
        <w:sectPr>
          <w:pgSz w:w="11900" w:h="16838" w:orient="portrait"/>
          <w:cols w:equalWidth="0" w:num="1">
            <w:col w:w="11240"/>
          </w:cols>
          <w:pgMar w:left="320" w:top="121" w:right="339" w:bottom="1440" w:gutter="0" w:footer="0" w:header="0"/>
        </w:sectPr>
      </w:pPr>
    </w:p>
    <w:bookmarkStart w:id="153" w:name="page154"/>
    <w:bookmarkEnd w:id="15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5"/>
          <w:szCs w:val="15"/>
          <w:color w:val="auto"/>
        </w:rPr>
        <w:t>and earnings on those pre-tax contributions are not taxable to the employees until distributed from the 401(k) plan, and earnings on Roth contributions are not taxable when distributed from the 401(k) plan.</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Rule 10b5-1 Plan Sales</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151</w:t>
      </w:r>
    </w:p>
    <w:p>
      <w:pPr>
        <w:sectPr>
          <w:pgSz w:w="11900" w:h="16838" w:orient="portrait"/>
          <w:cols w:equalWidth="0" w:num="1">
            <w:col w:w="11160"/>
          </w:cols>
          <w:pgMar w:left="320" w:top="121" w:right="419" w:bottom="1440" w:gutter="0" w:footer="0" w:header="0"/>
        </w:sectPr>
      </w:pPr>
    </w:p>
    <w:bookmarkStart w:id="154" w:name="page155"/>
    <w:bookmarkEnd w:id="15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RELATED-PARTY TRANSACTIONS</w:t>
      </w:r>
    </w:p>
    <w:p>
      <w:pPr>
        <w:spacing w:after="0" w:line="150" w:lineRule="exact"/>
        <w:rPr>
          <w:sz w:val="20"/>
          <w:szCs w:val="20"/>
          <w:color w:val="auto"/>
        </w:rPr>
      </w:pPr>
    </w:p>
    <w:p>
      <w:pPr>
        <w:jc w:val="both"/>
        <w:ind w:right="920" w:firstLine="273"/>
        <w:spacing w:after="0" w:line="286" w:lineRule="auto"/>
        <w:rPr>
          <w:sz w:val="20"/>
          <w:szCs w:val="20"/>
          <w:color w:val="auto"/>
        </w:rPr>
      </w:pPr>
      <w:r>
        <w:rPr>
          <w:rFonts w:ascii="Times New Roman" w:cs="Times New Roman" w:eastAsia="Times New Roman" w:hAnsi="Times New Roman"/>
          <w:sz w:val="15"/>
          <w:szCs w:val="15"/>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89" w:lineRule="exact"/>
        <w:rPr>
          <w:sz w:val="20"/>
          <w:szCs w:val="20"/>
          <w:color w:val="auto"/>
        </w:rPr>
      </w:pPr>
    </w:p>
    <w:p>
      <w:pPr>
        <w:ind w:left="540" w:hanging="277"/>
        <w:spacing w:after="0"/>
        <w:tabs>
          <w:tab w:leader="none" w:pos="5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been or are to be a participant;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involved exceeded or exceeds $120,000; and</w:t>
      </w:r>
    </w:p>
    <w:p>
      <w:pPr>
        <w:spacing w:after="0" w:line="145" w:lineRule="exact"/>
        <w:rPr>
          <w:rFonts w:ascii="Times New Roman" w:cs="Times New Roman" w:eastAsia="Times New Roman" w:hAnsi="Times New Roman"/>
          <w:sz w:val="15"/>
          <w:szCs w:val="15"/>
          <w:color w:val="auto"/>
        </w:rPr>
      </w:pPr>
    </w:p>
    <w:p>
      <w:pPr>
        <w:ind w:left="540" w:right="100" w:hanging="277"/>
        <w:spacing w:after="0" w:line="286" w:lineRule="auto"/>
        <w:tabs>
          <w:tab w:leader="none" w:pos="536"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PrognomIQ Transaction</w:t>
      </w:r>
    </w:p>
    <w:p>
      <w:pPr>
        <w:spacing w:after="0" w:line="150"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04"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We have non-exclusively licensed our patents and patent applications to PrognomIQ for use in the field of human diagnostics. Pursuant to our agreement with PrognomIQ, we also assigned a patent application related to lung cancer biomarkers to PrognomIQ. As part of the agreement, we also intend to grant PrognomIQ a sublicense to use the BWH patents and patent applications. We will also be providing general transition services and support, including laboratory and office space to PrognomIQ pursuant to a transition services agreement during the transition period.</w:t>
      </w:r>
    </w:p>
    <w:p>
      <w:pPr>
        <w:spacing w:after="0" w:line="104" w:lineRule="exact"/>
        <w:rPr>
          <w:sz w:val="20"/>
          <w:szCs w:val="20"/>
          <w:color w:val="auto"/>
        </w:rPr>
      </w:pPr>
    </w:p>
    <w:p>
      <w:pPr>
        <w:ind w:right="60" w:firstLine="273"/>
        <w:spacing w:after="0" w:line="269" w:lineRule="auto"/>
        <w:rPr>
          <w:sz w:val="20"/>
          <w:szCs w:val="20"/>
          <w:color w:val="auto"/>
        </w:rPr>
      </w:pPr>
      <w:r>
        <w:rPr>
          <w:rFonts w:ascii="Times New Roman" w:cs="Times New Roman" w:eastAsia="Times New Roman" w:hAnsi="Times New Roman"/>
          <w:sz w:val="15"/>
          <w:szCs w:val="15"/>
          <w:color w:val="auto"/>
        </w:rPr>
        <w:t>Philip Ma, Ph.D., our co-Founder and former Chief Business Officer, serves as the Chief Executive Officer of PrognomIQ. While Dr. Ma has transitioned to a full-time employee of PrognomIQ, he will remain a consultant of the Company until April 2021. Our Chief Executive Officer and Chair of our board of directors, Omid Farokhzad, M.D., is the Chair of PrognomIQ’s board of directors.</w:t>
      </w:r>
    </w:p>
    <w:p>
      <w:pPr>
        <w:spacing w:after="0" w:line="101" w:lineRule="exact"/>
        <w:rPr>
          <w:sz w:val="20"/>
          <w:szCs w:val="20"/>
          <w:color w:val="auto"/>
        </w:rPr>
      </w:pPr>
    </w:p>
    <w:p>
      <w:pPr>
        <w:ind w:right="180" w:firstLine="273"/>
        <w:spacing w:after="0" w:line="286" w:lineRule="auto"/>
        <w:rPr>
          <w:sz w:val="20"/>
          <w:szCs w:val="20"/>
          <w:color w:val="auto"/>
        </w:rPr>
      </w:pPr>
      <w:r>
        <w:rPr>
          <w:rFonts w:ascii="Times New Roman" w:cs="Times New Roman" w:eastAsia="Times New Roman" w:hAnsi="Times New Roman"/>
          <w:sz w:val="15"/>
          <w:szCs w:val="15"/>
          <w:color w:val="auto"/>
        </w:rPr>
        <w:t>The following table presents the number of shares distributed and equity awards granted in connection with the PrognomIQ transaction to our directors, executive officers and 5% stockholders.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3060" w:type="dxa"/>
            <w:vAlign w:val="bottom"/>
            <w:gridSpan w:val="2"/>
          </w:tcPr>
          <w:p>
            <w:pPr>
              <w:ind w:left="1560"/>
              <w:spacing w:after="0"/>
              <w:rPr>
                <w:sz w:val="20"/>
                <w:szCs w:val="20"/>
                <w:color w:val="auto"/>
              </w:rPr>
            </w:pPr>
            <w:r>
              <w:rPr>
                <w:rFonts w:ascii="Times New Roman" w:cs="Times New Roman" w:eastAsia="Times New Roman" w:hAnsi="Times New Roman"/>
                <w:sz w:val="12"/>
                <w:szCs w:val="12"/>
                <w:b w:val="1"/>
                <w:bCs w:val="1"/>
                <w:color w:val="auto"/>
              </w:rPr>
              <w:t>Class A Common Shares</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 Shares</w:t>
            </w:r>
          </w:p>
        </w:tc>
        <w:tc>
          <w:tcPr>
            <w:tcW w:w="1580" w:type="dxa"/>
            <w:vAlign w:val="bottom"/>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Preferred Shares</w:t>
            </w: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Hallal</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892,776</w:t>
            </w: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Emerson Collective Investments, LLC</w:t>
            </w:r>
          </w:p>
        </w:tc>
        <w:tc>
          <w:tcPr>
            <w:tcW w:w="3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5,326,807</w:t>
            </w:r>
          </w:p>
        </w:tc>
      </w:tr>
      <w:tr>
        <w:trPr>
          <w:trHeight w:val="22"/>
        </w:trPr>
        <w:tc>
          <w:tcPr>
            <w:tcW w:w="4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7"/>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Entities affiliated with aMoon Fund</w:t>
            </w:r>
          </w:p>
        </w:tc>
        <w:tc>
          <w:tcPr>
            <w:tcW w:w="3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10,772,174</w:t>
            </w:r>
          </w:p>
        </w:tc>
      </w:tr>
      <w:tr>
        <w:trPr>
          <w:trHeight w:val="205"/>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Fidelity</w:t>
            </w:r>
          </w:p>
        </w:tc>
        <w:tc>
          <w:tcPr>
            <w:tcW w:w="3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6,666,666</w:t>
            </w:r>
          </w:p>
        </w:tc>
      </w:tr>
      <w:tr>
        <w:trPr>
          <w:trHeight w:val="22"/>
        </w:trPr>
        <w:tc>
          <w:tcPr>
            <w:tcW w:w="4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7"/>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Entities affiliated with Maverick Capital Ventures, LLC</w:t>
            </w:r>
          </w:p>
        </w:tc>
        <w:tc>
          <w:tcPr>
            <w:tcW w:w="3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349,999</w:t>
            </w:r>
          </w:p>
        </w:tc>
        <w:tc>
          <w:tcPr>
            <w:tcW w:w="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11,396,607</w:t>
            </w:r>
          </w:p>
        </w:tc>
      </w:tr>
      <w:tr>
        <w:trPr>
          <w:trHeight w:val="205"/>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T. Rowe Price</w:t>
            </w:r>
          </w:p>
        </w:tc>
        <w:tc>
          <w:tcPr>
            <w:tcW w:w="3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5,169,230</w:t>
            </w:r>
          </w:p>
        </w:tc>
      </w:tr>
      <w:tr>
        <w:trPr>
          <w:trHeight w:val="22"/>
        </w:trPr>
        <w:tc>
          <w:tcPr>
            <w:tcW w:w="4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7"/>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Invus Public Equities, L.P.</w:t>
            </w:r>
          </w:p>
        </w:tc>
        <w:tc>
          <w:tcPr>
            <w:tcW w:w="3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10,808,953</w:t>
            </w:r>
          </w:p>
        </w:tc>
      </w:tr>
      <w:tr>
        <w:trPr>
          <w:trHeight w:val="205"/>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Omid Farokhzad, M.D. and affiliated entities</w:t>
            </w:r>
          </w:p>
        </w:tc>
        <w:tc>
          <w:tcPr>
            <w:tcW w:w="2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5,918,990</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17,545,007</w:t>
            </w: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220,240</w:t>
            </w:r>
          </w:p>
        </w:tc>
      </w:tr>
      <w:tr>
        <w:trPr>
          <w:trHeight w:val="22"/>
        </w:trPr>
        <w:tc>
          <w:tcPr>
            <w:tcW w:w="4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7"/>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Philip Ma, Ph.D. and affiliated entity</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2,152,360</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220,240</w:t>
            </w:r>
          </w:p>
        </w:tc>
      </w:tr>
      <w:tr>
        <w:trPr>
          <w:trHeight w:val="205"/>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Robert Langer, Sc.D.</w:t>
            </w:r>
          </w:p>
        </w:tc>
        <w:tc>
          <w:tcPr>
            <w:tcW w:w="2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1,042,150</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440,480</w:t>
            </w:r>
          </w:p>
        </w:tc>
      </w:tr>
      <w:tr>
        <w:trPr>
          <w:trHeight w:val="22"/>
        </w:trPr>
        <w:tc>
          <w:tcPr>
            <w:tcW w:w="4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Terrance McGuire and affiliated entity</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907,031</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8,749</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110,120</w:t>
            </w:r>
          </w:p>
        </w:tc>
      </w:tr>
      <w:tr>
        <w:trPr>
          <w:trHeight w:val="22"/>
        </w:trPr>
        <w:tc>
          <w:tcPr>
            <w:tcW w:w="494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152</w:t>
      </w:r>
    </w:p>
    <w:p>
      <w:pPr>
        <w:sectPr>
          <w:pgSz w:w="11900" w:h="16838" w:orient="portrait"/>
          <w:cols w:equalWidth="0" w:num="1">
            <w:col w:w="11240"/>
          </w:cols>
          <w:pgMar w:left="320" w:top="121" w:right="339" w:bottom="1440" w:gutter="0" w:footer="0" w:header="0"/>
        </w:sectPr>
      </w:pPr>
    </w:p>
    <w:bookmarkStart w:id="155" w:name="page156"/>
    <w:bookmarkEnd w:id="155"/>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Convertible Preferred Stock Financings</w:t>
      </w:r>
    </w:p>
    <w:p>
      <w:pPr>
        <w:spacing w:after="0" w:line="14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Series D-1 Convertible Preferred Stock Transaction</w:t>
      </w:r>
    </w:p>
    <w:p>
      <w:pPr>
        <w:spacing w:after="0" w:line="150" w:lineRule="exact"/>
        <w:rPr>
          <w:sz w:val="20"/>
          <w:szCs w:val="20"/>
          <w:color w:val="auto"/>
        </w:rPr>
      </w:pPr>
    </w:p>
    <w:p>
      <w:pPr>
        <w:jc w:val="both"/>
        <w:ind w:left="9" w:right="200" w:firstLine="273"/>
        <w:spacing w:after="0" w:line="269" w:lineRule="auto"/>
        <w:rPr>
          <w:sz w:val="20"/>
          <w:szCs w:val="20"/>
          <w:color w:val="auto"/>
        </w:rPr>
      </w:pPr>
      <w:r>
        <w:rPr>
          <w:rFonts w:ascii="Times New Roman" w:cs="Times New Roman" w:eastAsia="Times New Roman" w:hAnsi="Times New Roman"/>
          <w:sz w:val="15"/>
          <w:szCs w:val="15"/>
          <w:color w:val="auto"/>
        </w:rPr>
        <w:t>In May 2020, we issued and sold an aggregate of 14,666,662 shares of our Series D-1 convertible preferred stock at a purchase price of $3.75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38"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5860" w:type="dxa"/>
            <w:vAlign w:val="bottom"/>
          </w:tcPr>
          <w:p>
            <w:pPr>
              <w:spacing w:after="0"/>
              <w:rPr>
                <w:sz w:val="12"/>
                <w:szCs w:val="12"/>
                <w:color w:val="auto"/>
              </w:rPr>
            </w:pPr>
          </w:p>
        </w:tc>
        <w:tc>
          <w:tcPr>
            <w:tcW w:w="3820" w:type="dxa"/>
            <w:vAlign w:val="bottom"/>
            <w:gridSpan w:val="2"/>
          </w:tcPr>
          <w:p>
            <w:pPr>
              <w:jc w:val="center"/>
              <w:ind w:left="2028"/>
              <w:spacing w:after="0"/>
              <w:rPr>
                <w:sz w:val="20"/>
                <w:szCs w:val="20"/>
                <w:color w:val="auto"/>
              </w:rPr>
            </w:pPr>
            <w:r>
              <w:rPr>
                <w:rFonts w:ascii="Times New Roman" w:cs="Times New Roman" w:eastAsia="Times New Roman" w:hAnsi="Times New Roman"/>
                <w:sz w:val="12"/>
                <w:szCs w:val="12"/>
                <w:b w:val="1"/>
                <w:bCs w:val="1"/>
                <w:color w:val="auto"/>
                <w:w w:val="99"/>
              </w:rPr>
              <w:t>Series D-1 Convertible</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0"/>
        </w:trPr>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3820" w:type="dxa"/>
            <w:vAlign w:val="bottom"/>
            <w:gridSpan w:val="2"/>
          </w:tcPr>
          <w:p>
            <w:pPr>
              <w:jc w:val="center"/>
              <w:ind w:left="2028"/>
              <w:spacing w:after="0"/>
              <w:rPr>
                <w:sz w:val="20"/>
                <w:szCs w:val="20"/>
                <w:color w:val="auto"/>
              </w:rPr>
            </w:pPr>
            <w:r>
              <w:rPr>
                <w:rFonts w:ascii="Times New Roman" w:cs="Times New Roman" w:eastAsia="Times New Roman" w:hAnsi="Times New Roman"/>
                <w:sz w:val="12"/>
                <w:szCs w:val="12"/>
                <w:b w:val="1"/>
                <w:bCs w:val="1"/>
                <w:color w:val="auto"/>
              </w:rPr>
              <w:t>Preferred Shares</w:t>
            </w:r>
          </w:p>
        </w:tc>
        <w:tc>
          <w:tcPr>
            <w:tcW w:w="180" w:type="dxa"/>
            <w:vAlign w:val="bottom"/>
          </w:tcPr>
          <w:p>
            <w:pPr>
              <w:spacing w:after="0"/>
              <w:rPr>
                <w:sz w:val="13"/>
                <w:szCs w:val="13"/>
                <w:color w:val="auto"/>
              </w:rPr>
            </w:pPr>
          </w:p>
        </w:tc>
        <w:tc>
          <w:tcPr>
            <w:tcW w:w="1400" w:type="dxa"/>
            <w:vAlign w:val="bottom"/>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Total Purchase Price</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8"/>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Emerson Collective Investments, LLC</w:t>
            </w:r>
          </w:p>
        </w:tc>
        <w:tc>
          <w:tcPr>
            <w:tcW w:w="3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373,333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1,399,999</w:t>
            </w: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aMoon Fund</w:t>
            </w:r>
            <w:r>
              <w:rPr>
                <w:rFonts w:ascii="Times New Roman" w:cs="Times New Roman" w:eastAsia="Times New Roman" w:hAnsi="Times New Roman"/>
                <w:sz w:val="19"/>
                <w:szCs w:val="19"/>
                <w:color w:val="auto"/>
                <w:vertAlign w:val="superscript"/>
              </w:rPr>
              <w:t>(1)</w:t>
            </w:r>
          </w:p>
        </w:tc>
        <w:tc>
          <w:tcPr>
            <w:tcW w:w="3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2,933,333</w:t>
            </w:r>
          </w:p>
        </w:tc>
        <w:tc>
          <w:tcPr>
            <w:tcW w:w="8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10,999,999</w:t>
            </w:r>
          </w:p>
        </w:tc>
      </w:tr>
      <w:tr>
        <w:trPr>
          <w:trHeight w:val="22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Entities affiliated with Fidelity</w:t>
            </w:r>
            <w:r>
              <w:rPr>
                <w:rFonts w:ascii="Times New Roman" w:cs="Times New Roman" w:eastAsia="Times New Roman" w:hAnsi="Times New Roman"/>
                <w:sz w:val="19"/>
                <w:szCs w:val="19"/>
                <w:color w:val="auto"/>
                <w:vertAlign w:val="superscript"/>
              </w:rPr>
              <w:t>(2)</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6,666,666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24,999,998</w:t>
            </w: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Maverick Capital Ventures, LLC</w:t>
            </w:r>
            <w:r>
              <w:rPr>
                <w:rFonts w:ascii="Times New Roman" w:cs="Times New Roman" w:eastAsia="Times New Roman" w:hAnsi="Times New Roman"/>
                <w:sz w:val="19"/>
                <w:szCs w:val="19"/>
                <w:color w:val="auto"/>
                <w:vertAlign w:val="superscript"/>
              </w:rPr>
              <w:t>(3)</w:t>
            </w:r>
          </w:p>
        </w:tc>
        <w:tc>
          <w:tcPr>
            <w:tcW w:w="3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800,000</w:t>
            </w:r>
          </w:p>
        </w:tc>
        <w:tc>
          <w:tcPr>
            <w:tcW w:w="8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r>
      <w:tr>
        <w:trPr>
          <w:trHeight w:val="22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Entities affiliated with T. Rowe Price</w:t>
            </w:r>
            <w:r>
              <w:rPr>
                <w:rFonts w:ascii="Times New Roman" w:cs="Times New Roman" w:eastAsia="Times New Roman" w:hAnsi="Times New Roman"/>
                <w:sz w:val="19"/>
                <w:szCs w:val="19"/>
                <w:color w:val="auto"/>
                <w:vertAlign w:val="superscript"/>
              </w:rPr>
              <w:t>(4)</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9,000,000</w:t>
            </w:r>
          </w:p>
        </w:tc>
      </w:tr>
      <w:tr>
        <w:trPr>
          <w:trHeight w:val="205"/>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Invus Public Equities, L.P.</w:t>
            </w:r>
          </w:p>
        </w:tc>
        <w:tc>
          <w:tcPr>
            <w:tcW w:w="3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533,333</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1,999,999</w:t>
            </w:r>
          </w:p>
        </w:tc>
      </w:tr>
      <w:tr>
        <w:trPr>
          <w:trHeight w:val="153"/>
        </w:trPr>
        <w:tc>
          <w:tcPr>
            <w:tcW w:w="586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w:t>
            </w: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r>
    </w:tbl>
    <w:p>
      <w:pPr>
        <w:ind w:left="269" w:hanging="269"/>
        <w:spacing w:after="0" w:line="237" w:lineRule="auto"/>
        <w:tabs>
          <w:tab w:leader="none" w:pos="269"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aMoon Fund whose shares are aggregated for the purposes of reporting ownership information include aMoon 2 Fund, Limited Partnership and aMoon Co-Investment SPV I, L.P.</w:t>
      </w:r>
    </w:p>
    <w:p>
      <w:pPr>
        <w:ind w:left="269" w:hanging="269"/>
        <w:spacing w:after="0" w:line="237" w:lineRule="auto"/>
        <w:tabs>
          <w:tab w:leader="none" w:pos="269"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Fidelity whose shares are aggregated for the purposes of reporting ownership information include Fidelity Growth Company Commingled Pool, Fidelity Mt. Vernon Street Trust: Fidelity Growth</w:t>
      </w:r>
    </w:p>
    <w:p>
      <w:pPr>
        <w:ind w:left="269" w:right="280"/>
        <w:spacing w:after="0" w:line="23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Fund, Fidelity Mt. Vernon Street Trust: Fidelity Growth Company K6 Fund, Fidelity Mt. Vernon Street Trust: Fidelity Series Growth Company Fund and Fidelity Select Portfolios Select Medical Technology and Devices Portfolio.</w:t>
      </w:r>
    </w:p>
    <w:p>
      <w:pPr>
        <w:ind w:left="269" w:right="260" w:hanging="269"/>
        <w:spacing w:after="0" w:line="237" w:lineRule="auto"/>
        <w:tabs>
          <w:tab w:leader="none" w:pos="263"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269" w:hanging="269"/>
        <w:spacing w:after="0"/>
        <w:tabs>
          <w:tab w:leader="none" w:pos="269"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T. Rowe Price include T. Rowe Price Health Sciences Portfolio, TD Mutual Funds - TD Health Sciences Fund, VALIC Company I - Health Sciences Fund and T. Rowe Price Health Sciences Fund, Inc.</w:t>
      </w:r>
    </w:p>
    <w:p>
      <w:pPr>
        <w:spacing w:after="0" w:line="12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Series D Convertible Preferred Stock Transaction</w:t>
      </w:r>
    </w:p>
    <w:p>
      <w:pPr>
        <w:spacing w:after="0" w:line="150" w:lineRule="exact"/>
        <w:rPr>
          <w:sz w:val="20"/>
          <w:szCs w:val="20"/>
          <w:color w:val="auto"/>
        </w:rPr>
      </w:pPr>
    </w:p>
    <w:p>
      <w:pPr>
        <w:ind w:left="9" w:right="60" w:firstLine="273"/>
        <w:spacing w:after="0" w:line="264" w:lineRule="auto"/>
        <w:rPr>
          <w:sz w:val="20"/>
          <w:szCs w:val="20"/>
          <w:color w:val="auto"/>
        </w:rPr>
      </w:pPr>
      <w:r>
        <w:rPr>
          <w:rFonts w:ascii="Times New Roman" w:cs="Times New Roman" w:eastAsia="Times New Roman" w:hAnsi="Times New Roman"/>
          <w:sz w:val="15"/>
          <w:szCs w:val="15"/>
          <w:color w:val="auto"/>
        </w:rPr>
        <w:t>In November 2019 and December 2019, we issued and sold an aggregate of 16,923,077 shares of our Series D convertible preferred stock shares at a purchase price of $3.25 per share for an aggregate purchase price of approximately $55.0 million. Purchasers of our Series D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800" w:type="dxa"/>
            <w:vAlign w:val="bottom"/>
            <w:gridSpan w:val="2"/>
          </w:tcPr>
          <w:p>
            <w:pPr>
              <w:jc w:val="center"/>
              <w:ind w:left="1989"/>
              <w:spacing w:after="0"/>
              <w:rPr>
                <w:sz w:val="20"/>
                <w:szCs w:val="20"/>
                <w:color w:val="auto"/>
              </w:rPr>
            </w:pPr>
            <w:r>
              <w:rPr>
                <w:rFonts w:ascii="Times New Roman" w:cs="Times New Roman" w:eastAsia="Times New Roman" w:hAnsi="Times New Roman"/>
                <w:sz w:val="12"/>
                <w:szCs w:val="12"/>
                <w:b w:val="1"/>
                <w:bCs w:val="1"/>
                <w:color w:val="auto"/>
                <w:w w:val="99"/>
              </w:rPr>
              <w:t>Series D Convertible</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3800" w:type="dxa"/>
            <w:vAlign w:val="bottom"/>
            <w:gridSpan w:val="2"/>
          </w:tcPr>
          <w:p>
            <w:pPr>
              <w:jc w:val="center"/>
              <w:ind w:left="2009"/>
              <w:spacing w:after="0"/>
              <w:rPr>
                <w:sz w:val="20"/>
                <w:szCs w:val="20"/>
                <w:color w:val="auto"/>
              </w:rPr>
            </w:pPr>
            <w:r>
              <w:rPr>
                <w:rFonts w:ascii="Times New Roman" w:cs="Times New Roman" w:eastAsia="Times New Roman" w:hAnsi="Times New Roman"/>
                <w:sz w:val="12"/>
                <w:szCs w:val="12"/>
                <w:b w:val="1"/>
                <w:bCs w:val="1"/>
                <w:color w:val="auto"/>
              </w:rPr>
              <w:t>Preferred Shares</w:t>
            </w:r>
          </w:p>
        </w:tc>
        <w:tc>
          <w:tcPr>
            <w:tcW w:w="180" w:type="dxa"/>
            <w:vAlign w:val="bottom"/>
          </w:tcPr>
          <w:p>
            <w:pPr>
              <w:spacing w:after="0"/>
              <w:rPr>
                <w:sz w:val="13"/>
                <w:szCs w:val="13"/>
                <w:color w:val="auto"/>
              </w:rPr>
            </w:pPr>
          </w:p>
        </w:tc>
        <w:tc>
          <w:tcPr>
            <w:tcW w:w="140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Total Purchase Price</w:t>
            </w:r>
          </w:p>
        </w:tc>
      </w:tr>
      <w:tr>
        <w:trPr>
          <w:trHeight w:val="21"/>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Emerson Collective Investments, LLC</w:t>
            </w:r>
          </w:p>
        </w:tc>
        <w:tc>
          <w:tcPr>
            <w:tcW w:w="3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1,133,739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3,684,652</w:t>
            </w:r>
          </w:p>
        </w:tc>
      </w:tr>
      <w:tr>
        <w:trPr>
          <w:trHeight w:val="227"/>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aMoon Fund</w:t>
            </w:r>
            <w:r>
              <w:rPr>
                <w:rFonts w:ascii="Times New Roman" w:cs="Times New Roman" w:eastAsia="Times New Roman" w:hAnsi="Times New Roman"/>
                <w:sz w:val="19"/>
                <w:szCs w:val="19"/>
                <w:color w:val="auto"/>
                <w:vertAlign w:val="superscript"/>
              </w:rPr>
              <w:t>(1)</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7,838,841</w:t>
            </w:r>
          </w:p>
        </w:tc>
        <w:tc>
          <w:tcPr>
            <w:tcW w:w="8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25,476,233</w:t>
            </w:r>
          </w:p>
        </w:tc>
      </w:tr>
      <w:tr>
        <w:trPr>
          <w:trHeight w:val="227"/>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Entities affiliated with Maverick Capital Ventures, LLC</w:t>
            </w:r>
            <w:r>
              <w:rPr>
                <w:rFonts w:ascii="Times New Roman" w:cs="Times New Roman" w:eastAsia="Times New Roman" w:hAnsi="Times New Roman"/>
                <w:sz w:val="19"/>
                <w:szCs w:val="19"/>
                <w:color w:val="auto"/>
                <w:vertAlign w:val="superscript"/>
              </w:rPr>
              <w:t>(2)</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3,515,486</w:t>
            </w:r>
          </w:p>
        </w:tc>
      </w:tr>
      <w:tr>
        <w:trPr>
          <w:trHeight w:val="227"/>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T. Rowe Price</w:t>
            </w:r>
            <w:r>
              <w:rPr>
                <w:rFonts w:ascii="Times New Roman" w:cs="Times New Roman" w:eastAsia="Times New Roman" w:hAnsi="Times New Roman"/>
                <w:sz w:val="19"/>
                <w:szCs w:val="19"/>
                <w:color w:val="auto"/>
                <w:vertAlign w:val="superscript"/>
              </w:rPr>
              <w:t>(3)</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2,769,230</w:t>
            </w:r>
          </w:p>
        </w:tc>
        <w:tc>
          <w:tcPr>
            <w:tcW w:w="8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8,999,998</w:t>
            </w:r>
          </w:p>
        </w:tc>
      </w:tr>
      <w:tr>
        <w:trPr>
          <w:trHeight w:val="207"/>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Invus Public Equities, L.P.</w:t>
            </w:r>
          </w:p>
        </w:tc>
        <w:tc>
          <w:tcPr>
            <w:tcW w:w="3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1,015,384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3,299,998</w:t>
            </w:r>
          </w:p>
        </w:tc>
      </w:tr>
      <w:tr>
        <w:trPr>
          <w:trHeight w:val="131"/>
        </w:trPr>
        <w:tc>
          <w:tcPr>
            <w:tcW w:w="20" w:type="dxa"/>
            <w:vAlign w:val="bottom"/>
          </w:tcPr>
          <w:p>
            <w:pPr>
              <w:spacing w:after="0"/>
              <w:rPr>
                <w:sz w:val="11"/>
                <w:szCs w:val="11"/>
                <w:color w:val="auto"/>
              </w:rPr>
            </w:pPr>
          </w:p>
        </w:tc>
        <w:tc>
          <w:tcPr>
            <w:tcW w:w="58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_________________</w:t>
            </w: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r>
    </w:tbl>
    <w:p>
      <w:pPr>
        <w:ind w:left="269" w:hanging="269"/>
        <w:spacing w:after="0" w:line="237" w:lineRule="auto"/>
        <w:tabs>
          <w:tab w:leader="none" w:pos="269"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aMoon Fund whose shares are aggregated for the purposes of reporting ownership information include aMoon 2 Fund, Limited Partnership and aMoon Co-Investment SPV I, L.P.</w:t>
      </w:r>
    </w:p>
    <w:p>
      <w:pPr>
        <w:ind w:left="269" w:right="260" w:hanging="269"/>
        <w:spacing w:after="0" w:line="237" w:lineRule="auto"/>
        <w:tabs>
          <w:tab w:leader="none" w:pos="263"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269" w:hanging="269"/>
        <w:spacing w:after="0"/>
        <w:tabs>
          <w:tab w:leader="none" w:pos="269"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T. Rowe Price include T. Rowe Price Health Sciences Portfolio, TD Mutual Funds - TD Health Sciences Fund, VALIC Company I - Health Sciences Fund and T. Rowe Price Health Sciences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153</w:t>
      </w:r>
    </w:p>
    <w:p>
      <w:pPr>
        <w:sectPr>
          <w:pgSz w:w="11900" w:h="16838" w:orient="portrait"/>
          <w:cols w:equalWidth="0" w:num="1">
            <w:col w:w="11269"/>
          </w:cols>
          <w:pgMar w:left="311" w:top="121" w:right="319" w:bottom="1440" w:gutter="0" w:footer="0" w:header="0"/>
        </w:sectPr>
      </w:pPr>
    </w:p>
    <w:bookmarkStart w:id="156" w:name="page157"/>
    <w:bookmarkEnd w:id="156"/>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Series C Convertible Preferred Stock Transaction</w:t>
      </w:r>
    </w:p>
    <w:p>
      <w:pPr>
        <w:spacing w:after="0" w:line="150" w:lineRule="exact"/>
        <w:rPr>
          <w:sz w:val="20"/>
          <w:szCs w:val="20"/>
          <w:color w:val="auto"/>
        </w:rPr>
      </w:pPr>
    </w:p>
    <w:p>
      <w:pPr>
        <w:ind w:left="9" w:right="300" w:firstLine="273"/>
        <w:spacing w:after="0" w:line="269" w:lineRule="auto"/>
        <w:rPr>
          <w:sz w:val="20"/>
          <w:szCs w:val="20"/>
          <w:color w:val="auto"/>
        </w:rPr>
      </w:pPr>
      <w:r>
        <w:rPr>
          <w:rFonts w:ascii="Times New Roman" w:cs="Times New Roman" w:eastAsia="Times New Roman" w:hAnsi="Times New Roman"/>
          <w:sz w:val="15"/>
          <w:szCs w:val="15"/>
          <w:color w:val="auto"/>
        </w:rPr>
        <w:t>In March and April 2019, we issued and sold an aggregate of 7,000,000 shares of our Series C convertible preferred stock at a purchase price of $2.50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69"/>
          </w:cols>
          <w:pgMar w:left="311" w:top="121" w:right="319" w:bottom="1440" w:gutter="0" w:footer="0" w:header="0"/>
        </w:sectPr>
      </w:pPr>
    </w:p>
    <w:p>
      <w:pPr>
        <w:spacing w:after="0" w:line="27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b w:val="1"/>
          <w:bCs w:val="1"/>
          <w:color w:val="auto"/>
        </w:rPr>
        <w:t>Investor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Series C Convertible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Preferred Shares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Total Purchase Price</w:t>
      </w:r>
    </w:p>
    <w:p>
      <w:pPr>
        <w:spacing w:after="0" w:line="34" w:lineRule="exact"/>
        <w:rPr>
          <w:sz w:val="20"/>
          <w:szCs w:val="20"/>
          <w:color w:val="auto"/>
        </w:rPr>
      </w:pPr>
    </w:p>
    <w:p>
      <w:pPr>
        <w:sectPr>
          <w:pgSz w:w="11900" w:h="16838" w:orient="portrait"/>
          <w:cols w:equalWidth="0" w:num="3">
            <w:col w:w="7569" w:space="720"/>
            <w:col w:w="1060" w:space="600"/>
            <w:col w:w="1320"/>
          </w:cols>
          <w:pgMar w:left="311" w:top="121" w:right="319" w:bottom="1440" w:gutter="0" w:footer="0" w:header="0"/>
          <w:type w:val="continuous"/>
        </w:sectPr>
      </w:pPr>
    </w:p>
    <w:tbl>
      <w:tblPr>
        <w:tblLayout w:type="fixed"/>
        <w:tblInd w:w="9" w:type="dxa"/>
        <w:tblCellMar>
          <w:top w:w="0" w:type="dxa"/>
          <w:left w:w="0" w:type="dxa"/>
          <w:bottom w:w="0" w:type="dxa"/>
          <w:right w:w="0" w:type="dxa"/>
        </w:tblCellMar>
      </w:tblPr>
      <w:tr>
        <w:trPr>
          <w:trHeight w:val="204"/>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Emerson Collective Investments, LLC</w:t>
            </w:r>
          </w:p>
        </w:tc>
        <w:tc>
          <w:tcPr>
            <w:tcW w:w="3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520,000</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1,300,000</w:t>
            </w:r>
          </w:p>
        </w:tc>
      </w:tr>
      <w:tr>
        <w:trPr>
          <w:trHeight w:val="193"/>
        </w:trPr>
        <w:tc>
          <w:tcPr>
            <w:tcW w:w="626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Entities affiliated with Maverick Capital Ventures, LLC</w:t>
            </w:r>
            <w:r>
              <w:rPr>
                <w:rFonts w:ascii="Times New Roman" w:cs="Times New Roman" w:eastAsia="Times New Roman" w:hAnsi="Times New Roman"/>
                <w:sz w:val="19"/>
                <w:szCs w:val="19"/>
                <w:color w:val="auto"/>
                <w:vertAlign w:val="superscript"/>
              </w:rPr>
              <w:t>(1)</w:t>
            </w:r>
          </w:p>
        </w:tc>
        <w:tc>
          <w:tcPr>
            <w:tcW w:w="3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880,000</w:t>
            </w:r>
          </w:p>
        </w:tc>
        <w:tc>
          <w:tcPr>
            <w:tcW w:w="80" w:type="dxa"/>
            <w:vAlign w:val="bottom"/>
          </w:tcPr>
          <w:p>
            <w:pPr>
              <w:spacing w:after="0"/>
              <w:rPr>
                <w:sz w:val="16"/>
                <w:szCs w:val="16"/>
                <w:color w:val="auto"/>
              </w:rPr>
            </w:pP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2,200,000</w:t>
            </w:r>
          </w:p>
        </w:tc>
      </w:tr>
      <w:tr>
        <w:trPr>
          <w:trHeight w:val="193"/>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Invus Public Equities, L.P.</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2,000,000</w:t>
            </w:r>
          </w:p>
        </w:tc>
      </w:tr>
      <w:tr>
        <w:trPr>
          <w:trHeight w:val="131"/>
        </w:trPr>
        <w:tc>
          <w:tcPr>
            <w:tcW w:w="62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_________________</w:t>
            </w:r>
          </w:p>
        </w:tc>
        <w:tc>
          <w:tcPr>
            <w:tcW w:w="3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ind w:left="269" w:right="260" w:hanging="269"/>
        <w:spacing w:after="0" w:line="247" w:lineRule="auto"/>
        <w:tabs>
          <w:tab w:leader="none" w:pos="263"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1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Series B Convertible Preferred Stock Transaction</w:t>
      </w:r>
    </w:p>
    <w:p>
      <w:pPr>
        <w:spacing w:after="0" w:line="150" w:lineRule="exact"/>
        <w:rPr>
          <w:sz w:val="20"/>
          <w:szCs w:val="20"/>
          <w:color w:val="auto"/>
        </w:rPr>
      </w:pPr>
    </w:p>
    <w:p>
      <w:pPr>
        <w:ind w:left="9" w:right="80" w:firstLine="273"/>
        <w:spacing w:after="0" w:line="269" w:lineRule="auto"/>
        <w:rPr>
          <w:sz w:val="20"/>
          <w:szCs w:val="20"/>
          <w:color w:val="auto"/>
        </w:rPr>
      </w:pPr>
      <w:r>
        <w:rPr>
          <w:rFonts w:ascii="Times New Roman" w:cs="Times New Roman" w:eastAsia="Times New Roman" w:hAnsi="Times New Roman"/>
          <w:sz w:val="15"/>
          <w:szCs w:val="15"/>
          <w:color w:val="auto"/>
        </w:rPr>
        <w:t>In March 2018, we issued and sold an aggregate of 16,920,470 shares of Series B convertible preferred stock at a purchase price of $1.773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69"/>
          </w:cols>
          <w:pgMar w:left="311" w:top="121" w:right="319" w:bottom="1440" w:gutter="0" w:footer="0" w:header="0"/>
          <w:type w:val="continuous"/>
        </w:sectPr>
      </w:pPr>
    </w:p>
    <w:p>
      <w:pPr>
        <w:spacing w:after="0" w:line="27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b w:val="1"/>
          <w:bCs w:val="1"/>
          <w:color w:val="auto"/>
        </w:rPr>
        <w:t>Investor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Series B Convertible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Preferred Shares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Total Purchase Price</w:t>
      </w:r>
    </w:p>
    <w:p>
      <w:pPr>
        <w:spacing w:after="0" w:line="34" w:lineRule="exact"/>
        <w:rPr>
          <w:sz w:val="20"/>
          <w:szCs w:val="20"/>
          <w:color w:val="auto"/>
        </w:rPr>
      </w:pPr>
    </w:p>
    <w:p>
      <w:pPr>
        <w:sectPr>
          <w:pgSz w:w="11900" w:h="16838" w:orient="portrait"/>
          <w:cols w:equalWidth="0" w:num="3">
            <w:col w:w="7569" w:space="720"/>
            <w:col w:w="1060" w:space="600"/>
            <w:col w:w="1320"/>
          </w:cols>
          <w:pgMar w:left="311" w:top="121" w:right="319" w:bottom="1440" w:gutter="0" w:footer="0" w:header="0"/>
          <w:type w:val="continuous"/>
        </w:sectPr>
      </w:pPr>
    </w:p>
    <w:tbl>
      <w:tblPr>
        <w:tblLayout w:type="fixed"/>
        <w:tblInd w:w="9"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Emerson Collective Investments, LLC</w:t>
            </w:r>
          </w:p>
        </w:tc>
        <w:tc>
          <w:tcPr>
            <w:tcW w:w="3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3,299,735</w:t>
            </w: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5,850,430</w:t>
            </w:r>
          </w:p>
        </w:tc>
      </w:tr>
      <w:tr>
        <w:trPr>
          <w:trHeight w:val="227"/>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Maverick Capital Ventures, LLC</w:t>
            </w:r>
            <w:r>
              <w:rPr>
                <w:rFonts w:ascii="Times New Roman" w:cs="Times New Roman" w:eastAsia="Times New Roman" w:hAnsi="Times New Roman"/>
                <w:sz w:val="19"/>
                <w:szCs w:val="19"/>
                <w:color w:val="auto"/>
                <w:vertAlign w:val="superscript"/>
              </w:rPr>
              <w:t>(1)</w:t>
            </w:r>
          </w:p>
        </w:tc>
        <w:tc>
          <w:tcPr>
            <w:tcW w:w="3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4,230,118</w:t>
            </w:r>
          </w:p>
        </w:tc>
        <w:tc>
          <w:tcPr>
            <w:tcW w:w="80" w:type="dxa"/>
            <w:vAlign w:val="bottom"/>
          </w:tcPr>
          <w:p>
            <w:pPr>
              <w:spacing w:after="0"/>
              <w:rPr>
                <w:sz w:val="19"/>
                <w:szCs w:val="19"/>
                <w:color w:val="auto"/>
              </w:rPr>
            </w:pPr>
          </w:p>
        </w:tc>
        <w:tc>
          <w:tcPr>
            <w:tcW w:w="46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7,499,999</w:t>
            </w:r>
          </w:p>
        </w:tc>
      </w:tr>
      <w:tr>
        <w:trPr>
          <w:trHeight w:val="207"/>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Invus Public Equities, L.P.</w:t>
            </w:r>
          </w:p>
        </w:tc>
        <w:tc>
          <w:tcPr>
            <w:tcW w:w="3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8,460,236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14,999,998</w:t>
            </w:r>
          </w:p>
        </w:tc>
      </w:tr>
      <w:tr>
        <w:trPr>
          <w:trHeight w:val="131"/>
        </w:trPr>
        <w:tc>
          <w:tcPr>
            <w:tcW w:w="20" w:type="dxa"/>
            <w:vAlign w:val="bottom"/>
          </w:tcPr>
          <w:p>
            <w:pPr>
              <w:spacing w:after="0"/>
              <w:rPr>
                <w:sz w:val="11"/>
                <w:szCs w:val="11"/>
                <w:color w:val="auto"/>
              </w:rPr>
            </w:pPr>
          </w:p>
        </w:tc>
        <w:tc>
          <w:tcPr>
            <w:tcW w:w="620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_________________</w:t>
            </w:r>
          </w:p>
        </w:tc>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ind w:left="269" w:right="260" w:hanging="269"/>
        <w:spacing w:after="0" w:line="247" w:lineRule="auto"/>
        <w:tabs>
          <w:tab w:leader="none" w:pos="26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1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Series A Convertible Preferred Stock Transaction</w:t>
      </w:r>
    </w:p>
    <w:p>
      <w:pPr>
        <w:spacing w:after="0" w:line="150" w:lineRule="exact"/>
        <w:rPr>
          <w:sz w:val="20"/>
          <w:szCs w:val="20"/>
          <w:color w:val="auto"/>
        </w:rPr>
      </w:pPr>
    </w:p>
    <w:p>
      <w:pPr>
        <w:ind w:left="9" w:right="420" w:firstLine="273"/>
        <w:spacing w:after="0" w:line="269" w:lineRule="auto"/>
        <w:rPr>
          <w:sz w:val="20"/>
          <w:szCs w:val="20"/>
          <w:color w:val="auto"/>
        </w:rPr>
      </w:pPr>
      <w:r>
        <w:rPr>
          <w:rFonts w:ascii="Times New Roman" w:cs="Times New Roman" w:eastAsia="Times New Roman" w:hAnsi="Times New Roman"/>
          <w:sz w:val="15"/>
          <w:szCs w:val="15"/>
          <w:color w:val="auto"/>
        </w:rPr>
        <w:t>In December 2017, we issued and sold an aggregate of 6,607,201 shares of our Series A convertible preferred stock at a purchase price of $0.9081 per share for an aggregate purchase price of approximately $6.0 million. Purchasers of our Series A convertible preferred stock included certain of our officers and directors. The following table presents the number of shares and the total purchase price paid by these persons.</w:t>
      </w:r>
    </w:p>
    <w:p>
      <w:pPr>
        <w:spacing w:after="0" w:line="138"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3800" w:type="dxa"/>
            <w:vAlign w:val="bottom"/>
            <w:gridSpan w:val="2"/>
          </w:tcPr>
          <w:p>
            <w:pPr>
              <w:jc w:val="center"/>
              <w:ind w:left="1989"/>
              <w:spacing w:after="0"/>
              <w:rPr>
                <w:sz w:val="20"/>
                <w:szCs w:val="20"/>
                <w:color w:val="auto"/>
              </w:rPr>
            </w:pPr>
            <w:r>
              <w:rPr>
                <w:rFonts w:ascii="Times New Roman" w:cs="Times New Roman" w:eastAsia="Times New Roman" w:hAnsi="Times New Roman"/>
                <w:sz w:val="12"/>
                <w:szCs w:val="12"/>
                <w:b w:val="1"/>
                <w:bCs w:val="1"/>
                <w:color w:val="auto"/>
                <w:w w:val="99"/>
              </w:rPr>
              <w:t>Series A Convertible</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0"/>
        </w:trPr>
        <w:tc>
          <w:tcPr>
            <w:tcW w:w="5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3800" w:type="dxa"/>
            <w:vAlign w:val="bottom"/>
            <w:gridSpan w:val="2"/>
          </w:tcPr>
          <w:p>
            <w:pPr>
              <w:jc w:val="center"/>
              <w:ind w:left="2009"/>
              <w:spacing w:after="0"/>
              <w:rPr>
                <w:sz w:val="20"/>
                <w:szCs w:val="20"/>
                <w:color w:val="auto"/>
              </w:rPr>
            </w:pPr>
            <w:r>
              <w:rPr>
                <w:rFonts w:ascii="Times New Roman" w:cs="Times New Roman" w:eastAsia="Times New Roman" w:hAnsi="Times New Roman"/>
                <w:sz w:val="12"/>
                <w:szCs w:val="12"/>
                <w:b w:val="1"/>
                <w:bCs w:val="1"/>
                <w:color w:val="auto"/>
              </w:rPr>
              <w:t>Preferred Shares</w:t>
            </w:r>
          </w:p>
        </w:tc>
        <w:tc>
          <w:tcPr>
            <w:tcW w:w="180" w:type="dxa"/>
            <w:vAlign w:val="bottom"/>
          </w:tcPr>
          <w:p>
            <w:pPr>
              <w:spacing w:after="0"/>
              <w:rPr>
                <w:sz w:val="13"/>
                <w:szCs w:val="13"/>
                <w:color w:val="auto"/>
              </w:rPr>
            </w:pPr>
          </w:p>
        </w:tc>
        <w:tc>
          <w:tcPr>
            <w:tcW w:w="140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Total Purchase Price</w:t>
            </w:r>
          </w:p>
        </w:tc>
      </w:tr>
      <w:tr>
        <w:trPr>
          <w:trHeight w:val="21"/>
        </w:trPr>
        <w:tc>
          <w:tcPr>
            <w:tcW w:w="58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4"/>
        </w:trPr>
        <w:tc>
          <w:tcPr>
            <w:tcW w:w="58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5"/>
                <w:szCs w:val="15"/>
                <w:color w:val="auto"/>
              </w:rPr>
              <w:t>Dynamics Group LLC</w:t>
            </w:r>
            <w:r>
              <w:rPr>
                <w:rFonts w:ascii="Times New Roman" w:cs="Times New Roman" w:eastAsia="Times New Roman" w:hAnsi="Times New Roman"/>
                <w:sz w:val="19"/>
                <w:szCs w:val="19"/>
                <w:color w:val="auto"/>
                <w:vertAlign w:val="superscript"/>
              </w:rPr>
              <w:t>(1)</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220,240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w:t>
            </w:r>
          </w:p>
        </w:tc>
      </w:tr>
      <w:tr>
        <w:trPr>
          <w:trHeight w:val="193"/>
        </w:trPr>
        <w:tc>
          <w:tcPr>
            <w:tcW w:w="588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Entities affiliated with Maverick Capital Ventures, LLC</w:t>
            </w:r>
            <w:r>
              <w:rPr>
                <w:rFonts w:ascii="Times New Roman" w:cs="Times New Roman" w:eastAsia="Times New Roman" w:hAnsi="Times New Roman"/>
                <w:sz w:val="19"/>
                <w:szCs w:val="19"/>
                <w:color w:val="auto"/>
                <w:vertAlign w:val="superscript"/>
              </w:rPr>
              <w:t>(2)</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4,404,801</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4,000,000</w:t>
            </w:r>
          </w:p>
        </w:tc>
      </w:tr>
      <w:tr>
        <w:trPr>
          <w:trHeight w:val="193"/>
        </w:trPr>
        <w:tc>
          <w:tcPr>
            <w:tcW w:w="58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Philip Ma, Ph.D.</w:t>
            </w:r>
            <w:r>
              <w:rPr>
                <w:rFonts w:ascii="Times New Roman" w:cs="Times New Roman" w:eastAsia="Times New Roman" w:hAnsi="Times New Roman"/>
                <w:sz w:val="19"/>
                <w:szCs w:val="19"/>
                <w:color w:val="auto"/>
                <w:vertAlign w:val="superscript"/>
              </w:rPr>
              <w:t>(3)</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220,240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w:t>
            </w:r>
          </w:p>
        </w:tc>
      </w:tr>
      <w:tr>
        <w:trPr>
          <w:trHeight w:val="193"/>
        </w:trPr>
        <w:tc>
          <w:tcPr>
            <w:tcW w:w="588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Robert Langer, Sc.D.</w:t>
            </w:r>
            <w:r>
              <w:rPr>
                <w:rFonts w:ascii="Times New Roman" w:cs="Times New Roman" w:eastAsia="Times New Roman" w:hAnsi="Times New Roman"/>
                <w:sz w:val="19"/>
                <w:szCs w:val="19"/>
                <w:color w:val="auto"/>
                <w:vertAlign w:val="superscript"/>
              </w:rPr>
              <w:t>(4)</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440,480</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400,000</w:t>
            </w:r>
          </w:p>
        </w:tc>
      </w:tr>
      <w:tr>
        <w:trPr>
          <w:trHeight w:val="193"/>
        </w:trPr>
        <w:tc>
          <w:tcPr>
            <w:tcW w:w="58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Strong Bridge LLC</w:t>
            </w:r>
            <w:r>
              <w:rPr>
                <w:rFonts w:ascii="Times New Roman" w:cs="Times New Roman" w:eastAsia="Times New Roman" w:hAnsi="Times New Roman"/>
                <w:sz w:val="19"/>
                <w:szCs w:val="19"/>
                <w:color w:val="auto"/>
                <w:vertAlign w:val="superscript"/>
              </w:rPr>
              <w:t>(5)</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r>
      <w:tr>
        <w:trPr>
          <w:trHeight w:val="131"/>
        </w:trPr>
        <w:tc>
          <w:tcPr>
            <w:tcW w:w="58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_________________</w:t>
            </w: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r>
    </w:tbl>
    <w:p>
      <w:pPr>
        <w:ind w:left="269" w:hanging="269"/>
        <w:spacing w:after="0"/>
        <w:tabs>
          <w:tab w:leader="none" w:pos="269"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Omid Farokhzad, M.D., is our Chief Executive Officer and the chair of our board of directors and is the sole member of Dynamics Group LLC.</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154</w:t>
      </w:r>
    </w:p>
    <w:p>
      <w:pPr>
        <w:sectPr>
          <w:pgSz w:w="11900" w:h="16838" w:orient="portrait"/>
          <w:cols w:equalWidth="0" w:num="1">
            <w:col w:w="11269"/>
          </w:cols>
          <w:pgMar w:left="311" w:top="121" w:right="319" w:bottom="1440" w:gutter="0" w:footer="0" w:header="0"/>
          <w:type w:val="continuous"/>
        </w:sectPr>
      </w:pPr>
    </w:p>
    <w:bookmarkStart w:id="157" w:name="page158"/>
    <w:bookmarkEnd w:id="157"/>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9" w:right="240" w:hanging="269"/>
        <w:spacing w:after="0" w:line="249" w:lineRule="auto"/>
        <w:tabs>
          <w:tab w:leader="none" w:pos="26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269" w:hanging="269"/>
        <w:spacing w:after="0" w:line="237" w:lineRule="auto"/>
        <w:tabs>
          <w:tab w:leader="none" w:pos="269"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Philip Ma, Ph.D. is a founder, and, at the time of purchase, was the President and Chief Business Officer of the Company.</w:t>
      </w:r>
    </w:p>
    <w:p>
      <w:pPr>
        <w:ind w:left="269" w:hanging="269"/>
        <w:spacing w:after="0" w:line="237" w:lineRule="auto"/>
        <w:tabs>
          <w:tab w:leader="none" w:pos="269"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Robert Langer, Sc.D. is a member of our board of directors.</w:t>
      </w:r>
    </w:p>
    <w:p>
      <w:pPr>
        <w:ind w:left="269" w:hanging="269"/>
        <w:spacing w:after="0"/>
        <w:tabs>
          <w:tab w:leader="none" w:pos="269"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Terrance McGuire is a member of our board of directors and is an operating manager of Strong Bridge LLC.</w:t>
      </w:r>
    </w:p>
    <w:p>
      <w:pPr>
        <w:spacing w:after="0" w:line="12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Investors’ Rights Agreement</w:t>
      </w:r>
    </w:p>
    <w:p>
      <w:pPr>
        <w:spacing w:after="0" w:line="150" w:lineRule="exact"/>
        <w:rPr>
          <w:sz w:val="20"/>
          <w:szCs w:val="20"/>
          <w:color w:val="auto"/>
        </w:rPr>
      </w:pPr>
    </w:p>
    <w:p>
      <w:pPr>
        <w:ind w:left="9" w:right="40" w:firstLine="273"/>
        <w:spacing w:after="0" w:line="259" w:lineRule="auto"/>
        <w:rPr>
          <w:sz w:val="20"/>
          <w:szCs w:val="20"/>
          <w:color w:val="auto"/>
        </w:rPr>
      </w:pPr>
      <w:r>
        <w:rPr>
          <w:rFonts w:ascii="Times New Roman" w:cs="Times New Roman" w:eastAsia="Times New Roman" w:hAnsi="Times New Roman"/>
          <w:sz w:val="15"/>
          <w:szCs w:val="15"/>
          <w:color w:val="auto"/>
        </w:rPr>
        <w:t>We are party to an amended and restated investors’ rights agreement, dated as of May 12, 2020 (IRA), which provides, among other things, that certain holders of our capital stock have the right to demand that we file a registration statement or request that their shares of our capital stock be covered by a registration statement that we are otherwise filing. In connection with the concurrent private placement, the IRA will be amended and restated to add the purchasers in the concurrent private placement as parties with the same rights, including registration rights, as certain of the prior holders of our capital stock.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IRA and they will remain parties to the amended and restated IRA.</w:t>
      </w:r>
    </w:p>
    <w:p>
      <w:pPr>
        <w:spacing w:after="0" w:line="11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See the section titled “Description of Capital Stock—Registration Rights” for additional information regarding these registration rights.</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Right of First Refusal</w:t>
      </w:r>
    </w:p>
    <w:p>
      <w:pPr>
        <w:spacing w:after="0" w:line="150" w:lineRule="exact"/>
        <w:rPr>
          <w:sz w:val="20"/>
          <w:szCs w:val="20"/>
          <w:color w:val="auto"/>
        </w:rPr>
      </w:pPr>
    </w:p>
    <w:p>
      <w:pPr>
        <w:ind w:left="9" w:firstLine="273"/>
        <w:spacing w:after="0" w:line="261" w:lineRule="auto"/>
        <w:rPr>
          <w:sz w:val="20"/>
          <w:szCs w:val="20"/>
          <w:color w:val="auto"/>
        </w:rPr>
      </w:pPr>
      <w:r>
        <w:rPr>
          <w:rFonts w:ascii="Times New Roman" w:cs="Times New Roman" w:eastAsia="Times New Roman" w:hAnsi="Times New Roman"/>
          <w:sz w:val="15"/>
          <w:szCs w:val="15"/>
          <w:color w:val="auto"/>
        </w:rPr>
        <w:t>Pursuant to certain of our equity compensation plans and certain agreements with our stockholders, including an amended and restated right of first refusal and co-sale agreement, dated as of May 12, 2020, we or our assignees have a right to purchase shares of our capital stock which stockholders propose to sell to other parties. This right will terminate upon completion of this offering.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right of first refusal and co-sale agreement.</w:t>
      </w:r>
    </w:p>
    <w:p>
      <w:pPr>
        <w:spacing w:after="0" w:line="10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Voting Agreement</w:t>
      </w:r>
    </w:p>
    <w:p>
      <w:pPr>
        <w:spacing w:after="0" w:line="150" w:lineRule="exact"/>
        <w:rPr>
          <w:sz w:val="20"/>
          <w:szCs w:val="20"/>
          <w:color w:val="auto"/>
        </w:rPr>
      </w:pPr>
    </w:p>
    <w:p>
      <w:pPr>
        <w:ind w:left="9" w:right="40" w:firstLine="273"/>
        <w:spacing w:after="0" w:line="261" w:lineRule="auto"/>
        <w:rPr>
          <w:sz w:val="20"/>
          <w:szCs w:val="20"/>
          <w:color w:val="auto"/>
        </w:rPr>
      </w:pPr>
      <w:r>
        <w:rPr>
          <w:rFonts w:ascii="Times New Roman" w:cs="Times New Roman" w:eastAsia="Times New Roman" w:hAnsi="Times New Roman"/>
          <w:sz w:val="15"/>
          <w:szCs w:val="15"/>
          <w:color w:val="auto"/>
        </w:rPr>
        <w:t>We are party to a voting agreement, dated as of May 12, 2020, under which certain holders of our capital stock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voting agreement.</w:t>
      </w:r>
    </w:p>
    <w:p>
      <w:pPr>
        <w:spacing w:after="0" w:line="10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Other Transactions</w:t>
      </w:r>
    </w:p>
    <w:p>
      <w:pPr>
        <w:spacing w:after="0" w:line="150" w:lineRule="exact"/>
        <w:rPr>
          <w:sz w:val="20"/>
          <w:szCs w:val="20"/>
          <w:color w:val="auto"/>
        </w:rPr>
      </w:pPr>
    </w:p>
    <w:p>
      <w:pPr>
        <w:ind w:left="9" w:right="20" w:firstLine="273"/>
        <w:spacing w:after="0" w:line="286" w:lineRule="auto"/>
        <w:rPr>
          <w:sz w:val="20"/>
          <w:szCs w:val="20"/>
          <w:color w:val="auto"/>
        </w:rPr>
      </w:pPr>
      <w:r>
        <w:rPr>
          <w:rFonts w:ascii="Times New Roman" w:cs="Times New Roman" w:eastAsia="Times New Roman" w:hAnsi="Times New Roman"/>
          <w:sz w:val="15"/>
          <w:szCs w:val="15"/>
          <w:color w:val="auto"/>
        </w:rPr>
        <w:t>We have granted stock options, RSAs and RSUs to our executive officers and certain of our directors. See the sections titled “Executive Compensation—Outstanding Equity Awards at Fiscal Year-End” and “Management—Director Compensation” for a description of these stock incentive awards.</w:t>
      </w:r>
    </w:p>
    <w:p>
      <w:pPr>
        <w:spacing w:after="0" w:line="89" w:lineRule="exact"/>
        <w:rPr>
          <w:sz w:val="20"/>
          <w:szCs w:val="20"/>
          <w:color w:val="auto"/>
        </w:rPr>
      </w:pPr>
    </w:p>
    <w:p>
      <w:pPr>
        <w:jc w:val="both"/>
        <w:ind w:left="9" w:right="280" w:firstLine="273"/>
        <w:spacing w:after="0" w:line="269" w:lineRule="auto"/>
        <w:rPr>
          <w:sz w:val="20"/>
          <w:szCs w:val="20"/>
          <w:color w:val="auto"/>
        </w:rPr>
      </w:pPr>
      <w:r>
        <w:rPr>
          <w:rFonts w:ascii="Times New Roman" w:cs="Times New Roman" w:eastAsia="Times New Roman" w:hAnsi="Times New Roman"/>
          <w:sz w:val="15"/>
          <w:szCs w:val="15"/>
          <w:color w:val="auto"/>
        </w:rPr>
        <w:t>On November 12, 2020, we entered into a purchase agreement with Fidelity Management &amp; Research Company LLC, SoftBank, certain funds and accounts advised by T. Rowe Price Associates, Inc. and aMoon Fund to purchase an aggregate of $135.0 million of our Class A common stock in a private placement at a price per share equal to the initial public offering price. The purchase of these shares will occur immediately subsequent to the closing of this offering.</w:t>
      </w:r>
    </w:p>
    <w:p>
      <w:pPr>
        <w:spacing w:after="0" w:line="101" w:lineRule="exact"/>
        <w:rPr>
          <w:sz w:val="20"/>
          <w:szCs w:val="20"/>
          <w:color w:val="auto"/>
        </w:rPr>
      </w:pPr>
    </w:p>
    <w:p>
      <w:pPr>
        <w:ind w:left="9" w:right="60" w:firstLine="273"/>
        <w:spacing w:after="0" w:line="286" w:lineRule="auto"/>
        <w:rPr>
          <w:sz w:val="20"/>
          <w:szCs w:val="20"/>
          <w:color w:val="auto"/>
        </w:rPr>
      </w:pPr>
      <w:r>
        <w:rPr>
          <w:rFonts w:ascii="Times New Roman" w:cs="Times New Roman" w:eastAsia="Times New Roman" w:hAnsi="Times New Roman"/>
          <w:sz w:val="15"/>
          <w:szCs w:val="15"/>
          <w:color w:val="auto"/>
        </w:rPr>
        <w:t>Other than as described above under this section titled “Certain Relationships and Related Party Transactions,” since January 1, 2017, we have not entered into any transactions, nor are there any currently proposed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155</w:t>
      </w:r>
    </w:p>
    <w:p>
      <w:pPr>
        <w:sectPr>
          <w:pgSz w:w="11900" w:h="16838" w:orient="portrait"/>
          <w:cols w:equalWidth="0" w:num="1">
            <w:col w:w="11249"/>
          </w:cols>
          <w:pgMar w:left="311" w:top="121" w:right="339" w:bottom="1440" w:gutter="0" w:footer="0" w:header="0"/>
        </w:sectPr>
      </w:pPr>
    </w:p>
    <w:bookmarkStart w:id="158" w:name="page159"/>
    <w:bookmarkEnd w:id="15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 of Liability and Indemnification of Officers and Directors</w:t>
      </w:r>
    </w:p>
    <w:p>
      <w:pPr>
        <w:spacing w:after="0" w:line="150" w:lineRule="exact"/>
        <w:rPr>
          <w:sz w:val="20"/>
          <w:szCs w:val="20"/>
          <w:color w:val="auto"/>
        </w:rPr>
      </w:pPr>
    </w:p>
    <w:p>
      <w:pPr>
        <w:ind w:right="60" w:firstLine="273"/>
        <w:spacing w:after="0" w:line="269" w:lineRule="auto"/>
        <w:rPr>
          <w:sz w:val="20"/>
          <w:szCs w:val="20"/>
          <w:color w:val="auto"/>
        </w:rPr>
      </w:pPr>
      <w:r>
        <w:rPr>
          <w:rFonts w:ascii="Times New Roman" w:cs="Times New Roman" w:eastAsia="Times New Roman" w:hAnsi="Times New Roman"/>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01" w:lineRule="exact"/>
        <w:rPr>
          <w:sz w:val="20"/>
          <w:szCs w:val="20"/>
          <w:color w:val="auto"/>
        </w:rPr>
      </w:pPr>
    </w:p>
    <w:p>
      <w:pPr>
        <w:ind w:left="540" w:hanging="277"/>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their duty of loyalty to our company or our stockholders;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unlawful payments of dividends or unlawful stock repurchases or redemptions as provided in Section 174 of the Delaware General Corporation Law; or</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they derived an improper personal benefit.</w:t>
      </w:r>
    </w:p>
    <w:p>
      <w:pPr>
        <w:spacing w:after="0" w:line="146"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01" w:lineRule="exact"/>
        <w:rPr>
          <w:sz w:val="20"/>
          <w:szCs w:val="20"/>
          <w:color w:val="auto"/>
        </w:rPr>
      </w:pPr>
    </w:p>
    <w:p>
      <w:pPr>
        <w:ind w:right="40" w:firstLine="273"/>
        <w:spacing w:after="0" w:line="258" w:lineRule="auto"/>
        <w:rPr>
          <w:sz w:val="20"/>
          <w:szCs w:val="20"/>
          <w:color w:val="auto"/>
        </w:rPr>
      </w:pPr>
      <w:r>
        <w:rPr>
          <w:rFonts w:ascii="Times New Roman" w:cs="Times New Roman" w:eastAsia="Times New Roman" w:hAnsi="Times New Roman"/>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10" w:lineRule="exact"/>
        <w:rPr>
          <w:sz w:val="20"/>
          <w:szCs w:val="20"/>
          <w:color w:val="auto"/>
        </w:rPr>
      </w:pPr>
    </w:p>
    <w:p>
      <w:pPr>
        <w:ind w:right="160" w:firstLine="273"/>
        <w:spacing w:after="0" w:line="261" w:lineRule="auto"/>
        <w:rPr>
          <w:sz w:val="20"/>
          <w:szCs w:val="20"/>
          <w:color w:val="auto"/>
        </w:rPr>
      </w:pPr>
      <w:r>
        <w:rPr>
          <w:rFonts w:ascii="Times New Roman" w:cs="Times New Roman" w:eastAsia="Times New Roman" w:hAnsi="Times New Roman"/>
          <w:sz w:val="15"/>
          <w:szCs w:val="15"/>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07" w:lineRule="exact"/>
        <w:rPr>
          <w:sz w:val="20"/>
          <w:szCs w:val="20"/>
          <w:color w:val="auto"/>
        </w:rPr>
      </w:pPr>
    </w:p>
    <w:p>
      <w:pPr>
        <w:ind w:right="20" w:firstLine="273"/>
        <w:spacing w:after="0" w:line="259" w:lineRule="auto"/>
        <w:rPr>
          <w:sz w:val="20"/>
          <w:szCs w:val="20"/>
          <w:color w:val="auto"/>
        </w:rPr>
      </w:pPr>
      <w:r>
        <w:rPr>
          <w:rFonts w:ascii="Times New Roman" w:cs="Times New Roman" w:eastAsia="Times New Roman" w:hAnsi="Times New Roman"/>
          <w:sz w:val="15"/>
          <w:szCs w:val="15"/>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156</w:t>
      </w:r>
    </w:p>
    <w:p>
      <w:pPr>
        <w:sectPr>
          <w:pgSz w:w="11900" w:h="16838" w:orient="portrait"/>
          <w:cols w:equalWidth="0" w:num="1">
            <w:col w:w="11220"/>
          </w:cols>
          <w:pgMar w:left="320" w:top="121" w:right="359" w:bottom="1440" w:gutter="0" w:footer="0" w:header="0"/>
        </w:sectPr>
      </w:pPr>
    </w:p>
    <w:bookmarkStart w:id="159" w:name="page160"/>
    <w:bookmarkEnd w:id="15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5"/>
          <w:szCs w:val="15"/>
          <w:color w:val="auto"/>
        </w:rPr>
        <w:t>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89"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01" w:lineRule="exact"/>
        <w:rPr>
          <w:sz w:val="20"/>
          <w:szCs w:val="20"/>
          <w:color w:val="auto"/>
        </w:rPr>
      </w:pPr>
    </w:p>
    <w:p>
      <w:pPr>
        <w:ind w:right="500" w:firstLine="273"/>
        <w:spacing w:after="0" w:line="286" w:lineRule="auto"/>
        <w:rPr>
          <w:sz w:val="20"/>
          <w:szCs w:val="20"/>
          <w:color w:val="auto"/>
        </w:rPr>
      </w:pPr>
      <w:r>
        <w:rPr>
          <w:rFonts w:ascii="Times New Roman" w:cs="Times New Roman" w:eastAsia="Times New Roman" w:hAnsi="Times New Roman"/>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89" w:lineRule="exact"/>
        <w:rPr>
          <w:sz w:val="20"/>
          <w:szCs w:val="20"/>
          <w:color w:val="auto"/>
        </w:rPr>
      </w:pPr>
    </w:p>
    <w:p>
      <w:pPr>
        <w:ind w:right="480" w:firstLine="273"/>
        <w:spacing w:after="0" w:line="286" w:lineRule="auto"/>
        <w:rPr>
          <w:sz w:val="20"/>
          <w:szCs w:val="20"/>
          <w:color w:val="auto"/>
        </w:rPr>
      </w:pPr>
      <w:r>
        <w:rPr>
          <w:rFonts w:ascii="Times New Roman" w:cs="Times New Roman" w:eastAsia="Times New Roman" w:hAnsi="Times New Roman"/>
          <w:sz w:val="15"/>
          <w:szCs w:val="15"/>
          <w:color w:val="auto"/>
        </w:rPr>
        <w:t>The underwriting agreement will provide for indemnification by the underwriters of us and our officers and directors for certain liabilities arising under the Securities Act or otherwise.</w:t>
      </w:r>
    </w:p>
    <w:p>
      <w:pPr>
        <w:spacing w:after="0" w:line="89" w:lineRule="exact"/>
        <w:rPr>
          <w:sz w:val="20"/>
          <w:szCs w:val="20"/>
          <w:color w:val="auto"/>
        </w:rPr>
      </w:pPr>
    </w:p>
    <w:p>
      <w:pPr>
        <w:jc w:val="both"/>
        <w:ind w:right="440" w:firstLine="273"/>
        <w:spacing w:after="0" w:line="286"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Policies and Procedures for Related Party Transactions</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157</w:t>
      </w:r>
    </w:p>
    <w:p>
      <w:pPr>
        <w:sectPr>
          <w:pgSz w:w="11900" w:h="16838" w:orient="portrait"/>
          <w:cols w:equalWidth="0" w:num="1">
            <w:col w:w="11200"/>
          </w:cols>
          <w:pgMar w:left="320" w:top="121" w:right="379" w:bottom="1440" w:gutter="0" w:footer="0" w:header="0"/>
        </w:sectPr>
      </w:pPr>
    </w:p>
    <w:bookmarkStart w:id="160" w:name="page161"/>
    <w:bookmarkEnd w:id="16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50" w:lineRule="exact"/>
        <w:rPr>
          <w:sz w:val="20"/>
          <w:szCs w:val="20"/>
          <w:color w:val="auto"/>
        </w:rPr>
      </w:pPr>
    </w:p>
    <w:p>
      <w:pPr>
        <w:ind w:right="180" w:firstLine="273"/>
        <w:spacing w:after="0" w:line="269" w:lineRule="auto"/>
        <w:rPr>
          <w:sz w:val="20"/>
          <w:szCs w:val="20"/>
          <w:color w:val="auto"/>
        </w:rPr>
      </w:pPr>
      <w:r>
        <w:rPr>
          <w:rFonts w:ascii="Times New Roman" w:cs="Times New Roman" w:eastAsia="Times New Roman" w:hAnsi="Times New Roman"/>
          <w:sz w:val="15"/>
          <w:szCs w:val="15"/>
          <w:color w:val="auto"/>
        </w:rPr>
        <w:t>The following table sets forth certain information with respect to the beneficial ownership of our capital stock as of September 30, 2020, and as adjusted to reflect the sale of our Class A common stock in this offering, the concurrent private placement, assuming no exercise of the underwriters’ option to purchase additional shares of our Class A common stock and the secondary transaction, for:</w:t>
      </w:r>
    </w:p>
    <w:p>
      <w:pPr>
        <w:spacing w:after="0" w:line="101" w:lineRule="exact"/>
        <w:rPr>
          <w:sz w:val="20"/>
          <w:szCs w:val="20"/>
          <w:color w:val="auto"/>
        </w:rPr>
      </w:pPr>
    </w:p>
    <w:p>
      <w:pPr>
        <w:ind w:left="540" w:hanging="277"/>
        <w:spacing w:after="0"/>
        <w:tabs>
          <w:tab w:leader="none" w:pos="5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current directors and executive officers as a group;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by us to be the beneficial owner of more than 5% of the outstanding shares of each of our Class A common stock and Class B common stock.</w:t>
      </w:r>
    </w:p>
    <w:p>
      <w:pPr>
        <w:spacing w:after="0" w:line="146" w:lineRule="exact"/>
        <w:rPr>
          <w:sz w:val="20"/>
          <w:szCs w:val="20"/>
          <w:color w:val="auto"/>
        </w:rPr>
      </w:pPr>
    </w:p>
    <w:p>
      <w:pPr>
        <w:ind w:right="240" w:firstLine="273"/>
        <w:spacing w:after="0" w:line="264" w:lineRule="auto"/>
        <w:rPr>
          <w:sz w:val="20"/>
          <w:szCs w:val="20"/>
          <w:color w:val="auto"/>
        </w:rPr>
      </w:pPr>
      <w:r>
        <w:rPr>
          <w:rFonts w:ascii="Times New Roman" w:cs="Times New Roman" w:eastAsia="Times New Roman" w:hAnsi="Times New Roman"/>
          <w:sz w:val="15"/>
          <w:szCs w:val="15"/>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04"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We have based our calculation of the percentage of beneficial ownership prior to this offering, the concurrent private placement and the secondary transaction on 7,054,694 shares of our Class A common stock and 20,000,000 shares of our Class B common stock outstanding as of September 30, 2020, and 62,117,410 shares of our Class A common stock resulting from the automatic conversion of all outstanding shares of our convertible preferred stock into our Class A common stock immediately prior to the completion of this offering, as if this conversion had occurred as of September 30, 2020. We have based our calculation of the percentage of beneficial ownership after this offering, the concurrent private placement and the</w:t>
      </w:r>
    </w:p>
    <w:p>
      <w:pPr>
        <w:ind w:right="440"/>
        <w:spacing w:after="0" w:line="252" w:lineRule="auto"/>
        <w:rPr>
          <w:sz w:val="20"/>
          <w:szCs w:val="20"/>
          <w:color w:val="auto"/>
        </w:rPr>
      </w:pPr>
      <w:r>
        <w:rPr>
          <w:rFonts w:ascii="Times New Roman" w:cs="Times New Roman" w:eastAsia="Times New Roman" w:hAnsi="Times New Roman"/>
          <w:sz w:val="15"/>
          <w:szCs w:val="15"/>
          <w:color w:val="auto"/>
        </w:rPr>
        <w:t>secondary transaction on (i) shares of our Class A common stock issued by us in this offering, assuming that the underwriters will not exercise their option to purchase additional shares of our Class A common stock from us, and excluding any potential purchases in this offering by the persons and entities named in the table below, (ii) the sale of</w:t>
      </w:r>
    </w:p>
    <w:p>
      <w:pPr>
        <w:spacing w:after="0" w:line="1" w:lineRule="exact"/>
        <w:rPr>
          <w:sz w:val="20"/>
          <w:szCs w:val="20"/>
          <w:color w:val="auto"/>
        </w:rPr>
      </w:pPr>
    </w:p>
    <w:p>
      <w:pPr>
        <w:ind w:right="140" w:firstLine="568"/>
        <w:spacing w:after="0" w:line="252" w:lineRule="auto"/>
        <w:rPr>
          <w:sz w:val="20"/>
          <w:szCs w:val="20"/>
          <w:color w:val="auto"/>
        </w:rPr>
      </w:pPr>
      <w:r>
        <w:rPr>
          <w:rFonts w:ascii="Times New Roman" w:cs="Times New Roman" w:eastAsia="Times New Roman" w:hAnsi="Times New Roman"/>
          <w:sz w:val="15"/>
          <w:szCs w:val="15"/>
          <w:color w:val="auto"/>
        </w:rPr>
        <w:t>shares in the concurrent private placement at an assumed initial public offering price of $ per share, which is the midpoint of the price range set forth on the cover page of this prospectus, and (iii) the sale of shares in the secondary transaction (and conversion of an equal amount of Class B common stock to Class A common stock), at an assumed initial public offering price of $ per share, which is the midpoint of the price range set forth on the cover page of this prospectus. Since SoftBank did not beneficially</w:t>
      </w:r>
    </w:p>
    <w:p>
      <w:pPr>
        <w:spacing w:after="0" w:line="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5"/>
          <w:szCs w:val="15"/>
          <w:color w:val="auto"/>
        </w:rPr>
        <w:t>own more than 5% of our Class A common stock or Class B common stock as of September 30, 2020, and prior to the concurrent private placement and secondary transaction, it is not set forth in the table below. We have deemed shares of our Class A common stock subject to stock options that are currently exercisable or exercisable within 60 days of September 30, 2020, or issuable pursuant to RSAs which are subject to vesting and settlement conditions expected to occur within 60 days of September 30,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158</w:t>
      </w:r>
    </w:p>
    <w:p>
      <w:pPr>
        <w:sectPr>
          <w:pgSz w:w="11900" w:h="16838" w:orient="portrait"/>
          <w:cols w:equalWidth="0" w:num="1">
            <w:col w:w="11240"/>
          </w:cols>
          <w:pgMar w:left="320" w:top="121" w:right="339" w:bottom="1440" w:gutter="0" w:footer="0" w:header="0"/>
        </w:sectPr>
      </w:pPr>
    </w:p>
    <w:bookmarkStart w:id="161" w:name="page162"/>
    <w:bookmarkEnd w:id="161"/>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9" w:type="dxa"/>
        <w:tblCellMar>
          <w:top w:w="0" w:type="dxa"/>
          <w:left w:w="0" w:type="dxa"/>
          <w:bottom w:w="0" w:type="dxa"/>
          <w:right w:w="0" w:type="dxa"/>
        </w:tblCellMar>
      </w:tblPr>
      <w:tr>
        <w:trPr>
          <w:trHeight w:val="145"/>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 of Total Voting</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of Total Voting</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 of Total Outstanding</w:t>
            </w:r>
          </w:p>
        </w:tc>
        <w:tc>
          <w:tcPr>
            <w:tcW w:w="1200" w:type="dxa"/>
            <w:vAlign w:val="bottom"/>
            <w:gridSpan w:val="2"/>
            <w:vMerge w:val="continue"/>
          </w:tcPr>
          <w:p>
            <w:pPr>
              <w:spacing w:after="0"/>
              <w:rPr>
                <w:sz w:val="5"/>
                <w:szCs w:val="5"/>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 of Total Outstanding</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5"/>
              </w:rPr>
              <w:t>Power Before Offering</w:t>
            </w:r>
          </w:p>
        </w:tc>
        <w:tc>
          <w:tcPr>
            <w:tcW w:w="1200" w:type="dxa"/>
            <w:vAlign w:val="bottom"/>
            <w:gridSpan w:val="2"/>
            <w:vMerge w:val="continue"/>
          </w:tcPr>
          <w:p>
            <w:pPr>
              <w:spacing w:after="0"/>
              <w:rPr>
                <w:sz w:val="8"/>
                <w:szCs w:val="8"/>
                <w:color w:val="auto"/>
              </w:rPr>
            </w:pPr>
          </w:p>
        </w:tc>
        <w:tc>
          <w:tcPr>
            <w:tcW w:w="11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5"/>
              </w:rPr>
              <w:t>Power After Offering</w:t>
            </w:r>
          </w:p>
        </w:tc>
        <w:tc>
          <w:tcPr>
            <w:tcW w:w="0" w:type="dxa"/>
            <w:vAlign w:val="bottom"/>
          </w:tcPr>
          <w:p>
            <w:pPr>
              <w:spacing w:after="0"/>
              <w:rPr>
                <w:sz w:val="1"/>
                <w:szCs w:val="1"/>
                <w:color w:val="auto"/>
              </w:rPr>
            </w:pPr>
          </w:p>
        </w:tc>
      </w:tr>
      <w:tr>
        <w:trPr>
          <w:trHeight w:val="102"/>
        </w:trPr>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4"/>
              </w:rPr>
              <w:t>Before Offering and the</w:t>
            </w: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5"/>
              </w:rPr>
              <w:t>and the concurrent</w:t>
            </w: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6"/>
              </w:rPr>
              <w:t>After Offering and the</w:t>
            </w:r>
          </w:p>
        </w:tc>
        <w:tc>
          <w:tcPr>
            <w:tcW w:w="11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7"/>
              </w:rPr>
              <w:t>and the concurrent</w:t>
            </w:r>
          </w:p>
        </w:tc>
        <w:tc>
          <w:tcPr>
            <w:tcW w:w="0" w:type="dxa"/>
            <w:vAlign w:val="bottom"/>
          </w:tcPr>
          <w:p>
            <w:pPr>
              <w:spacing w:after="0"/>
              <w:rPr>
                <w:sz w:val="1"/>
                <w:szCs w:val="1"/>
                <w:color w:val="auto"/>
              </w:rPr>
            </w:pPr>
          </w:p>
        </w:tc>
      </w:tr>
      <w:tr>
        <w:trPr>
          <w:trHeight w:val="102"/>
        </w:trPr>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7"/>
              </w:rPr>
              <w:t>concurrent private</w:t>
            </w: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6"/>
              </w:rPr>
              <w:t>private placement and</w:t>
            </w:r>
          </w:p>
        </w:tc>
        <w:tc>
          <w:tcPr>
            <w:tcW w:w="120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w w:val="95"/>
              </w:rPr>
              <w:t>concurrent private</w:t>
            </w:r>
          </w:p>
        </w:tc>
        <w:tc>
          <w:tcPr>
            <w:tcW w:w="11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5"/>
              </w:rPr>
              <w:t>private placement and</w:t>
            </w:r>
          </w:p>
        </w:tc>
        <w:tc>
          <w:tcPr>
            <w:tcW w:w="0" w:type="dxa"/>
            <w:vAlign w:val="bottom"/>
          </w:tcPr>
          <w:p>
            <w:pPr>
              <w:spacing w:after="0"/>
              <w:rPr>
                <w:sz w:val="1"/>
                <w:szCs w:val="1"/>
                <w:color w:val="auto"/>
              </w:rPr>
            </w:pPr>
          </w:p>
        </w:tc>
      </w:tr>
      <w:tr>
        <w:trPr>
          <w:trHeight w:val="102"/>
        </w:trPr>
        <w:tc>
          <w:tcPr>
            <w:tcW w:w="25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Class A Shares</w:t>
            </w:r>
          </w:p>
        </w:tc>
        <w:tc>
          <w:tcPr>
            <w:tcW w:w="70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8"/>
                <w:szCs w:val="8"/>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Class B Shares</w:t>
            </w:r>
            <w:r>
              <w:rPr>
                <w:rFonts w:ascii="Times New Roman" w:cs="Times New Roman" w:eastAsia="Times New Roman" w:hAnsi="Times New Roman"/>
                <w:sz w:val="17"/>
                <w:szCs w:val="17"/>
                <w:b w:val="1"/>
                <w:bCs w:val="1"/>
                <w:color w:val="auto"/>
                <w:vertAlign w:val="superscript"/>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5"/>
              </w:rPr>
              <w:t>placement and the</w:t>
            </w:r>
          </w:p>
        </w:tc>
        <w:tc>
          <w:tcPr>
            <w:tcW w:w="120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w w:val="95"/>
              </w:rPr>
              <w:t>the secondary</w:t>
            </w:r>
          </w:p>
        </w:tc>
        <w:tc>
          <w:tcPr>
            <w:tcW w:w="120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w w:val="97"/>
              </w:rPr>
              <w:t>placement and the</w:t>
            </w:r>
          </w:p>
        </w:tc>
        <w:tc>
          <w:tcPr>
            <w:tcW w:w="11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8"/>
              </w:rPr>
              <w:t>the secondary</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secondary transaction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transaction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secondary transaction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transaction</w:t>
            </w:r>
          </w:p>
        </w:tc>
        <w:tc>
          <w:tcPr>
            <w:tcW w:w="0" w:type="dxa"/>
            <w:vAlign w:val="bottom"/>
          </w:tcPr>
          <w:p>
            <w:pPr>
              <w:spacing w:after="0"/>
              <w:rPr>
                <w:sz w:val="1"/>
                <w:szCs w:val="1"/>
                <w:color w:val="auto"/>
              </w:rPr>
            </w:pPr>
          </w:p>
        </w:tc>
      </w:tr>
      <w:tr>
        <w:trPr>
          <w:trHeight w:val="105"/>
        </w:trPr>
        <w:tc>
          <w:tcPr>
            <w:tcW w:w="246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Named Executive Officers</w:t>
            </w:r>
          </w:p>
        </w:tc>
        <w:tc>
          <w:tcPr>
            <w:tcW w:w="8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and Directors:</w:t>
            </w: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Omid Farokhzad, M.D.</w:t>
            </w:r>
            <w:r>
              <w:rPr>
                <w:rFonts w:ascii="Times New Roman" w:cs="Times New Roman" w:eastAsia="Times New Roman" w:hAnsi="Times New Roman"/>
                <w:sz w:val="15"/>
                <w:szCs w:val="15"/>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6,139,748</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17,545,007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87.7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Hallal</w:t>
            </w:r>
            <w:r>
              <w:rPr>
                <w:rFonts w:ascii="Times New Roman" w:cs="Times New Roman" w:eastAsia="Times New Roman" w:hAnsi="Times New Roman"/>
                <w:sz w:val="15"/>
                <w:szCs w:val="15"/>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975,039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Catherine J. Friedman</w:t>
            </w:r>
            <w:r>
              <w:rPr>
                <w:rFonts w:ascii="Times New Roman" w:cs="Times New Roman" w:eastAsia="Times New Roman" w:hAnsi="Times New Roman"/>
                <w:sz w:val="15"/>
                <w:szCs w:val="15"/>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100" w:type="dxa"/>
            <w:vAlign w:val="bottom"/>
          </w:tcPr>
          <w:p>
            <w:pPr>
              <w:spacing w:after="0"/>
              <w:rPr>
                <w:sz w:val="15"/>
                <w:szCs w:val="15"/>
                <w:color w:val="auto"/>
              </w:rPr>
            </w:pPr>
          </w:p>
        </w:tc>
        <w:tc>
          <w:tcPr>
            <w:tcW w:w="7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1580" w:type="dxa"/>
            <w:vAlign w:val="bottom"/>
            <w:gridSpan w:val="4"/>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Robert Langer, Sc.D.</w:t>
            </w:r>
            <w:r>
              <w:rPr>
                <w:rFonts w:ascii="Times New Roman" w:cs="Times New Roman" w:eastAsia="Times New Roman" w:hAnsi="Times New Roman"/>
                <w:sz w:val="15"/>
                <w:szCs w:val="15"/>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1,482,715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Terrance McGuire</w:t>
            </w:r>
            <w:r>
              <w:rPr>
                <w:rFonts w:ascii="Times New Roman" w:cs="Times New Roman" w:eastAsia="Times New Roman" w:hAnsi="Times New Roman"/>
                <w:sz w:val="15"/>
                <w:szCs w:val="15"/>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1,017,219</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8,749</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Singer</w:t>
            </w:r>
            <w:r>
              <w:rPr>
                <w:rFonts w:ascii="Times New Roman" w:cs="Times New Roman" w:eastAsia="Times New Roman" w:hAnsi="Times New Roman"/>
                <w:sz w:val="15"/>
                <w:szCs w:val="15"/>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11,396,607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349,999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540" w:type="dxa"/>
            <w:vAlign w:val="bottom"/>
            <w:gridSpan w:val="2"/>
          </w:tcPr>
          <w:p>
            <w:pPr>
              <w:spacing w:after="0" w:line="114" w:lineRule="exact"/>
              <w:rPr>
                <w:sz w:val="20"/>
                <w:szCs w:val="20"/>
                <w:color w:val="auto"/>
              </w:rPr>
            </w:pPr>
            <w:r>
              <w:rPr>
                <w:rFonts w:ascii="Times New Roman" w:cs="Times New Roman" w:eastAsia="Times New Roman" w:hAnsi="Times New Roman"/>
                <w:sz w:val="12"/>
                <w:szCs w:val="12"/>
                <w:color w:val="auto"/>
              </w:rPr>
              <w:t>All executive officers and directors as a group (8</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26,611,452</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18,912,504</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5"/>
              </w:rPr>
              <w:t>94.6</w:t>
            </w: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54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2"/>
                <w:szCs w:val="12"/>
                <w:color w:val="auto"/>
              </w:rPr>
              <w:t>persons)</w:t>
            </w:r>
            <w:r>
              <w:rPr>
                <w:rFonts w:ascii="Times New Roman" w:cs="Times New Roman" w:eastAsia="Times New Roman" w:hAnsi="Times New Roman"/>
                <w:sz w:val="15"/>
                <w:szCs w:val="15"/>
                <w:color w:val="auto"/>
                <w:vertAlign w:val="superscript"/>
              </w:rPr>
              <w:t>(7)</w:t>
            </w: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5% Stockholders:</w:t>
            </w: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540" w:type="dxa"/>
            <w:vAlign w:val="bottom"/>
            <w:gridSpan w:val="2"/>
          </w:tcPr>
          <w:p>
            <w:pPr>
              <w:spacing w:after="0" w:line="114" w:lineRule="exact"/>
              <w:rPr>
                <w:sz w:val="20"/>
                <w:szCs w:val="20"/>
                <w:color w:val="auto"/>
              </w:rPr>
            </w:pPr>
            <w:r>
              <w:rPr>
                <w:rFonts w:ascii="Times New Roman" w:cs="Times New Roman" w:eastAsia="Times New Roman" w:hAnsi="Times New Roman"/>
                <w:sz w:val="12"/>
                <w:szCs w:val="12"/>
                <w:color w:val="auto"/>
              </w:rPr>
              <w:t>Entities affiliated with Maverick Capital</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11,396,607</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349,999</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54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2"/>
                <w:szCs w:val="12"/>
                <w:color w:val="auto"/>
              </w:rPr>
              <w:t>Ventures, LLC</w:t>
            </w:r>
            <w:r>
              <w:rPr>
                <w:rFonts w:ascii="Times New Roman" w:cs="Times New Roman" w:eastAsia="Times New Roman" w:hAnsi="Times New Roman"/>
                <w:sz w:val="15"/>
                <w:szCs w:val="15"/>
                <w:color w:val="auto"/>
                <w:vertAlign w:val="superscript"/>
              </w:rPr>
              <w:t>(8)</w:t>
            </w: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Invus Public Equities, L.P.</w:t>
            </w:r>
            <w:r>
              <w:rPr>
                <w:rFonts w:ascii="Times New Roman" w:cs="Times New Roman" w:eastAsia="Times New Roman" w:hAnsi="Times New Roman"/>
                <w:sz w:val="15"/>
                <w:szCs w:val="15"/>
                <w:color w:val="auto"/>
                <w:vertAlign w:val="superscript"/>
              </w:rPr>
              <w:t>(9)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10,808,953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Entities affiliated with aMoon Fund</w:t>
            </w:r>
            <w:r>
              <w:rPr>
                <w:rFonts w:ascii="Times New Roman" w:cs="Times New Roman" w:eastAsia="Times New Roman" w:hAnsi="Times New Roman"/>
                <w:sz w:val="15"/>
                <w:szCs w:val="15"/>
                <w:color w:val="auto"/>
                <w:vertAlign w:val="superscript"/>
              </w:rPr>
              <w:t>(10)</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10,772,174</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1580" w:type="dxa"/>
            <w:vAlign w:val="bottom"/>
            <w:gridSpan w:val="4"/>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Entities affiliated with Fidelity</w:t>
            </w:r>
            <w:r>
              <w:rPr>
                <w:rFonts w:ascii="Times New Roman" w:cs="Times New Roman" w:eastAsia="Times New Roman" w:hAnsi="Times New Roman"/>
                <w:sz w:val="15"/>
                <w:szCs w:val="15"/>
                <w:color w:val="auto"/>
                <w:vertAlign w:val="superscript"/>
              </w:rPr>
              <w:t>(11)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6,666,666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Emerson Collective Investments LLC</w:t>
            </w:r>
            <w:r>
              <w:rPr>
                <w:rFonts w:ascii="Times New Roman" w:cs="Times New Roman" w:eastAsia="Times New Roman" w:hAnsi="Times New Roman"/>
                <w:sz w:val="15"/>
                <w:szCs w:val="15"/>
                <w:color w:val="auto"/>
                <w:vertAlign w:val="superscript"/>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5,326,807</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1580" w:type="dxa"/>
            <w:vAlign w:val="bottom"/>
            <w:gridSpan w:val="4"/>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Entities affiliated with T. Rowe Price</w:t>
            </w:r>
            <w:r>
              <w:rPr>
                <w:rFonts w:ascii="Times New Roman" w:cs="Times New Roman" w:eastAsia="Times New Roman" w:hAnsi="Times New Roman"/>
                <w:sz w:val="15"/>
                <w:szCs w:val="15"/>
                <w:color w:val="auto"/>
                <w:vertAlign w:val="superscript"/>
              </w:rPr>
              <w:t>(13)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5,169,230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_________________</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69" w:right="200" w:hanging="269"/>
        <w:spacing w:after="0" w:line="237" w:lineRule="auto"/>
        <w:tabs>
          <w:tab w:leader="none" w:pos="262"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B common stock is convertible at any time by the holder into shares of Class A common stock on a share-for-share basis, such that each holder of Class B common stock beneficially owns an equivalent number of Class A common stock.</w:t>
      </w:r>
    </w:p>
    <w:p>
      <w:pPr>
        <w:ind w:left="269" w:right="20" w:hanging="269"/>
        <w:spacing w:after="0" w:line="237" w:lineRule="auto"/>
        <w:tabs>
          <w:tab w:leader="none" w:pos="269"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269" w:hanging="269"/>
        <w:spacing w:after="0"/>
        <w:tabs>
          <w:tab w:leader="none" w:pos="269"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beneficial ownership of less than one percent (1%) of the outstanding shares of our common stock.</w:t>
      </w:r>
    </w:p>
    <w:p>
      <w:pPr>
        <w:spacing w:after="0" w:line="75" w:lineRule="exact"/>
        <w:rPr>
          <w:sz w:val="20"/>
          <w:szCs w:val="20"/>
          <w:color w:val="auto"/>
        </w:rPr>
      </w:pPr>
    </w:p>
    <w:p>
      <w:pPr>
        <w:ind w:left="269" w:right="40" w:hanging="269"/>
        <w:spacing w:after="0" w:line="241" w:lineRule="auto"/>
        <w:tabs>
          <w:tab w:leader="none" w:pos="263"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597,538 shares of Class A common stock held of record by Dr. Farokhzad, of which 552,457 may be repurchased by us at the original exercise price; (ii) 220,240 shares of Class A common stock and 5,545,007 shares of Class B common stock held of record by Dynamics Group LLC for which Dr. Farokhzad serves as the sole member, of which 731,771 may be repurchased by us at the original exercise price; (iii) 6,000,000 shares of Class B shares held of record by SAF-BND Trust for which Dr. Farokhzad’s spouse serves as trustee; (iv) 1,109,397 shares of Class A common stock and 6,000,000 shares of Class B common stock held of record by OCF 2014 Trust for which Dr. Farokhzad’s spouse serves as the trust advisor; and (v) 4,212,573 shares of Class A common stock subject to options exercisable within 60 days of September 30, 2020, of which 742,221 are fully vested. Dr. Farokhzad disclaims beneficial ownership of the shares held by the SAF-BND Trust and OCF 2014 Trust.</w:t>
      </w:r>
    </w:p>
    <w:p>
      <w:pPr>
        <w:spacing w:after="0" w:line="2" w:lineRule="exact"/>
        <w:rPr>
          <w:rFonts w:ascii="Times New Roman" w:cs="Times New Roman" w:eastAsia="Times New Roman" w:hAnsi="Times New Roman"/>
          <w:sz w:val="12"/>
          <w:szCs w:val="12"/>
          <w:color w:val="auto"/>
        </w:rPr>
      </w:pPr>
    </w:p>
    <w:p>
      <w:pPr>
        <w:ind w:left="269" w:right="140" w:hanging="269"/>
        <w:spacing w:after="0" w:line="237" w:lineRule="auto"/>
        <w:tabs>
          <w:tab w:leader="none" w:pos="263"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564,026 shares of Class A common stock held of record by Mr. Hallal, of which 211,511 may be repurchased by us at the original exercise price and (ii) 411,013 shares of Class A common stock subject to options exercisable within 60 days of September 30, 2020, of which 58,078 are fully vested.</w:t>
      </w:r>
    </w:p>
    <w:p>
      <w:pPr>
        <w:ind w:left="269" w:hanging="269"/>
        <w:spacing w:after="0" w:line="237" w:lineRule="auto"/>
        <w:tabs>
          <w:tab w:leader="none" w:pos="269"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300,000 shares of Class A common stock held of record by Ms. Friedman, all of which may be repurchased by us at the original exercise price.</w:t>
      </w:r>
    </w:p>
    <w:p>
      <w:pPr>
        <w:jc w:val="both"/>
        <w:ind w:left="269" w:right="80" w:hanging="269"/>
        <w:spacing w:after="0" w:line="237" w:lineRule="auto"/>
        <w:tabs>
          <w:tab w:leader="none" w:pos="263"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781,867 shares of Class A common stock, of which 103,380 may be repurchased by us at the original exercise price and 700,000 shares of Class B common stock held of record by Dr. Langer, of which 41,667 may be repurchased by us at the original exercise price; (ii) 700,848 shares of Class A common stock subject to options exercisable within 60 days of September 30, 2020, of which 215,545 are fully vested; and (iii) 300,000 shares of Class B common stock held of record by The Langer Family 2012 Trust Under Trust Agreement dated December 7, 2012.</w:t>
      </w:r>
    </w:p>
    <w:p>
      <w:pPr>
        <w:ind w:left="269" w:right="140" w:hanging="269"/>
        <w:spacing w:after="0" w:line="247" w:lineRule="auto"/>
        <w:tabs>
          <w:tab w:leader="none" w:pos="263"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451,507 shares of Class A common stock, of which 113,797 may be repurchased by us at the original exercise price and 8,749 shares of Class B common stock held of record by Strong Bridge, LLC for which Mr. McGuire serves as an operating manager and (ii) 565,712 shares of Class A common stock subject to options exercisable within 60 days of September 30, 2020, of which 204,284 are fully vested.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159</w:t>
      </w:r>
    </w:p>
    <w:p>
      <w:pPr>
        <w:sectPr>
          <w:pgSz w:w="11900" w:h="16838" w:orient="portrait"/>
          <w:cols w:equalWidth="0" w:num="1">
            <w:col w:w="11269"/>
          </w:cols>
          <w:pgMar w:left="311" w:top="121" w:right="319" w:bottom="1440" w:gutter="0" w:footer="0" w:header="0"/>
        </w:sectPr>
      </w:pPr>
    </w:p>
    <w:bookmarkStart w:id="162" w:name="page163"/>
    <w:bookmarkEnd w:id="162"/>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9" w:hanging="269"/>
        <w:spacing w:after="0"/>
        <w:tabs>
          <w:tab w:leader="none" w:pos="269"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11,396,607 shares of Class A common stock and 349,999 shares of Class B common stock disclosed in footnote (8) below that are held of record by entities affiliated with Maverick Capital Ventures, LLC.</w:t>
      </w:r>
    </w:p>
    <w:p>
      <w:pPr>
        <w:spacing w:after="0" w:line="12" w:lineRule="exact"/>
        <w:rPr>
          <w:rFonts w:ascii="Times New Roman" w:cs="Times New Roman" w:eastAsia="Times New Roman" w:hAnsi="Times New Roman"/>
          <w:sz w:val="12"/>
          <w:szCs w:val="12"/>
          <w:color w:val="auto"/>
        </w:rPr>
      </w:pPr>
    </w:p>
    <w:p>
      <w:pPr>
        <w:ind w:left="269" w:right="80" w:hanging="269"/>
        <w:spacing w:after="0" w:line="237" w:lineRule="auto"/>
        <w:tabs>
          <w:tab w:leader="none" w:pos="263"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15,788,823 shares of Class A common stock and 18,912,504 shares of Class B common stock beneficially owned by our executive officers and directors and (ii) 10,822,629 shares of Class A common stock subject to options exercisable within 60 days of September 30, 2020 and held by our executive officers and directors, of which 1,350,483 are fully vested.</w:t>
      </w:r>
    </w:p>
    <w:p>
      <w:pPr>
        <w:ind w:left="269" w:right="100" w:hanging="269"/>
        <w:spacing w:after="0" w:line="237" w:lineRule="auto"/>
        <w:tabs>
          <w:tab w:leader="none" w:pos="263"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7,255,800 shares of Class A common stock and 217,769 shares of Class B common stock held of record by Maverick Ventures Investment Fund, L.P. (Maverick Ventures Fund) and (ii) 4,140,807 shares of Class A common stock and 132,230 shares of Class B 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ind w:left="269" w:hanging="269"/>
        <w:spacing w:after="0" w:line="237" w:lineRule="auto"/>
        <w:tabs>
          <w:tab w:leader="none" w:pos="263"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10,808,953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Pascal Minne,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ind w:left="269" w:right="20" w:hanging="269"/>
        <w:spacing w:after="0" w:line="237" w:lineRule="auto"/>
        <w:tabs>
          <w:tab w:leader="none" w:pos="266"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8,819,080 shares of Class A common stock held of record by aMoon 2 Fund, Limited Partnership (aMoon 2 Fund) and (ii) 1,953,094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ind w:left="269" w:right="60" w:hanging="269"/>
        <w:spacing w:after="0" w:line="237" w:lineRule="auto"/>
        <w:tabs>
          <w:tab w:leader="none" w:pos="262"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6,666,666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ind w:left="269" w:right="60" w:hanging="269"/>
        <w:spacing w:after="0" w:line="237" w:lineRule="auto"/>
        <w:tabs>
          <w:tab w:leader="none" w:pos="266"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5,326,807 shares of Class A common stock held of record by Emerson Collective Investments, LLC (ECI). The Laurene Powell Jobs Trust, for which Laurene Powell Jobs serves as trustee, is the managing member of ECI and has voting and dispositive power with respect to the shares held of record by ECI. The address for this entity is P.O. Box 61239, Palo Alto, California 94306.</w:t>
      </w:r>
    </w:p>
    <w:p>
      <w:pPr>
        <w:ind w:left="269" w:right="60" w:hanging="269"/>
        <w:spacing w:after="0" w:line="238" w:lineRule="auto"/>
        <w:tabs>
          <w:tab w:leader="none" w:pos="266"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4,429,354 shares of Class A common stock held of record by T. Rowe Price Health Sciences Fund, Inc.; (ii) 200,815 shares of Class A common stock held of record by T. Rowe Price Health Sciences Portfolio; (iii) 274,505 shares of Class A common stock held of record by TD Mutual Funds - TD Health Sciences Fund and (iv) 264,556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160</w:t>
      </w:r>
    </w:p>
    <w:p>
      <w:pPr>
        <w:sectPr>
          <w:pgSz w:w="11900" w:h="16838" w:orient="portrait"/>
          <w:cols w:equalWidth="0" w:num="1">
            <w:col w:w="11269"/>
          </w:cols>
          <w:pgMar w:left="311" w:top="121" w:right="319" w:bottom="1440" w:gutter="0" w:footer="0" w:header="0"/>
        </w:sectPr>
      </w:pPr>
    </w:p>
    <w:bookmarkStart w:id="163" w:name="page164"/>
    <w:bookmarkEnd w:id="16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w:t>
      </w:r>
    </w:p>
    <w:p>
      <w:pPr>
        <w:ind w:right="20"/>
        <w:spacing w:after="0" w:line="265" w:lineRule="auto"/>
        <w:rPr>
          <w:sz w:val="20"/>
          <w:szCs w:val="20"/>
          <w:color w:val="auto"/>
        </w:rPr>
      </w:pPr>
      <w:r>
        <w:rPr>
          <w:rFonts w:ascii="Times New Roman" w:cs="Times New Roman" w:eastAsia="Times New Roman" w:hAnsi="Times New Roman"/>
          <w:sz w:val="15"/>
          <w:szCs w:val="15"/>
          <w:color w:val="auto"/>
        </w:rPr>
        <w:t>forms a part, and to the applicable provisions of Delaware law. Immediately following the completion of this offering, our authorized capital stock will consist of shares of capital stock, $0.00001 par value per share, of which:</w:t>
      </w:r>
    </w:p>
    <w:p>
      <w:pPr>
        <w:spacing w:after="0" w:line="104" w:lineRule="exact"/>
        <w:rPr>
          <w:sz w:val="20"/>
          <w:szCs w:val="20"/>
          <w:color w:val="auto"/>
        </w:rPr>
      </w:pPr>
    </w:p>
    <w:p>
      <w:pPr>
        <w:ind w:left="980" w:hanging="717"/>
        <w:spacing w:after="0"/>
        <w:tabs>
          <w:tab w:leader="none" w:pos="98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are designated as Class A common stock;</w:t>
      </w:r>
    </w:p>
    <w:p>
      <w:pPr>
        <w:spacing w:after="0" w:line="145" w:lineRule="exact"/>
        <w:rPr>
          <w:rFonts w:ascii="Times New Roman" w:cs="Times New Roman" w:eastAsia="Times New Roman" w:hAnsi="Times New Roman"/>
          <w:sz w:val="15"/>
          <w:szCs w:val="15"/>
          <w:color w:val="auto"/>
        </w:rPr>
      </w:pPr>
    </w:p>
    <w:p>
      <w:pPr>
        <w:ind w:left="980" w:hanging="717"/>
        <w:spacing w:after="0"/>
        <w:tabs>
          <w:tab w:leader="none" w:pos="98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are designated as Class B common stock; and</w:t>
      </w:r>
    </w:p>
    <w:p>
      <w:pPr>
        <w:spacing w:after="0" w:line="145" w:lineRule="exact"/>
        <w:rPr>
          <w:rFonts w:ascii="Times New Roman" w:cs="Times New Roman" w:eastAsia="Times New Roman" w:hAnsi="Times New Roman"/>
          <w:sz w:val="15"/>
          <w:szCs w:val="15"/>
          <w:color w:val="auto"/>
        </w:rPr>
      </w:pPr>
    </w:p>
    <w:p>
      <w:pPr>
        <w:ind w:left="980" w:hanging="717"/>
        <w:spacing w:after="0"/>
        <w:tabs>
          <w:tab w:leader="none" w:pos="98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are designated as preferred stock.</w:t>
      </w:r>
    </w:p>
    <w:p>
      <w:pPr>
        <w:spacing w:after="0" w:line="146"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As of September 30, 2020, after giving effect to the automatic conversion of all of our outstanding convertible preferred stock into an aggregate of 62,117,410 shares of common stock, there were 69,172,104 shares of our Class A common stock outstanding, held by 75 stockholders of record, 20,000,000 shares of our Class B common stock outstanding, held by 15 stockholders of record and no shares of our preferred stock outstanding. Pursuant to our amended and restated certificate of incorporation, our board of directors will have the authority, without stockholder approval except as required by the listing standards of Nasdaq, to issue additional shares of our Class A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50" w:lineRule="exact"/>
        <w:rPr>
          <w:sz w:val="20"/>
          <w:szCs w:val="20"/>
          <w:color w:val="auto"/>
        </w:rPr>
      </w:pPr>
    </w:p>
    <w:p>
      <w:pPr>
        <w:ind w:right="320" w:firstLine="273"/>
        <w:spacing w:after="0" w:line="286" w:lineRule="auto"/>
        <w:rPr>
          <w:sz w:val="20"/>
          <w:szCs w:val="20"/>
          <w:color w:val="auto"/>
        </w:rPr>
      </w:pPr>
      <w:r>
        <w:rPr>
          <w:rFonts w:ascii="Times New Roman" w:cs="Times New Roman" w:eastAsia="Times New Roman" w:hAnsi="Times New Roman"/>
          <w:sz w:val="15"/>
          <w:szCs w:val="15"/>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Rights</w:t>
      </w:r>
    </w:p>
    <w:p>
      <w:pPr>
        <w:spacing w:after="0" w:line="150" w:lineRule="exact"/>
        <w:rPr>
          <w:sz w:val="20"/>
          <w:szCs w:val="20"/>
          <w:color w:val="auto"/>
        </w:rPr>
      </w:pPr>
    </w:p>
    <w:p>
      <w:pPr>
        <w:jc w:val="both"/>
        <w:ind w:right="20" w:firstLine="273"/>
        <w:spacing w:after="0" w:line="269" w:lineRule="auto"/>
        <w:rPr>
          <w:sz w:val="20"/>
          <w:szCs w:val="20"/>
          <w:color w:val="auto"/>
        </w:rPr>
      </w:pPr>
      <w:r>
        <w:rPr>
          <w:rFonts w:ascii="Times New Roman" w:cs="Times New Roman" w:eastAsia="Times New Roman" w:hAnsi="Times New Roman"/>
          <w:sz w:val="15"/>
          <w:szCs w:val="15"/>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Voting Rights</w:t>
      </w:r>
    </w:p>
    <w:p>
      <w:pPr>
        <w:spacing w:after="0" w:line="150" w:lineRule="exact"/>
        <w:rPr>
          <w:sz w:val="20"/>
          <w:szCs w:val="20"/>
          <w:color w:val="auto"/>
        </w:rPr>
      </w:pPr>
    </w:p>
    <w:p>
      <w:pPr>
        <w:ind w:right="20" w:firstLine="273"/>
        <w:spacing w:after="0" w:line="269" w:lineRule="auto"/>
        <w:rPr>
          <w:sz w:val="20"/>
          <w:szCs w:val="20"/>
          <w:color w:val="auto"/>
        </w:rPr>
      </w:pPr>
      <w:r>
        <w:rPr>
          <w:rFonts w:ascii="Times New Roman" w:cs="Times New Roman" w:eastAsia="Times New Roman" w:hAnsi="Times New Roman"/>
          <w:sz w:val="15"/>
          <w:szCs w:val="15"/>
          <w:color w:val="auto"/>
        </w:rPr>
        <w:t>Holders of Class A common stock are entitled to one vote for each share held on all matters submitted to a vote of stockholders and holders of our Class B common stock will be entitled to ten votes for each share held, except as otherwise required by law. The holders of our Class A common stock and Class B common stock vote together as a single class, unless otherwise required by law.</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Delaware law could require either holders of our Class A common stock and our Class B common stock to vote separately as a single class in the following circumstances:</w:t>
      </w:r>
    </w:p>
    <w:p>
      <w:pPr>
        <w:spacing w:after="0" w:line="146" w:lineRule="exact"/>
        <w:rPr>
          <w:sz w:val="20"/>
          <w:szCs w:val="20"/>
          <w:color w:val="auto"/>
        </w:rPr>
      </w:pPr>
    </w:p>
    <w:p>
      <w:pPr>
        <w:ind w:left="540" w:right="180" w:hanging="277"/>
        <w:spacing w:after="0" w:line="286" w:lineRule="auto"/>
        <w:tabs>
          <w:tab w:leader="none" w:pos="536"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161</w:t>
      </w:r>
    </w:p>
    <w:p>
      <w:pPr>
        <w:sectPr>
          <w:pgSz w:w="11900" w:h="16838" w:orient="portrait"/>
          <w:cols w:equalWidth="0" w:num="1">
            <w:col w:w="11240"/>
          </w:cols>
          <w:pgMar w:left="320" w:top="121" w:right="339" w:bottom="1440" w:gutter="0" w:footer="0" w:header="0"/>
        </w:sectPr>
      </w:pPr>
    </w:p>
    <w:bookmarkStart w:id="164" w:name="page165"/>
    <w:bookmarkEnd w:id="16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40" w:hanging="277"/>
        <w:spacing w:after="0" w:line="286" w:lineRule="auto"/>
        <w:tabs>
          <w:tab w:leader="none" w:pos="536"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89" w:lineRule="exact"/>
        <w:rPr>
          <w:sz w:val="20"/>
          <w:szCs w:val="20"/>
          <w:color w:val="auto"/>
        </w:rPr>
      </w:pPr>
    </w:p>
    <w:p>
      <w:pPr>
        <w:jc w:val="both"/>
        <w:ind w:right="60" w:firstLine="273"/>
        <w:spacing w:after="0" w:line="264" w:lineRule="auto"/>
        <w:rPr>
          <w:sz w:val="20"/>
          <w:szCs w:val="20"/>
          <w:color w:val="auto"/>
        </w:rPr>
      </w:pPr>
      <w:r>
        <w:rPr>
          <w:rFonts w:ascii="Times New Roman" w:cs="Times New Roman" w:eastAsia="Times New Roman" w:hAnsi="Times New Roman"/>
          <w:sz w:val="15"/>
          <w:szCs w:val="15"/>
          <w:color w:val="auto"/>
        </w:rPr>
        <w:t>Stockholders do not have the ability to cumulate votes for the election of directors. Our amended and restated certificate of incorporation and amended and restated bylaws that will be in effect at the closing of this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 Preemptive or Similar Rights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common stock is not entitled to preemptive rights, and is not subject to conversion, redemption or sinking fund provisions.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Right to Receive Liquidation Distributions</w:t>
      </w:r>
    </w:p>
    <w:p>
      <w:pPr>
        <w:spacing w:after="0" w:line="150" w:lineRule="exact"/>
        <w:rPr>
          <w:sz w:val="20"/>
          <w:szCs w:val="20"/>
          <w:color w:val="auto"/>
        </w:rPr>
      </w:pPr>
    </w:p>
    <w:p>
      <w:pPr>
        <w:ind w:right="60" w:firstLine="273"/>
        <w:spacing w:after="0" w:line="269" w:lineRule="auto"/>
        <w:rPr>
          <w:sz w:val="20"/>
          <w:szCs w:val="20"/>
          <w:color w:val="auto"/>
        </w:rPr>
      </w:pPr>
      <w:r>
        <w:rPr>
          <w:rFonts w:ascii="Times New Roman" w:cs="Times New Roman" w:eastAsia="Times New Roman" w:hAnsi="Times New Roman"/>
          <w:sz w:val="15"/>
          <w:szCs w:val="15"/>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of Class B Common Stock</w:t>
      </w:r>
    </w:p>
    <w:p>
      <w:pPr>
        <w:spacing w:after="0" w:line="150"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upon the earlier of the first day following the fifth anniversary of the closing of this offering and December 31, 2025.</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Fully Paid and Non-Assessable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connection with this offering, our legal counsel will opine that the shares of our Class A common stock to be issued in this offering will be fully paid and non-assessable.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162</w:t>
      </w:r>
    </w:p>
    <w:p>
      <w:pPr>
        <w:sectPr>
          <w:pgSz w:w="11900" w:h="16838" w:orient="portrait"/>
          <w:cols w:equalWidth="0" w:num="1">
            <w:col w:w="11220"/>
          </w:cols>
          <w:pgMar w:left="320" w:top="121" w:right="359" w:bottom="1440" w:gutter="0" w:footer="0" w:header="0"/>
        </w:sectPr>
      </w:pPr>
    </w:p>
    <w:bookmarkStart w:id="165" w:name="page166"/>
    <w:bookmarkEnd w:id="165"/>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Options</w:t>
      </w:r>
    </w:p>
    <w:p>
      <w:pPr>
        <w:spacing w:after="0" w:line="150" w:lineRule="exact"/>
        <w:rPr>
          <w:sz w:val="20"/>
          <w:szCs w:val="20"/>
          <w:color w:val="auto"/>
        </w:rPr>
      </w:pPr>
    </w:p>
    <w:p>
      <w:pPr>
        <w:ind w:left="9" w:right="360" w:firstLine="273"/>
        <w:spacing w:after="0" w:line="286" w:lineRule="auto"/>
        <w:rPr>
          <w:sz w:val="20"/>
          <w:szCs w:val="20"/>
          <w:color w:val="auto"/>
        </w:rPr>
      </w:pPr>
      <w:r>
        <w:rPr>
          <w:rFonts w:ascii="Times New Roman" w:cs="Times New Roman" w:eastAsia="Times New Roman" w:hAnsi="Times New Roman"/>
          <w:sz w:val="15"/>
          <w:szCs w:val="15"/>
          <w:color w:val="auto"/>
        </w:rPr>
        <w:t>As of September 30, 2020, we had outstanding options to purchase an aggregate of 16,164,706 shares of our Class A common stock, with a weighted-average exercise price of approximately $1.17 per share, under our equity compensation plans.</w:t>
      </w:r>
    </w:p>
    <w:p>
      <w:pPr>
        <w:spacing w:after="0" w:line="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Restricted Stock Units</w:t>
      </w:r>
    </w:p>
    <w:p>
      <w:pPr>
        <w:spacing w:after="0" w:line="150" w:lineRule="exact"/>
        <w:rPr>
          <w:sz w:val="20"/>
          <w:szCs w:val="20"/>
          <w:color w:val="auto"/>
        </w:rPr>
      </w:pPr>
    </w:p>
    <w:p>
      <w:pPr>
        <w:jc w:val="both"/>
        <w:ind w:left="9" w:right="20" w:firstLine="273"/>
        <w:spacing w:after="0" w:line="269" w:lineRule="auto"/>
        <w:rPr>
          <w:sz w:val="20"/>
          <w:szCs w:val="20"/>
          <w:color w:val="auto"/>
        </w:rPr>
      </w:pPr>
      <w:r>
        <w:rPr>
          <w:rFonts w:ascii="Times New Roman" w:cs="Times New Roman" w:eastAsia="Times New Roman" w:hAnsi="Times New Roman"/>
          <w:sz w:val="15"/>
          <w:szCs w:val="15"/>
          <w:color w:val="auto"/>
        </w:rPr>
        <w:t>As of September 30, 2020, we had 717,319 shares of our Class A common stock outstanding, subject to RSUs issued under our equity compensation plans, which will vest upon the satisfaction of a performance-based condition. The performance-based condition for the RSUs will be satisfied on the earlier of (i) the first and second year anniversaries of the effective date of this registration statement; and (ii) the date of a Change in Control (as defined in the relevant equity compensation plan), subject to continued service to the Company.</w:t>
      </w:r>
    </w:p>
    <w:p>
      <w:pPr>
        <w:spacing w:after="0" w:line="9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50" w:lineRule="exact"/>
        <w:rPr>
          <w:sz w:val="20"/>
          <w:szCs w:val="20"/>
          <w:color w:val="auto"/>
        </w:rPr>
      </w:pPr>
    </w:p>
    <w:p>
      <w:pPr>
        <w:ind w:left="9" w:right="20" w:firstLine="273"/>
        <w:spacing w:after="0" w:line="256" w:lineRule="auto"/>
        <w:rPr>
          <w:sz w:val="20"/>
          <w:szCs w:val="20"/>
          <w:color w:val="auto"/>
        </w:rPr>
      </w:pPr>
      <w:r>
        <w:rPr>
          <w:rFonts w:ascii="Times New Roman" w:cs="Times New Roman" w:eastAsia="Times New Roman" w:hAnsi="Times New Roman"/>
          <w:sz w:val="15"/>
          <w:szCs w:val="15"/>
          <w:color w:val="auto"/>
        </w:rPr>
        <w:t>After the completion of this offering, the concurrent private placement and the secondary transaction, certain holders of our Class A common stock will be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this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receive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11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150" w:lineRule="exact"/>
        <w:rPr>
          <w:sz w:val="20"/>
          <w:szCs w:val="20"/>
          <w:color w:val="auto"/>
        </w:rPr>
      </w:pPr>
    </w:p>
    <w:p>
      <w:pPr>
        <w:ind w:left="9" w:right="20" w:firstLine="273"/>
        <w:spacing w:after="0" w:line="264" w:lineRule="auto"/>
        <w:rPr>
          <w:sz w:val="20"/>
          <w:szCs w:val="20"/>
          <w:color w:val="auto"/>
        </w:rPr>
      </w:pPr>
      <w:r>
        <w:rPr>
          <w:rFonts w:ascii="Times New Roman" w:cs="Times New Roman" w:eastAsia="Times New Roman" w:hAnsi="Times New Roman"/>
          <w:sz w:val="15"/>
          <w:szCs w:val="15"/>
          <w:color w:val="auto"/>
        </w:rPr>
        <w:t>After the completion of this offering, the concurrent private placement and the secondary transaction, the holders of shares of our Class A common stock will be entitled to certain demand registration rights. At any time after the earlier of five years after the date of the IRA or 180 days after the effective date of this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0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After the completion of this offering, the concurrent private placement and the secondary transaction, if we propose to register the offer and sale of our Class A common stock under</w:t>
      </w:r>
    </w:p>
    <w:p>
      <w:pPr>
        <w:spacing w:after="0" w:line="24" w:lineRule="exact"/>
        <w:rPr>
          <w:sz w:val="20"/>
          <w:szCs w:val="20"/>
          <w:color w:val="auto"/>
        </w:rPr>
      </w:pPr>
    </w:p>
    <w:p>
      <w:pPr>
        <w:ind w:left="9" w:right="100"/>
        <w:spacing w:after="0" w:line="252" w:lineRule="auto"/>
        <w:rPr>
          <w:sz w:val="20"/>
          <w:szCs w:val="20"/>
          <w:color w:val="auto"/>
        </w:rPr>
      </w:pPr>
      <w:r>
        <w:rPr>
          <w:rFonts w:ascii="Times New Roman" w:cs="Times New Roman" w:eastAsia="Times New Roman" w:hAnsi="Times New Roman"/>
          <w:sz w:val="15"/>
          <w:szCs w:val="15"/>
          <w:color w:val="auto"/>
        </w:rPr>
        <w:t>the Securities Act, in connection with the public offering of such Class A common stock the holders of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w:t>
      </w:r>
    </w:p>
    <w:p>
      <w:pPr>
        <w:spacing w:after="0" w:line="2" w:lineRule="exact"/>
        <w:rPr>
          <w:sz w:val="20"/>
          <w:szCs w:val="20"/>
          <w:color w:val="auto"/>
        </w:rPr>
      </w:pPr>
    </w:p>
    <w:p>
      <w:pPr>
        <w:jc w:val="both"/>
        <w:ind w:left="9" w:right="200" w:hanging="9"/>
        <w:spacing w:after="0" w:line="259" w:lineRule="auto"/>
        <w:tabs>
          <w:tab w:leader="none" w:pos="232"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163</w:t>
      </w:r>
    </w:p>
    <w:p>
      <w:pPr>
        <w:sectPr>
          <w:pgSz w:w="11900" w:h="16838" w:orient="portrait"/>
          <w:cols w:equalWidth="0" w:num="1">
            <w:col w:w="11229"/>
          </w:cols>
          <w:pgMar w:left="311" w:top="121" w:right="359" w:bottom="1440" w:gutter="0" w:footer="0" w:header="0"/>
        </w:sectPr>
      </w:pPr>
    </w:p>
    <w:bookmarkStart w:id="166" w:name="page167"/>
    <w:bookmarkEnd w:id="16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holders of these shares are entitled to notice of the registration and have the right, subject to certain limitations, to include their shares in the registration.</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S-3 Registration Rights</w:t>
      </w:r>
    </w:p>
    <w:p>
      <w:pPr>
        <w:spacing w:after="0" w:line="15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After the completion of this offering, the concurrent private placement and the secondary transaction, the holders of up to shares of our Class A common stock will be entitled to certain Form S-3 registration rights. The holders of at least 30% of registrable shares then outstanding 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50"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Delaware Law</w:t>
      </w:r>
    </w:p>
    <w:p>
      <w:pPr>
        <w:spacing w:after="0" w:line="150"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89" w:lineRule="exact"/>
        <w:rPr>
          <w:sz w:val="20"/>
          <w:szCs w:val="20"/>
          <w:color w:val="auto"/>
        </w:rPr>
      </w:pPr>
    </w:p>
    <w:p>
      <w:pPr>
        <w:ind w:left="540" w:hanging="277"/>
        <w:spacing w:after="0"/>
        <w:tabs>
          <w:tab w:leader="none" w:pos="5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was approved by the board of directors prior to the time that the stockholder became an interested stockholder;</w:t>
      </w:r>
    </w:p>
    <w:p>
      <w:pPr>
        <w:spacing w:after="0" w:line="145" w:lineRule="exact"/>
        <w:rPr>
          <w:rFonts w:ascii="Times New Roman" w:cs="Times New Roman" w:eastAsia="Times New Roman" w:hAnsi="Times New Roman"/>
          <w:sz w:val="15"/>
          <w:szCs w:val="15"/>
          <w:color w:val="auto"/>
        </w:rPr>
      </w:pPr>
    </w:p>
    <w:p>
      <w:pPr>
        <w:ind w:left="540" w:right="120" w:hanging="277"/>
        <w:spacing w:after="0" w:line="264" w:lineRule="auto"/>
        <w:tabs>
          <w:tab w:leader="none" w:pos="536"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04" w:lineRule="exact"/>
        <w:rPr>
          <w:rFonts w:ascii="Times New Roman" w:cs="Times New Roman" w:eastAsia="Times New Roman" w:hAnsi="Times New Roman"/>
          <w:sz w:val="15"/>
          <w:szCs w:val="15"/>
          <w:color w:val="auto"/>
        </w:rPr>
      </w:pPr>
    </w:p>
    <w:p>
      <w:pPr>
        <w:ind w:left="540" w:right="140" w:hanging="277"/>
        <w:spacing w:after="0" w:line="269" w:lineRule="auto"/>
        <w:tabs>
          <w:tab w:leader="none" w:pos="536"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01" w:lineRule="exact"/>
        <w:rPr>
          <w:sz w:val="20"/>
          <w:szCs w:val="20"/>
          <w:color w:val="auto"/>
        </w:rPr>
      </w:pPr>
    </w:p>
    <w:p>
      <w:pPr>
        <w:ind w:right="140" w:firstLine="273"/>
        <w:spacing w:after="0" w:line="269" w:lineRule="auto"/>
        <w:rPr>
          <w:sz w:val="20"/>
          <w:szCs w:val="20"/>
          <w:color w:val="auto"/>
        </w:rPr>
      </w:pPr>
      <w:r>
        <w:rPr>
          <w:rFonts w:ascii="Times New Roman" w:cs="Times New Roman" w:eastAsia="Times New Roman" w:hAnsi="Times New Roman"/>
          <w:sz w:val="15"/>
          <w:szCs w:val="15"/>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164</w:t>
      </w:r>
    </w:p>
    <w:p>
      <w:pPr>
        <w:sectPr>
          <w:pgSz w:w="11900" w:h="16838" w:orient="portrait"/>
          <w:cols w:equalWidth="0" w:num="1">
            <w:col w:w="11220"/>
          </w:cols>
          <w:pgMar w:left="320" w:top="121" w:right="359" w:bottom="1440" w:gutter="0" w:footer="0" w:header="0"/>
        </w:sectPr>
      </w:pPr>
    </w:p>
    <w:bookmarkStart w:id="167" w:name="page168"/>
    <w:bookmarkEnd w:id="16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Certificate of Incorporation and Amended and Restated Bylaw Provisions</w:t>
      </w:r>
    </w:p>
    <w:p>
      <w:pPr>
        <w:spacing w:after="0" w:line="150" w:lineRule="exact"/>
        <w:rPr>
          <w:sz w:val="20"/>
          <w:szCs w:val="20"/>
          <w:color w:val="auto"/>
        </w:rPr>
      </w:pPr>
    </w:p>
    <w:p>
      <w:pPr>
        <w:ind w:right="160" w:firstLine="273"/>
        <w:spacing w:after="0" w:line="286" w:lineRule="auto"/>
        <w:rPr>
          <w:sz w:val="20"/>
          <w:szCs w:val="20"/>
          <w:color w:val="auto"/>
        </w:rPr>
      </w:pPr>
      <w:r>
        <w:rPr>
          <w:rFonts w:ascii="Times New Roman" w:cs="Times New Roman" w:eastAsia="Times New Roman" w:hAnsi="Times New Roman"/>
          <w:sz w:val="15"/>
          <w:szCs w:val="15"/>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87" w:lineRule="exact"/>
        <w:rPr>
          <w:sz w:val="20"/>
          <w:szCs w:val="20"/>
          <w:color w:val="auto"/>
        </w:rPr>
      </w:pPr>
    </w:p>
    <w:p>
      <w:pPr>
        <w:ind w:firstLine="273"/>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Board of Directors Vacancies. </w:t>
      </w:r>
      <w:r>
        <w:rPr>
          <w:rFonts w:ascii="Times New Roman" w:cs="Times New Roman" w:eastAsia="Times New Roman" w:hAnsi="Times New Roman"/>
          <w:sz w:val="15"/>
          <w:szCs w:val="15"/>
          <w:color w:val="auto"/>
        </w:rPr>
        <w:t>Our amended and restated certificate of incorporation and amended and restated bylaws will authorize only our board of directors to fill vacant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01" w:lineRule="exact"/>
        <w:rPr>
          <w:sz w:val="20"/>
          <w:szCs w:val="20"/>
          <w:color w:val="auto"/>
        </w:rPr>
      </w:pPr>
    </w:p>
    <w:p>
      <w:pPr>
        <w:ind w:right="200" w:firstLine="273"/>
        <w:spacing w:after="0" w:line="271" w:lineRule="auto"/>
        <w:rPr>
          <w:sz w:val="20"/>
          <w:szCs w:val="20"/>
          <w:color w:val="auto"/>
        </w:rPr>
      </w:pPr>
      <w:r>
        <w:rPr>
          <w:rFonts w:ascii="Times New Roman" w:cs="Times New Roman" w:eastAsia="Times New Roman" w:hAnsi="Times New Roman"/>
          <w:sz w:val="15"/>
          <w:szCs w:val="15"/>
          <w:i w:val="1"/>
          <w:iCs w:val="1"/>
          <w:color w:val="auto"/>
        </w:rPr>
        <w:t xml:space="preserve">Classified Board. </w:t>
      </w:r>
      <w:r>
        <w:rPr>
          <w:rFonts w:ascii="Times New Roman" w:cs="Times New Roman" w:eastAsia="Times New Roman" w:hAnsi="Times New Roman"/>
          <w:sz w:val="15"/>
          <w:szCs w:val="15"/>
          <w:color w:val="auto"/>
        </w:rPr>
        <w:t>Our amended and restated certificate of incorporation and amended and restated bylaws will provide that our board of directors is classified into three classes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97" w:lineRule="exact"/>
        <w:rPr>
          <w:sz w:val="20"/>
          <w:szCs w:val="20"/>
          <w:color w:val="auto"/>
        </w:rPr>
      </w:pPr>
    </w:p>
    <w:p>
      <w:pPr>
        <w:ind w:right="60" w:firstLine="273"/>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Stockholder Action; Special Meeting of Stockholders. </w:t>
      </w:r>
      <w:r>
        <w:rPr>
          <w:rFonts w:ascii="Times New Roman" w:cs="Times New Roman" w:eastAsia="Times New Roman" w:hAnsi="Times New Roman"/>
          <w:sz w:val="15"/>
          <w:szCs w:val="15"/>
          <w:color w:val="auto"/>
        </w:rPr>
        <w:t>Our amended and restated certificate of incorporation will provide that our stockholders may not take action by written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05" w:lineRule="exact"/>
        <w:rPr>
          <w:sz w:val="20"/>
          <w:szCs w:val="20"/>
          <w:color w:val="auto"/>
        </w:rPr>
      </w:pPr>
    </w:p>
    <w:p>
      <w:pPr>
        <w:ind w:right="80" w:firstLine="273"/>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Advance Notice Requirements for Stockholder Proposals and Director Nominations. </w:t>
      </w:r>
      <w:r>
        <w:rPr>
          <w:rFonts w:ascii="Times New Roman" w:cs="Times New Roman" w:eastAsia="Times New Roman" w:hAnsi="Times New Roman"/>
          <w:sz w:val="15"/>
          <w:szCs w:val="15"/>
          <w:color w:val="auto"/>
        </w:rPr>
        <w:t>Our amended and restated bylaws will provide advance notice procedures for stockholders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05" w:lineRule="exact"/>
        <w:rPr>
          <w:sz w:val="20"/>
          <w:szCs w:val="20"/>
          <w:color w:val="auto"/>
        </w:rPr>
      </w:pPr>
    </w:p>
    <w:p>
      <w:pPr>
        <w:ind w:right="460" w:firstLine="273"/>
        <w:spacing w:after="0" w:line="289" w:lineRule="auto"/>
        <w:rPr>
          <w:sz w:val="20"/>
          <w:szCs w:val="20"/>
          <w:color w:val="auto"/>
        </w:rPr>
      </w:pPr>
      <w:r>
        <w:rPr>
          <w:rFonts w:ascii="Times New Roman" w:cs="Times New Roman" w:eastAsia="Times New Roman" w:hAnsi="Times New Roman"/>
          <w:sz w:val="15"/>
          <w:szCs w:val="15"/>
          <w:i w:val="1"/>
          <w:iCs w:val="1"/>
          <w:color w:val="auto"/>
        </w:rPr>
        <w:t xml:space="preserve">No Cumulative Voting. </w:t>
      </w:r>
      <w:r>
        <w:rPr>
          <w:rFonts w:ascii="Times New Roman" w:cs="Times New Roman" w:eastAsia="Times New Roman" w:hAnsi="Times New Roman"/>
          <w:sz w:val="15"/>
          <w:szCs w:val="15"/>
          <w:color w:val="auto"/>
        </w:rPr>
        <w:t>The Delaware General Corporation Law provides that stockholders are not entitled to cumulate votes in the election of directors unless a corporation’s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certificate of incorporation provides otherwise. Our amended and restated certificate of incorporation does not provide for cumulative voting.</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 xml:space="preserve">Directors Removed Only for Cause. </w:t>
      </w:r>
      <w:r>
        <w:rPr>
          <w:rFonts w:ascii="Times New Roman" w:cs="Times New Roman" w:eastAsia="Times New Roman" w:hAnsi="Times New Roman"/>
          <w:sz w:val="15"/>
          <w:szCs w:val="15"/>
          <w:color w:val="auto"/>
        </w:rPr>
        <w:t>Our amended and restated certificate of incorporation will provide that stockholders may remove directors only for cause.</w:t>
      </w:r>
    </w:p>
    <w:p>
      <w:pPr>
        <w:spacing w:after="0" w:line="146" w:lineRule="exact"/>
        <w:rPr>
          <w:sz w:val="20"/>
          <w:szCs w:val="20"/>
          <w:color w:val="auto"/>
        </w:rPr>
      </w:pPr>
    </w:p>
    <w:p>
      <w:pPr>
        <w:ind w:left="360" w:right="220" w:hanging="105"/>
        <w:spacing w:after="0" w:line="289" w:lineRule="auto"/>
        <w:rPr>
          <w:sz w:val="20"/>
          <w:szCs w:val="20"/>
          <w:color w:val="auto"/>
        </w:rPr>
      </w:pPr>
      <w:r>
        <w:rPr>
          <w:rFonts w:ascii="Times New Roman" w:cs="Times New Roman" w:eastAsia="Times New Roman" w:hAnsi="Times New Roman"/>
          <w:sz w:val="15"/>
          <w:szCs w:val="15"/>
          <w:i w:val="1"/>
          <w:iCs w:val="1"/>
          <w:color w:val="auto"/>
        </w:rPr>
        <w:t xml:space="preserve">Amendment of Charter Provisions. </w:t>
      </w:r>
      <w:r>
        <w:rPr>
          <w:rFonts w:ascii="Times New Roman" w:cs="Times New Roman" w:eastAsia="Times New Roman" w:hAnsi="Times New Roman"/>
          <w:sz w:val="15"/>
          <w:szCs w:val="15"/>
          <w:color w:val="auto"/>
        </w:rPr>
        <w:t>Any amendment of the above provisions in our amended and restated certificate of incorporation would require approval by holders of at least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of our then outstanding capital stock.</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5"/>
          <w:szCs w:val="15"/>
          <w:i w:val="1"/>
          <w:iCs w:val="1"/>
          <w:color w:val="auto"/>
        </w:rPr>
        <w:t xml:space="preserve">Issuance of Undesignated Preferred Stock. </w:t>
      </w:r>
      <w:r>
        <w:rPr>
          <w:rFonts w:ascii="Times New Roman" w:cs="Times New Roman" w:eastAsia="Times New Roman" w:hAnsi="Times New Roman"/>
          <w:sz w:val="15"/>
          <w:szCs w:val="15"/>
          <w:color w:val="auto"/>
        </w:rPr>
        <w:t>Our board of directors will have the authority, without further action by our stockholders, to issue up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preferred stock with rights and preferences, including voting rights, designated from time to time by our board of directors. The existence of authorized but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undesignated</w:t>
      </w:r>
    </w:p>
    <w:p>
      <w:pPr>
        <w:spacing w:after="0" w:line="440" w:lineRule="exact"/>
        <w:rPr>
          <w:sz w:val="20"/>
          <w:szCs w:val="20"/>
          <w:color w:val="auto"/>
        </w:rPr>
      </w:pPr>
    </w:p>
    <w:p>
      <w:pPr>
        <w:sectPr>
          <w:pgSz w:w="11900" w:h="16838" w:orient="portrait"/>
          <w:cols w:equalWidth="0" w:num="2">
            <w:col w:w="9380" w:space="360"/>
            <w:col w:w="1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1240"/>
          </w:cols>
          <w:pgMar w:left="320" w:top="121" w:right="339" w:bottom="1440" w:gutter="0" w:footer="0" w:header="0"/>
          <w:type w:val="continuous"/>
        </w:sectPr>
      </w:pPr>
    </w:p>
    <w:bookmarkStart w:id="168" w:name="page169"/>
    <w:bookmarkEnd w:id="16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5"/>
          <w:szCs w:val="15"/>
          <w:color w:val="auto"/>
        </w:rPr>
        <w:t>unissued shares of preferred stock would enable our board of directors to render more difficult or to discourage an attempt to obtain control of us by means of a merger, tender offer, proxy contest or other means.</w:t>
      </w:r>
    </w:p>
    <w:p>
      <w:pPr>
        <w:spacing w:after="0" w:line="87" w:lineRule="exact"/>
        <w:rPr>
          <w:sz w:val="20"/>
          <w:szCs w:val="20"/>
          <w:color w:val="auto"/>
        </w:rPr>
      </w:pPr>
    </w:p>
    <w:p>
      <w:pPr>
        <w:ind w:firstLine="273"/>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Exclusive Forum. </w:t>
      </w:r>
      <w:r>
        <w:rPr>
          <w:rFonts w:ascii="Times New Roman" w:cs="Times New Roman" w:eastAsia="Times New Roman" w:hAnsi="Times New Roman"/>
          <w:sz w:val="15"/>
          <w:szCs w:val="15"/>
          <w:color w:val="auto"/>
        </w:rPr>
        <w:t>Our amended and restated bylaws will provide that, unless we consent to the selection of an alternative forum, the Court of Chancery of the State of Delaware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 our amended and restated bylaws will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spacing w:after="0" w:line="115" w:lineRule="exact"/>
        <w:rPr>
          <w:sz w:val="20"/>
          <w:szCs w:val="20"/>
          <w:color w:val="auto"/>
        </w:rPr>
      </w:pPr>
    </w:p>
    <w:p>
      <w:pPr>
        <w:ind w:right="160" w:firstLine="273"/>
        <w:spacing w:after="0" w:line="269" w:lineRule="auto"/>
        <w:rPr>
          <w:sz w:val="20"/>
          <w:szCs w:val="20"/>
          <w:color w:val="auto"/>
        </w:rPr>
      </w:pPr>
      <w:r>
        <w:rPr>
          <w:rFonts w:ascii="Times New Roman" w:cs="Times New Roman" w:eastAsia="Times New Roman" w:hAnsi="Times New Roman"/>
          <w:sz w:val="15"/>
          <w:szCs w:val="15"/>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50"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Upon the completion of this offering, the transfer agent and registrar for our Class A common stock will be Computershare Trust Company, N.A. The transfer agent and registrar’s address is 250 Royal Street, Canton, Massachusetts 02021.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Limitations of Liability and Indemnification</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the section titled “Certain Relationships and Related Party Transactions—Limitation of Liability and Indemnification of Officers and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have applied for the listing of our Class A common stock on the Nasdaq Global Select Market 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166</w:t>
      </w:r>
    </w:p>
    <w:p>
      <w:pPr>
        <w:sectPr>
          <w:pgSz w:w="11900" w:h="16838" w:orient="portrait"/>
          <w:cols w:equalWidth="0" w:num="1">
            <w:col w:w="11180"/>
          </w:cols>
          <w:pgMar w:left="320" w:top="121" w:right="399" w:bottom="1440" w:gutter="0" w:footer="0" w:header="0"/>
        </w:sectPr>
      </w:pPr>
    </w:p>
    <w:bookmarkStart w:id="169" w:name="page170"/>
    <w:bookmarkEnd w:id="16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SHARES ELIGIBLE FOR FUTURE SALE</w:t>
      </w:r>
    </w:p>
    <w:p>
      <w:pPr>
        <w:spacing w:after="0" w:line="150" w:lineRule="exact"/>
        <w:rPr>
          <w:sz w:val="20"/>
          <w:szCs w:val="20"/>
          <w:color w:val="auto"/>
        </w:rPr>
      </w:pPr>
    </w:p>
    <w:p>
      <w:pPr>
        <w:ind w:right="260" w:firstLine="273"/>
        <w:spacing w:after="0" w:line="259"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and the concurrent private placement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Following the completion of this offering, the concurrent private placement and the secondary transaction, based on the number of shares of our capital stock outstanding as of</w:t>
      </w:r>
    </w:p>
    <w:p>
      <w:pPr>
        <w:spacing w:after="0" w:line="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September 30, 2020 we will have a total of shares of our Class A common stock outstanding and shares of our Class B common stock outstanding. Of these outstanding shares, all of the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08"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ectPr>
          <w:pgSz w:w="11900" w:h="16838" w:orient="portrait"/>
          <w:cols w:equalWidth="0" w:num="1">
            <w:col w:w="11240"/>
          </w:cols>
          <w:pgMar w:left="320" w:top="121" w:right="339" w:bottom="1440" w:gutter="0" w:footer="0" w:header="0"/>
        </w:sectPr>
      </w:pP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beginning on the date of this prospectus, all</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our Class A common stock sold in this offering will be immediately available for sale in the public market; and</w:t>
      </w:r>
    </w:p>
    <w:p>
      <w:pPr>
        <w:spacing w:after="0" w:line="146" w:lineRule="exact"/>
        <w:rPr>
          <w:sz w:val="20"/>
          <w:szCs w:val="20"/>
          <w:color w:val="auto"/>
        </w:rPr>
      </w:pPr>
    </w:p>
    <w:p>
      <w:pPr>
        <w:sectPr>
          <w:pgSz w:w="11900" w:h="16838" w:orient="portrait"/>
          <w:cols w:equalWidth="0" w:num="3">
            <w:col w:w="320" w:space="220"/>
            <w:col w:w="2640" w:space="400"/>
            <w:col w:w="7660"/>
          </w:cols>
          <w:pgMar w:left="320" w:top="121"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right="160" w:hanging="3"/>
        <w:spacing w:after="0" w:line="286" w:lineRule="auto"/>
        <w:rPr>
          <w:sz w:val="20"/>
          <w:szCs w:val="20"/>
          <w:color w:val="auto"/>
        </w:rPr>
      </w:pPr>
      <w:r>
        <w:rPr>
          <w:rFonts w:ascii="Times New Roman" w:cs="Times New Roman" w:eastAsia="Times New Roman" w:hAnsi="Times New Roman"/>
          <w:sz w:val="15"/>
          <w:szCs w:val="15"/>
          <w:color w:val="auto"/>
        </w:rPr>
        <w:t>beginning 181 days after the date of this prospectus (subject to the terms of the lock-up and market standoff agreements described below)</w:t>
      </w:r>
      <w:r>
        <w:rPr>
          <w:sz w:val="20"/>
          <w:szCs w:val="20"/>
          <w:color w:val="auto"/>
        </w:rPr>
        <w:t xml:space="preserve"> </w:t>
      </w:r>
      <w:r>
        <w:rPr>
          <w:rFonts w:ascii="Times New Roman" w:cs="Times New Roman" w:eastAsia="Times New Roman" w:hAnsi="Times New Roman"/>
          <w:sz w:val="15"/>
          <w:szCs w:val="15"/>
          <w:color w:val="auto"/>
        </w:rPr>
        <w:t>additional shares will become eligible for sale in the public market, of which shares will be held by affiliates and subject to the volume and other restrictions of Rule 144, as described below.</w:t>
      </w:r>
    </w:p>
    <w:p>
      <w:pPr>
        <w:spacing w:after="0" w:line="85" w:lineRule="exact"/>
        <w:rPr>
          <w:sz w:val="20"/>
          <w:szCs w:val="20"/>
          <w:color w:val="auto"/>
        </w:rPr>
      </w:pPr>
    </w:p>
    <w:p>
      <w:pPr>
        <w:sectPr>
          <w:pgSz w:w="11900" w:h="16838" w:orient="portrait"/>
          <w:cols w:equalWidth="0" w:num="2">
            <w:col w:w="320" w:space="220"/>
            <w:col w:w="107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Lock-Up and Market Standoff Agreements</w:t>
      </w:r>
    </w:p>
    <w:p>
      <w:pPr>
        <w:spacing w:after="0" w:line="150"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10"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Our directors, our executive officers and holders of substantially all of our capital stock and securities convertible into our capital stock have entered or will enter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Morgan Stanley &amp; Co. LLC and BofA Securities, Inc., (1) offer, pledge, announce the intention to sell, sell, contract to sell, sell any option or contract to purchase, purchase any option or contract to sell, grant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167</w:t>
      </w:r>
    </w:p>
    <w:p>
      <w:pPr>
        <w:sectPr>
          <w:pgSz w:w="11900" w:h="16838" w:orient="portrait"/>
          <w:cols w:equalWidth="0" w:num="1">
            <w:col w:w="11240"/>
          </w:cols>
          <w:pgMar w:left="320" w:top="121" w:right="339" w:bottom="1440" w:gutter="0" w:footer="0" w:header="0"/>
          <w:type w:val="continuous"/>
        </w:sectPr>
      </w:pPr>
    </w:p>
    <w:bookmarkStart w:id="170" w:name="page171"/>
    <w:bookmarkEnd w:id="17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5"/>
          <w:szCs w:val="15"/>
          <w:color w:val="auto"/>
        </w:rPr>
        <w:t>option, right or warrant to purchase, or otherwise transfer or dispose of, directly or indirectly, any shares of our 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For more information, see the section titled “Underwriting.”</w:t>
      </w:r>
    </w:p>
    <w:p>
      <w:pPr>
        <w:spacing w:after="0" w:line="110" w:lineRule="exact"/>
        <w:rPr>
          <w:sz w:val="20"/>
          <w:szCs w:val="20"/>
          <w:color w:val="auto"/>
        </w:rPr>
      </w:pPr>
    </w:p>
    <w:p>
      <w:pPr>
        <w:ind w:right="160" w:firstLine="273"/>
        <w:spacing w:after="0" w:line="259" w:lineRule="auto"/>
        <w:rPr>
          <w:sz w:val="20"/>
          <w:szCs w:val="20"/>
          <w:color w:val="auto"/>
        </w:rPr>
      </w:pPr>
      <w:r>
        <w:rPr>
          <w:rFonts w:ascii="Times New Roman" w:cs="Times New Roman" w:eastAsia="Times New Roman" w:hAnsi="Times New Roman"/>
          <w:sz w:val="15"/>
          <w:szCs w:val="15"/>
          <w:color w:val="auto"/>
        </w:rPr>
        <w:t>The shares of Class A common stock we are selling in the concurrent private placement to Fidelity Management &amp; Research Company LLC, SoftBank, certain funds and accounts advised by T. Rowe Price Associates, Inc. and aMoon Fund, assuming an initial public offering price of $ per share, which is the midpoint of the price range set forth on the cover page of this prospectus, and the shares of Class A common stock Dynamics Group LLC, for which our Chief Executive Officer, Omid Farokhzad, M.D., is the sole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member, is selling to SoftBank in a secondary transaction will be subject to lock-up agreements with the underwriters described above.</w:t>
      </w:r>
    </w:p>
    <w:p>
      <w:pPr>
        <w:spacing w:after="0" w:line="130"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capital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10" w:lineRule="exact"/>
        <w:rPr>
          <w:sz w:val="20"/>
          <w:szCs w:val="20"/>
          <w:color w:val="auto"/>
        </w:rPr>
      </w:pPr>
    </w:p>
    <w:p>
      <w:pPr>
        <w:ind w:right="240" w:firstLine="273"/>
        <w:spacing w:after="0" w:line="286" w:lineRule="auto"/>
        <w:rPr>
          <w:sz w:val="20"/>
          <w:szCs w:val="20"/>
          <w:color w:val="auto"/>
        </w:rPr>
      </w:pPr>
      <w:r>
        <w:rPr>
          <w:rFonts w:ascii="Times New Roman" w:cs="Times New Roman" w:eastAsia="Times New Roman" w:hAnsi="Times New Roman"/>
          <w:sz w:val="15"/>
          <w:szCs w:val="15"/>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1260"/>
          </w:cols>
          <w:pgMar w:left="320" w:top="121" w:right="319" w:bottom="1440" w:gutter="0" w:footer="0" w:header="0"/>
        </w:sectPr>
      </w:pP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hanging="3"/>
        <w:spacing w:after="0" w:line="286" w:lineRule="auto"/>
        <w:rPr>
          <w:sz w:val="20"/>
          <w:szCs w:val="20"/>
          <w:color w:val="auto"/>
        </w:rPr>
      </w:pPr>
      <w:r>
        <w:rPr>
          <w:rFonts w:ascii="Times New Roman" w:cs="Times New Roman" w:eastAsia="Times New Roman" w:hAnsi="Times New Roman"/>
          <w:sz w:val="15"/>
          <w:szCs w:val="15"/>
          <w:color w:val="auto"/>
        </w:rPr>
        <w:t>1% of the number of shares of our Class A common stock then outstanding, which will equal private placement and the secondary transaction; 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immediately after the completion of this offering, the concurrent</w:t>
      </w:r>
    </w:p>
    <w:p>
      <w:pPr>
        <w:spacing w:after="0" w:line="327" w:lineRule="exact"/>
        <w:rPr>
          <w:sz w:val="20"/>
          <w:szCs w:val="20"/>
          <w:color w:val="auto"/>
        </w:rPr>
      </w:pPr>
    </w:p>
    <w:p>
      <w:pPr>
        <w:sectPr>
          <w:pgSz w:w="11900" w:h="16838" w:orient="portrait"/>
          <w:cols w:equalWidth="0" w:num="3">
            <w:col w:w="320" w:space="220"/>
            <w:col w:w="5620" w:space="540"/>
            <w:col w:w="4560"/>
          </w:cols>
          <w:pgMar w:left="320" w:top="121" w:right="319" w:bottom="1440" w:gutter="0" w:footer="0" w:header="0"/>
          <w:type w:val="continuous"/>
        </w:sectPr>
      </w:pPr>
    </w:p>
    <w:p>
      <w:pPr>
        <w:ind w:left="540" w:hanging="277"/>
        <w:spacing w:after="0"/>
        <w:tabs>
          <w:tab w:leader="none" w:pos="5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trading volume of our Class A common stock during the four calendar weeks preceding the filing of a notice on Form 144 with respect to that sale.</w:t>
      </w:r>
    </w:p>
    <w:p>
      <w:pPr>
        <w:spacing w:after="0" w:line="146" w:lineRule="exact"/>
        <w:rPr>
          <w:sz w:val="20"/>
          <w:szCs w:val="20"/>
          <w:color w:val="auto"/>
        </w:rPr>
      </w:pPr>
    </w:p>
    <w:p>
      <w:pPr>
        <w:ind w:right="440" w:firstLine="273"/>
        <w:spacing w:after="0" w:line="286" w:lineRule="auto"/>
        <w:rPr>
          <w:sz w:val="20"/>
          <w:szCs w:val="20"/>
          <w:color w:val="auto"/>
        </w:rPr>
      </w:pPr>
      <w:r>
        <w:rPr>
          <w:rFonts w:ascii="Times New Roman" w:cs="Times New Roman" w:eastAsia="Times New Roman" w:hAnsi="Times New Roman"/>
          <w:sz w:val="15"/>
          <w:szCs w:val="15"/>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168</w:t>
      </w:r>
    </w:p>
    <w:p>
      <w:pPr>
        <w:sectPr>
          <w:pgSz w:w="11900" w:h="16838" w:orient="portrait"/>
          <w:cols w:equalWidth="0" w:num="1">
            <w:col w:w="11260"/>
          </w:cols>
          <w:pgMar w:left="320" w:top="121" w:right="319" w:bottom="1440" w:gutter="0" w:footer="0" w:header="0"/>
          <w:type w:val="continuous"/>
        </w:sectPr>
      </w:pPr>
    </w:p>
    <w:bookmarkStart w:id="171" w:name="page172"/>
    <w:bookmarkEnd w:id="17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Rule 701</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50"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Pursuant to our IRA, after the completion of this offering, the concurrent private placement and the secondary transaction, the holders of up to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Registration Statement</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We intend to file a registration statement on Form S-8 under the Securities Act promptly after the completion of this offering to register shares of our Class A common stock subject to RSUs and options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 Employee Benefit and Stock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169</w:t>
      </w:r>
    </w:p>
    <w:p>
      <w:pPr>
        <w:sectPr>
          <w:pgSz w:w="11900" w:h="16838" w:orient="portrait"/>
          <w:cols w:equalWidth="0" w:num="1">
            <w:col w:w="11180"/>
          </w:cols>
          <w:pgMar w:left="320" w:top="121" w:right="399" w:bottom="1440" w:gutter="0" w:footer="0" w:header="0"/>
        </w:sectPr>
      </w:pPr>
    </w:p>
    <w:bookmarkStart w:id="172" w:name="page173"/>
    <w:bookmarkEnd w:id="17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MATERIAL U.S. FEDERAL INCOME AND TAX CONSIDERATIONS FOR NON-U.S. HOLDERS OF OUR COMMON STOCK</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10" w:lineRule="exact"/>
        <w:rPr>
          <w:sz w:val="20"/>
          <w:szCs w:val="20"/>
          <w:color w:val="auto"/>
        </w:rPr>
      </w:pPr>
    </w:p>
    <w:p>
      <w:pPr>
        <w:ind w:right="320" w:firstLine="273"/>
        <w:spacing w:after="0" w:line="269" w:lineRule="auto"/>
        <w:rPr>
          <w:sz w:val="20"/>
          <w:szCs w:val="20"/>
          <w:color w:val="auto"/>
        </w:rPr>
      </w:pPr>
      <w:r>
        <w:rPr>
          <w:rFonts w:ascii="Times New Roman" w:cs="Times New Roman" w:eastAsia="Times New Roman" w:hAnsi="Times New Roman"/>
          <w:sz w:val="15"/>
          <w:szCs w:val="15"/>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01" w:lineRule="exact"/>
        <w:rPr>
          <w:sz w:val="20"/>
          <w:szCs w:val="20"/>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regulated investment companies, real estate investment trusts or other financial institutions;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subject to the alternative minimum tax;</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pension plans and tax-qualified retirement plans;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145" w:lineRule="exact"/>
        <w:rPr>
          <w:rFonts w:ascii="Times New Roman" w:cs="Times New Roman" w:eastAsia="Times New Roman" w:hAnsi="Times New Roman"/>
          <w:sz w:val="15"/>
          <w:szCs w:val="15"/>
          <w:color w:val="auto"/>
        </w:rPr>
      </w:pPr>
    </w:p>
    <w:p>
      <w:pPr>
        <w:ind w:left="540" w:right="300" w:hanging="277"/>
        <w:spacing w:after="0" w:line="286" w:lineRule="auto"/>
        <w:tabs>
          <w:tab w:leader="none" w:pos="536"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entities or arrangements classified as partnerships for U.S. federal income tax purposes or other pass through entities such as subchapter S corporations (or investors in such entities or arrangements);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or dealers in securities or currencies;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traders in securities that elect to use a mark-to-market method of accounting for their securities holdings;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own, or are deemed to own, more than five percent of our capital stock (except to the extent specifically set forth below);</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former citizens or long-term residents of the United States;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our Class A common stock as a position in a hedging transaction, “straddle,” “conversion transaction,” or other risk reduction transaction;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our Class A common stock pursuant to the exercise of any option or otherwise as compensation;</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do not hold our Class A common stock as a capital asset within the meaning of Section 1221 of the Code (generally, property held for investment);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our Class A common stock under the constructive sale provisions of the Code; or</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own, or are deemed to own, our Class B common stock.</w:t>
      </w:r>
    </w:p>
    <w:p>
      <w:pPr>
        <w:spacing w:after="0" w:line="146"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170</w:t>
      </w:r>
    </w:p>
    <w:p>
      <w:pPr>
        <w:sectPr>
          <w:pgSz w:w="11900" w:h="16838" w:orient="portrait"/>
          <w:cols w:equalWidth="0" w:num="1">
            <w:col w:w="11260"/>
          </w:cols>
          <w:pgMar w:left="320" w:top="121" w:right="319" w:bottom="1440" w:gutter="0" w:footer="0" w:header="0"/>
        </w:sectPr>
      </w:pPr>
    </w:p>
    <w:bookmarkStart w:id="173" w:name="page174"/>
    <w:bookmarkEnd w:id="17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5"/>
          <w:szCs w:val="15"/>
          <w:color w:val="auto"/>
        </w:rPr>
        <w:t>our Class A common stock should consult his, her or its own tax advisor regarding the tax considerations of the purchase, ownership and disposition of our common stock through a partnership.</w:t>
      </w:r>
    </w:p>
    <w:p>
      <w:pPr>
        <w:spacing w:after="0" w:line="85" w:lineRule="exact"/>
        <w:rPr>
          <w:sz w:val="20"/>
          <w:szCs w:val="20"/>
          <w:color w:val="auto"/>
        </w:rPr>
      </w:pPr>
    </w:p>
    <w:p>
      <w:pPr>
        <w:jc w:val="both"/>
        <w:ind w:right="40" w:firstLine="273"/>
        <w:spacing w:after="0" w:line="272" w:lineRule="auto"/>
        <w:rPr>
          <w:sz w:val="20"/>
          <w:szCs w:val="20"/>
          <w:color w:val="auto"/>
        </w:rPr>
      </w:pPr>
      <w:r>
        <w:rPr>
          <w:rFonts w:ascii="Times New Roman" w:cs="Times New Roman" w:eastAsia="Times New Roman" w:hAnsi="Times New Roman"/>
          <w:sz w:val="15"/>
          <w:szCs w:val="15"/>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Non-U.S. Holder Defined</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purposes of this discussion, you are a “non-U.S. holder” if you are a beneficial owner of our common stock that, for U.S. federal income tax purposes, is neither a partnership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nor:</w:t>
      </w:r>
    </w:p>
    <w:p>
      <w:pPr>
        <w:spacing w:after="0" w:line="130" w:lineRule="exact"/>
        <w:rPr>
          <w:sz w:val="20"/>
          <w:szCs w:val="20"/>
          <w:color w:val="auto"/>
        </w:rPr>
      </w:pPr>
    </w:p>
    <w:p>
      <w:pPr>
        <w:ind w:left="540" w:hanging="277"/>
        <w:spacing w:after="0"/>
        <w:tabs>
          <w:tab w:leader="none" w:pos="5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145" w:lineRule="exact"/>
        <w:rPr>
          <w:rFonts w:ascii="Times New Roman" w:cs="Times New Roman" w:eastAsia="Times New Roman" w:hAnsi="Times New Roman"/>
          <w:sz w:val="15"/>
          <w:szCs w:val="15"/>
          <w:color w:val="auto"/>
        </w:rPr>
      </w:pPr>
    </w:p>
    <w:p>
      <w:pPr>
        <w:ind w:left="540" w:right="360" w:hanging="277"/>
        <w:spacing w:after="0" w:line="286" w:lineRule="auto"/>
        <w:tabs>
          <w:tab w:leader="none" w:pos="536"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whose income is subject to U.S. federal income tax regardless of its source; or</w:t>
      </w:r>
    </w:p>
    <w:p>
      <w:pPr>
        <w:spacing w:after="0" w:line="145" w:lineRule="exact"/>
        <w:rPr>
          <w:rFonts w:ascii="Times New Roman" w:cs="Times New Roman" w:eastAsia="Times New Roman" w:hAnsi="Times New Roman"/>
          <w:sz w:val="15"/>
          <w:szCs w:val="15"/>
          <w:color w:val="auto"/>
        </w:rPr>
      </w:pPr>
    </w:p>
    <w:p>
      <w:pPr>
        <w:ind w:left="540" w:right="360" w:hanging="277"/>
        <w:spacing w:after="0" w:line="286" w:lineRule="auto"/>
        <w:tabs>
          <w:tab w:leader="none" w:pos="536"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50" w:lineRule="exact"/>
        <w:rPr>
          <w:sz w:val="20"/>
          <w:szCs w:val="20"/>
          <w:color w:val="auto"/>
        </w:rPr>
      </w:pPr>
    </w:p>
    <w:p>
      <w:pPr>
        <w:ind w:right="100" w:firstLine="273"/>
        <w:spacing w:after="0" w:line="261" w:lineRule="auto"/>
        <w:rPr>
          <w:sz w:val="20"/>
          <w:szCs w:val="20"/>
          <w:color w:val="auto"/>
        </w:rPr>
      </w:pPr>
      <w:r>
        <w:rPr>
          <w:rFonts w:ascii="Times New Roman" w:cs="Times New Roman" w:eastAsia="Times New Roman" w:hAnsi="Times New Roman"/>
          <w:sz w:val="15"/>
          <w:szCs w:val="15"/>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07"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12" w:lineRule="exact"/>
        <w:rPr>
          <w:sz w:val="20"/>
          <w:szCs w:val="20"/>
          <w:color w:val="auto"/>
        </w:rPr>
      </w:pPr>
    </w:p>
    <w:p>
      <w:pPr>
        <w:ind w:right="160" w:firstLine="273"/>
        <w:spacing w:after="0" w:line="264" w:lineRule="auto"/>
        <w:rPr>
          <w:sz w:val="20"/>
          <w:szCs w:val="20"/>
          <w:color w:val="auto"/>
        </w:rPr>
      </w:pPr>
      <w:r>
        <w:rPr>
          <w:rFonts w:ascii="Times New Roman" w:cs="Times New Roman" w:eastAsia="Times New Roman" w:hAnsi="Times New Roman"/>
          <w:sz w:val="15"/>
          <w:szCs w:val="15"/>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171</w:t>
      </w:r>
    </w:p>
    <w:p>
      <w:pPr>
        <w:sectPr>
          <w:pgSz w:w="11900" w:h="16838" w:orient="portrait"/>
          <w:cols w:equalWidth="0" w:num="1">
            <w:col w:w="11240"/>
          </w:cols>
          <w:pgMar w:left="320" w:top="121" w:right="339" w:bottom="1440" w:gutter="0" w:footer="0" w:header="0"/>
        </w:sectPr>
      </w:pPr>
    </w:p>
    <w:bookmarkStart w:id="174" w:name="page175"/>
    <w:bookmarkEnd w:id="17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Gain on Disposition of Class A Common Stock</w:t>
      </w:r>
    </w:p>
    <w:p>
      <w:pPr>
        <w:spacing w:after="0" w:line="150"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89" w:lineRule="exact"/>
        <w:rPr>
          <w:sz w:val="20"/>
          <w:szCs w:val="20"/>
          <w:color w:val="auto"/>
        </w:rPr>
      </w:pPr>
    </w:p>
    <w:p>
      <w:pPr>
        <w:ind w:left="540" w:right="480" w:hanging="277"/>
        <w:spacing w:after="0" w:line="286" w:lineRule="auto"/>
        <w:tabs>
          <w:tab w:leader="none" w:pos="536"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88" w:lineRule="exact"/>
        <w:rPr>
          <w:rFonts w:ascii="Times New Roman" w:cs="Times New Roman" w:eastAsia="Times New Roman" w:hAnsi="Times New Roman"/>
          <w:sz w:val="15"/>
          <w:szCs w:val="15"/>
          <w:color w:val="auto"/>
        </w:rPr>
      </w:pPr>
    </w:p>
    <w:p>
      <w:pPr>
        <w:ind w:left="540" w:right="180" w:hanging="277"/>
        <w:spacing w:after="0" w:line="286" w:lineRule="auto"/>
        <w:tabs>
          <w:tab w:leader="none" w:pos="536"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an individual who is present in the United States for a period or periods aggregating 183 days or more during the calendar year in which the sale or disposition occurs and certain other conditions are met; or</w:t>
      </w:r>
    </w:p>
    <w:p>
      <w:pPr>
        <w:spacing w:after="0" w:line="88" w:lineRule="exact"/>
        <w:rPr>
          <w:rFonts w:ascii="Times New Roman" w:cs="Times New Roman" w:eastAsia="Times New Roman" w:hAnsi="Times New Roman"/>
          <w:sz w:val="15"/>
          <w:szCs w:val="15"/>
          <w:color w:val="auto"/>
        </w:rPr>
      </w:pPr>
    </w:p>
    <w:p>
      <w:pPr>
        <w:ind w:left="540" w:right="60" w:hanging="277"/>
        <w:spacing w:after="0" w:line="286" w:lineRule="auto"/>
        <w:tabs>
          <w:tab w:leader="none" w:pos="536"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89"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10" w:lineRule="exact"/>
        <w:rPr>
          <w:sz w:val="20"/>
          <w:szCs w:val="20"/>
          <w:color w:val="auto"/>
        </w:rPr>
      </w:pPr>
    </w:p>
    <w:p>
      <w:pPr>
        <w:ind w:right="60" w:firstLine="273"/>
        <w:spacing w:after="0" w:line="259" w:lineRule="auto"/>
        <w:rPr>
          <w:sz w:val="20"/>
          <w:szCs w:val="20"/>
          <w:color w:val="auto"/>
        </w:rPr>
      </w:pPr>
      <w:r>
        <w:rPr>
          <w:rFonts w:ascii="Times New Roman" w:cs="Times New Roman" w:eastAsia="Times New Roman" w:hAnsi="Times New Roman"/>
          <w:sz w:val="15"/>
          <w:szCs w:val="15"/>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Backup Withholding and Information Reporting</w:t>
      </w:r>
    </w:p>
    <w:p>
      <w:pPr>
        <w:spacing w:after="0" w:line="150" w:lineRule="exact"/>
        <w:rPr>
          <w:sz w:val="20"/>
          <w:szCs w:val="20"/>
          <w:color w:val="auto"/>
        </w:rPr>
      </w:pPr>
    </w:p>
    <w:p>
      <w:pPr>
        <w:ind w:right="240" w:firstLine="273"/>
        <w:spacing w:after="0" w:line="286" w:lineRule="auto"/>
        <w:rPr>
          <w:sz w:val="20"/>
          <w:szCs w:val="20"/>
          <w:color w:val="auto"/>
        </w:rPr>
      </w:pPr>
      <w:r>
        <w:rPr>
          <w:rFonts w:ascii="Times New Roman" w:cs="Times New Roman" w:eastAsia="Times New Roman" w:hAnsi="Times New Roman"/>
          <w:sz w:val="15"/>
          <w:szCs w:val="15"/>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89" w:lineRule="exact"/>
        <w:rPr>
          <w:sz w:val="20"/>
          <w:szCs w:val="20"/>
          <w:color w:val="auto"/>
        </w:rPr>
      </w:pPr>
    </w:p>
    <w:p>
      <w:pPr>
        <w:jc w:val="both"/>
        <w:ind w:right="340" w:firstLine="273"/>
        <w:spacing w:after="0" w:line="269" w:lineRule="auto"/>
        <w:rPr>
          <w:sz w:val="20"/>
          <w:szCs w:val="20"/>
          <w:color w:val="auto"/>
        </w:rPr>
      </w:pPr>
      <w:r>
        <w:rPr>
          <w:rFonts w:ascii="Times New Roman" w:cs="Times New Roman" w:eastAsia="Times New Roman" w:hAnsi="Times New Roman"/>
          <w:sz w:val="15"/>
          <w:szCs w:val="15"/>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172</w:t>
      </w:r>
    </w:p>
    <w:p>
      <w:pPr>
        <w:sectPr>
          <w:pgSz w:w="11900" w:h="16838" w:orient="portrait"/>
          <w:cols w:equalWidth="0" w:num="1">
            <w:col w:w="11240"/>
          </w:cols>
          <w:pgMar w:left="320" w:top="121" w:right="339" w:bottom="1440" w:gutter="0" w:footer="0" w:header="0"/>
        </w:sectPr>
      </w:pPr>
    </w:p>
    <w:bookmarkStart w:id="175" w:name="page176"/>
    <w:bookmarkEnd w:id="17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reporting may apply if either we or our paying agent has actual knowledge, or reason to know, that you are a U.S. person.</w:t>
      </w:r>
    </w:p>
    <w:p>
      <w:pPr>
        <w:spacing w:after="0" w:line="146" w:lineRule="exact"/>
        <w:rPr>
          <w:sz w:val="20"/>
          <w:szCs w:val="20"/>
          <w:color w:val="auto"/>
        </w:rPr>
      </w:pPr>
    </w:p>
    <w:p>
      <w:pPr>
        <w:ind w:right="120" w:firstLine="273"/>
        <w:spacing w:after="0" w:line="269" w:lineRule="auto"/>
        <w:rPr>
          <w:sz w:val="20"/>
          <w:szCs w:val="20"/>
          <w:color w:val="auto"/>
        </w:rPr>
      </w:pPr>
      <w:r>
        <w:rPr>
          <w:rFonts w:ascii="Times New Roman" w:cs="Times New Roman" w:eastAsia="Times New Roman" w:hAnsi="Times New Roman"/>
          <w:sz w:val="15"/>
          <w:szCs w:val="15"/>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Withholding Requirements under the Foreign Account Tax Compliance Act</w:t>
      </w:r>
    </w:p>
    <w:p>
      <w:pPr>
        <w:spacing w:after="0" w:line="150"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12" w:lineRule="exact"/>
        <w:rPr>
          <w:sz w:val="20"/>
          <w:szCs w:val="20"/>
          <w:color w:val="auto"/>
        </w:rPr>
      </w:pPr>
    </w:p>
    <w:p>
      <w:pPr>
        <w:ind w:right="60" w:firstLine="273"/>
        <w:spacing w:after="0" w:line="258" w:lineRule="auto"/>
        <w:rPr>
          <w:sz w:val="20"/>
          <w:szCs w:val="20"/>
          <w:color w:val="auto"/>
        </w:rPr>
      </w:pPr>
      <w:r>
        <w:rPr>
          <w:rFonts w:ascii="Times New Roman" w:cs="Times New Roman" w:eastAsia="Times New Roman" w:hAnsi="Times New Roman"/>
          <w:sz w:val="15"/>
          <w:szCs w:val="15"/>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06" w:lineRule="exact"/>
        <w:rPr>
          <w:sz w:val="20"/>
          <w:szCs w:val="20"/>
          <w:color w:val="auto"/>
        </w:rPr>
      </w:pPr>
    </w:p>
    <w:p>
      <w:pPr>
        <w:ind w:right="80" w:firstLine="273"/>
        <w:spacing w:after="0" w:line="272" w:lineRule="auto"/>
        <w:rPr>
          <w:sz w:val="20"/>
          <w:szCs w:val="20"/>
          <w:color w:val="auto"/>
        </w:rPr>
      </w:pPr>
      <w:r>
        <w:rPr>
          <w:rFonts w:ascii="Times New Roman" w:cs="Times New Roman" w:eastAsia="Times New Roman" w:hAnsi="Times New Roman"/>
          <w:sz w:val="15"/>
          <w:szCs w:val="15"/>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173</w:t>
      </w:r>
    </w:p>
    <w:p>
      <w:pPr>
        <w:sectPr>
          <w:pgSz w:w="11900" w:h="16838" w:orient="portrait"/>
          <w:cols w:equalWidth="0" w:num="1">
            <w:col w:w="11240"/>
          </w:cols>
          <w:pgMar w:left="320" w:top="121" w:right="339" w:bottom="1440" w:gutter="0" w:footer="0" w:header="0"/>
        </w:sectPr>
      </w:pPr>
    </w:p>
    <w:bookmarkStart w:id="176" w:name="page177"/>
    <w:bookmarkEnd w:id="17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50" w:lineRule="exact"/>
        <w:rPr>
          <w:sz w:val="20"/>
          <w:szCs w:val="20"/>
          <w:color w:val="auto"/>
        </w:rPr>
      </w:pPr>
    </w:p>
    <w:p>
      <w:pPr>
        <w:ind w:firstLine="273"/>
        <w:spacing w:after="0" w:line="185" w:lineRule="exact"/>
        <w:rPr>
          <w:sz w:val="20"/>
          <w:szCs w:val="20"/>
          <w:color w:val="auto"/>
        </w:rPr>
      </w:pPr>
      <w:r>
        <w:rPr>
          <w:rFonts w:ascii="Times New Roman" w:cs="Times New Roman" w:eastAsia="Times New Roman" w:hAnsi="Times New Roman"/>
          <w:sz w:val="15"/>
          <w:szCs w:val="15"/>
          <w:color w:val="auto"/>
        </w:rPr>
        <w:t>We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running managers of the offering and J.P. Morgan Securities LLC, Morgan Stanley &amp; Co. LLC and BofA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60" w:lineRule="exact"/>
        <w:rPr>
          <w:sz w:val="20"/>
          <w:szCs w:val="20"/>
          <w:color w:val="auto"/>
        </w:rPr>
      </w:pPr>
    </w:p>
    <w:p>
      <w:pPr>
        <w:ind w:left="4640"/>
        <w:spacing w:after="0"/>
        <w:tabs>
          <w:tab w:leader="none" w:pos="9980" w:val="left"/>
        </w:tabs>
        <w:rPr>
          <w:sz w:val="20"/>
          <w:szCs w:val="20"/>
          <w:color w:val="auto"/>
        </w:rPr>
      </w:pPr>
      <w:r>
        <w:rPr>
          <w:rFonts w:ascii="Times New Roman" w:cs="Times New Roman" w:eastAsia="Times New Roman" w:hAnsi="Times New Roman"/>
          <w:sz w:val="12"/>
          <w:szCs w:val="12"/>
          <w:b w:val="1"/>
          <w:bCs w:val="1"/>
          <w:color w:val="auto"/>
        </w:rPr>
        <w:t>Name</w:t>
      </w:r>
      <w:r>
        <w:rPr>
          <w:sz w:val="20"/>
          <w:szCs w:val="20"/>
          <w:color w:val="auto"/>
        </w:rPr>
        <w:tab/>
      </w:r>
      <w:r>
        <w:rPr>
          <w:rFonts w:ascii="Times New Roman" w:cs="Times New Roman" w:eastAsia="Times New Roman" w:hAnsi="Times New Roman"/>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53910" cy="151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1511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 Morgan Securities LLC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53910" cy="144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144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BofA Securities,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53910" cy="144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144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36830</wp:posOffset>
            </wp:positionV>
            <wp:extent cx="9950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95045" cy="6985"/>
                    </a:xfrm>
                    <a:prstGeom prst="rect">
                      <a:avLst/>
                    </a:prstGeom>
                    <a:noFill/>
                  </pic:spPr>
                </pic:pic>
              </a:graphicData>
            </a:graphic>
          </wp:anchor>
        </w:drawing>
      </w:r>
    </w:p>
    <w:p>
      <w:pPr>
        <w:spacing w:after="0" w:line="171" w:lineRule="exact"/>
        <w:rPr>
          <w:sz w:val="20"/>
          <w:szCs w:val="20"/>
          <w:color w:val="auto"/>
        </w:rPr>
      </w:pPr>
    </w:p>
    <w:p>
      <w:pPr>
        <w:ind w:right="740" w:firstLine="273"/>
        <w:spacing w:after="0" w:line="286" w:lineRule="auto"/>
        <w:rPr>
          <w:sz w:val="20"/>
          <w:szCs w:val="20"/>
          <w:color w:val="auto"/>
        </w:rPr>
      </w:pPr>
      <w:r>
        <w:rPr>
          <w:rFonts w:ascii="Times New Roman" w:cs="Times New Roman" w:eastAsia="Times New Roman" w:hAnsi="Times New Roman"/>
          <w:sz w:val="15"/>
          <w:szCs w:val="15"/>
          <w:color w:val="auto"/>
        </w:rPr>
        <w:t>The underwriters are committed to purchase all the Class A common stock offered by us if they purchase any shares. The underwriting agreement also provides that if an underwriter defaults, the purchase commitments of non-defaulting underwriters may also be increased or the offering may be terminated.</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underwriters propose to offer the common stock directly to the public at the initial public offering price set forth on the cover page of this prospectus and to certain dealers at</w:t>
      </w:r>
    </w:p>
    <w:p>
      <w:pPr>
        <w:spacing w:after="0" w:line="24"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5"/>
          <w:szCs w:val="15"/>
          <w:color w:val="auto"/>
        </w:rPr>
        <w:t>that price less a concession not in excess of $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08"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underwriters do not expect to sell more than 5% of the shares of Class A common stock in the aggregate to accounts over which they exercise discretionary authority.</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underwriting fee is equal to the public offering price per share of Class A common stock less the amount paid by the underwriters to us per share of Class A common stock. The</w:t>
      </w:r>
    </w:p>
    <w:p>
      <w:pPr>
        <w:spacing w:after="0" w:line="2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5"/>
          <w:szCs w:val="15"/>
          <w:color w:val="auto"/>
        </w:rPr>
        <w:t>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40" w:type="dxa"/>
            <w:vAlign w:val="bottom"/>
          </w:tcPr>
          <w:p>
            <w:pPr>
              <w:spacing w:after="0"/>
              <w:rPr>
                <w:sz w:val="12"/>
                <w:szCs w:val="12"/>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Without option to purchase</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With full option to purchase</w:t>
            </w:r>
          </w:p>
        </w:tc>
      </w:tr>
      <w:tr>
        <w:trPr>
          <w:trHeight w:val="160"/>
        </w:trPr>
        <w:tc>
          <w:tcPr>
            <w:tcW w:w="804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 shares exercise</w:t>
            </w:r>
          </w:p>
        </w:tc>
        <w:tc>
          <w:tcPr>
            <w:tcW w:w="1580" w:type="dxa"/>
            <w:vAlign w:val="bottom"/>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additional shares exercise</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8"/>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Share</w:t>
            </w:r>
          </w:p>
        </w:tc>
        <w:tc>
          <w:tcPr>
            <w:tcW w:w="1560" w:type="dxa"/>
            <w:vAlign w:val="bottom"/>
            <w:tcBorders>
              <w:bottom w:val="single" w:sz="8" w:color="CCEEFF"/>
            </w:tcBorders>
            <w:shd w:val="clear" w:color="auto" w:fill="CCEEFF"/>
          </w:tcPr>
          <w:p>
            <w:pPr>
              <w:jc w:val="right"/>
              <w:ind w:right="1412"/>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1412"/>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560" w:type="dxa"/>
            <w:vAlign w:val="bottom"/>
          </w:tcPr>
          <w:p>
            <w:pPr>
              <w:jc w:val="right"/>
              <w:ind w:right="1412"/>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7"/>
                <w:szCs w:val="17"/>
                <w:color w:val="auto"/>
              </w:rPr>
            </w:pPr>
          </w:p>
        </w:tc>
        <w:tc>
          <w:tcPr>
            <w:tcW w:w="1580" w:type="dxa"/>
            <w:vAlign w:val="bottom"/>
          </w:tcPr>
          <w:p>
            <w:pPr>
              <w:jc w:val="right"/>
              <w:ind w:right="1412"/>
              <w:spacing w:after="0"/>
              <w:rPr>
                <w:sz w:val="20"/>
                <w:szCs w:val="20"/>
                <w:color w:val="auto"/>
              </w:rPr>
            </w:pPr>
            <w:r>
              <w:rPr>
                <w:rFonts w:ascii="Times New Roman" w:cs="Times New Roman" w:eastAsia="Times New Roman" w:hAnsi="Times New Roman"/>
                <w:sz w:val="15"/>
                <w:szCs w:val="15"/>
                <w:color w:val="auto"/>
              </w:rPr>
              <w:t>$</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estimate that the total expenses of this offering, including registration, filing and listing fees, printing fees and legal and accounting expenses, but excluding the underwriting</w:t>
      </w:r>
    </w:p>
    <w:p>
      <w:pPr>
        <w:spacing w:after="0" w:line="24" w:lineRule="exact"/>
        <w:rPr>
          <w:sz w:val="20"/>
          <w:szCs w:val="20"/>
          <w:color w:val="auto"/>
        </w:rPr>
      </w:pPr>
    </w:p>
    <w:p>
      <w:pPr>
        <w:spacing w:after="0"/>
        <w:tabs>
          <w:tab w:leader="none" w:pos="3560" w:val="left"/>
        </w:tabs>
        <w:rPr>
          <w:sz w:val="20"/>
          <w:szCs w:val="20"/>
          <w:color w:val="auto"/>
        </w:rPr>
      </w:pPr>
      <w:r>
        <w:rPr>
          <w:rFonts w:ascii="Times New Roman" w:cs="Times New Roman" w:eastAsia="Times New Roman" w:hAnsi="Times New Roman"/>
          <w:sz w:val="15"/>
          <w:szCs w:val="15"/>
          <w:color w:val="auto"/>
        </w:rPr>
        <w:t>discounts and commissions, will be approximately $</w:t>
      </w:r>
      <w:r>
        <w:rPr>
          <w:sz w:val="20"/>
          <w:szCs w:val="20"/>
          <w:color w:val="auto"/>
        </w:rPr>
        <w:tab/>
      </w:r>
      <w:r>
        <w:rPr>
          <w:rFonts w:ascii="Times New Roman" w:cs="Times New Roman" w:eastAsia="Times New Roman" w:hAnsi="Times New Roman"/>
          <w:sz w:val="15"/>
          <w:szCs w:val="15"/>
          <w:color w:val="auto"/>
        </w:rPr>
        <w:t>. We have also agreed to reimburse the underwriters for reasonable fees and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174</w:t>
      </w:r>
    </w:p>
    <w:p>
      <w:pPr>
        <w:sectPr>
          <w:pgSz w:w="11900" w:h="16838" w:orient="portrait"/>
          <w:cols w:equalWidth="0" w:num="1">
            <w:col w:w="11260"/>
          </w:cols>
          <w:pgMar w:left="320" w:top="121" w:right="319" w:bottom="1440" w:gutter="0" w:footer="0" w:header="0"/>
        </w:sectPr>
      </w:pPr>
    </w:p>
    <w:bookmarkStart w:id="177" w:name="page178"/>
    <w:bookmarkEnd w:id="177"/>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counsel related to the review by the Financial Industry Regulatory Authority of the terms of sale of the shares of Class A common stock offered hereby in an amount not to exceed</w:t>
      </w:r>
    </w:p>
    <w:p>
      <w:pPr>
        <w:spacing w:after="0" w:line="24" w:lineRule="exact"/>
        <w:rPr>
          <w:sz w:val="20"/>
          <w:szCs w:val="20"/>
          <w:color w:val="auto"/>
        </w:rPr>
      </w:pPr>
    </w:p>
    <w:p>
      <w:pPr>
        <w:ind w:left="489" w:hanging="489"/>
        <w:spacing w:after="0"/>
        <w:tabs>
          <w:tab w:leader="none" w:pos="489"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ind w:left="9" w:right="200" w:firstLine="273"/>
        <w:spacing w:after="0" w:line="269" w:lineRule="auto"/>
        <w:rPr>
          <w:sz w:val="20"/>
          <w:szCs w:val="20"/>
          <w:color w:val="auto"/>
        </w:rPr>
      </w:pPr>
      <w:r>
        <w:rPr>
          <w:rFonts w:ascii="Times New Roman" w:cs="Times New Roman" w:eastAsia="Times New Roman" w:hAnsi="Times New Roman"/>
          <w:sz w:val="15"/>
          <w:szCs w:val="15"/>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1" w:lineRule="exact"/>
        <w:rPr>
          <w:sz w:val="20"/>
          <w:szCs w:val="20"/>
          <w:color w:val="auto"/>
        </w:rPr>
      </w:pPr>
    </w:p>
    <w:p>
      <w:pPr>
        <w:ind w:left="9" w:right="20" w:firstLine="273"/>
        <w:spacing w:after="0" w:line="258" w:lineRule="auto"/>
        <w:rPr>
          <w:sz w:val="20"/>
          <w:szCs w:val="20"/>
          <w:color w:val="auto"/>
        </w:rPr>
      </w:pPr>
      <w:r>
        <w:rPr>
          <w:rFonts w:ascii="Times New Roman" w:cs="Times New Roman" w:eastAsia="Times New Roman" w:hAnsi="Times New Roman"/>
          <w:sz w:val="15"/>
          <w:szCs w:val="15"/>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w:t>
      </w:r>
    </w:p>
    <w:p>
      <w:pPr>
        <w:spacing w:after="0" w:line="85" w:lineRule="exact"/>
        <w:rPr>
          <w:sz w:val="20"/>
          <w:szCs w:val="20"/>
          <w:color w:val="auto"/>
        </w:rPr>
      </w:pPr>
    </w:p>
    <w:p>
      <w:pPr>
        <w:ind w:left="9" w:firstLine="273"/>
        <w:spacing w:after="0" w:line="184" w:lineRule="exact"/>
        <w:rPr>
          <w:sz w:val="20"/>
          <w:szCs w:val="20"/>
          <w:color w:val="auto"/>
        </w:rPr>
      </w:pPr>
      <w:r>
        <w:rPr>
          <w:rFonts w:ascii="Times New Roman" w:cs="Times New Roman" w:eastAsia="Times New Roman" w:hAnsi="Times New Roman"/>
          <w:sz w:val="15"/>
          <w:szCs w:val="15"/>
          <w:color w:val="auto"/>
        </w:rPr>
        <w:t>Our directors and executive officers, and substantially all of our stockholders (such persons, the “lock-up parties”) have entered into lock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28" w:lineRule="exact"/>
        <w:rPr>
          <w:sz w:val="20"/>
          <w:szCs w:val="20"/>
          <w:color w:val="auto"/>
        </w:rPr>
      </w:pPr>
    </w:p>
    <w:p>
      <w:pPr>
        <w:ind w:left="9" w:right="160" w:firstLine="273"/>
        <w:spacing w:after="0" w:line="258" w:lineRule="auto"/>
        <w:rPr>
          <w:sz w:val="20"/>
          <w:szCs w:val="20"/>
          <w:color w:val="auto"/>
        </w:rPr>
      </w:pPr>
      <w:r>
        <w:rPr>
          <w:rFonts w:ascii="Times New Roman" w:cs="Times New Roman" w:eastAsia="Times New Roman" w:hAnsi="Times New Roman"/>
          <w:sz w:val="15"/>
          <w:szCs w:val="15"/>
          <w:color w:val="auto"/>
        </w:rPr>
        <w:t>The shares of Class A common stock we are selling in the concurrent private placement to Fidelity Management &amp; Research Company LLC, SoftBank, certain funds and accounts advised by T. Rowe Price Associates, Inc. and aMoon Fund, assuming an initial public offering price of $ per share, which is the midpoint of the price range set forth on the cover page of this prospectus, and the shares of Class A common stock Dynamics Group LLC, for which our Chief Executive Officer, Omid Farokhzad, M.D. is the sole member, is selling to Sotfbank, assuming an initial public offering price of $ per share, which is the midpoint of the price range set forth on the cover page of this prospectus, in a</w:t>
      </w:r>
    </w:p>
    <w:p>
      <w:pPr>
        <w:ind w:left="9" w:right="20"/>
        <w:spacing w:after="0" w:line="259" w:lineRule="auto"/>
        <w:rPr>
          <w:sz w:val="20"/>
          <w:szCs w:val="20"/>
          <w:color w:val="auto"/>
        </w:rPr>
      </w:pPr>
      <w:r>
        <w:rPr>
          <w:rFonts w:ascii="Times New Roman" w:cs="Times New Roman" w:eastAsia="Times New Roman" w:hAnsi="Times New Roman"/>
          <w:sz w:val="15"/>
          <w:szCs w:val="15"/>
          <w:color w:val="auto"/>
        </w:rPr>
        <w:t>secondary transaction, will be subject to lock-up agreements with the underwriters described above. In connection with the foregoing secondary transaction, J.P. Morgan Securities LLC, Morgan Stanley &amp; Co. LLC, BofA Securities Inc. and Cowen and Company, LLC are each acting as a placement agent in connection with the concurrent private placement for which they will receive a fee. J.P. Morgan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175</w:t>
      </w:r>
    </w:p>
    <w:p>
      <w:pPr>
        <w:sectPr>
          <w:pgSz w:w="11900" w:h="16838" w:orient="portrait"/>
          <w:cols w:equalWidth="0" w:num="1">
            <w:col w:w="11229"/>
          </w:cols>
          <w:pgMar w:left="311" w:top="121" w:right="359" w:bottom="1440" w:gutter="0" w:footer="0" w:header="0"/>
        </w:sectPr>
      </w:pPr>
    </w:p>
    <w:bookmarkStart w:id="178" w:name="page179"/>
    <w:bookmarkEnd w:id="178"/>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LLC, Morgan Stanley &amp; Co. LLC and BofA Securities, Inc. have released Omid Farokhzad, M.D. from his lock-up agreement solely to permit this sale.</w:t>
      </w:r>
    </w:p>
    <w:p>
      <w:pPr>
        <w:spacing w:after="0" w:line="146" w:lineRule="exact"/>
        <w:rPr>
          <w:sz w:val="20"/>
          <w:szCs w:val="20"/>
          <w:color w:val="auto"/>
        </w:rPr>
      </w:pPr>
    </w:p>
    <w:p>
      <w:pPr>
        <w:ind w:left="9" w:firstLine="273"/>
        <w:spacing w:after="0" w:line="257" w:lineRule="auto"/>
        <w:rPr>
          <w:sz w:val="20"/>
          <w:szCs w:val="20"/>
          <w:color w:val="auto"/>
        </w:rPr>
      </w:pPr>
      <w:r>
        <w:rPr>
          <w:rFonts w:ascii="Times New Roman" w:cs="Times New Roman" w:eastAsia="Times New Roman" w:hAnsi="Times New Roman"/>
          <w:sz w:val="15"/>
          <w:szCs w:val="15"/>
          <w:color w:val="auto"/>
        </w:rPr>
        <w:t>The restrictions described in the immediately preceding paragraphs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 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w:t>
      </w:r>
    </w:p>
    <w:p>
      <w:pPr>
        <w:ind w:left="9" w:right="20" w:hanging="9"/>
        <w:spacing w:after="0" w:line="252" w:lineRule="auto"/>
        <w:tabs>
          <w:tab w:leader="none" w:pos="266"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w:t>
      </w:r>
    </w:p>
    <w:p>
      <w:pPr>
        <w:spacing w:after="0" w:line="4" w:lineRule="exact"/>
        <w:rPr>
          <w:rFonts w:ascii="Times New Roman" w:cs="Times New Roman" w:eastAsia="Times New Roman" w:hAnsi="Times New Roman"/>
          <w:sz w:val="15"/>
          <w:szCs w:val="15"/>
          <w:color w:val="auto"/>
        </w:rPr>
      </w:pPr>
    </w:p>
    <w:p>
      <w:pPr>
        <w:ind w:left="9" w:hanging="9"/>
        <w:spacing w:after="0" w:line="254" w:lineRule="auto"/>
        <w:tabs>
          <w:tab w:leader="none" w:pos="266"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w:t>
      </w:r>
    </w:p>
    <w:p>
      <w:pPr>
        <w:spacing w:after="0" w:line="114" w:lineRule="exact"/>
        <w:rPr>
          <w:sz w:val="20"/>
          <w:szCs w:val="20"/>
          <w:color w:val="auto"/>
        </w:rPr>
      </w:pPr>
    </w:p>
    <w:p>
      <w:pPr>
        <w:ind w:left="9" w:right="80" w:firstLine="273"/>
        <w:spacing w:after="0" w:line="286" w:lineRule="auto"/>
        <w:rPr>
          <w:sz w:val="20"/>
          <w:szCs w:val="20"/>
          <w:color w:val="auto"/>
        </w:rPr>
      </w:pPr>
      <w:r>
        <w:rPr>
          <w:rFonts w:ascii="Times New Roman" w:cs="Times New Roman" w:eastAsia="Times New Roman" w:hAnsi="Times New Roman"/>
          <w:sz w:val="15"/>
          <w:szCs w:val="15"/>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89"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We have agreed to indemnify the underwriters against certain liabilities, including liabilities under the Securities Act.</w:t>
      </w:r>
    </w:p>
    <w:p>
      <w:pPr>
        <w:spacing w:after="0" w:line="14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We have applied to have our Class A common stock approved for listing on the Nasdaq Global Select Market under the symbol “SEER.”</w:t>
      </w:r>
    </w:p>
    <w:p>
      <w:pPr>
        <w:spacing w:after="0" w:line="146" w:lineRule="exact"/>
        <w:rPr>
          <w:sz w:val="20"/>
          <w:szCs w:val="20"/>
          <w:color w:val="auto"/>
        </w:rPr>
      </w:pPr>
    </w:p>
    <w:p>
      <w:pPr>
        <w:ind w:left="9" w:right="40" w:firstLine="273"/>
        <w:spacing w:after="0" w:line="258" w:lineRule="auto"/>
        <w:rPr>
          <w:sz w:val="20"/>
          <w:szCs w:val="20"/>
          <w:color w:val="auto"/>
        </w:rPr>
      </w:pPr>
      <w:r>
        <w:rPr>
          <w:rFonts w:ascii="Times New Roman" w:cs="Times New Roman" w:eastAsia="Times New Roman" w:hAnsi="Times New Roman"/>
          <w:sz w:val="15"/>
          <w:szCs w:val="15"/>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176</w:t>
      </w:r>
    </w:p>
    <w:p>
      <w:pPr>
        <w:sectPr>
          <w:pgSz w:w="11900" w:h="16838" w:orient="portrait"/>
          <w:cols w:equalWidth="0" w:num="1">
            <w:col w:w="11229"/>
          </w:cols>
          <w:pgMar w:left="311" w:top="121" w:right="359" w:bottom="1440" w:gutter="0" w:footer="0" w:header="0"/>
        </w:sectPr>
      </w:pPr>
    </w:p>
    <w:bookmarkStart w:id="179" w:name="page180"/>
    <w:bookmarkEnd w:id="17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5"/>
          <w:szCs w:val="15"/>
          <w:color w:val="auto"/>
        </w:rPr>
        <w:t>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04"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04" w:lineRule="exact"/>
        <w:rPr>
          <w:sz w:val="20"/>
          <w:szCs w:val="20"/>
          <w:color w:val="auto"/>
        </w:rPr>
      </w:pPr>
    </w:p>
    <w:p>
      <w:pPr>
        <w:ind w:right="60" w:firstLine="273"/>
        <w:spacing w:after="0" w:line="192" w:lineRule="exact"/>
        <w:rPr>
          <w:sz w:val="20"/>
          <w:szCs w:val="20"/>
          <w:color w:val="auto"/>
        </w:rPr>
      </w:pPr>
      <w:r>
        <w:rPr>
          <w:rFonts w:ascii="Times New Roman" w:cs="Times New Roman" w:eastAsia="Times New Roman" w:hAnsi="Times New Roman"/>
          <w:sz w:val="15"/>
          <w:szCs w:val="15"/>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the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counter market or otherwise.</w:t>
      </w:r>
    </w:p>
    <w:p>
      <w:pPr>
        <w:spacing w:after="0" w:line="106" w:lineRule="exact"/>
        <w:rPr>
          <w:sz w:val="20"/>
          <w:szCs w:val="20"/>
          <w:color w:val="auto"/>
        </w:rPr>
      </w:pPr>
    </w:p>
    <w:p>
      <w:pPr>
        <w:ind w:right="420" w:firstLine="273"/>
        <w:spacing w:after="0" w:line="286"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540" w:hanging="277"/>
        <w:spacing w:after="0"/>
        <w:tabs>
          <w:tab w:leader="none" w:pos="5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set forth in this prospectus and otherwise available to the representatives;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prospects and the history and prospects for the industry in which we compete;</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assessment of our management;</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prospects for future earnings;</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condition of the securities markets at the time of this offering;</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recent market prices of, and demand for, publicly traded Class A common stock of generally comparable companies; and</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deemed relevant by the underwriters and us.</w:t>
      </w:r>
    </w:p>
    <w:p>
      <w:pPr>
        <w:spacing w:after="0" w:line="146" w:lineRule="exact"/>
        <w:rPr>
          <w:sz w:val="20"/>
          <w:szCs w:val="20"/>
          <w:color w:val="auto"/>
        </w:rPr>
      </w:pPr>
    </w:p>
    <w:p>
      <w:pPr>
        <w:ind w:right="220" w:firstLine="273"/>
        <w:spacing w:after="0" w:line="286" w:lineRule="auto"/>
        <w:rPr>
          <w:sz w:val="20"/>
          <w:szCs w:val="20"/>
          <w:color w:val="auto"/>
        </w:rPr>
      </w:pPr>
      <w:r>
        <w:rPr>
          <w:rFonts w:ascii="Times New Roman" w:cs="Times New Roman" w:eastAsia="Times New Roman" w:hAnsi="Times New Roman"/>
          <w:sz w:val="15"/>
          <w:szCs w:val="15"/>
          <w:color w:val="auto"/>
        </w:rPr>
        <w:t>Neither we nor the underwriters can assure investors that an active trading market will develop for our Class A common stock, or that the Class A common stock will trade in the public market at or above the initial public offering price.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Relationships</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J.P. Morgan Securities LLC, Morgan Stanley &amp; Co. LLC, BofA Securities Inc. and Cowen and Company, LLC will receive a fee for acting as placement agents in connection with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177</w:t>
      </w:r>
    </w:p>
    <w:p>
      <w:pPr>
        <w:sectPr>
          <w:pgSz w:w="11900" w:h="16838" w:orient="portrait"/>
          <w:cols w:equalWidth="0" w:num="1">
            <w:col w:w="11240"/>
          </w:cols>
          <w:pgMar w:left="320" w:top="121" w:right="339" w:bottom="1440" w:gutter="0" w:footer="0" w:header="0"/>
        </w:sectPr>
      </w:pPr>
    </w:p>
    <w:bookmarkStart w:id="180" w:name="page181"/>
    <w:bookmarkEnd w:id="180"/>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Selling Restrictions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Canada</w:t>
      </w:r>
    </w:p>
    <w:p>
      <w:pPr>
        <w:spacing w:after="0" w:line="150" w:lineRule="exact"/>
        <w:rPr>
          <w:sz w:val="20"/>
          <w:szCs w:val="20"/>
          <w:color w:val="auto"/>
        </w:rPr>
      </w:pPr>
    </w:p>
    <w:p>
      <w:pPr>
        <w:ind w:right="160" w:firstLine="273"/>
        <w:spacing w:after="0" w:line="264" w:lineRule="auto"/>
        <w:rPr>
          <w:sz w:val="20"/>
          <w:szCs w:val="20"/>
          <w:color w:val="auto"/>
        </w:rPr>
      </w:pPr>
      <w:r>
        <w:rPr>
          <w:rFonts w:ascii="Times New Roman" w:cs="Times New Roman" w:eastAsia="Times New Roman" w:hAnsi="Times New Roman"/>
          <w:sz w:val="15"/>
          <w:szCs w:val="15"/>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4"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4" w:lineRule="exact"/>
        <w:rPr>
          <w:sz w:val="20"/>
          <w:szCs w:val="20"/>
          <w:color w:val="auto"/>
        </w:rPr>
      </w:pPr>
    </w:p>
    <w:p>
      <w:pPr>
        <w:ind w:right="60" w:firstLine="273"/>
        <w:spacing w:after="0" w:line="286" w:lineRule="auto"/>
        <w:rPr>
          <w:sz w:val="20"/>
          <w:szCs w:val="20"/>
          <w:color w:val="auto"/>
        </w:rPr>
      </w:pPr>
      <w:r>
        <w:rPr>
          <w:rFonts w:ascii="Times New Roman" w:cs="Times New Roman" w:eastAsia="Times New Roman" w:hAnsi="Times New Roman"/>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the European Economic Area and United Kingdom</w:t>
      </w:r>
    </w:p>
    <w:p>
      <w:pPr>
        <w:spacing w:after="0" w:line="150"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04" w:lineRule="exact"/>
        <w:rPr>
          <w:sz w:val="20"/>
          <w:szCs w:val="20"/>
          <w:color w:val="auto"/>
        </w:rPr>
      </w:pPr>
    </w:p>
    <w:p>
      <w:pPr>
        <w:ind w:left="520" w:hanging="257"/>
        <w:spacing w:after="0"/>
        <w:tabs>
          <w:tab w:leader="none" w:pos="5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the Prospectus Regulation;</w:t>
      </w:r>
    </w:p>
    <w:p>
      <w:pPr>
        <w:spacing w:after="0" w:line="145" w:lineRule="exact"/>
        <w:rPr>
          <w:rFonts w:ascii="Times New Roman" w:cs="Times New Roman" w:eastAsia="Times New Roman" w:hAnsi="Times New Roman"/>
          <w:sz w:val="15"/>
          <w:szCs w:val="15"/>
          <w:color w:val="auto"/>
        </w:rPr>
      </w:pPr>
    </w:p>
    <w:p>
      <w:pPr>
        <w:ind w:left="540" w:right="40" w:hanging="277"/>
        <w:spacing w:after="0" w:line="286" w:lineRule="auto"/>
        <w:tabs>
          <w:tab w:leader="none" w:pos="5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the Prospectus Regulation), subject to obtaining the prior consent of the underwriters; or</w:t>
      </w:r>
    </w:p>
    <w:p>
      <w:pPr>
        <w:spacing w:after="0" w:line="88" w:lineRule="exact"/>
        <w:rPr>
          <w:rFonts w:ascii="Times New Roman" w:cs="Times New Roman" w:eastAsia="Times New Roman" w:hAnsi="Times New Roman"/>
          <w:sz w:val="15"/>
          <w:szCs w:val="15"/>
          <w:color w:val="auto"/>
        </w:rPr>
      </w:pPr>
    </w:p>
    <w:p>
      <w:pPr>
        <w:ind w:left="520" w:hanging="257"/>
        <w:spacing w:after="0"/>
        <w:tabs>
          <w:tab w:leader="none" w:pos="5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44" w:lineRule="exact"/>
        <w:rPr>
          <w:sz w:val="20"/>
          <w:szCs w:val="20"/>
          <w:color w:val="auto"/>
        </w:rPr>
      </w:pPr>
    </w:p>
    <w:p>
      <w:pPr>
        <w:ind w:right="40" w:firstLine="273"/>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no such offer of shares shall require us or any underwriter to publish a prospectus pursuant to Article 3 of the Prospectus Regulation or supplement a prospectus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178</w:t>
      </w:r>
    </w:p>
    <w:p>
      <w:pPr>
        <w:sectPr>
          <w:pgSz w:w="11900" w:h="16838" w:orient="portrait"/>
          <w:cols w:equalWidth="0" w:num="1">
            <w:col w:w="11220"/>
          </w:cols>
          <w:pgMar w:left="320" w:top="121" w:right="359" w:bottom="1440" w:gutter="0" w:footer="0" w:header="0"/>
        </w:sectPr>
      </w:pPr>
    </w:p>
    <w:bookmarkStart w:id="181" w:name="page182"/>
    <w:bookmarkEnd w:id="181"/>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15"/>
          <w:szCs w:val="15"/>
          <w:color w:val="auto"/>
        </w:rPr>
        <w:t>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01" w:lineRule="exact"/>
        <w:rPr>
          <w:sz w:val="20"/>
          <w:szCs w:val="20"/>
          <w:color w:val="auto"/>
        </w:rPr>
      </w:pPr>
    </w:p>
    <w:p>
      <w:pPr>
        <w:ind w:right="120" w:firstLine="273"/>
        <w:spacing w:after="0" w:line="269"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the United Kingdom</w:t>
      </w:r>
    </w:p>
    <w:p>
      <w:pPr>
        <w:spacing w:after="0" w:line="150" w:lineRule="exact"/>
        <w:rPr>
          <w:sz w:val="20"/>
          <w:szCs w:val="20"/>
          <w:color w:val="auto"/>
        </w:rPr>
      </w:pPr>
    </w:p>
    <w:p>
      <w:pPr>
        <w:ind w:right="180" w:firstLine="273"/>
        <w:spacing w:after="0" w:line="261" w:lineRule="auto"/>
        <w:rPr>
          <w:sz w:val="20"/>
          <w:szCs w:val="20"/>
          <w:color w:val="auto"/>
        </w:rPr>
      </w:pPr>
      <w:r>
        <w:rPr>
          <w:rFonts w:ascii="Times New Roman" w:cs="Times New Roman" w:eastAsia="Times New Roman" w:hAnsi="Times New Roman"/>
          <w:sz w:val="15"/>
          <w:szCs w:val="15"/>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7" w:lineRule="exact"/>
        <w:rPr>
          <w:sz w:val="20"/>
          <w:szCs w:val="20"/>
          <w:color w:val="auto"/>
        </w:rPr>
      </w:pPr>
    </w:p>
    <w:p>
      <w:pPr>
        <w:ind w:right="280" w:firstLine="273"/>
        <w:spacing w:after="0" w:line="286" w:lineRule="auto"/>
        <w:rPr>
          <w:sz w:val="20"/>
          <w:szCs w:val="20"/>
          <w:color w:val="auto"/>
        </w:rPr>
      </w:pPr>
      <w:r>
        <w:rPr>
          <w:rFonts w:ascii="Times New Roman" w:cs="Times New Roman" w:eastAsia="Times New Roman" w:hAnsi="Times New Roman"/>
          <w:sz w:val="15"/>
          <w:szCs w:val="15"/>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Switzerland</w:t>
      </w:r>
    </w:p>
    <w:p>
      <w:pPr>
        <w:spacing w:after="0" w:line="150"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7" w:lineRule="exact"/>
        <w:rPr>
          <w:sz w:val="20"/>
          <w:szCs w:val="20"/>
          <w:color w:val="auto"/>
        </w:rPr>
      </w:pPr>
    </w:p>
    <w:p>
      <w:pPr>
        <w:ind w:right="180" w:firstLine="273"/>
        <w:spacing w:after="0" w:line="264" w:lineRule="auto"/>
        <w:rPr>
          <w:sz w:val="20"/>
          <w:szCs w:val="20"/>
          <w:color w:val="auto"/>
        </w:rPr>
      </w:pPr>
      <w:r>
        <w:rPr>
          <w:rFonts w:ascii="Times New Roman" w:cs="Times New Roman" w:eastAsia="Times New Roman" w:hAnsi="Times New Roman"/>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Australia</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prospectus:</w:t>
      </w:r>
    </w:p>
    <w:p>
      <w:pPr>
        <w:spacing w:after="0" w:line="146" w:lineRule="exact"/>
        <w:rPr>
          <w:sz w:val="20"/>
          <w:szCs w:val="20"/>
          <w:color w:val="auto"/>
        </w:rPr>
      </w:pPr>
    </w:p>
    <w:p>
      <w:pPr>
        <w:ind w:left="540" w:hanging="277"/>
        <w:spacing w:after="0"/>
        <w:tabs>
          <w:tab w:leader="none" w:pos="54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constitute a disclosure document or a prospectus under Chapter 6D.2 of the Corporations Act 2001 (Cth) (Corporations Act);</w:t>
      </w:r>
    </w:p>
    <w:p>
      <w:pPr>
        <w:spacing w:after="0" w:line="145" w:lineRule="exact"/>
        <w:rPr>
          <w:rFonts w:ascii="Times New Roman" w:cs="Times New Roman" w:eastAsia="Times New Roman" w:hAnsi="Times New Roman"/>
          <w:sz w:val="15"/>
          <w:szCs w:val="15"/>
          <w:color w:val="auto"/>
        </w:rPr>
      </w:pPr>
    </w:p>
    <w:p>
      <w:pPr>
        <w:ind w:left="540" w:hanging="277"/>
        <w:spacing w:after="0" w:line="286" w:lineRule="auto"/>
        <w:tabs>
          <w:tab w:leader="none" w:pos="536"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8" w:lineRule="exact"/>
        <w:rPr>
          <w:rFonts w:ascii="Times New Roman" w:cs="Times New Roman" w:eastAsia="Times New Roman" w:hAnsi="Times New Roman"/>
          <w:sz w:val="15"/>
          <w:szCs w:val="15"/>
          <w:color w:val="auto"/>
        </w:rPr>
      </w:pPr>
    </w:p>
    <w:p>
      <w:pPr>
        <w:ind w:left="540" w:right="80" w:hanging="277"/>
        <w:spacing w:after="0" w:line="286" w:lineRule="auto"/>
        <w:tabs>
          <w:tab w:leader="none" w:pos="536"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only be provided in Australia to select investors who are able to demonstrate that they fall within one or more of the categories of investors, available under section 708 of the Corporations Act (Exempt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179</w:t>
      </w:r>
    </w:p>
    <w:p>
      <w:pPr>
        <w:sectPr>
          <w:pgSz w:w="11900" w:h="16838" w:orient="portrait"/>
          <w:cols w:equalWidth="0" w:num="1">
            <w:col w:w="11240"/>
          </w:cols>
          <w:pgMar w:left="320" w:top="121" w:right="339" w:bottom="1440" w:gutter="0" w:footer="0" w:header="0"/>
        </w:sectPr>
      </w:pPr>
    </w:p>
    <w:bookmarkStart w:id="182" w:name="page183"/>
    <w:bookmarkEnd w:id="18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4" w:lineRule="exact"/>
        <w:rPr>
          <w:sz w:val="20"/>
          <w:szCs w:val="20"/>
          <w:color w:val="auto"/>
        </w:rPr>
      </w:pPr>
    </w:p>
    <w:p>
      <w:pPr>
        <w:ind w:right="120" w:firstLine="273"/>
        <w:spacing w:after="0" w:line="261" w:lineRule="auto"/>
        <w:rPr>
          <w:sz w:val="20"/>
          <w:szCs w:val="20"/>
          <w:color w:val="auto"/>
        </w:rPr>
      </w:pPr>
      <w:r>
        <w:rPr>
          <w:rFonts w:ascii="Times New Roman" w:cs="Times New Roman" w:eastAsia="Times New Roman" w:hAnsi="Times New Roman"/>
          <w:sz w:val="15"/>
          <w:szCs w:val="15"/>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Japan</w:t>
      </w:r>
    </w:p>
    <w:p>
      <w:pPr>
        <w:spacing w:after="0" w:line="150"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Hong Kong</w:t>
      </w:r>
    </w:p>
    <w:p>
      <w:pPr>
        <w:spacing w:after="0" w:line="15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Singapore</w:t>
      </w:r>
    </w:p>
    <w:p>
      <w:pPr>
        <w:spacing w:after="0" w:line="148" w:lineRule="exact"/>
        <w:rPr>
          <w:sz w:val="20"/>
          <w:szCs w:val="20"/>
          <w:color w:val="auto"/>
        </w:rPr>
      </w:pPr>
    </w:p>
    <w:p>
      <w:pPr>
        <w:ind w:right="100" w:firstLine="273"/>
        <w:spacing w:after="0" w:line="265" w:lineRule="auto"/>
        <w:rPr>
          <w:sz w:val="20"/>
          <w:szCs w:val="20"/>
          <w:color w:val="auto"/>
        </w:rPr>
      </w:pPr>
      <w:r>
        <w:rPr>
          <w:rFonts w:ascii="Times New Roman" w:cs="Times New Roman" w:eastAsia="Times New Roman" w:hAnsi="Times New Roman"/>
          <w:sz w:val="15"/>
          <w:szCs w:val="15"/>
          <w:i w:val="1"/>
          <w:iCs w:val="1"/>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3" w:lineRule="exact"/>
        <w:rPr>
          <w:sz w:val="20"/>
          <w:szCs w:val="20"/>
          <w:color w:val="auto"/>
        </w:rPr>
      </w:pPr>
    </w:p>
    <w:p>
      <w:pPr>
        <w:ind w:right="160" w:firstLine="273"/>
        <w:spacing w:after="0" w:line="264" w:lineRule="auto"/>
        <w:rPr>
          <w:sz w:val="20"/>
          <w:szCs w:val="20"/>
          <w:color w:val="auto"/>
        </w:rPr>
      </w:pPr>
      <w:r>
        <w:rPr>
          <w:rFonts w:ascii="Times New Roman" w:cs="Times New Roman" w:eastAsia="Times New Roman" w:hAnsi="Times New Roman"/>
          <w:sz w:val="15"/>
          <w:szCs w:val="15"/>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180</w:t>
      </w:r>
    </w:p>
    <w:p>
      <w:pPr>
        <w:sectPr>
          <w:pgSz w:w="11900" w:h="16838" w:orient="portrait"/>
          <w:cols w:equalWidth="0" w:num="1">
            <w:col w:w="11180"/>
          </w:cols>
          <w:pgMar w:left="320" w:top="121" w:right="399" w:bottom="1440" w:gutter="0" w:footer="0" w:header="0"/>
        </w:sectPr>
      </w:pPr>
    </w:p>
    <w:bookmarkStart w:id="183" w:name="page184"/>
    <w:bookmarkEnd w:id="183"/>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material in connection with the offer or sale, or invitation for subscription or purchase, of the shares, whether directly or indirectly, to any person in Singapore other than:</w:t>
      </w:r>
    </w:p>
    <w:p>
      <w:pPr>
        <w:spacing w:after="0" w:line="146" w:lineRule="exact"/>
        <w:rPr>
          <w:sz w:val="20"/>
          <w:szCs w:val="20"/>
          <w:color w:val="auto"/>
        </w:rPr>
      </w:pPr>
    </w:p>
    <w:p>
      <w:pPr>
        <w:ind w:left="540" w:hanging="277"/>
        <w:spacing w:after="0" w:line="286" w:lineRule="auto"/>
        <w:tabs>
          <w:tab w:leader="none" w:pos="531"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(as defined in Section 4A of the Securities and Futures Act (Chapter 289) of Singapore, as modified or amended from time to time (SFA)) pursuant to Section 274 of the SFA;</w:t>
      </w:r>
    </w:p>
    <w:p>
      <w:pPr>
        <w:spacing w:after="0" w:line="88" w:lineRule="exact"/>
        <w:rPr>
          <w:rFonts w:ascii="Times New Roman" w:cs="Times New Roman" w:eastAsia="Times New Roman" w:hAnsi="Times New Roman"/>
          <w:sz w:val="15"/>
          <w:szCs w:val="15"/>
          <w:color w:val="auto"/>
        </w:rPr>
      </w:pPr>
    </w:p>
    <w:p>
      <w:pPr>
        <w:ind w:left="540" w:right="60" w:hanging="277"/>
        <w:spacing w:after="0" w:line="286" w:lineRule="auto"/>
        <w:tabs>
          <w:tab w:leader="none" w:pos="5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relevant person (as defined in Section 275(2) of the SFA) pursuant to Section 275(1) of the SFA and in accordance with the conditions specified in Section 275 of the SFA; or</w:t>
      </w:r>
    </w:p>
    <w:p>
      <w:pPr>
        <w:spacing w:after="0" w:line="88" w:lineRule="exact"/>
        <w:rPr>
          <w:rFonts w:ascii="Times New Roman" w:cs="Times New Roman" w:eastAsia="Times New Roman" w:hAnsi="Times New Roman"/>
          <w:sz w:val="15"/>
          <w:szCs w:val="15"/>
          <w:color w:val="auto"/>
        </w:rPr>
      </w:pPr>
    </w:p>
    <w:p>
      <w:pPr>
        <w:ind w:left="520" w:hanging="257"/>
        <w:spacing w:after="0"/>
        <w:tabs>
          <w:tab w:leader="none" w:pos="52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pursuant to, and in accordance with the conditions of, any other applicable provision of the SFA.</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 is:</w:t>
      </w:r>
    </w:p>
    <w:p>
      <w:pPr>
        <w:spacing w:after="0" w:line="146" w:lineRule="exact"/>
        <w:rPr>
          <w:sz w:val="20"/>
          <w:szCs w:val="20"/>
          <w:color w:val="auto"/>
        </w:rPr>
      </w:pPr>
    </w:p>
    <w:p>
      <w:pPr>
        <w:ind w:left="540" w:right="100" w:hanging="277"/>
        <w:spacing w:after="0" w:line="286" w:lineRule="auto"/>
        <w:tabs>
          <w:tab w:leader="none" w:pos="531"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8" w:lineRule="exact"/>
        <w:rPr>
          <w:rFonts w:ascii="Times New Roman" w:cs="Times New Roman" w:eastAsia="Times New Roman" w:hAnsi="Times New Roman"/>
          <w:sz w:val="15"/>
          <w:szCs w:val="15"/>
          <w:color w:val="auto"/>
        </w:rPr>
      </w:pPr>
    </w:p>
    <w:p>
      <w:pPr>
        <w:ind w:left="540" w:right="20" w:hanging="277"/>
        <w:spacing w:after="0" w:line="264" w:lineRule="auto"/>
        <w:tabs>
          <w:tab w:leader="none" w:pos="5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4" w:lineRule="exact"/>
        <w:rPr>
          <w:rFonts w:ascii="Times New Roman" w:cs="Times New Roman" w:eastAsia="Times New Roman" w:hAnsi="Times New Roman"/>
          <w:sz w:val="15"/>
          <w:szCs w:val="15"/>
          <w:color w:val="auto"/>
        </w:rPr>
      </w:pPr>
    </w:p>
    <w:p>
      <w:pPr>
        <w:ind w:left="520" w:hanging="257"/>
        <w:spacing w:after="0"/>
        <w:tabs>
          <w:tab w:leader="none" w:pos="52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or to a relevant person, or to any person arising from an offer referred to in Section 276(4)(i)(B) of the SFA;</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w:t>
      </w:r>
    </w:p>
    <w:p>
      <w:pPr>
        <w:spacing w:after="0" w:line="145" w:lineRule="exact"/>
        <w:rPr>
          <w:rFonts w:ascii="Times New Roman" w:cs="Times New Roman" w:eastAsia="Times New Roman" w:hAnsi="Times New Roman"/>
          <w:sz w:val="15"/>
          <w:szCs w:val="15"/>
          <w:color w:val="auto"/>
        </w:rPr>
      </w:pPr>
    </w:p>
    <w:p>
      <w:pPr>
        <w:ind w:left="520" w:hanging="257"/>
        <w:spacing w:after="0"/>
        <w:tabs>
          <w:tab w:leader="none" w:pos="52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 or</w:t>
      </w:r>
    </w:p>
    <w:p>
      <w:pPr>
        <w:spacing w:after="0" w:line="145"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Regulation 37A of the Securities and Futures (Offers of Investments) (Securities and Securities-based Derivatives Contracts) Regulations 2018.</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China</w:t>
      </w:r>
    </w:p>
    <w:p>
      <w:pPr>
        <w:spacing w:after="0" w:line="150" w:lineRule="exact"/>
        <w:rPr>
          <w:sz w:val="20"/>
          <w:szCs w:val="20"/>
          <w:color w:val="auto"/>
        </w:rPr>
      </w:pPr>
    </w:p>
    <w:p>
      <w:pPr>
        <w:jc w:val="both"/>
        <w:ind w:right="340" w:firstLine="273"/>
        <w:spacing w:after="0" w:line="269" w:lineRule="auto"/>
        <w:rPr>
          <w:sz w:val="20"/>
          <w:szCs w:val="20"/>
          <w:color w:val="auto"/>
        </w:rPr>
      </w:pPr>
      <w:r>
        <w:rPr>
          <w:rFonts w:ascii="Times New Roman" w:cs="Times New Roman" w:eastAsia="Times New Roman" w:hAnsi="Times New Roman"/>
          <w:sz w:val="15"/>
          <w:szCs w:val="15"/>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Korea</w:t>
      </w:r>
    </w:p>
    <w:p>
      <w:pPr>
        <w:spacing w:after="0" w:line="150"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181</w:t>
      </w:r>
    </w:p>
    <w:p>
      <w:pPr>
        <w:sectPr>
          <w:pgSz w:w="11900" w:h="16838" w:orient="portrait"/>
          <w:cols w:equalWidth="0" w:num="1">
            <w:col w:w="11220"/>
          </w:cols>
          <w:pgMar w:left="320" w:top="121" w:right="359" w:bottom="1440" w:gutter="0" w:footer="0" w:header="0"/>
        </w:sectPr>
      </w:pPr>
    </w:p>
    <w:bookmarkStart w:id="184" w:name="page185"/>
    <w:bookmarkEnd w:id="184"/>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Taiwan</w:t>
      </w:r>
    </w:p>
    <w:p>
      <w:pPr>
        <w:spacing w:after="0" w:line="150"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Saudi Arabia</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the Dubai International Financial Centre (DIFC)</w:t>
      </w:r>
    </w:p>
    <w:p>
      <w:pPr>
        <w:spacing w:after="0" w:line="150" w:lineRule="exact"/>
        <w:rPr>
          <w:sz w:val="20"/>
          <w:szCs w:val="20"/>
          <w:color w:val="auto"/>
        </w:rPr>
      </w:pPr>
    </w:p>
    <w:p>
      <w:pPr>
        <w:ind w:right="40" w:firstLine="273"/>
        <w:spacing w:after="0" w:line="261" w:lineRule="auto"/>
        <w:rPr>
          <w:sz w:val="20"/>
          <w:szCs w:val="20"/>
          <w:color w:val="auto"/>
        </w:rPr>
      </w:pPr>
      <w:r>
        <w:rPr>
          <w:rFonts w:ascii="Times New Roman" w:cs="Times New Roman" w:eastAsia="Times New Roman" w:hAnsi="Times New Roman"/>
          <w:sz w:val="15"/>
          <w:szCs w:val="15"/>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7" w:lineRule="exact"/>
        <w:rPr>
          <w:sz w:val="20"/>
          <w:szCs w:val="20"/>
          <w:color w:val="auto"/>
        </w:rPr>
      </w:pPr>
    </w:p>
    <w:p>
      <w:pPr>
        <w:jc w:val="both"/>
        <w:ind w:right="100" w:firstLine="273"/>
        <w:spacing w:after="0" w:line="269" w:lineRule="auto"/>
        <w:rPr>
          <w:sz w:val="20"/>
          <w:szCs w:val="20"/>
          <w:color w:val="auto"/>
        </w:rPr>
      </w:pPr>
      <w:r>
        <w:rPr>
          <w:rFonts w:ascii="Times New Roman" w:cs="Times New Roman" w:eastAsia="Times New Roman" w:hAnsi="Times New Roman"/>
          <w:sz w:val="15"/>
          <w:szCs w:val="15"/>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the United Arab Emirates</w:t>
      </w:r>
    </w:p>
    <w:p>
      <w:pPr>
        <w:spacing w:after="0" w:line="150" w:lineRule="exact"/>
        <w:rPr>
          <w:sz w:val="20"/>
          <w:szCs w:val="20"/>
          <w:color w:val="auto"/>
        </w:rPr>
      </w:pPr>
    </w:p>
    <w:p>
      <w:pPr>
        <w:ind w:right="20" w:firstLine="273"/>
        <w:spacing w:after="0" w:line="264" w:lineRule="auto"/>
        <w:rPr>
          <w:sz w:val="20"/>
          <w:szCs w:val="20"/>
          <w:color w:val="auto"/>
        </w:rPr>
      </w:pPr>
      <w:r>
        <w:rPr>
          <w:rFonts w:ascii="Times New Roman" w:cs="Times New Roman" w:eastAsia="Times New Roman" w:hAnsi="Times New Roman"/>
          <w:sz w:val="15"/>
          <w:szCs w:val="15"/>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Bermuda</w:t>
      </w:r>
    </w:p>
    <w:p>
      <w:pPr>
        <w:spacing w:after="0" w:line="150" w:lineRule="exact"/>
        <w:rPr>
          <w:sz w:val="20"/>
          <w:szCs w:val="20"/>
          <w:color w:val="auto"/>
        </w:rPr>
      </w:pPr>
    </w:p>
    <w:p>
      <w:pPr>
        <w:ind w:right="60" w:firstLine="273"/>
        <w:spacing w:after="0" w:line="269" w:lineRule="auto"/>
        <w:rPr>
          <w:sz w:val="20"/>
          <w:szCs w:val="20"/>
          <w:color w:val="auto"/>
        </w:rPr>
      </w:pPr>
      <w:r>
        <w:rPr>
          <w:rFonts w:ascii="Times New Roman" w:cs="Times New Roman" w:eastAsia="Times New Roman" w:hAnsi="Times New Roman"/>
          <w:sz w:val="15"/>
          <w:szCs w:val="15"/>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the British Virgin Islands</w:t>
      </w:r>
    </w:p>
    <w:p>
      <w:pPr>
        <w:spacing w:after="0" w:line="150"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The shares are not being, and may not be offered to the public or to any person in the British Virgin Islands for purchase or subscription by or on behalf of the Company. The shares may be offered to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182</w:t>
      </w:r>
    </w:p>
    <w:p>
      <w:pPr>
        <w:sectPr>
          <w:pgSz w:w="11900" w:h="16838" w:orient="portrait"/>
          <w:cols w:equalWidth="0" w:num="1">
            <w:col w:w="11240"/>
          </w:cols>
          <w:pgMar w:left="320" w:top="121" w:right="339" w:bottom="1440" w:gutter="0" w:footer="0" w:header="0"/>
        </w:sectPr>
      </w:pPr>
    </w:p>
    <w:bookmarkStart w:id="185" w:name="page186"/>
    <w:bookmarkEnd w:id="185"/>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5"/>
          <w:szCs w:val="15"/>
          <w:color w:val="auto"/>
        </w:rPr>
        <w:t>under the BVI Business Companies Act, 2004 (British Virgin Islands) (BVI Companies), but only where the offer will be made to, and received by, the relevant BVI Company entirely outside of the British Virgin Islands.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Notice to Prospective Investors in South Africa</w:t>
      </w:r>
    </w:p>
    <w:p>
      <w:pPr>
        <w:spacing w:after="0" w:line="150"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55" w:lineRule="exact"/>
        <w:rPr>
          <w:sz w:val="20"/>
          <w:szCs w:val="20"/>
          <w:color w:val="auto"/>
        </w:rPr>
      </w:pPr>
    </w:p>
    <w:p>
      <w:pPr>
        <w:ind w:left="280"/>
        <w:spacing w:after="0"/>
        <w:tabs>
          <w:tab w:leader="none" w:pos="2080" w:val="left"/>
        </w:tabs>
        <w:rPr>
          <w:sz w:val="20"/>
          <w:szCs w:val="20"/>
          <w:color w:val="auto"/>
        </w:rPr>
      </w:pPr>
      <w:r>
        <w:rPr>
          <w:rFonts w:ascii="Times New Roman" w:cs="Times New Roman" w:eastAsia="Times New Roman" w:hAnsi="Times New Roman"/>
          <w:sz w:val="15"/>
          <w:szCs w:val="15"/>
          <w:color w:val="auto"/>
        </w:rPr>
        <w:t>Section 96 (1)(a)</w:t>
      </w:r>
      <w:r>
        <w:rPr>
          <w:sz w:val="20"/>
          <w:szCs w:val="20"/>
          <w:color w:val="auto"/>
        </w:rPr>
        <w:tab/>
      </w:r>
      <w:r>
        <w:rPr>
          <w:rFonts w:ascii="Times New Roman" w:cs="Times New Roman" w:eastAsia="Times New Roman" w:hAnsi="Times New Roman"/>
          <w:sz w:val="15"/>
          <w:szCs w:val="15"/>
          <w:color w:val="auto"/>
        </w:rPr>
        <w:t>the offer, transfer, sale, renunciation or delivery is to:</w:t>
      </w:r>
    </w:p>
    <w:p>
      <w:pPr>
        <w:spacing w:after="0" w:line="24" w:lineRule="exact"/>
        <w:rPr>
          <w:sz w:val="20"/>
          <w:szCs w:val="20"/>
          <w:color w:val="auto"/>
        </w:rPr>
      </w:pPr>
    </w:p>
    <w:p>
      <w:pPr>
        <w:ind w:left="2280" w:hanging="173"/>
        <w:spacing w:after="0"/>
        <w:tabs>
          <w:tab w:leader="none" w:pos="228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whose ordinary business, or part of whose ordinary business, is to deal in securities, as principal or agent;</w:t>
      </w:r>
    </w:p>
    <w:p>
      <w:pPr>
        <w:spacing w:after="0" w:line="9" w:lineRule="exact"/>
        <w:rPr>
          <w:rFonts w:ascii="Times New Roman" w:cs="Times New Roman" w:eastAsia="Times New Roman" w:hAnsi="Times New Roman"/>
          <w:sz w:val="15"/>
          <w:szCs w:val="15"/>
          <w:color w:val="auto"/>
        </w:rPr>
      </w:pPr>
    </w:p>
    <w:p>
      <w:pPr>
        <w:ind w:left="2320" w:hanging="213"/>
        <w:spacing w:after="0"/>
        <w:tabs>
          <w:tab w:leader="none" w:pos="232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South African Public Investment Corporation;</w:t>
      </w:r>
    </w:p>
    <w:p>
      <w:pPr>
        <w:spacing w:after="0" w:line="9" w:lineRule="exact"/>
        <w:rPr>
          <w:rFonts w:ascii="Times New Roman" w:cs="Times New Roman" w:eastAsia="Times New Roman" w:hAnsi="Times New Roman"/>
          <w:sz w:val="15"/>
          <w:szCs w:val="15"/>
          <w:color w:val="auto"/>
        </w:rPr>
      </w:pPr>
    </w:p>
    <w:p>
      <w:pPr>
        <w:ind w:left="2380" w:hanging="273"/>
        <w:spacing w:after="0"/>
        <w:tabs>
          <w:tab w:leader="none" w:pos="238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or entities regulated by the Reserve Bank of South Africa;</w:t>
      </w:r>
    </w:p>
    <w:p>
      <w:pPr>
        <w:spacing w:after="0" w:line="9" w:lineRule="exact"/>
        <w:rPr>
          <w:rFonts w:ascii="Times New Roman" w:cs="Times New Roman" w:eastAsia="Times New Roman" w:hAnsi="Times New Roman"/>
          <w:sz w:val="15"/>
          <w:szCs w:val="15"/>
          <w:color w:val="auto"/>
        </w:rPr>
      </w:pPr>
    </w:p>
    <w:p>
      <w:pPr>
        <w:ind w:left="2360" w:hanging="253"/>
        <w:spacing w:after="0"/>
        <w:tabs>
          <w:tab w:leader="none" w:pos="23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financial service providers under South African law;</w:t>
      </w:r>
    </w:p>
    <w:p>
      <w:pPr>
        <w:spacing w:after="0" w:line="9" w:lineRule="exact"/>
        <w:rPr>
          <w:rFonts w:ascii="Times New Roman" w:cs="Times New Roman" w:eastAsia="Times New Roman" w:hAnsi="Times New Roman"/>
          <w:sz w:val="15"/>
          <w:szCs w:val="15"/>
          <w:color w:val="auto"/>
        </w:rPr>
      </w:pPr>
    </w:p>
    <w:p>
      <w:pPr>
        <w:ind w:left="2320" w:hanging="213"/>
        <w:spacing w:after="0"/>
        <w:tabs>
          <w:tab w:leader="none" w:pos="232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institutions recognized as such under South African law;</w:t>
      </w:r>
    </w:p>
    <w:p>
      <w:pPr>
        <w:spacing w:after="0" w:line="9" w:lineRule="exact"/>
        <w:rPr>
          <w:rFonts w:ascii="Times New Roman" w:cs="Times New Roman" w:eastAsia="Times New Roman" w:hAnsi="Times New Roman"/>
          <w:sz w:val="15"/>
          <w:szCs w:val="15"/>
          <w:color w:val="auto"/>
        </w:rPr>
      </w:pPr>
    </w:p>
    <w:p>
      <w:pPr>
        <w:ind w:left="2100" w:right="400" w:firstLine="7"/>
        <w:spacing w:after="0" w:line="252" w:lineRule="auto"/>
        <w:tabs>
          <w:tab w:leader="none" w:pos="2356"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Times New Roman" w:cs="Times New Roman" w:eastAsia="Times New Roman" w:hAnsi="Times New Roman"/>
          <w:sz w:val="15"/>
          <w:szCs w:val="15"/>
          <w:color w:val="auto"/>
        </w:rPr>
      </w:pPr>
    </w:p>
    <w:p>
      <w:pPr>
        <w:ind w:left="2400" w:hanging="293"/>
        <w:spacing w:after="0"/>
        <w:tabs>
          <w:tab w:leader="none" w:pos="240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 person in (i) to (vi); or</w:t>
      </w:r>
    </w:p>
    <w:p>
      <w:pPr>
        <w:sectPr>
          <w:pgSz w:w="11900" w:h="16838" w:orient="portrait"/>
          <w:cols w:equalWidth="0" w:num="1">
            <w:col w:w="11260"/>
          </w:cols>
          <w:pgMar w:left="320" w:top="121" w:right="319" w:bottom="1440" w:gutter="0" w:footer="0" w:header="0"/>
        </w:sectPr>
      </w:pP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Section 96 (1)(b)</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5"/>
          <w:szCs w:val="15"/>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22" w:lineRule="exact"/>
        <w:rPr>
          <w:sz w:val="20"/>
          <w:szCs w:val="20"/>
          <w:color w:val="auto"/>
        </w:rPr>
      </w:pPr>
    </w:p>
    <w:p>
      <w:pPr>
        <w:sectPr>
          <w:pgSz w:w="11900" w:h="16838" w:orient="portrait"/>
          <w:cols w:equalWidth="0" w:num="2">
            <w:col w:w="1380" w:space="720"/>
            <w:col w:w="9160"/>
          </w:cols>
          <w:pgMar w:left="320" w:top="121" w:right="319" w:bottom="1440" w:gutter="0" w:footer="0" w:header="0"/>
          <w:type w:val="continuous"/>
        </w:sectPr>
      </w:pPr>
    </w:p>
    <w:p>
      <w:pPr>
        <w:ind w:left="260" w:right="520"/>
        <w:spacing w:after="0" w:line="443" w:lineRule="auto"/>
        <w:rPr>
          <w:sz w:val="20"/>
          <w:szCs w:val="20"/>
          <w:color w:val="auto"/>
        </w:rPr>
      </w:pPr>
      <w:r>
        <w:rPr>
          <w:rFonts w:ascii="Times New Roman" w:cs="Times New Roman" w:eastAsia="Times New Roman" w:hAnsi="Times New Roman"/>
          <w:sz w:val="15"/>
          <w:szCs w:val="15"/>
          <w:color w:val="auto"/>
        </w:rPr>
        <w:t>Information made available in this prospectus should not be considered as “</w:t>
      </w:r>
      <w:r>
        <w:rPr>
          <w:rFonts w:ascii="Times New Roman" w:cs="Times New Roman" w:eastAsia="Times New Roman" w:hAnsi="Times New Roman"/>
          <w:sz w:val="15"/>
          <w:szCs w:val="15"/>
          <w:i w:val="1"/>
          <w:iCs w:val="1"/>
          <w:color w:val="auto"/>
        </w:rPr>
        <w:t>advice</w:t>
      </w:r>
      <w:r>
        <w:rPr>
          <w:rFonts w:ascii="Times New Roman" w:cs="Times New Roman" w:eastAsia="Times New Roman" w:hAnsi="Times New Roman"/>
          <w:sz w:val="15"/>
          <w:szCs w:val="15"/>
          <w:color w:val="auto"/>
        </w:rPr>
        <w:t xml:space="preserve">” as defined in the South African Financial Advisory and Intermediary Services Act, 2002. </w:t>
      </w:r>
      <w:r>
        <w:rPr>
          <w:rFonts w:ascii="Times New Roman" w:cs="Times New Roman" w:eastAsia="Times New Roman" w:hAnsi="Times New Roman"/>
          <w:sz w:val="15"/>
          <w:szCs w:val="15"/>
          <w:b w:val="1"/>
          <w:bCs w:val="1"/>
          <w:i w:val="1"/>
          <w:iCs w:val="1"/>
          <w:color w:val="auto"/>
        </w:rPr>
        <w:t>Notice to Prospective Investors in Israel</w:t>
      </w:r>
    </w:p>
    <w:p>
      <w:pPr>
        <w:spacing w:after="0" w:line="1" w:lineRule="exact"/>
        <w:rPr>
          <w:sz w:val="20"/>
          <w:szCs w:val="20"/>
          <w:color w:val="auto"/>
        </w:rPr>
      </w:pPr>
    </w:p>
    <w:p>
      <w:pPr>
        <w:jc w:val="both"/>
        <w:ind w:right="20" w:firstLine="273"/>
        <w:spacing w:after="0" w:line="258" w:lineRule="auto"/>
        <w:rPr>
          <w:sz w:val="20"/>
          <w:szCs w:val="20"/>
          <w:color w:val="auto"/>
        </w:rPr>
      </w:pPr>
      <w:r>
        <w:rPr>
          <w:rFonts w:ascii="Times New Roman" w:cs="Times New Roman" w:eastAsia="Times New Roman" w:hAnsi="Times New Roman"/>
          <w:sz w:val="15"/>
          <w:szCs w:val="15"/>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183</w:t>
      </w:r>
    </w:p>
    <w:p>
      <w:pPr>
        <w:sectPr>
          <w:pgSz w:w="11900" w:h="16838" w:orient="portrait"/>
          <w:cols w:equalWidth="0" w:num="1">
            <w:col w:w="11260"/>
          </w:cols>
          <w:pgMar w:left="320" w:top="121" w:right="319" w:bottom="1440" w:gutter="0" w:footer="0" w:header="0"/>
          <w:type w:val="continuous"/>
        </w:sectPr>
      </w:pPr>
    </w:p>
    <w:bookmarkStart w:id="186" w:name="page187"/>
    <w:bookmarkEnd w:id="186"/>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CONCURRENT PRIVATE PLACEMENT</w:t>
      </w:r>
    </w:p>
    <w:p>
      <w:pPr>
        <w:spacing w:after="0" w:line="150" w:lineRule="exact"/>
        <w:rPr>
          <w:sz w:val="20"/>
          <w:szCs w:val="20"/>
          <w:color w:val="auto"/>
        </w:rPr>
      </w:pPr>
    </w:p>
    <w:p>
      <w:pPr>
        <w:ind w:firstLine="273"/>
        <w:spacing w:after="0" w:line="263" w:lineRule="auto"/>
        <w:rPr>
          <w:sz w:val="20"/>
          <w:szCs w:val="20"/>
          <w:color w:val="auto"/>
        </w:rPr>
      </w:pPr>
      <w:r>
        <w:rPr>
          <w:rFonts w:ascii="Times New Roman" w:cs="Times New Roman" w:eastAsia="Times New Roman" w:hAnsi="Times New Roman"/>
          <w:sz w:val="15"/>
          <w:szCs w:val="15"/>
          <w:color w:val="auto"/>
        </w:rPr>
        <w:t>Immediately subsequent to the closing of this offering, Fidelity Management &amp; Research Company LLC, SoftBank, certain funds and accounts advised by T. Rowe Price Associates, Inc. and aMoon Fund will purchase from us, severally and not jointly, in a private placement an aggregate of $135.0 million of our Class A common stock at a price per share equal to</w:t>
      </w:r>
    </w:p>
    <w:p>
      <w:pPr>
        <w:spacing w:after="0" w:line="1"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5"/>
          <w:szCs w:val="15"/>
          <w:color w:val="auto"/>
        </w:rPr>
        <w:t>the initial public offering price. Based on an assumed initial public offering price of $ per share, which is the midpoint of the price range set forth on the cover page of this prospectus, this would be shares. We will pay J.P. Morgan Securities LLC, Morgan Stanley &amp; Co. LLC, BofA Securities Inc. and Cowen and Company, LLC an aggregate</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commission of $4.725 million with respect to the shares that are sold in the private placement. The sale of the shares in the private placement is contingent upon the completion of this offering. The sale of these shares will not be registered in this offering and the shares will be subject to a lock-up agreement with the underwriters. See the section titled “Shares Eligible for Future Sale—Lock-Up Arrangements”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184</w:t>
      </w:r>
    </w:p>
    <w:p>
      <w:pPr>
        <w:sectPr>
          <w:pgSz w:w="11900" w:h="16838" w:orient="portrait"/>
          <w:cols w:equalWidth="0" w:num="1">
            <w:col w:w="11260"/>
          </w:cols>
          <w:pgMar w:left="320" w:top="121" w:right="319" w:bottom="1440" w:gutter="0" w:footer="0" w:header="0"/>
        </w:sectPr>
      </w:pPr>
    </w:p>
    <w:bookmarkStart w:id="187" w:name="page188"/>
    <w:bookmarkEnd w:id="18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50"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Upon the completion of the offering, WS Investment Company (2017A) and WS Investment Company (2018A) will directly or indirectly own less than 0.1% of the outstanding shares of our common stock.</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50"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150"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You can read our SEC filings, including the registration statement and its exhibits, over the Internet at the SEC’s website at www.sec.gov.</w:t>
      </w:r>
    </w:p>
    <w:p>
      <w:pPr>
        <w:spacing w:after="0" w:line="146" w:lineRule="exact"/>
        <w:rPr>
          <w:sz w:val="20"/>
          <w:szCs w:val="20"/>
          <w:color w:val="auto"/>
        </w:rPr>
      </w:pPr>
    </w:p>
    <w:p>
      <w:pPr>
        <w:ind w:right="140" w:firstLine="273"/>
        <w:spacing w:after="0" w:line="264" w:lineRule="auto"/>
        <w:rPr>
          <w:sz w:val="20"/>
          <w:szCs w:val="20"/>
          <w:color w:val="auto"/>
        </w:rPr>
      </w:pPr>
      <w:r>
        <w:rPr>
          <w:rFonts w:ascii="Times New Roman" w:cs="Times New Roman" w:eastAsia="Times New Roman" w:hAnsi="Times New Roman"/>
          <w:sz w:val="15"/>
          <w:szCs w:val="15"/>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185</w:t>
      </w:r>
    </w:p>
    <w:p>
      <w:pPr>
        <w:sectPr>
          <w:pgSz w:w="11900" w:h="16838" w:orient="portrait"/>
          <w:cols w:equalWidth="0" w:num="1">
            <w:col w:w="11240"/>
          </w:cols>
          <w:pgMar w:left="320" w:top="121" w:right="339" w:bottom="1440" w:gutter="0" w:footer="0" w:header="0"/>
        </w:sectPr>
      </w:pPr>
    </w:p>
    <w:bookmarkStart w:id="188" w:name="page189"/>
    <w:bookmarkEnd w:id="18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190"/>
        </w:trPr>
        <w:tc>
          <w:tcPr>
            <w:tcW w:w="10660" w:type="dxa"/>
            <w:vAlign w:val="bottom"/>
          </w:tcPr>
          <w:p>
            <w:pPr>
              <w:spacing w:after="0"/>
              <w:rPr>
                <w:rFonts w:ascii="Times New Roman" w:cs="Times New Roman" w:eastAsia="Times New Roman" w:hAnsi="Times New Roman"/>
                <w:sz w:val="15"/>
                <w:szCs w:val="15"/>
                <w:u w:val="single" w:color="auto"/>
                <w:color w:val="3051F2"/>
              </w:rPr>
            </w:pPr>
            <w:hyperlink w:anchor="page189">
              <w:r>
                <w:rPr>
                  <w:rFonts w:ascii="Times New Roman" w:cs="Times New Roman" w:eastAsia="Times New Roman" w:hAnsi="Times New Roman"/>
                  <w:sz w:val="15"/>
                  <w:szCs w:val="15"/>
                  <w:u w:val="single" w:color="auto"/>
                  <w:color w:val="3051F2"/>
                </w:rPr>
                <w:t>Report of Independent Registered Public Accounting Firm</w:t>
              </w:r>
            </w:hyperlink>
          </w:p>
        </w:tc>
        <w:tc>
          <w:tcPr>
            <w:tcW w:w="200" w:type="dxa"/>
            <w:vAlign w:val="bottom"/>
          </w:tcPr>
          <w:p>
            <w:pPr>
              <w:spacing w:after="0"/>
              <w:rPr>
                <w:sz w:val="16"/>
                <w:szCs w:val="16"/>
                <w:color w:val="auto"/>
              </w:rPr>
            </w:pPr>
          </w:p>
        </w:tc>
        <w:tc>
          <w:tcPr>
            <w:tcW w:w="400" w:type="dxa"/>
            <w:vAlign w:val="bottom"/>
            <w:gridSpan w:val="2"/>
          </w:tcPr>
          <w:p>
            <w:pPr>
              <w:jc w:val="center"/>
              <w:ind w:right="200"/>
              <w:spacing w:after="0"/>
              <w:rPr>
                <w:rFonts w:ascii="Times New Roman" w:cs="Times New Roman" w:eastAsia="Times New Roman" w:hAnsi="Times New Roman"/>
                <w:sz w:val="15"/>
                <w:szCs w:val="15"/>
                <w:u w:val="single" w:color="auto"/>
                <w:color w:val="0000FF"/>
                <w:w w:val="95"/>
              </w:rPr>
            </w:pPr>
            <w:hyperlink w:anchor="page189">
              <w:r>
                <w:rPr>
                  <w:rFonts w:ascii="Times New Roman" w:cs="Times New Roman" w:eastAsia="Times New Roman" w:hAnsi="Times New Roman"/>
                  <w:sz w:val="15"/>
                  <w:szCs w:val="15"/>
                  <w:u w:val="single" w:color="auto"/>
                  <w:color w:val="0000FF"/>
                  <w:w w:val="95"/>
                </w:rPr>
                <w:t>F-</w:t>
              </w:r>
              <w:r>
                <w:rPr>
                  <w:rFonts w:ascii="Times New Roman" w:cs="Times New Roman" w:eastAsia="Times New Roman" w:hAnsi="Times New Roman"/>
                  <w:sz w:val="15"/>
                  <w:szCs w:val="15"/>
                  <w:u w:val="single" w:color="auto"/>
                  <w:color w:val="3051F2"/>
                  <w:w w:val="95"/>
                </w:rPr>
                <w:t>2</w:t>
              </w:r>
            </w:hyperlink>
          </w:p>
        </w:tc>
      </w:tr>
      <w:tr>
        <w:trPr>
          <w:trHeight w:val="162"/>
        </w:trPr>
        <w:tc>
          <w:tcPr>
            <w:tcW w:w="10660" w:type="dxa"/>
            <w:vAlign w:val="bottom"/>
          </w:tcPr>
          <w:p>
            <w:pPr>
              <w:spacing w:after="0" w:line="162" w:lineRule="exact"/>
              <w:rPr>
                <w:rFonts w:ascii="Times New Roman" w:cs="Times New Roman" w:eastAsia="Times New Roman" w:hAnsi="Times New Roman"/>
                <w:sz w:val="15"/>
                <w:szCs w:val="15"/>
                <w:u w:val="single" w:color="auto"/>
                <w:color w:val="3051F2"/>
              </w:rPr>
            </w:pPr>
            <w:hyperlink w:anchor="page190">
              <w:r>
                <w:rPr>
                  <w:rFonts w:ascii="Times New Roman" w:cs="Times New Roman" w:eastAsia="Times New Roman" w:hAnsi="Times New Roman"/>
                  <w:sz w:val="15"/>
                  <w:szCs w:val="15"/>
                  <w:u w:val="single" w:color="auto"/>
                  <w:color w:val="3051F2"/>
                </w:rPr>
                <w:t>Balance Sheets</w:t>
              </w:r>
            </w:hyperlink>
          </w:p>
        </w:tc>
        <w:tc>
          <w:tcPr>
            <w:tcW w:w="200" w:type="dxa"/>
            <w:vAlign w:val="bottom"/>
          </w:tcPr>
          <w:p>
            <w:pPr>
              <w:spacing w:after="0"/>
              <w:rPr>
                <w:sz w:val="14"/>
                <w:szCs w:val="14"/>
                <w:color w:val="auto"/>
              </w:rPr>
            </w:pPr>
          </w:p>
        </w:tc>
        <w:tc>
          <w:tcPr>
            <w:tcW w:w="400" w:type="dxa"/>
            <w:vAlign w:val="bottom"/>
            <w:gridSpan w:val="2"/>
          </w:tcPr>
          <w:p>
            <w:pPr>
              <w:jc w:val="center"/>
              <w:ind w:right="200"/>
              <w:spacing w:after="0" w:line="162" w:lineRule="exact"/>
              <w:rPr>
                <w:rFonts w:ascii="Times New Roman" w:cs="Times New Roman" w:eastAsia="Times New Roman" w:hAnsi="Times New Roman"/>
                <w:sz w:val="15"/>
                <w:szCs w:val="15"/>
                <w:color w:val="3051F2"/>
                <w:w w:val="95"/>
              </w:rPr>
            </w:pPr>
            <w:hyperlink w:anchor="page190">
              <w:r>
                <w:rPr>
                  <w:rFonts w:ascii="Times New Roman" w:cs="Times New Roman" w:eastAsia="Times New Roman" w:hAnsi="Times New Roman"/>
                  <w:sz w:val="15"/>
                  <w:szCs w:val="15"/>
                  <w:color w:val="3051F2"/>
                  <w:w w:val="95"/>
                </w:rPr>
                <w:t>F-3</w:t>
              </w:r>
            </w:hyperlink>
          </w:p>
        </w:tc>
      </w:tr>
      <w:tr>
        <w:trPr>
          <w:trHeight w:val="20"/>
        </w:trPr>
        <w:tc>
          <w:tcPr>
            <w:tcW w:w="10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10660" w:type="dxa"/>
            <w:vAlign w:val="bottom"/>
          </w:tcPr>
          <w:p>
            <w:pPr>
              <w:spacing w:after="0"/>
              <w:rPr>
                <w:rFonts w:ascii="Times New Roman" w:cs="Times New Roman" w:eastAsia="Times New Roman" w:hAnsi="Times New Roman"/>
                <w:sz w:val="15"/>
                <w:szCs w:val="15"/>
                <w:u w:val="single" w:color="auto"/>
                <w:color w:val="3051F2"/>
              </w:rPr>
            </w:pPr>
            <w:hyperlink w:anchor="page192">
              <w:r>
                <w:rPr>
                  <w:rFonts w:ascii="Times New Roman" w:cs="Times New Roman" w:eastAsia="Times New Roman" w:hAnsi="Times New Roman"/>
                  <w:sz w:val="15"/>
                  <w:szCs w:val="15"/>
                  <w:u w:val="single" w:color="auto"/>
                  <w:color w:val="3051F2"/>
                </w:rPr>
                <w:t>Statements of Operations and Comprehensive Loss</w:t>
              </w:r>
            </w:hyperlink>
          </w:p>
        </w:tc>
        <w:tc>
          <w:tcPr>
            <w:tcW w:w="200" w:type="dxa"/>
            <w:vAlign w:val="bottom"/>
          </w:tcPr>
          <w:p>
            <w:pPr>
              <w:spacing w:after="0"/>
              <w:rPr>
                <w:sz w:val="15"/>
                <w:szCs w:val="15"/>
                <w:color w:val="auto"/>
              </w:rPr>
            </w:pPr>
          </w:p>
        </w:tc>
        <w:tc>
          <w:tcPr>
            <w:tcW w:w="400" w:type="dxa"/>
            <w:vAlign w:val="bottom"/>
            <w:gridSpan w:val="2"/>
          </w:tcPr>
          <w:p>
            <w:pPr>
              <w:jc w:val="center"/>
              <w:ind w:right="200"/>
              <w:spacing w:after="0"/>
              <w:rPr>
                <w:rFonts w:ascii="Times New Roman" w:cs="Times New Roman" w:eastAsia="Times New Roman" w:hAnsi="Times New Roman"/>
                <w:sz w:val="15"/>
                <w:szCs w:val="15"/>
                <w:color w:val="3051F2"/>
                <w:w w:val="95"/>
              </w:rPr>
            </w:pPr>
            <w:hyperlink w:anchor="page192">
              <w:r>
                <w:rPr>
                  <w:rFonts w:ascii="Times New Roman" w:cs="Times New Roman" w:eastAsia="Times New Roman" w:hAnsi="Times New Roman"/>
                  <w:sz w:val="15"/>
                  <w:szCs w:val="15"/>
                  <w:color w:val="3051F2"/>
                  <w:w w:val="95"/>
                </w:rPr>
                <w:t>F-5</w:t>
              </w:r>
            </w:hyperlink>
          </w:p>
        </w:tc>
      </w:tr>
      <w:tr>
        <w:trPr>
          <w:trHeight w:val="20"/>
        </w:trPr>
        <w:tc>
          <w:tcPr>
            <w:tcW w:w="10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10660" w:type="dxa"/>
            <w:vAlign w:val="bottom"/>
          </w:tcPr>
          <w:p>
            <w:pPr>
              <w:spacing w:after="0"/>
              <w:rPr>
                <w:rFonts w:ascii="Times New Roman" w:cs="Times New Roman" w:eastAsia="Times New Roman" w:hAnsi="Times New Roman"/>
                <w:sz w:val="15"/>
                <w:szCs w:val="15"/>
                <w:u w:val="single" w:color="auto"/>
                <w:color w:val="3051F2"/>
              </w:rPr>
            </w:pPr>
            <w:hyperlink w:anchor="page193">
              <w:r>
                <w:rPr>
                  <w:rFonts w:ascii="Times New Roman" w:cs="Times New Roman" w:eastAsia="Times New Roman" w:hAnsi="Times New Roman"/>
                  <w:sz w:val="15"/>
                  <w:szCs w:val="15"/>
                  <w:u w:val="single" w:color="auto"/>
                  <w:color w:val="3051F2"/>
                </w:rPr>
                <w:t>Statements of Changes in Stockholders’ Equity</w:t>
              </w:r>
            </w:hyperlink>
          </w:p>
        </w:tc>
        <w:tc>
          <w:tcPr>
            <w:tcW w:w="200" w:type="dxa"/>
            <w:vAlign w:val="bottom"/>
          </w:tcPr>
          <w:p>
            <w:pPr>
              <w:spacing w:after="0"/>
              <w:rPr>
                <w:sz w:val="15"/>
                <w:szCs w:val="15"/>
                <w:color w:val="auto"/>
              </w:rPr>
            </w:pPr>
          </w:p>
        </w:tc>
        <w:tc>
          <w:tcPr>
            <w:tcW w:w="400" w:type="dxa"/>
            <w:vAlign w:val="bottom"/>
            <w:gridSpan w:val="2"/>
          </w:tcPr>
          <w:p>
            <w:pPr>
              <w:jc w:val="center"/>
              <w:ind w:right="200"/>
              <w:spacing w:after="0"/>
              <w:rPr>
                <w:rFonts w:ascii="Times New Roman" w:cs="Times New Roman" w:eastAsia="Times New Roman" w:hAnsi="Times New Roman"/>
                <w:sz w:val="15"/>
                <w:szCs w:val="15"/>
                <w:color w:val="3051F2"/>
                <w:w w:val="95"/>
              </w:rPr>
            </w:pPr>
            <w:hyperlink w:anchor="page193">
              <w:r>
                <w:rPr>
                  <w:rFonts w:ascii="Times New Roman" w:cs="Times New Roman" w:eastAsia="Times New Roman" w:hAnsi="Times New Roman"/>
                  <w:sz w:val="15"/>
                  <w:szCs w:val="15"/>
                  <w:color w:val="3051F2"/>
                  <w:w w:val="95"/>
                </w:rPr>
                <w:t>F-6</w:t>
              </w:r>
            </w:hyperlink>
          </w:p>
        </w:tc>
      </w:tr>
      <w:tr>
        <w:trPr>
          <w:trHeight w:val="20"/>
        </w:trPr>
        <w:tc>
          <w:tcPr>
            <w:tcW w:w="10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10660" w:type="dxa"/>
            <w:vAlign w:val="bottom"/>
          </w:tcPr>
          <w:p>
            <w:pPr>
              <w:spacing w:after="0"/>
              <w:rPr>
                <w:rFonts w:ascii="Times New Roman" w:cs="Times New Roman" w:eastAsia="Times New Roman" w:hAnsi="Times New Roman"/>
                <w:sz w:val="15"/>
                <w:szCs w:val="15"/>
                <w:u w:val="single" w:color="auto"/>
                <w:color w:val="3051F2"/>
              </w:rPr>
            </w:pPr>
            <w:hyperlink w:anchor="page195">
              <w:r>
                <w:rPr>
                  <w:rFonts w:ascii="Times New Roman" w:cs="Times New Roman" w:eastAsia="Times New Roman" w:hAnsi="Times New Roman"/>
                  <w:sz w:val="15"/>
                  <w:szCs w:val="15"/>
                  <w:u w:val="single" w:color="auto"/>
                  <w:color w:val="3051F2"/>
                </w:rPr>
                <w:t>Statements of Cash Flows</w:t>
              </w:r>
            </w:hyperlink>
          </w:p>
        </w:tc>
        <w:tc>
          <w:tcPr>
            <w:tcW w:w="200" w:type="dxa"/>
            <w:vAlign w:val="bottom"/>
          </w:tcPr>
          <w:p>
            <w:pPr>
              <w:spacing w:after="0"/>
              <w:rPr>
                <w:sz w:val="15"/>
                <w:szCs w:val="15"/>
                <w:color w:val="auto"/>
              </w:rPr>
            </w:pPr>
          </w:p>
        </w:tc>
        <w:tc>
          <w:tcPr>
            <w:tcW w:w="400" w:type="dxa"/>
            <w:vAlign w:val="bottom"/>
            <w:gridSpan w:val="2"/>
          </w:tcPr>
          <w:p>
            <w:pPr>
              <w:jc w:val="center"/>
              <w:ind w:right="200"/>
              <w:spacing w:after="0"/>
              <w:rPr>
                <w:rFonts w:ascii="Times New Roman" w:cs="Times New Roman" w:eastAsia="Times New Roman" w:hAnsi="Times New Roman"/>
                <w:sz w:val="15"/>
                <w:szCs w:val="15"/>
                <w:color w:val="3051F2"/>
                <w:w w:val="95"/>
              </w:rPr>
            </w:pPr>
            <w:hyperlink w:anchor="page195">
              <w:r>
                <w:rPr>
                  <w:rFonts w:ascii="Times New Roman" w:cs="Times New Roman" w:eastAsia="Times New Roman" w:hAnsi="Times New Roman"/>
                  <w:sz w:val="15"/>
                  <w:szCs w:val="15"/>
                  <w:color w:val="3051F2"/>
                  <w:w w:val="95"/>
                </w:rPr>
                <w:t>F-8</w:t>
              </w:r>
            </w:hyperlink>
          </w:p>
        </w:tc>
      </w:tr>
      <w:tr>
        <w:trPr>
          <w:trHeight w:val="20"/>
        </w:trPr>
        <w:tc>
          <w:tcPr>
            <w:tcW w:w="10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10660" w:type="dxa"/>
            <w:vAlign w:val="bottom"/>
          </w:tcPr>
          <w:p>
            <w:pPr>
              <w:spacing w:after="0"/>
              <w:rPr>
                <w:rFonts w:ascii="Times New Roman" w:cs="Times New Roman" w:eastAsia="Times New Roman" w:hAnsi="Times New Roman"/>
                <w:sz w:val="15"/>
                <w:szCs w:val="15"/>
                <w:u w:val="single" w:color="auto"/>
                <w:color w:val="3051F2"/>
              </w:rPr>
            </w:pPr>
            <w:hyperlink w:anchor="page197">
              <w:r>
                <w:rPr>
                  <w:rFonts w:ascii="Times New Roman" w:cs="Times New Roman" w:eastAsia="Times New Roman" w:hAnsi="Times New Roman"/>
                  <w:sz w:val="15"/>
                  <w:szCs w:val="15"/>
                  <w:u w:val="single" w:color="auto"/>
                  <w:color w:val="3051F2"/>
                </w:rPr>
                <w:t>Notes to Financial Statements</w:t>
              </w:r>
            </w:hyperlink>
          </w:p>
        </w:tc>
        <w:tc>
          <w:tcPr>
            <w:tcW w:w="200" w:type="dxa"/>
            <w:vAlign w:val="bottom"/>
          </w:tcPr>
          <w:p>
            <w:pPr>
              <w:spacing w:after="0"/>
              <w:rPr>
                <w:sz w:val="15"/>
                <w:szCs w:val="15"/>
                <w:color w:val="auto"/>
              </w:rPr>
            </w:pPr>
          </w:p>
        </w:tc>
        <w:tc>
          <w:tcPr>
            <w:tcW w:w="400" w:type="dxa"/>
            <w:vAlign w:val="bottom"/>
            <w:gridSpan w:val="2"/>
          </w:tcPr>
          <w:p>
            <w:pPr>
              <w:jc w:val="center"/>
              <w:ind w:right="160"/>
              <w:spacing w:after="0"/>
              <w:rPr>
                <w:rFonts w:ascii="Times New Roman" w:cs="Times New Roman" w:eastAsia="Times New Roman" w:hAnsi="Times New Roman"/>
                <w:sz w:val="15"/>
                <w:szCs w:val="15"/>
                <w:color w:val="3051F2"/>
                <w:w w:val="84"/>
              </w:rPr>
            </w:pPr>
            <w:hyperlink w:anchor="page197">
              <w:r>
                <w:rPr>
                  <w:rFonts w:ascii="Times New Roman" w:cs="Times New Roman" w:eastAsia="Times New Roman" w:hAnsi="Times New Roman"/>
                  <w:sz w:val="15"/>
                  <w:szCs w:val="15"/>
                  <w:color w:val="3051F2"/>
                  <w:w w:val="84"/>
                </w:rPr>
                <w:t>F-10</w:t>
              </w:r>
            </w:hyperlink>
          </w:p>
        </w:tc>
      </w:tr>
      <w:tr>
        <w:trPr>
          <w:trHeight w:val="20"/>
        </w:trPr>
        <w:tc>
          <w:tcPr>
            <w:tcW w:w="10660" w:type="dxa"/>
            <w:vAlign w:val="bottom"/>
          </w:tcPr>
          <w:p>
            <w:pPr>
              <w:spacing w:after="0" w:line="20" w:lineRule="exact"/>
              <w:rPr>
                <w:sz w:val="1"/>
                <w:szCs w:val="1"/>
                <w:color w:val="auto"/>
              </w:rPr>
            </w:pPr>
          </w:p>
        </w:tc>
        <w:tc>
          <w:tcPr>
            <w:tcW w:w="20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w:t>
      </w:r>
    </w:p>
    <w:p>
      <w:pPr>
        <w:sectPr>
          <w:pgSz w:w="11900" w:h="16838" w:orient="portrait"/>
          <w:cols w:equalWidth="0" w:num="1">
            <w:col w:w="11260"/>
          </w:cols>
          <w:pgMar w:left="320" w:top="121" w:right="319" w:bottom="1440" w:gutter="0" w:footer="0" w:header="0"/>
        </w:sectPr>
      </w:pPr>
    </w:p>
    <w:bookmarkStart w:id="189" w:name="page190"/>
    <w:bookmarkEnd w:id="189"/>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Stockholders and the Board of Directors of Seer, Inc.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5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25, 2020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F-2</w:t>
      </w:r>
    </w:p>
    <w:p>
      <w:pPr>
        <w:sectPr>
          <w:pgSz w:w="11900" w:h="16838" w:orient="portrait"/>
          <w:cols w:equalWidth="0" w:num="1">
            <w:col w:w="11200"/>
          </w:cols>
          <w:pgMar w:left="320" w:top="1348" w:right="379" w:bottom="1440" w:gutter="0" w:footer="0" w:header="0"/>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jc w:val="center"/>
              <w:ind w:right="276"/>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240" w:type="dxa"/>
            <w:vAlign w:val="bottom"/>
          </w:tcPr>
          <w:p>
            <w:pPr>
              <w:jc w:val="center"/>
              <w:ind w:right="27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2020</w:t>
            </w: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17,706</w:t>
            </w:r>
          </w:p>
        </w:tc>
        <w:tc>
          <w:tcPr>
            <w:tcW w:w="4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Investments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103,800</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receivables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4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receivables, related parties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4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current assets</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31,212</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86,806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123,325</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8,635</w:t>
            </w:r>
          </w:p>
        </w:tc>
        <w:tc>
          <w:tcPr>
            <w:tcW w:w="4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3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33,696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93,236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133,890</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4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Accrued expenses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4,079</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Accrued research and development</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4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Deferred revenue</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Deferred rent, current</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4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3,691</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3,815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5,874</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rent, net of current portion</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w:t>
            </w:r>
          </w:p>
        </w:tc>
        <w:tc>
          <w:tcPr>
            <w:tcW w:w="4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8,354</w:t>
            </w:r>
          </w:p>
        </w:tc>
        <w:tc>
          <w:tcPr>
            <w:tcW w:w="4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Commitments (Note 10)</w:t>
            </w: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180"/>
              <w:spacing w:after="0" w:line="148" w:lineRule="exact"/>
              <w:rPr>
                <w:sz w:val="20"/>
                <w:szCs w:val="20"/>
                <w:color w:val="auto"/>
              </w:rPr>
            </w:pPr>
            <w:r>
              <w:rPr>
                <w:rFonts w:ascii="Times New Roman" w:cs="Times New Roman" w:eastAsia="Times New Roman" w:hAnsi="Times New Roman"/>
                <w:sz w:val="15"/>
                <w:szCs w:val="15"/>
                <w:color w:val="auto"/>
              </w:rPr>
              <w:t>Convertible preferred stock, $0.00001 par value; 23,527,671 and</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47,450,748 shares authorized, issued and outstanding as of December</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31, 2018 and 2019, respectively, 62,117,414 shares authorized and</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62,117,410 shares issued and outstanding as of September 30, 2020</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(unaudited); aggregate liquidation preference of $36,000, $108,500, and</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$163,500 as of December 31, 2018 and 2019, and September 30, 2020</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(unaudited), respectively; no shares issued and outstanding, pro forma</w:t>
            </w:r>
          </w:p>
        </w:tc>
        <w:tc>
          <w:tcPr>
            <w:tcW w:w="3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35,812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107,953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162,849</w:t>
            </w:r>
          </w:p>
        </w:tc>
        <w:tc>
          <w:tcPr>
            <w:tcW w:w="420" w:type="dxa"/>
            <w:vAlign w:val="bottom"/>
          </w:tcPr>
          <w:p>
            <w:pPr>
              <w:spacing w:after="0"/>
              <w:rPr>
                <w:sz w:val="12"/>
                <w:szCs w:val="12"/>
                <w:color w:val="auto"/>
              </w:rPr>
            </w:pPr>
          </w:p>
        </w:tc>
        <w:tc>
          <w:tcPr>
            <w:tcW w:w="1240" w:type="dxa"/>
            <w:vAlign w:val="bottom"/>
            <w:vMerge w:val="restart"/>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4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(unaudited)</w:t>
            </w:r>
          </w:p>
        </w:tc>
        <w:tc>
          <w:tcPr>
            <w:tcW w:w="3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F-3</w:t>
      </w:r>
    </w:p>
    <w:p>
      <w:pPr>
        <w:sectPr>
          <w:pgSz w:w="11900" w:h="16838" w:orient="portrait"/>
          <w:cols w:equalWidth="0" w:num="1">
            <w:col w:w="11260"/>
          </w:cols>
          <w:pgMar w:left="320" w:top="121" w:right="319" w:bottom="1440" w:gutter="0" w:footer="0" w:header="0"/>
        </w:sectPr>
      </w:pPr>
    </w:p>
    <w:bookmarkStart w:id="191" w:name="page192"/>
    <w:bookmarkEnd w:id="19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Class A common stock, $0.00001 par value; 60,000,000, 91,500,000, and</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5"/>
                <w:szCs w:val="15"/>
                <w:color w:val="auto"/>
              </w:rPr>
              <w:t>120,000,000 shares authorized as of December 31, 2018 and 2019, and</w:t>
            </w: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5"/>
                <w:szCs w:val="15"/>
                <w:color w:val="auto"/>
              </w:rPr>
              <w:t>September 30, 2020 (unaudited), respectively; 6,118,051, 6,094,516,</w:t>
            </w: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5"/>
                <w:szCs w:val="15"/>
                <w:color w:val="auto"/>
              </w:rPr>
              <w:t>and 7,054,694 shares issued and outstanding as of December 31, 2018</w:t>
            </w: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5"/>
                <w:szCs w:val="15"/>
                <w:color w:val="auto"/>
              </w:rPr>
              <w:t>and 2019, and September 30, 2020 (unaudited), respectively;</w:t>
            </w: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5"/>
                <w:szCs w:val="15"/>
                <w:color w:val="auto"/>
              </w:rPr>
              <w:t>69,172,104 shares issued and outstanding as of September 30, 2020, pro</w:t>
            </w:r>
          </w:p>
        </w:tc>
        <w:tc>
          <w:tcPr>
            <w:tcW w:w="5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forma (unaudited)</w:t>
            </w:r>
          </w:p>
        </w:tc>
        <w:tc>
          <w:tcPr>
            <w:tcW w:w="5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180"/>
              <w:spacing w:after="0" w:line="148" w:lineRule="exact"/>
              <w:rPr>
                <w:sz w:val="20"/>
                <w:szCs w:val="20"/>
                <w:color w:val="auto"/>
              </w:rPr>
            </w:pPr>
            <w:r>
              <w:rPr>
                <w:rFonts w:ascii="Times New Roman" w:cs="Times New Roman" w:eastAsia="Times New Roman" w:hAnsi="Times New Roman"/>
                <w:sz w:val="15"/>
                <w:szCs w:val="15"/>
                <w:color w:val="auto"/>
              </w:rPr>
              <w:t>Class B common stock, $0.00001 par value; 20,000,000 shares authorized</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as of December 31, 2018 and 2019, and September 30, 2020</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(unaudited), respectively; 20,000,000 shares issued and outstanding as</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of December 31, 2018 and 2019, and September 30, 2020 (unaudited),</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320"/>
              <w:spacing w:after="0" w:line="148" w:lineRule="exact"/>
              <w:rPr>
                <w:sz w:val="20"/>
                <w:szCs w:val="20"/>
                <w:color w:val="auto"/>
              </w:rPr>
            </w:pPr>
            <w:r>
              <w:rPr>
                <w:rFonts w:ascii="Times New Roman" w:cs="Times New Roman" w:eastAsia="Times New Roman" w:hAnsi="Times New Roman"/>
                <w:sz w:val="15"/>
                <w:szCs w:val="15"/>
                <w:color w:val="auto"/>
              </w:rPr>
              <w:t>respectively; 20,000,000 shares issued and outstanding as of September</w:t>
            </w:r>
          </w:p>
        </w:tc>
        <w:tc>
          <w:tcPr>
            <w:tcW w:w="58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30, 2020, pro forma (unaudited)</w:t>
            </w:r>
          </w:p>
        </w:tc>
        <w:tc>
          <w:tcPr>
            <w:tcW w:w="5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167,992</w:t>
            </w:r>
          </w:p>
        </w:tc>
        <w:tc>
          <w:tcPr>
            <w:tcW w:w="0" w:type="dxa"/>
            <w:vAlign w:val="bottom"/>
          </w:tcPr>
          <w:p>
            <w:pPr>
              <w:spacing w:after="0"/>
              <w:rPr>
                <w:sz w:val="1"/>
                <w:szCs w:val="1"/>
                <w:color w:val="auto"/>
              </w:rPr>
            </w:pPr>
          </w:p>
        </w:tc>
      </w:tr>
      <w:tr>
        <w:trPr>
          <w:trHeight w:val="205"/>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5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Accumulated deficit</w:t>
            </w: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(42,600)</w:t>
            </w:r>
          </w:p>
        </w:tc>
        <w:tc>
          <w:tcPr>
            <w:tcW w:w="0" w:type="dxa"/>
            <w:vAlign w:val="bottom"/>
          </w:tcPr>
          <w:p>
            <w:pPr>
              <w:spacing w:after="0"/>
              <w:rPr>
                <w:sz w:val="1"/>
                <w:szCs w:val="1"/>
                <w:color w:val="auto"/>
              </w:rPr>
            </w:pPr>
          </w:p>
        </w:tc>
      </w:tr>
      <w:tr>
        <w:trPr>
          <w:trHeight w:val="218"/>
        </w:trPr>
        <w:tc>
          <w:tcPr>
            <w:tcW w:w="47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29,975</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87,679</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125,536</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125,536</w:t>
            </w:r>
          </w:p>
        </w:tc>
        <w:tc>
          <w:tcPr>
            <w:tcW w:w="0" w:type="dxa"/>
            <w:vAlign w:val="bottom"/>
          </w:tcPr>
          <w:p>
            <w:pPr>
              <w:spacing w:after="0"/>
              <w:rPr>
                <w:sz w:val="1"/>
                <w:szCs w:val="1"/>
                <w:color w:val="auto"/>
              </w:rPr>
            </w:pPr>
          </w:p>
        </w:tc>
      </w:tr>
      <w:tr>
        <w:trPr>
          <w:trHeight w:val="45"/>
        </w:trPr>
        <w:tc>
          <w:tcPr>
            <w:tcW w:w="47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580" w:type="dxa"/>
            <w:vAlign w:val="bottom"/>
            <w:tcBorders>
              <w:top w:val="single" w:sz="8" w:color="CCEEFF"/>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F-4</w:t>
      </w:r>
    </w:p>
    <w:p>
      <w:pPr>
        <w:sectPr>
          <w:pgSz w:w="11900" w:h="16838" w:orient="portrait"/>
          <w:cols w:equalWidth="0" w:num="1">
            <w:col w:w="11260"/>
          </w:cols>
          <w:pgMar w:left="320" w:top="121" w:right="31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Statements of Operations and Comprehensive Loss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amounts)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19685</wp:posOffset>
            </wp:positionV>
            <wp:extent cx="20478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ind w:left="5380"/>
        <w:spacing w:after="0"/>
        <w:tabs>
          <w:tab w:leader="none" w:pos="7020"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19685</wp:posOffset>
            </wp:positionV>
            <wp:extent cx="20478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19685</wp:posOffset>
            </wp:positionV>
            <wp:extent cx="20478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19685</wp:posOffset>
            </wp:positionV>
            <wp:extent cx="20478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43" w:lineRule="exact"/>
        <w:rPr>
          <w:sz w:val="20"/>
          <w:szCs w:val="20"/>
          <w:color w:val="auto"/>
        </w:rPr>
      </w:pPr>
    </w:p>
    <w:p>
      <w:pPr>
        <w:sectPr>
          <w:pgSz w:w="11900" w:h="16838" w:orient="portrait"/>
          <w:cols w:equalWidth="0" w:num="2">
            <w:col w:w="7980" w:space="720"/>
            <w:col w:w="256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revenue</w:t>
            </w:r>
          </w:p>
        </w:tc>
        <w:tc>
          <w:tcPr>
            <w:tcW w:w="50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5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9"/>
                <w:szCs w:val="19"/>
                <w:color w:val="auto"/>
              </w:rPr>
            </w:pPr>
          </w:p>
        </w:tc>
        <w:tc>
          <w:tcPr>
            <w:tcW w:w="46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Grant revenue</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0" w:type="dxa"/>
            <w:vAlign w:val="bottom"/>
          </w:tcPr>
          <w:p>
            <w:pPr>
              <w:spacing w:after="0"/>
              <w:rPr>
                <w:sz w:val="1"/>
                <w:szCs w:val="1"/>
                <w:color w:val="auto"/>
              </w:rPr>
            </w:pPr>
          </w:p>
        </w:tc>
      </w:tr>
      <w:tr>
        <w:trPr>
          <w:trHeight w:val="207"/>
        </w:trPr>
        <w:tc>
          <w:tcPr>
            <w:tcW w:w="47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revenue</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13,520</w:t>
            </w:r>
          </w:p>
        </w:tc>
        <w:tc>
          <w:tcPr>
            <w:tcW w:w="0" w:type="dxa"/>
            <w:vAlign w:val="bottom"/>
          </w:tcPr>
          <w:p>
            <w:pPr>
              <w:spacing w:after="0"/>
              <w:rPr>
                <w:sz w:val="1"/>
                <w:szCs w:val="1"/>
                <w:color w:val="auto"/>
              </w:rPr>
            </w:pPr>
          </w:p>
        </w:tc>
      </w:tr>
      <w:tr>
        <w:trPr>
          <w:trHeight w:val="227"/>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16,999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11,543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20,928</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(20,608)</w:t>
            </w:r>
          </w:p>
        </w:tc>
        <w:tc>
          <w:tcPr>
            <w:tcW w:w="0" w:type="dxa"/>
            <w:vAlign w:val="bottom"/>
          </w:tcPr>
          <w:p>
            <w:pPr>
              <w:spacing w:after="0"/>
              <w:rPr>
                <w:sz w:val="1"/>
                <w:szCs w:val="1"/>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0" w:type="dxa"/>
            <w:vAlign w:val="bottom"/>
          </w:tcPr>
          <w:p>
            <w:pPr>
              <w:spacing w:after="0"/>
              <w:rPr>
                <w:sz w:val="1"/>
                <w:szCs w:val="1"/>
                <w:color w:val="auto"/>
              </w:rPr>
            </w:pPr>
          </w:p>
        </w:tc>
      </w:tr>
      <w:tr>
        <w:trPr>
          <w:trHeight w:val="227"/>
        </w:trPr>
        <w:tc>
          <w:tcPr>
            <w:tcW w:w="4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expense</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other income</w:t>
            </w: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50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(16,038)</w:t>
            </w:r>
          </w:p>
        </w:tc>
        <w:tc>
          <w:tcPr>
            <w:tcW w:w="54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(19,839)</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Unrealized gain on available-for-sale securities</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(6,307)</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(16,014)</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(10,877)</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(19,720)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tc>
        <w:tc>
          <w:tcPr>
            <w:tcW w:w="50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54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common shares outstanding, basic and diluted</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8,502,926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14,878,157</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13,987,682</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20,778,317</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net loss per common share, basic and diluted (unaudited)</w:t>
            </w:r>
          </w:p>
        </w:tc>
        <w:tc>
          <w:tcPr>
            <w:tcW w:w="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Pro forma weighted-average common shares used to compute basic and</w:t>
            </w: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net loss per common share (unaudited)</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45,913,238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75,804,154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F-5</w:t>
      </w:r>
    </w:p>
    <w:p>
      <w:pPr>
        <w:sectPr>
          <w:pgSz w:w="11900" w:h="16838" w:orient="portrait"/>
          <w:cols w:equalWidth="0" w:num="1">
            <w:col w:w="11260"/>
          </w:cols>
          <w:pgMar w:left="320" w:top="121" w:right="319" w:bottom="1440" w:gutter="0" w:footer="0" w:header="0"/>
          <w:type w:val="continuous"/>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vMerge w:val="restart"/>
          </w:tcPr>
          <w:p>
            <w:pPr>
              <w:jc w:val="right"/>
              <w:ind w:right="174"/>
              <w:spacing w:after="0"/>
              <w:rPr>
                <w:sz w:val="20"/>
                <w:szCs w:val="20"/>
                <w:color w:val="auto"/>
              </w:rPr>
            </w:pPr>
            <w:r>
              <w:rPr>
                <w:rFonts w:ascii="Times New Roman" w:cs="Times New Roman" w:eastAsia="Times New Roman" w:hAnsi="Times New Roman"/>
                <w:sz w:val="12"/>
                <w:szCs w:val="12"/>
                <w:b w:val="1"/>
                <w:bCs w:val="1"/>
                <w:color w:val="auto"/>
              </w:rPr>
              <w:t>Class A and Class B</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1940" w:type="dxa"/>
            <w:vAlign w:val="bottom"/>
            <w:tcBorders>
              <w:bottom w:val="single" w:sz="8" w:color="auto"/>
            </w:tcBorders>
            <w:gridSpan w:val="4"/>
          </w:tcPr>
          <w:p>
            <w:pPr>
              <w:jc w:val="right"/>
              <w:ind w:right="172"/>
              <w:spacing w:after="0" w:line="117" w:lineRule="exact"/>
              <w:rPr>
                <w:sz w:val="20"/>
                <w:szCs w:val="20"/>
                <w:color w:val="auto"/>
              </w:rPr>
            </w:pPr>
            <w:r>
              <w:rPr>
                <w:rFonts w:ascii="Times New Roman" w:cs="Times New Roman" w:eastAsia="Times New Roman" w:hAnsi="Times New Roman"/>
                <w:sz w:val="12"/>
                <w:szCs w:val="12"/>
                <w:b w:val="1"/>
                <w:bCs w:val="1"/>
                <w:color w:val="auto"/>
              </w:rPr>
              <w:t>Convertible Preferred Stock</w:t>
            </w:r>
          </w:p>
        </w:tc>
        <w:tc>
          <w:tcPr>
            <w:tcW w:w="80" w:type="dxa"/>
            <w:vAlign w:val="bottom"/>
          </w:tcPr>
          <w:p>
            <w:pPr>
              <w:spacing w:after="0"/>
              <w:rPr>
                <w:sz w:val="11"/>
                <w:szCs w:val="11"/>
                <w:color w:val="auto"/>
              </w:rPr>
            </w:pPr>
          </w:p>
        </w:tc>
        <w:tc>
          <w:tcPr>
            <w:tcW w:w="1720" w:type="dxa"/>
            <w:vAlign w:val="bottom"/>
            <w:tcBorders>
              <w:bottom w:val="single" w:sz="8" w:color="auto"/>
            </w:tcBorders>
            <w:gridSpan w:val="3"/>
          </w:tcPr>
          <w:p>
            <w:pPr>
              <w:jc w:val="right"/>
              <w:ind w:right="294"/>
              <w:spacing w:after="0" w:line="11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w w:val="98"/>
              </w:rPr>
              <w:t>Additional Paid</w:t>
            </w:r>
          </w:p>
        </w:tc>
        <w:tc>
          <w:tcPr>
            <w:tcW w:w="100" w:type="dxa"/>
            <w:vAlign w:val="bottom"/>
          </w:tcPr>
          <w:p>
            <w:pPr>
              <w:spacing w:after="0"/>
              <w:rPr>
                <w:sz w:val="11"/>
                <w:szCs w:val="11"/>
                <w:color w:val="auto"/>
              </w:rPr>
            </w:pPr>
          </w:p>
        </w:tc>
        <w:tc>
          <w:tcPr>
            <w:tcW w:w="9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00" w:type="dxa"/>
            <w:vAlign w:val="bottom"/>
          </w:tcPr>
          <w:p>
            <w:pPr>
              <w:spacing w:after="0"/>
              <w:rPr>
                <w:sz w:val="13"/>
                <w:szCs w:val="13"/>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220" w:type="dxa"/>
            <w:vAlign w:val="bottom"/>
          </w:tcPr>
          <w:p>
            <w:pPr>
              <w:spacing w:after="0"/>
              <w:rPr>
                <w:sz w:val="13"/>
                <w:szCs w:val="13"/>
                <w:color w:val="auto"/>
              </w:rPr>
            </w:pP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6,607,201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22,387,500</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from exercise of</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1,809,821</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options</w:t>
            </w: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restricted Class A common stock</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1,920,730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Vesting of early exercised stock options and restricted</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8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4"/>
                <w:szCs w:val="14"/>
                <w:color w:val="auto"/>
                <w:w w:val="99"/>
              </w:rPr>
              <w:t>Issuance of Series B convertible preferred stock, net of</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16,920,470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29,894</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29,894</w:t>
            </w:r>
          </w:p>
        </w:tc>
        <w:tc>
          <w:tcPr>
            <w:tcW w:w="0" w:type="dxa"/>
            <w:vAlign w:val="bottom"/>
          </w:tcPr>
          <w:p>
            <w:pPr>
              <w:spacing w:after="0"/>
              <w:rPr>
                <w:sz w:val="1"/>
                <w:szCs w:val="1"/>
                <w:color w:val="auto"/>
              </w:rPr>
            </w:pPr>
          </w:p>
        </w:tc>
      </w:tr>
      <w:tr>
        <w:trPr>
          <w:trHeight w:val="181"/>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costs of $106</w:t>
            </w:r>
          </w:p>
        </w:tc>
        <w:tc>
          <w:tcPr>
            <w:tcW w:w="9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23,527,671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35,812</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26,118,051</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29,975</w:t>
            </w:r>
          </w:p>
        </w:tc>
        <w:tc>
          <w:tcPr>
            <w:tcW w:w="0" w:type="dxa"/>
            <w:vAlign w:val="bottom"/>
          </w:tcPr>
          <w:p>
            <w:pPr>
              <w:spacing w:after="0"/>
              <w:rPr>
                <w:sz w:val="1"/>
                <w:szCs w:val="1"/>
                <w:color w:val="auto"/>
              </w:rPr>
            </w:pPr>
          </w:p>
        </w:tc>
      </w:tr>
      <w:tr>
        <w:trPr>
          <w:trHeight w:val="146"/>
        </w:trPr>
        <w:tc>
          <w:tcPr>
            <w:tcW w:w="318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Issuance of Class A common stock from exercise of</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286,465</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options</w:t>
            </w: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318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4"/>
                <w:szCs w:val="14"/>
                <w:color w:val="auto"/>
              </w:rPr>
              <w:t>Vesting of early exercised stock options and restricted</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w:t>
            </w: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w w:val="99"/>
              </w:rPr>
              <w:t>Issuance of Series C convertible preferred stock, net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costs of $153</w:t>
            </w: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8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4"/>
                <w:szCs w:val="14"/>
                <w:color w:val="auto"/>
                <w:w w:val="99"/>
              </w:rPr>
              <w:t>Issuance of Series D convertible preferred stock, net of</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16,798,459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54,389</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54,389</w:t>
            </w:r>
          </w:p>
        </w:tc>
        <w:tc>
          <w:tcPr>
            <w:tcW w:w="0" w:type="dxa"/>
            <w:vAlign w:val="bottom"/>
          </w:tcPr>
          <w:p>
            <w:pPr>
              <w:spacing w:after="0"/>
              <w:rPr>
                <w:sz w:val="1"/>
                <w:szCs w:val="1"/>
                <w:color w:val="auto"/>
              </w:rPr>
            </w:pPr>
          </w:p>
        </w:tc>
      </w:tr>
      <w:tr>
        <w:trPr>
          <w:trHeight w:val="181"/>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costs of $206</w:t>
            </w:r>
          </w:p>
        </w:tc>
        <w:tc>
          <w:tcPr>
            <w:tcW w:w="9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Issuance of Series D convertible preferred stock upon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124,618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extinguishment of convertible notes</w:t>
            </w: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0" w:type="dxa"/>
            <w:vAlign w:val="bottom"/>
          </w:tcPr>
          <w:p>
            <w:pPr>
              <w:spacing w:after="0"/>
              <w:rPr>
                <w:sz w:val="1"/>
                <w:szCs w:val="1"/>
                <w:color w:val="auto"/>
              </w:rPr>
            </w:pPr>
          </w:p>
        </w:tc>
      </w:tr>
      <w:tr>
        <w:trPr>
          <w:trHeight w:val="20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(16,038)</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(16,038)</w:t>
            </w:r>
          </w:p>
        </w:tc>
        <w:tc>
          <w:tcPr>
            <w:tcW w:w="0" w:type="dxa"/>
            <w:vAlign w:val="bottom"/>
          </w:tcPr>
          <w:p>
            <w:pPr>
              <w:spacing w:after="0"/>
              <w:rPr>
                <w:sz w:val="1"/>
                <w:szCs w:val="1"/>
                <w:color w:val="auto"/>
              </w:rPr>
            </w:pPr>
          </w:p>
        </w:tc>
      </w:tr>
      <w:tr>
        <w:trPr>
          <w:trHeight w:val="198"/>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47,450,748</w:t>
            </w:r>
          </w:p>
        </w:tc>
        <w:tc>
          <w:tcPr>
            <w:tcW w:w="60" w:type="dxa"/>
            <w:vAlign w:val="bottom"/>
          </w:tcPr>
          <w:p>
            <w:pPr>
              <w:spacing w:after="0"/>
              <w:rPr>
                <w:sz w:val="17"/>
                <w:szCs w:val="17"/>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107,953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26,094,516</w:t>
            </w:r>
          </w:p>
        </w:tc>
        <w:tc>
          <w:tcPr>
            <w:tcW w:w="60" w:type="dxa"/>
            <w:vAlign w:val="bottom"/>
          </w:tcPr>
          <w:p>
            <w:pPr>
              <w:spacing w:after="0"/>
              <w:rPr>
                <w:sz w:val="17"/>
                <w:szCs w:val="17"/>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(22,586)</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7"/>
                <w:szCs w:val="17"/>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87,679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F-6</w:t>
      </w:r>
    </w:p>
    <w:p>
      <w:pPr>
        <w:sectPr>
          <w:pgSz w:w="11900" w:h="16838" w:orient="portrait"/>
          <w:cols w:equalWidth="0" w:num="1">
            <w:col w:w="11260"/>
          </w:cols>
          <w:pgMar w:left="320" w:top="121" w:right="319" w:bottom="1440" w:gutter="0" w:footer="0" w:header="0"/>
        </w:sectPr>
      </w:pPr>
    </w:p>
    <w:bookmarkStart w:id="194" w:name="page195"/>
    <w:bookmarkEnd w:id="19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vMerge w:val="restart"/>
          </w:tcPr>
          <w:p>
            <w:pPr>
              <w:jc w:val="right"/>
              <w:ind w:right="173"/>
              <w:spacing w:after="0"/>
              <w:rPr>
                <w:sz w:val="20"/>
                <w:szCs w:val="20"/>
                <w:color w:val="auto"/>
              </w:rPr>
            </w:pPr>
            <w:r>
              <w:rPr>
                <w:rFonts w:ascii="Times New Roman" w:cs="Times New Roman" w:eastAsia="Times New Roman" w:hAnsi="Times New Roman"/>
                <w:sz w:val="12"/>
                <w:szCs w:val="12"/>
                <w:b w:val="1"/>
                <w:bCs w:val="1"/>
                <w:color w:val="auto"/>
              </w:rPr>
              <w:t>Class A and Class B</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1940" w:type="dxa"/>
            <w:vAlign w:val="bottom"/>
            <w:tcBorders>
              <w:bottom w:val="single" w:sz="8" w:color="auto"/>
            </w:tcBorders>
            <w:gridSpan w:val="4"/>
          </w:tcPr>
          <w:p>
            <w:pPr>
              <w:jc w:val="right"/>
              <w:ind w:right="172"/>
              <w:spacing w:after="0" w:line="117" w:lineRule="exact"/>
              <w:rPr>
                <w:sz w:val="20"/>
                <w:szCs w:val="20"/>
                <w:color w:val="auto"/>
              </w:rPr>
            </w:pPr>
            <w:r>
              <w:rPr>
                <w:rFonts w:ascii="Times New Roman" w:cs="Times New Roman" w:eastAsia="Times New Roman" w:hAnsi="Times New Roman"/>
                <w:sz w:val="12"/>
                <w:szCs w:val="12"/>
                <w:b w:val="1"/>
                <w:bCs w:val="1"/>
                <w:color w:val="auto"/>
              </w:rPr>
              <w:t>Convertible Preferred Stock</w:t>
            </w:r>
          </w:p>
        </w:tc>
        <w:tc>
          <w:tcPr>
            <w:tcW w:w="80" w:type="dxa"/>
            <w:vAlign w:val="bottom"/>
          </w:tcPr>
          <w:p>
            <w:pPr>
              <w:spacing w:after="0"/>
              <w:rPr>
                <w:sz w:val="11"/>
                <w:szCs w:val="11"/>
                <w:color w:val="auto"/>
              </w:rPr>
            </w:pPr>
          </w:p>
        </w:tc>
        <w:tc>
          <w:tcPr>
            <w:tcW w:w="1720" w:type="dxa"/>
            <w:vAlign w:val="bottom"/>
            <w:tcBorders>
              <w:bottom w:val="single" w:sz="8" w:color="auto"/>
            </w:tcBorders>
            <w:gridSpan w:val="3"/>
          </w:tcPr>
          <w:p>
            <w:pPr>
              <w:jc w:val="right"/>
              <w:ind w:right="293"/>
              <w:spacing w:after="0" w:line="11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w w:val="98"/>
              </w:rPr>
              <w:t>Additional Paid</w:t>
            </w:r>
          </w:p>
        </w:tc>
        <w:tc>
          <w:tcPr>
            <w:tcW w:w="100" w:type="dxa"/>
            <w:vAlign w:val="bottom"/>
          </w:tcPr>
          <w:p>
            <w:pPr>
              <w:spacing w:after="0"/>
              <w:rPr>
                <w:sz w:val="11"/>
                <w:szCs w:val="11"/>
                <w:color w:val="auto"/>
              </w:rPr>
            </w:pPr>
          </w:p>
        </w:tc>
        <w:tc>
          <w:tcPr>
            <w:tcW w:w="9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00" w:type="dxa"/>
            <w:vAlign w:val="bottom"/>
          </w:tcPr>
          <w:p>
            <w:pPr>
              <w:spacing w:after="0"/>
              <w:rPr>
                <w:sz w:val="13"/>
                <w:szCs w:val="13"/>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220" w:type="dxa"/>
            <w:vAlign w:val="bottom"/>
          </w:tcPr>
          <w:p>
            <w:pPr>
              <w:spacing w:after="0"/>
              <w:rPr>
                <w:sz w:val="13"/>
                <w:szCs w:val="13"/>
                <w:color w:val="auto"/>
              </w:rPr>
            </w:pP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23,527,671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35,812</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26,118,051</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29,975</w:t>
            </w: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from exercise of</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270,840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options (unaudited)</w:t>
            </w: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 of Class A common stock (unaudited)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Vesting of early exercised stock options and restricted</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(unaudited)</w:t>
            </w: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8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4"/>
                <w:szCs w:val="14"/>
                <w:color w:val="auto"/>
                <w:w w:val="99"/>
              </w:rPr>
              <w:t>Issuance of Series C convertible preferred stock, net of</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0" w:type="dxa"/>
            <w:vAlign w:val="bottom"/>
          </w:tcPr>
          <w:p>
            <w:pPr>
              <w:spacing w:after="0"/>
              <w:rPr>
                <w:sz w:val="1"/>
                <w:szCs w:val="1"/>
                <w:color w:val="auto"/>
              </w:rPr>
            </w:pPr>
          </w:p>
        </w:tc>
      </w:tr>
      <w:tr>
        <w:trPr>
          <w:trHeight w:val="181"/>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costs of $153 (unaudited)</w:t>
            </w:r>
          </w:p>
        </w:tc>
        <w:tc>
          <w:tcPr>
            <w:tcW w:w="9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(unaudited)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 (unaudited)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2"/>
        </w:trPr>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loss (unaudited)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(10,892)</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(10,892)</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2019 (unaudited)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30,527,671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26,078,891</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47,450,748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107,953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26,094,516</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87,679</w:t>
            </w: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 from exercise of</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1,420,792</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options (unaudited)</w:t>
            </w: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 of Class A common stock (unaudited)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(460,614)</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3180" w:type="dxa"/>
            <w:vAlign w:val="bottom"/>
          </w:tcPr>
          <w:p>
            <w:pPr>
              <w:ind w:left="100"/>
              <w:spacing w:after="0" w:line="137" w:lineRule="exact"/>
              <w:rPr>
                <w:sz w:val="20"/>
                <w:szCs w:val="20"/>
                <w:color w:val="auto"/>
              </w:rPr>
            </w:pPr>
            <w:r>
              <w:rPr>
                <w:rFonts w:ascii="Times New Roman" w:cs="Times New Roman" w:eastAsia="Times New Roman" w:hAnsi="Times New Roman"/>
                <w:sz w:val="14"/>
                <w:szCs w:val="14"/>
                <w:color w:val="auto"/>
              </w:rPr>
              <w:t>Vesting of early exercised stock options and restricted</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8"/>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(unaudited)</w:t>
            </w: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80" w:type="dxa"/>
            <w:vAlign w:val="bottom"/>
            <w:shd w:val="clear" w:color="auto" w:fill="CCEEFF"/>
          </w:tcPr>
          <w:p>
            <w:pPr>
              <w:ind w:left="100"/>
              <w:spacing w:after="0" w:line="140" w:lineRule="exact"/>
              <w:rPr>
                <w:sz w:val="20"/>
                <w:szCs w:val="20"/>
                <w:color w:val="auto"/>
              </w:rPr>
            </w:pPr>
            <w:r>
              <w:rPr>
                <w:rFonts w:ascii="Times New Roman" w:cs="Times New Roman" w:eastAsia="Times New Roman" w:hAnsi="Times New Roman"/>
                <w:sz w:val="14"/>
                <w:szCs w:val="14"/>
                <w:color w:val="auto"/>
              </w:rPr>
              <w:t>Issuance of Series D-1 convertible preferred stock, net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14,666,662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54,896</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54,896</w:t>
            </w:r>
          </w:p>
        </w:tc>
        <w:tc>
          <w:tcPr>
            <w:tcW w:w="0" w:type="dxa"/>
            <w:vAlign w:val="bottom"/>
          </w:tcPr>
          <w:p>
            <w:pPr>
              <w:spacing w:after="0"/>
              <w:rPr>
                <w:sz w:val="1"/>
                <w:szCs w:val="1"/>
                <w:color w:val="auto"/>
              </w:rPr>
            </w:pPr>
          </w:p>
        </w:tc>
      </w:tr>
      <w:tr>
        <w:trPr>
          <w:trHeight w:val="181"/>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 issuance costs of $104 (unaudited)</w:t>
            </w:r>
          </w:p>
        </w:tc>
        <w:tc>
          <w:tcPr>
            <w:tcW w:w="9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 of PrognomIQ shares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(unaudited)</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20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 (unaudited)</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(unaudited)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(19,839)</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(19,839)</w:t>
            </w:r>
          </w:p>
        </w:tc>
        <w:tc>
          <w:tcPr>
            <w:tcW w:w="0" w:type="dxa"/>
            <w:vAlign w:val="bottom"/>
          </w:tcPr>
          <w:p>
            <w:pPr>
              <w:spacing w:after="0"/>
              <w:rPr>
                <w:sz w:val="1"/>
                <w:szCs w:val="1"/>
                <w:color w:val="auto"/>
              </w:rPr>
            </w:pPr>
          </w:p>
        </w:tc>
      </w:tr>
      <w:tr>
        <w:trPr>
          <w:trHeight w:val="19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 2020 (unaudited)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62,117,410</w:t>
            </w:r>
          </w:p>
        </w:tc>
        <w:tc>
          <w:tcPr>
            <w:tcW w:w="60" w:type="dxa"/>
            <w:vAlign w:val="bottom"/>
          </w:tcPr>
          <w:p>
            <w:pPr>
              <w:spacing w:after="0"/>
              <w:rPr>
                <w:sz w:val="17"/>
                <w:szCs w:val="17"/>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162,849</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27,054,694</w:t>
            </w:r>
          </w:p>
        </w:tc>
        <w:tc>
          <w:tcPr>
            <w:tcW w:w="60" w:type="dxa"/>
            <w:vAlign w:val="bottom"/>
          </w:tcPr>
          <w:p>
            <w:pPr>
              <w:spacing w:after="0"/>
              <w:rPr>
                <w:sz w:val="17"/>
                <w:szCs w:val="17"/>
                <w:color w:val="auto"/>
              </w:rPr>
            </w:pPr>
          </w:p>
        </w:tc>
        <w:tc>
          <w:tcPr>
            <w:tcW w:w="72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(42,425)</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60" w:type="dxa"/>
            <w:vAlign w:val="bottom"/>
          </w:tcPr>
          <w:p>
            <w:pPr>
              <w:spacing w:after="0"/>
              <w:rPr>
                <w:sz w:val="17"/>
                <w:szCs w:val="17"/>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125,536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F-7</w:t>
      </w:r>
    </w:p>
    <w:p>
      <w:pPr>
        <w:sectPr>
          <w:pgSz w:w="11900" w:h="16838" w:orient="portrait"/>
          <w:cols w:equalWidth="0" w:num="1">
            <w:col w:w="11260"/>
          </w:cols>
          <w:pgMar w:left="320" w:top="121" w:right="31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27305</wp:posOffset>
            </wp:positionV>
            <wp:extent cx="20478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35" w:lineRule="exact"/>
        <w:rPr>
          <w:sz w:val="20"/>
          <w:szCs w:val="20"/>
          <w:color w:val="auto"/>
        </w:rPr>
      </w:pPr>
    </w:p>
    <w:p>
      <w:pPr>
        <w:ind w:left="5380"/>
        <w:spacing w:after="0"/>
        <w:tabs>
          <w:tab w:leader="none" w:pos="7020"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53910" cy="1225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122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27305</wp:posOffset>
            </wp:positionV>
            <wp:extent cx="20478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44" w:lineRule="exact"/>
        <w:rPr>
          <w:sz w:val="20"/>
          <w:szCs w:val="20"/>
          <w:color w:val="auto"/>
        </w:rPr>
      </w:pPr>
    </w:p>
    <w:p>
      <w:pPr>
        <w:sectPr>
          <w:pgSz w:w="11900" w:h="16838" w:orient="portrait"/>
          <w:cols w:equalWidth="0" w:num="2">
            <w:col w:w="7980" w:space="720"/>
            <w:col w:w="256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62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(6,307)</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(16,038)</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(19,839)</w:t>
            </w:r>
          </w:p>
        </w:tc>
      </w:t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Stock-based compensation</w:t>
            </w:r>
          </w:p>
        </w:tc>
        <w:tc>
          <w:tcPr>
            <w:tcW w:w="6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2,564</w:t>
            </w:r>
          </w:p>
        </w:tc>
      </w:tr>
      <w:tr>
        <w:trPr>
          <w:trHeight w:val="161"/>
        </w:trPr>
        <w:tc>
          <w:tcPr>
            <w:tcW w:w="47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1,132</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amortization of premium (accretion of discount) on available-for-sale securities</w:t>
            </w:r>
          </w:p>
        </w:tc>
        <w:tc>
          <w:tcPr>
            <w:tcW w:w="6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r>
      <w:tr>
        <w:trPr>
          <w:trHeight w:val="161"/>
        </w:trPr>
        <w:tc>
          <w:tcPr>
            <w:tcW w:w="47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Non-cash interest expense and other adjustments</w:t>
            </w:r>
          </w:p>
        </w:tc>
        <w:tc>
          <w:tcPr>
            <w:tcW w:w="6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6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61"/>
        </w:trPr>
        <w:tc>
          <w:tcPr>
            <w:tcW w:w="4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Other receivables</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6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61"/>
        </w:trPr>
        <w:tc>
          <w:tcPr>
            <w:tcW w:w="4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Other assets</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Accounts payable</w:t>
            </w:r>
          </w:p>
        </w:tc>
        <w:tc>
          <w:tcPr>
            <w:tcW w:w="6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61"/>
        </w:trPr>
        <w:tc>
          <w:tcPr>
            <w:tcW w:w="4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Deferred revenue</w:t>
            </w:r>
          </w:p>
        </w:tc>
        <w:tc>
          <w:tcPr>
            <w:tcW w:w="6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Deferred rent</w:t>
            </w:r>
          </w:p>
        </w:tc>
        <w:tc>
          <w:tcPr>
            <w:tcW w:w="6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w:t>
            </w:r>
          </w:p>
        </w:tc>
      </w:tr>
      <w:tr>
        <w:trPr>
          <w:trHeight w:val="161"/>
        </w:trPr>
        <w:tc>
          <w:tcPr>
            <w:tcW w:w="4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Accrued expenses</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2"/>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6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2"/>
        </w:trPr>
        <w:tc>
          <w:tcPr>
            <w:tcW w:w="4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(4,651)</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(13,073)</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(9,650)</w:t>
            </w: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(15,343)</w:t>
            </w: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6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(3,785)</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(4,407)</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available-for-sale securities</w:t>
            </w:r>
          </w:p>
        </w:tc>
        <w:tc>
          <w:tcPr>
            <w:tcW w:w="6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(92,002)</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(42,265)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(75,624)</w:t>
            </w:r>
          </w:p>
        </w:tc>
      </w:t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maturities of available-for-sale securities</w:t>
            </w:r>
          </w:p>
        </w:tc>
        <w:tc>
          <w:tcPr>
            <w:tcW w:w="6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23,750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40,250</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 equity method investee</w:t>
            </w:r>
          </w:p>
        </w:tc>
        <w:tc>
          <w:tcPr>
            <w:tcW w:w="6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52"/>
        </w:trPr>
        <w:tc>
          <w:tcPr>
            <w:tcW w:w="4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(72,383)</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(28,550)</w:t>
            </w: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(39,831)</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6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restricted stock</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Repurchase of Class A common stock</w:t>
            </w:r>
          </w:p>
        </w:tc>
        <w:tc>
          <w:tcPr>
            <w:tcW w:w="6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77"/>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exercise of Class A common stock options including early exercised options</w:t>
            </w:r>
          </w:p>
        </w:tc>
        <w:tc>
          <w:tcPr>
            <w:tcW w:w="6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w:t>
            </w:r>
          </w:p>
        </w:tc>
      </w:tr>
      <w:tr>
        <w:trPr>
          <w:trHeight w:val="166"/>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Series B convertible preferred stock, net of issuance costs</w:t>
            </w:r>
          </w:p>
        </w:tc>
        <w:tc>
          <w:tcPr>
            <w:tcW w:w="6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29,894</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Series C convertible preferred stock, net of issuance costs</w:t>
            </w:r>
          </w:p>
        </w:tc>
        <w:tc>
          <w:tcPr>
            <w:tcW w:w="6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17,347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17,347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Series D convertible preferred stock, net of issuance costs</w:t>
            </w:r>
          </w:p>
        </w:tc>
        <w:tc>
          <w:tcPr>
            <w:tcW w:w="6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54,584</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Series D-1 convertible preferred stock, net of issuance costs</w:t>
            </w:r>
          </w:p>
        </w:tc>
        <w:tc>
          <w:tcPr>
            <w:tcW w:w="6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54,896</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convertible notes</w:t>
            </w:r>
          </w:p>
        </w:tc>
        <w:tc>
          <w:tcPr>
            <w:tcW w:w="6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Payments of deferred offering costs</w:t>
            </w:r>
          </w:p>
        </w:tc>
        <w:tc>
          <w:tcPr>
            <w:tcW w:w="6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3"/>
        </w:trPr>
        <w:tc>
          <w:tcPr>
            <w:tcW w:w="47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6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29,945</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72,331</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17,747</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55,395</w:t>
            </w:r>
          </w:p>
        </w:tc>
      </w:tr>
      <w:tr>
        <w:trPr>
          <w:trHeight w:val="152"/>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25,126</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(13,125)</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(20,453)</w:t>
            </w: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w:t>
            </w:r>
          </w:p>
        </w:tc>
      </w:tr>
      <w:tr>
        <w:trPr>
          <w:trHeight w:val="21"/>
        </w:trPr>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2"/>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6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5,827</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30,953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30,953</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17,828</w:t>
            </w:r>
          </w:p>
        </w:tc>
      </w:tr>
      <w:tr>
        <w:trPr>
          <w:trHeight w:val="17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end of period</w:t>
            </w:r>
          </w:p>
        </w:tc>
        <w:tc>
          <w:tcPr>
            <w:tcW w:w="6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30,953</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17,828</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10,500</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18,049</w:t>
            </w:r>
          </w:p>
        </w:tc>
      </w:tr>
      <w:tr>
        <w:trPr>
          <w:trHeight w:val="20"/>
        </w:trPr>
        <w:tc>
          <w:tcPr>
            <w:tcW w:w="4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F-8</w:t>
      </w:r>
    </w:p>
    <w:p>
      <w:pPr>
        <w:sectPr>
          <w:pgSz w:w="11900" w:h="16838" w:orient="portrait"/>
          <w:cols w:equalWidth="0" w:num="1">
            <w:col w:w="11260"/>
          </w:cols>
          <w:pgMar w:left="320" w:top="121" w:right="319" w:bottom="1440" w:gutter="0" w:footer="0" w:header="0"/>
          <w:type w:val="continuous"/>
        </w:sectPr>
      </w:pPr>
    </w:p>
    <w:bookmarkStart w:id="196" w:name="page197"/>
    <w:bookmarkEnd w:id="19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366395</wp:posOffset>
            </wp:positionV>
            <wp:extent cx="415417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54170" cy="698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53910" cy="173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1733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2"/>
          <w:szCs w:val="12"/>
          <w:b w:val="1"/>
          <w:bCs w:val="1"/>
          <w:color w:val="auto"/>
        </w:rPr>
        <w:t>ACTIVITIES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purchases included in accounts payable</w:t>
            </w:r>
          </w:p>
        </w:tc>
        <w:tc>
          <w:tcPr>
            <w:tcW w:w="660" w:type="dxa"/>
            <w:vAlign w:val="bottom"/>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2,223</w:t>
            </w:r>
          </w:p>
        </w:tc>
        <w:tc>
          <w:tcPr>
            <w:tcW w:w="100" w:type="dxa"/>
            <w:vAlign w:val="bottom"/>
          </w:tcPr>
          <w:p>
            <w:pPr>
              <w:spacing w:after="0"/>
              <w:rPr>
                <w:sz w:val="15"/>
                <w:szCs w:val="15"/>
                <w:color w:val="auto"/>
              </w:rPr>
            </w:pPr>
          </w:p>
        </w:tc>
        <w:tc>
          <w:tcPr>
            <w:tcW w:w="660" w:type="dxa"/>
            <w:vAlign w:val="bottom"/>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Pr>
          <w:p>
            <w:pPr>
              <w:spacing w:after="0"/>
              <w:rPr>
                <w:sz w:val="15"/>
                <w:szCs w:val="15"/>
                <w:color w:val="auto"/>
              </w:rPr>
            </w:pPr>
          </w:p>
        </w:tc>
        <w:tc>
          <w:tcPr>
            <w:tcW w:w="720" w:type="dxa"/>
            <w:vAlign w:val="bottom"/>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purchases included in accrued expenses</w:t>
            </w: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Series D convertible preferred stock upon extinguishment of convertible notes</w:t>
            </w:r>
          </w:p>
        </w:tc>
        <w:tc>
          <w:tcPr>
            <w:tcW w:w="6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preferred stock issuance costs included in accrued expenses</w:t>
            </w: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Tenant improvements paid by landlord</w:t>
            </w:r>
          </w:p>
        </w:tc>
        <w:tc>
          <w:tcPr>
            <w:tcW w:w="660" w:type="dxa"/>
            <w:vAlign w:val="bottom"/>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100" w:type="dxa"/>
            <w:vAlign w:val="bottom"/>
          </w:tcPr>
          <w:p>
            <w:pPr>
              <w:spacing w:after="0"/>
              <w:rPr>
                <w:sz w:val="12"/>
                <w:szCs w:val="12"/>
                <w:color w:val="auto"/>
              </w:rPr>
            </w:pPr>
          </w:p>
        </w:tc>
        <w:tc>
          <w:tcPr>
            <w:tcW w:w="720" w:type="dxa"/>
            <w:vAlign w:val="bottom"/>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offering costs in accounts payable</w:t>
            </w: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20"/>
        </w:trPr>
        <w:tc>
          <w:tcPr>
            <w:tcW w:w="4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Deferred offering costs in accrued expenses</w:t>
            </w:r>
          </w:p>
        </w:tc>
        <w:tc>
          <w:tcPr>
            <w:tcW w:w="660" w:type="dxa"/>
            <w:vAlign w:val="bottom"/>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5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r>
      <w:tr>
        <w:trPr>
          <w:trHeight w:val="20"/>
        </w:trPr>
        <w:tc>
          <w:tcPr>
            <w:tcW w:w="4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F-9</w:t>
      </w:r>
    </w:p>
    <w:p>
      <w:pPr>
        <w:sectPr>
          <w:pgSz w:w="11900" w:h="16838" w:orient="portrait"/>
          <w:cols w:equalWidth="0" w:num="1">
            <w:col w:w="11260"/>
          </w:cols>
          <w:pgMar w:left="320" w:top="121" w:right="319" w:bottom="1440" w:gutter="0" w:footer="0" w:header="0"/>
        </w:sectPr>
      </w:pPr>
    </w:p>
    <w:bookmarkStart w:id="197" w:name="page198"/>
    <w:bookmarkEnd w:id="197"/>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9" w:hanging="549"/>
        <w:spacing w:after="0"/>
        <w:tabs>
          <w:tab w:leader="none" w:pos="549" w:val="left"/>
        </w:tabs>
        <w:numPr>
          <w:ilvl w:val="0"/>
          <w:numId w:val="1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 AND DESCRIPTION OF THE BUSINESS</w:t>
      </w:r>
    </w:p>
    <w:p>
      <w:pPr>
        <w:spacing w:after="0" w:line="150" w:lineRule="exact"/>
        <w:rPr>
          <w:sz w:val="20"/>
          <w:szCs w:val="20"/>
          <w:color w:val="auto"/>
        </w:rPr>
      </w:pPr>
    </w:p>
    <w:p>
      <w:pPr>
        <w:ind w:left="9" w:firstLine="273"/>
        <w:spacing w:after="0" w:line="269" w:lineRule="auto"/>
        <w:rPr>
          <w:sz w:val="20"/>
          <w:szCs w:val="20"/>
          <w:color w:val="auto"/>
        </w:rPr>
      </w:pPr>
      <w:r>
        <w:rPr>
          <w:rFonts w:ascii="Times New Roman" w:cs="Times New Roman" w:eastAsia="Times New Roman" w:hAnsi="Times New Roman"/>
          <w:sz w:val="15"/>
          <w:szCs w:val="15"/>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01" w:lineRule="exact"/>
        <w:rPr>
          <w:sz w:val="20"/>
          <w:szCs w:val="20"/>
          <w:color w:val="auto"/>
        </w:rPr>
      </w:pPr>
    </w:p>
    <w:p>
      <w:pPr>
        <w:ind w:left="9" w:right="520" w:firstLine="273"/>
        <w:spacing w:after="0" w:line="286" w:lineRule="auto"/>
        <w:rPr>
          <w:sz w:val="20"/>
          <w:szCs w:val="20"/>
          <w:color w:val="auto"/>
        </w:rPr>
      </w:pPr>
      <w:r>
        <w:rPr>
          <w:rFonts w:ascii="Times New Roman" w:cs="Times New Roman" w:eastAsia="Times New Roman" w:hAnsi="Times New Roman"/>
          <w:sz w:val="15"/>
          <w:szCs w:val="15"/>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89" w:lineRule="exact"/>
        <w:rPr>
          <w:sz w:val="20"/>
          <w:szCs w:val="20"/>
          <w:color w:val="auto"/>
        </w:rPr>
      </w:pPr>
    </w:p>
    <w:p>
      <w:pPr>
        <w:ind w:left="9" w:right="80" w:firstLine="273"/>
        <w:spacing w:after="0" w:line="257" w:lineRule="auto"/>
        <w:rPr>
          <w:sz w:val="20"/>
          <w:szCs w:val="20"/>
          <w:color w:val="auto"/>
        </w:rPr>
      </w:pPr>
      <w:r>
        <w:rPr>
          <w:rFonts w:ascii="Times New Roman" w:cs="Times New Roman" w:eastAsia="Times New Roman" w:hAnsi="Times New Roman"/>
          <w:sz w:val="15"/>
          <w:szCs w:val="15"/>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a net loss of approximately $10.9 million and $19.8 million during the nine months ended September 30, 2019 and 2020 (unaudited), respectively, and expects net losses to continue for the foreseeable future. As of December 31, 2018 and 2019, and September 30, 2020 (unaudited), the Company’s accumulated deficit was approximately $6.5 million, $22.6 million, and $42.4 millions,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12" w:lineRule="exact"/>
        <w:rPr>
          <w:sz w:val="20"/>
          <w:szCs w:val="20"/>
          <w:color w:val="auto"/>
        </w:rPr>
      </w:pPr>
    </w:p>
    <w:p>
      <w:pPr>
        <w:ind w:left="9" w:right="160" w:firstLine="273"/>
        <w:spacing w:after="0" w:line="261" w:lineRule="auto"/>
        <w:rPr>
          <w:sz w:val="20"/>
          <w:szCs w:val="20"/>
          <w:color w:val="auto"/>
        </w:rPr>
      </w:pPr>
      <w:r>
        <w:rPr>
          <w:rFonts w:ascii="Times New Roman" w:cs="Times New Roman" w:eastAsia="Times New Roman" w:hAnsi="Times New Roman"/>
          <w:sz w:val="15"/>
          <w:szCs w:val="15"/>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03" w:lineRule="exact"/>
        <w:rPr>
          <w:sz w:val="20"/>
          <w:szCs w:val="20"/>
          <w:color w:val="auto"/>
        </w:rPr>
      </w:pPr>
    </w:p>
    <w:p>
      <w:pPr>
        <w:ind w:left="549" w:hanging="549"/>
        <w:spacing w:after="0"/>
        <w:tabs>
          <w:tab w:leader="none" w:pos="549" w:val="left"/>
        </w:tabs>
        <w:numPr>
          <w:ilvl w:val="0"/>
          <w:numId w:val="1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 AND BASIS OF PRESENTATION</w:t>
      </w:r>
    </w:p>
    <w:p>
      <w:pPr>
        <w:spacing w:after="0" w:line="14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50" w:lineRule="exact"/>
        <w:rPr>
          <w:sz w:val="20"/>
          <w:szCs w:val="20"/>
          <w:color w:val="auto"/>
        </w:rPr>
      </w:pPr>
    </w:p>
    <w:p>
      <w:pPr>
        <w:ind w:left="9" w:right="60" w:firstLine="273"/>
        <w:spacing w:after="0" w:line="269" w:lineRule="auto"/>
        <w:rPr>
          <w:sz w:val="20"/>
          <w:szCs w:val="20"/>
          <w:color w:val="auto"/>
        </w:rPr>
      </w:pPr>
      <w:r>
        <w:rPr>
          <w:rFonts w:ascii="Times New Roman" w:cs="Times New Roman" w:eastAsia="Times New Roman" w:hAnsi="Times New Roman"/>
          <w:sz w:val="15"/>
          <w:szCs w:val="15"/>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97"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50" w:lineRule="exact"/>
        <w:rPr>
          <w:sz w:val="20"/>
          <w:szCs w:val="20"/>
          <w:color w:val="auto"/>
        </w:rPr>
      </w:pPr>
    </w:p>
    <w:p>
      <w:pPr>
        <w:ind w:left="9" w:firstLine="273"/>
        <w:spacing w:after="0" w:line="264"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04" w:lineRule="exact"/>
        <w:rPr>
          <w:sz w:val="20"/>
          <w:szCs w:val="20"/>
          <w:color w:val="auto"/>
        </w:rPr>
      </w:pPr>
    </w:p>
    <w:p>
      <w:pPr>
        <w:ind w:left="9" w:right="140" w:firstLine="273"/>
        <w:spacing w:after="0" w:line="286" w:lineRule="auto"/>
        <w:rPr>
          <w:sz w:val="20"/>
          <w:szCs w:val="20"/>
          <w:color w:val="auto"/>
        </w:rPr>
      </w:pPr>
      <w:r>
        <w:rPr>
          <w:rFonts w:ascii="Times New Roman" w:cs="Times New Roman" w:eastAsia="Times New Roman" w:hAnsi="Times New Roman"/>
          <w:sz w:val="15"/>
          <w:szCs w:val="15"/>
          <w:color w:val="auto"/>
        </w:rPr>
        <w:t>Management bases its estimates on historical experience and on various other assumptions that are believed to be reasonable under the circumstances, the results of which form the basis for making judgments about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F-10</w:t>
      </w:r>
    </w:p>
    <w:p>
      <w:pPr>
        <w:sectPr>
          <w:pgSz w:w="11900" w:h="16838" w:orient="portrait"/>
          <w:cols w:equalWidth="0" w:num="1">
            <w:col w:w="11269"/>
          </w:cols>
          <w:pgMar w:left="311" w:top="121" w:right="31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values of assets and liabilities that are not readily apparent from other sources. Actual results may differ materially from those estimates.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Unaudited Pro Forma Information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Unaudited Pro Forma Balance Sheet</w:t>
      </w:r>
    </w:p>
    <w:p>
      <w:pPr>
        <w:spacing w:after="0" w:line="148"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5"/>
          <w:szCs w:val="15"/>
          <w:color w:val="auto"/>
        </w:rPr>
        <w:t>The unaudited pro forma balance sheet information as of September 30, 2020, assumes all shares of convertible preferred stock had automatically converted into an aggregate of 62,117,410 shares of the Company’s Class A common stock upon the completion of a qualifying initial public offering (IPO). The unaudited pro forma balance sheet does not include the shares of Class A common stock expected to be sold in, and the related proceeds to be received from, the IPO.</w:t>
      </w:r>
    </w:p>
    <w:p>
      <w:pPr>
        <w:spacing w:after="0" w:line="101"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The Company granted certain employees RSUs, which vest upon satisfaction of both a service condition and a performance condition that is satisfied upon the closing of the IPO. Assuming the IPO occurred on September 30, 2020, the unaudited pro forma balance sheet assumes the recognition of stock-based compensation of $0.2 million associated with such RSUs as an increase to additional paid-in capital and accumulated deficit. No RSUs have been included in the unaudited pro forma balance sheet disclosure of shares outstanding as the awards do not begin vesting until the closing of the IPO.</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Unaudited Pro Forma Net Loss Per Share</w:t>
      </w:r>
    </w:p>
    <w:p>
      <w:pPr>
        <w:spacing w:after="0" w:line="148" w:lineRule="exact"/>
        <w:rPr>
          <w:sz w:val="20"/>
          <w:szCs w:val="20"/>
          <w:color w:val="auto"/>
        </w:rPr>
      </w:pPr>
    </w:p>
    <w:p>
      <w:pPr>
        <w:ind w:right="160" w:firstLine="273"/>
        <w:spacing w:after="0" w:line="269" w:lineRule="auto"/>
        <w:rPr>
          <w:sz w:val="20"/>
          <w:szCs w:val="20"/>
          <w:color w:val="auto"/>
        </w:rPr>
      </w:pPr>
      <w:r>
        <w:rPr>
          <w:rFonts w:ascii="Times New Roman" w:cs="Times New Roman" w:eastAsia="Times New Roman" w:hAnsi="Times New Roman"/>
          <w:sz w:val="15"/>
          <w:szCs w:val="15"/>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of Class A common stock expected to be sold in, and related proceeds to be received from, the IPO.</w:t>
      </w:r>
    </w:p>
    <w:p>
      <w:pPr>
        <w:spacing w:after="0" w:line="101" w:lineRule="exact"/>
        <w:rPr>
          <w:sz w:val="20"/>
          <w:szCs w:val="20"/>
          <w:color w:val="auto"/>
        </w:rPr>
      </w:pPr>
    </w:p>
    <w:p>
      <w:pPr>
        <w:jc w:val="both"/>
        <w:ind w:right="20" w:firstLine="273"/>
        <w:spacing w:after="0" w:line="269" w:lineRule="auto"/>
        <w:rPr>
          <w:sz w:val="20"/>
          <w:szCs w:val="20"/>
          <w:color w:val="auto"/>
        </w:rPr>
      </w:pPr>
      <w:r>
        <w:rPr>
          <w:rFonts w:ascii="Times New Roman" w:cs="Times New Roman" w:eastAsia="Times New Roman" w:hAnsi="Times New Roman"/>
          <w:sz w:val="15"/>
          <w:szCs w:val="15"/>
          <w:color w:val="auto"/>
        </w:rPr>
        <w:t>The numerator in the pro forma basic and diluted net loss per common share calculation has not been adjusted for stock-based compensation associated with the RSUs, which would have been $0.2 million had the IPO occurred on September 30, 2020. There is no adjustment to the denominator for the RSUs as no awards would have vested as of September 30, 2020 had the IPO occurred on the later of the beginning of the period or the issuance date of the RSUs.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Unaudited Interim Financial Information</w:t>
      </w:r>
    </w:p>
    <w:p>
      <w:pPr>
        <w:spacing w:after="0" w:line="150" w:lineRule="exact"/>
        <w:rPr>
          <w:sz w:val="20"/>
          <w:szCs w:val="20"/>
          <w:color w:val="auto"/>
        </w:rPr>
      </w:pPr>
    </w:p>
    <w:p>
      <w:pPr>
        <w:ind w:right="80" w:firstLine="273"/>
        <w:spacing w:after="0" w:line="259" w:lineRule="auto"/>
        <w:rPr>
          <w:sz w:val="20"/>
          <w:szCs w:val="20"/>
          <w:color w:val="auto"/>
        </w:rPr>
      </w:pPr>
      <w:r>
        <w:rPr>
          <w:rFonts w:ascii="Times New Roman" w:cs="Times New Roman" w:eastAsia="Times New Roman" w:hAnsi="Times New Roman"/>
          <w:sz w:val="15"/>
          <w:szCs w:val="15"/>
          <w:color w:val="auto"/>
        </w:rPr>
        <w:t>The accompanying interim balance sheet as of September 30, 2020, the interim statements of operations and comprehensive loss, statements of changes in stockholders’ equity and statements of cash flows for the nine months ended September 30, 2019 and 2020 and the related footnote disclosures are unaudited. The unaudited interim financial statements have been prepared on the same basis as the annual financial statements and include, in the opinion of management, all adjustments, consisting of normal recurring adjustments, that are necessary for the fair presentation of the Company’s financial position as of September 30, 2020 and results of operations and cash flows for the nine months ended September 30, 2019 and 2020. The results as of and for the nine months ended September 30, 2020 are not necessarily indicative of the results to be expected for the year ending December 31, 2020 or any other future periods.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 and Other Risks and Uncertainties</w:t>
      </w:r>
    </w:p>
    <w:p>
      <w:pPr>
        <w:spacing w:after="0" w:line="150" w:lineRule="exact"/>
        <w:rPr>
          <w:sz w:val="20"/>
          <w:szCs w:val="20"/>
          <w:color w:val="auto"/>
        </w:rPr>
      </w:pPr>
    </w:p>
    <w:p>
      <w:pPr>
        <w:jc w:val="both"/>
        <w:ind w:right="200" w:firstLine="273"/>
        <w:spacing w:after="0" w:line="269"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01" w:lineRule="exact"/>
        <w:rPr>
          <w:sz w:val="20"/>
          <w:szCs w:val="20"/>
          <w:color w:val="auto"/>
        </w:rPr>
      </w:pPr>
    </w:p>
    <w:p>
      <w:pPr>
        <w:ind w:right="320" w:firstLine="273"/>
        <w:spacing w:after="0" w:line="286" w:lineRule="auto"/>
        <w:rPr>
          <w:sz w:val="20"/>
          <w:szCs w:val="20"/>
          <w:color w:val="auto"/>
        </w:rPr>
      </w:pPr>
      <w:r>
        <w:rPr>
          <w:rFonts w:ascii="Times New Roman" w:cs="Times New Roman" w:eastAsia="Times New Roman" w:hAnsi="Times New Roman"/>
          <w:sz w:val="15"/>
          <w:szCs w:val="15"/>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5"/>
          <w:szCs w:val="15"/>
          <w:color w:val="auto"/>
        </w:rPr>
        <w:t>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Impact of the COVID-19 Pandemic</w:t>
      </w:r>
    </w:p>
    <w:p>
      <w:pPr>
        <w:spacing w:after="0" w:line="150" w:lineRule="exact"/>
        <w:rPr>
          <w:sz w:val="20"/>
          <w:szCs w:val="20"/>
          <w:color w:val="auto"/>
        </w:rPr>
      </w:pPr>
    </w:p>
    <w:p>
      <w:pPr>
        <w:ind w:right="40" w:firstLine="273"/>
        <w:spacing w:after="0" w:line="259" w:lineRule="auto"/>
        <w:rPr>
          <w:sz w:val="20"/>
          <w:szCs w:val="20"/>
          <w:color w:val="auto"/>
        </w:rPr>
      </w:pPr>
      <w:r>
        <w:rPr>
          <w:rFonts w:ascii="Times New Roman" w:cs="Times New Roman" w:eastAsia="Times New Roman" w:hAnsi="Times New Roman"/>
          <w:sz w:val="15"/>
          <w:szCs w:val="15"/>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10" w:lineRule="exact"/>
        <w:rPr>
          <w:sz w:val="20"/>
          <w:szCs w:val="20"/>
          <w:color w:val="auto"/>
        </w:rPr>
      </w:pPr>
    </w:p>
    <w:p>
      <w:pPr>
        <w:ind w:right="200" w:firstLine="273"/>
        <w:spacing w:after="0" w:line="264" w:lineRule="auto"/>
        <w:rPr>
          <w:sz w:val="20"/>
          <w:szCs w:val="20"/>
          <w:color w:val="auto"/>
        </w:rPr>
      </w:pPr>
      <w:r>
        <w:rPr>
          <w:rFonts w:ascii="Times New Roman" w:cs="Times New Roman" w:eastAsia="Times New Roman" w:hAnsi="Times New Roman"/>
          <w:sz w:val="15"/>
          <w:szCs w:val="15"/>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Variable Interest Entities and Voting Interest Entities</w:t>
      </w:r>
    </w:p>
    <w:p>
      <w:pPr>
        <w:spacing w:after="0" w:line="150"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The Company consolidates those entities in which it has direct, or indirect controlling financial interest based on either the Variable Interest Entity (VIE) model or the Voting Interest Entity (VOE) model.</w:t>
      </w:r>
    </w:p>
    <w:p>
      <w:pPr>
        <w:spacing w:after="0" w:line="89" w:lineRule="exact"/>
        <w:rPr>
          <w:sz w:val="20"/>
          <w:szCs w:val="20"/>
          <w:color w:val="auto"/>
        </w:rPr>
      </w:pPr>
    </w:p>
    <w:p>
      <w:pPr>
        <w:ind w:firstLine="273"/>
        <w:spacing w:after="0" w:line="257" w:lineRule="auto"/>
        <w:rPr>
          <w:sz w:val="20"/>
          <w:szCs w:val="20"/>
          <w:color w:val="auto"/>
        </w:rPr>
      </w:pPr>
      <w:r>
        <w:rPr>
          <w:rFonts w:ascii="Times New Roman" w:cs="Times New Roman" w:eastAsia="Times New Roman" w:hAnsi="Times New Roman"/>
          <w:sz w:val="15"/>
          <w:szCs w:val="15"/>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12" w:lineRule="exact"/>
        <w:rPr>
          <w:sz w:val="20"/>
          <w:szCs w:val="20"/>
          <w:color w:val="auto"/>
        </w:rPr>
      </w:pPr>
    </w:p>
    <w:p>
      <w:pPr>
        <w:ind w:right="20" w:firstLine="273"/>
        <w:spacing w:after="0" w:line="269" w:lineRule="auto"/>
        <w:rPr>
          <w:sz w:val="20"/>
          <w:szCs w:val="20"/>
          <w:color w:val="auto"/>
        </w:rPr>
      </w:pPr>
      <w:r>
        <w:rPr>
          <w:rFonts w:ascii="Times New Roman" w:cs="Times New Roman" w:eastAsia="Times New Roman" w:hAnsi="Times New Roman"/>
          <w:sz w:val="15"/>
          <w:szCs w:val="15"/>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spacing w:after="0" w:line="101" w:lineRule="exact"/>
        <w:rPr>
          <w:sz w:val="20"/>
          <w:szCs w:val="20"/>
          <w:color w:val="auto"/>
        </w:rPr>
      </w:pPr>
    </w:p>
    <w:p>
      <w:pPr>
        <w:ind w:right="80" w:firstLine="273"/>
        <w:spacing w:after="0" w:line="261" w:lineRule="auto"/>
        <w:rPr>
          <w:sz w:val="20"/>
          <w:szCs w:val="20"/>
          <w:color w:val="auto"/>
        </w:rPr>
      </w:pPr>
      <w:r>
        <w:rPr>
          <w:rFonts w:ascii="Times New Roman" w:cs="Times New Roman" w:eastAsia="Times New Roman" w:hAnsi="Times New Roman"/>
          <w:sz w:val="15"/>
          <w:szCs w:val="15"/>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89" w:lineRule="exact"/>
        <w:rPr>
          <w:sz w:val="20"/>
          <w:szCs w:val="20"/>
          <w:color w:val="auto"/>
        </w:rPr>
      </w:pPr>
    </w:p>
    <w:p>
      <w:pPr>
        <w:ind w:right="20" w:firstLine="273"/>
        <w:spacing w:after="0" w:line="286" w:lineRule="auto"/>
        <w:rPr>
          <w:sz w:val="20"/>
          <w:szCs w:val="20"/>
          <w:color w:val="auto"/>
        </w:rPr>
      </w:pPr>
      <w:r>
        <w:rPr>
          <w:rFonts w:ascii="Times New Roman" w:cs="Times New Roman" w:eastAsia="Times New Roman" w:hAnsi="Times New Roman"/>
          <w:sz w:val="15"/>
          <w:szCs w:val="15"/>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Equity Method Investments</w:t>
      </w:r>
    </w:p>
    <w:p>
      <w:pPr>
        <w:spacing w:after="0" w:line="150" w:lineRule="exact"/>
        <w:rPr>
          <w:sz w:val="20"/>
          <w:szCs w:val="20"/>
          <w:color w:val="auto"/>
        </w:rPr>
      </w:pPr>
    </w:p>
    <w:p>
      <w:pPr>
        <w:ind w:right="200" w:firstLine="273"/>
        <w:spacing w:after="0" w:line="286" w:lineRule="auto"/>
        <w:rPr>
          <w:sz w:val="20"/>
          <w:szCs w:val="20"/>
          <w:color w:val="auto"/>
        </w:rPr>
      </w:pPr>
      <w:r>
        <w:rPr>
          <w:rFonts w:ascii="Times New Roman" w:cs="Times New Roman" w:eastAsia="Times New Roman" w:hAnsi="Times New Roman"/>
          <w:sz w:val="15"/>
          <w:szCs w:val="15"/>
          <w:color w:val="auto"/>
        </w:rPr>
        <w:t>The Company utilizes the equity method to account for investments when it possesses the ability to exercise significant influence, but not control, over the operating and financial decisions of the investee.</w:t>
      </w:r>
    </w:p>
    <w:p>
      <w:pPr>
        <w:spacing w:after="0" w:line="89" w:lineRule="exact"/>
        <w:rPr>
          <w:sz w:val="20"/>
          <w:szCs w:val="20"/>
          <w:color w:val="auto"/>
        </w:rPr>
      </w:pPr>
    </w:p>
    <w:p>
      <w:pPr>
        <w:ind w:right="60" w:firstLine="273"/>
        <w:spacing w:after="0" w:line="261" w:lineRule="auto"/>
        <w:rPr>
          <w:sz w:val="20"/>
          <w:szCs w:val="20"/>
          <w:color w:val="auto"/>
        </w:rPr>
      </w:pPr>
      <w:r>
        <w:rPr>
          <w:rFonts w:ascii="Times New Roman" w:cs="Times New Roman" w:eastAsia="Times New Roman" w:hAnsi="Times New Roman"/>
          <w:sz w:val="15"/>
          <w:szCs w:val="15"/>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September 30, 2020 (unaudited), the Company has an equity method investment in PrognomIQ. Refer to Note 11 for additional information.</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Cash, Cash Equivalents and Restricted Cash</w:t>
      </w:r>
    </w:p>
    <w:p>
      <w:pPr>
        <w:spacing w:after="0" w:line="150" w:lineRule="exact"/>
        <w:rPr>
          <w:sz w:val="20"/>
          <w:szCs w:val="20"/>
          <w:color w:val="auto"/>
        </w:rPr>
      </w:pPr>
    </w:p>
    <w:p>
      <w:pPr>
        <w:ind w:right="20" w:firstLine="273"/>
        <w:spacing w:after="0" w:line="286" w:lineRule="auto"/>
        <w:rPr>
          <w:sz w:val="20"/>
          <w:szCs w:val="20"/>
          <w:color w:val="auto"/>
        </w:rPr>
      </w:pPr>
      <w:r>
        <w:rPr>
          <w:rFonts w:ascii="Times New Roman" w:cs="Times New Roman" w:eastAsia="Times New Roman" w:hAnsi="Times New Roman"/>
          <w:sz w:val="15"/>
          <w:szCs w:val="15"/>
          <w:color w:val="auto"/>
        </w:rPr>
        <w:t>The Company considers all highly liquid investments with an original maturity of three months or less at the date of purchase to be cash equivalents. As of December 31, 2018, 2019 and September 30, 2020 (unaudited), all amounts recorded as cash and cash equivalents consist of money market funds and are stated at fair value.</w:t>
      </w:r>
    </w:p>
    <w:p>
      <w:pPr>
        <w:spacing w:after="0" w:line="89" w:lineRule="exact"/>
        <w:rPr>
          <w:sz w:val="20"/>
          <w:szCs w:val="20"/>
          <w:color w:val="auto"/>
        </w:rPr>
      </w:pPr>
    </w:p>
    <w:p>
      <w:pPr>
        <w:ind w:right="220" w:firstLine="273"/>
        <w:spacing w:after="0" w:line="286" w:lineRule="auto"/>
        <w:rPr>
          <w:sz w:val="20"/>
          <w:szCs w:val="20"/>
          <w:color w:val="auto"/>
        </w:rPr>
      </w:pPr>
      <w:r>
        <w:rPr>
          <w:rFonts w:ascii="Times New Roman" w:cs="Times New Roman" w:eastAsia="Times New Roman" w:hAnsi="Times New Roman"/>
          <w:sz w:val="15"/>
          <w:szCs w:val="15"/>
          <w:color w:val="auto"/>
        </w:rPr>
        <w:t>Restricted cash as of December 31, 2019 and September 30, 2020 (unaudited) represents cash held by a financial institution as security for a letter of credit issued to the lessor for one of the Company’s operating leases and is classified as non-current based on the term of the underlying lease.</w:t>
      </w:r>
    </w:p>
    <w:p>
      <w:pPr>
        <w:spacing w:after="0" w:line="89"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2"/>
                <w:szCs w:val="12"/>
                <w:b w:val="1"/>
                <w:bCs w:val="1"/>
                <w:color w:val="auto"/>
              </w:rPr>
              <w:t>September 30,</w:t>
            </w:r>
          </w:p>
        </w:tc>
      </w:tr>
      <w:tr>
        <w:trPr>
          <w:trHeight w:val="159"/>
        </w:trPr>
        <w:tc>
          <w:tcPr>
            <w:tcW w:w="63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2"/>
                <w:szCs w:val="12"/>
                <w:b w:val="1"/>
                <w:bCs w:val="1"/>
                <w:color w:val="auto"/>
                <w:w w:val="99"/>
              </w:rPr>
              <w:t>2020</w:t>
            </w:r>
          </w:p>
        </w:tc>
      </w:tr>
      <w:tr>
        <w:trPr>
          <w:trHeight w:val="150"/>
        </w:trPr>
        <w:tc>
          <w:tcPr>
            <w:tcW w:w="6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2"/>
                <w:szCs w:val="12"/>
                <w:b w:val="1"/>
                <w:bCs w:val="1"/>
                <w:color w:val="auto"/>
                <w:w w:val="99"/>
              </w:rPr>
              <w:t>(unaudited)</w:t>
            </w:r>
          </w:p>
        </w:tc>
      </w:tr>
      <w:tr>
        <w:trPr>
          <w:trHeight w:val="19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30,953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17,706</w:t>
            </w:r>
          </w:p>
        </w:tc>
      </w:tr>
      <w:tr>
        <w:trPr>
          <w:trHeight w:val="19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3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r>
      <w:tr>
        <w:trPr>
          <w:trHeight w:val="20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Segment Information</w:t>
      </w:r>
    </w:p>
    <w:p>
      <w:pPr>
        <w:spacing w:after="0" w:line="150" w:lineRule="exact"/>
        <w:rPr>
          <w:sz w:val="20"/>
          <w:szCs w:val="20"/>
          <w:color w:val="auto"/>
        </w:rPr>
      </w:pPr>
    </w:p>
    <w:p>
      <w:pPr>
        <w:ind w:right="620" w:firstLine="273"/>
        <w:spacing w:after="0" w:line="286" w:lineRule="auto"/>
        <w:rPr>
          <w:sz w:val="20"/>
          <w:szCs w:val="20"/>
          <w:color w:val="auto"/>
        </w:rPr>
      </w:pPr>
      <w:r>
        <w:rPr>
          <w:rFonts w:ascii="Times New Roman" w:cs="Times New Roman" w:eastAsia="Times New Roman" w:hAnsi="Times New Roman"/>
          <w:sz w:val="15"/>
          <w:szCs w:val="15"/>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Investments</w:t>
      </w:r>
    </w:p>
    <w:p>
      <w:pPr>
        <w:spacing w:after="0" w:line="150" w:lineRule="exact"/>
        <w:rPr>
          <w:sz w:val="20"/>
          <w:szCs w:val="20"/>
          <w:color w:val="auto"/>
        </w:rPr>
      </w:pPr>
    </w:p>
    <w:p>
      <w:pPr>
        <w:ind w:right="620" w:firstLine="273"/>
        <w:spacing w:after="0" w:line="286" w:lineRule="auto"/>
        <w:rPr>
          <w:sz w:val="20"/>
          <w:szCs w:val="20"/>
          <w:color w:val="auto"/>
        </w:rPr>
      </w:pPr>
      <w:r>
        <w:rPr>
          <w:rFonts w:ascii="Times New Roman" w:cs="Times New Roman" w:eastAsia="Times New Roman" w:hAnsi="Times New Roman"/>
          <w:sz w:val="15"/>
          <w:szCs w:val="15"/>
          <w:color w:val="auto"/>
        </w:rPr>
        <w:t>The Company has designated all investments, which includes U.S. Treasury securities, as available-for-sale, and therefore, such investments are reported at fair value, with unrealized gains and losses excluded from earnings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ectPr>
          <w:pgSz w:w="11900" w:h="16838" w:orient="portrait"/>
          <w:cols w:equalWidth="0" w:num="1">
            <w:col w:w="11260"/>
          </w:cols>
          <w:pgMar w:left="320" w:top="121" w:right="31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10" w:lineRule="exact"/>
        <w:rPr>
          <w:sz w:val="20"/>
          <w:szCs w:val="20"/>
          <w:color w:val="auto"/>
        </w:rPr>
      </w:pPr>
    </w:p>
    <w:p>
      <w:pPr>
        <w:ind w:right="180" w:firstLine="273"/>
        <w:spacing w:after="0" w:line="261" w:lineRule="auto"/>
        <w:rPr>
          <w:sz w:val="20"/>
          <w:szCs w:val="20"/>
          <w:color w:val="auto"/>
        </w:rPr>
      </w:pPr>
      <w:r>
        <w:rPr>
          <w:rFonts w:ascii="Times New Roman" w:cs="Times New Roman" w:eastAsia="Times New Roman" w:hAnsi="Times New Roman"/>
          <w:sz w:val="15"/>
          <w:szCs w:val="15"/>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07" w:lineRule="exact"/>
        <w:rPr>
          <w:sz w:val="20"/>
          <w:szCs w:val="20"/>
          <w:color w:val="auto"/>
        </w:rPr>
      </w:pPr>
    </w:p>
    <w:p>
      <w:pPr>
        <w:ind w:right="100" w:firstLine="273"/>
        <w:spacing w:after="0" w:line="269" w:lineRule="auto"/>
        <w:rPr>
          <w:sz w:val="20"/>
          <w:szCs w:val="20"/>
          <w:color w:val="auto"/>
        </w:rPr>
      </w:pPr>
      <w:r>
        <w:rPr>
          <w:rFonts w:ascii="Times New Roman" w:cs="Times New Roman" w:eastAsia="Times New Roman" w:hAnsi="Times New Roman"/>
          <w:sz w:val="15"/>
          <w:szCs w:val="15"/>
          <w:color w:val="auto"/>
        </w:rPr>
        <w:t>Effective January 1, 2020, any unrealized losses on available-for-sale debt securities that are attributed to credit risk are recorded to the statements of operations and comprehensive loss through an allowance for credit losses. During the nine months ended September 30, 2020 (unaudited), the Company did not recognize any such impairment charges on its investments.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50" w:lineRule="exact"/>
        <w:rPr>
          <w:sz w:val="20"/>
          <w:szCs w:val="20"/>
          <w:color w:val="auto"/>
        </w:rPr>
      </w:pPr>
    </w:p>
    <w:p>
      <w:pPr>
        <w:ind w:right="140" w:firstLine="273"/>
        <w:spacing w:after="0" w:line="258" w:lineRule="auto"/>
        <w:rPr>
          <w:sz w:val="20"/>
          <w:szCs w:val="20"/>
          <w:color w:val="auto"/>
        </w:rPr>
      </w:pPr>
      <w:r>
        <w:rPr>
          <w:rFonts w:ascii="Times New Roman" w:cs="Times New Roman" w:eastAsia="Times New Roman" w:hAnsi="Times New Roman"/>
          <w:sz w:val="15"/>
          <w:szCs w:val="15"/>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 stated at cost and are not depreciated. Once the assets are placed into service, assets are reclassified to the appropriate asset class on their nature and depreciated in accordance with the useful lives above.</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50" w:lineRule="exact"/>
        <w:rPr>
          <w:sz w:val="20"/>
          <w:szCs w:val="20"/>
          <w:color w:val="auto"/>
        </w:rPr>
      </w:pPr>
    </w:p>
    <w:p>
      <w:pPr>
        <w:ind w:right="260" w:firstLine="273"/>
        <w:spacing w:after="0" w:line="264" w:lineRule="auto"/>
        <w:rPr>
          <w:sz w:val="20"/>
          <w:szCs w:val="20"/>
          <w:color w:val="auto"/>
        </w:rPr>
      </w:pPr>
      <w:r>
        <w:rPr>
          <w:rFonts w:ascii="Times New Roman" w:cs="Times New Roman" w:eastAsia="Times New Roman" w:hAnsi="Times New Roman"/>
          <w:sz w:val="15"/>
          <w:szCs w:val="15"/>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50"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04" w:lineRule="exact"/>
        <w:rPr>
          <w:sz w:val="20"/>
          <w:szCs w:val="20"/>
          <w:color w:val="auto"/>
        </w:rPr>
      </w:pPr>
    </w:p>
    <w:p>
      <w:pPr>
        <w:ind w:right="440" w:firstLine="273"/>
        <w:spacing w:after="0" w:line="286" w:lineRule="auto"/>
        <w:rPr>
          <w:sz w:val="20"/>
          <w:szCs w:val="20"/>
          <w:color w:val="auto"/>
        </w:rPr>
      </w:pPr>
      <w:r>
        <w:rPr>
          <w:rFonts w:ascii="Times New Roman" w:cs="Times New Roman" w:eastAsia="Times New Roman" w:hAnsi="Times New Roman"/>
          <w:sz w:val="15"/>
          <w:szCs w:val="15"/>
          <w:color w:val="auto"/>
        </w:rPr>
        <w:t>Lease agreements may also include tenant improvement allowances from landlords. The Company recognizes these allowances as a leasehold incentive obligation included in deferred rent on the balance sheets and amortizes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ectPr>
          <w:pgSz w:w="11900" w:h="16838" w:orient="portrait"/>
          <w:cols w:equalWidth="0" w:num="1">
            <w:col w:w="11260"/>
          </w:cols>
          <w:pgMar w:left="320" w:top="121" w:right="319" w:bottom="1440" w:gutter="0" w:footer="0" w:header="0"/>
        </w:sectPr>
      </w:pPr>
    </w:p>
    <w:bookmarkStart w:id="202" w:name="page203"/>
    <w:bookmarkEnd w:id="202"/>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5"/>
          <w:szCs w:val="15"/>
          <w:color w:val="auto"/>
        </w:rPr>
        <w:t>on a straight-line basis over the life of the lease. Building improvements made with lease incentives or tenant allowances are capitalized as leasehold improvements and included in property and equipment on the balance sheets.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Research Revenue</w:t>
      </w:r>
    </w:p>
    <w:p>
      <w:pPr>
        <w:spacing w:after="0" w:line="148" w:lineRule="exact"/>
        <w:rPr>
          <w:sz w:val="20"/>
          <w:szCs w:val="20"/>
          <w:color w:val="auto"/>
        </w:rPr>
      </w:pPr>
    </w:p>
    <w:p>
      <w:pPr>
        <w:ind w:right="80" w:firstLine="273"/>
        <w:spacing w:after="0" w:line="259" w:lineRule="auto"/>
        <w:rPr>
          <w:sz w:val="20"/>
          <w:szCs w:val="20"/>
          <w:color w:val="auto"/>
        </w:rPr>
      </w:pPr>
      <w:r>
        <w:rPr>
          <w:rFonts w:ascii="Times New Roman" w:cs="Times New Roman" w:eastAsia="Times New Roman" w:hAnsi="Times New Roman"/>
          <w:sz w:val="15"/>
          <w:szCs w:val="15"/>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10"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Grant Revenue</w:t>
      </w:r>
    </w:p>
    <w:p>
      <w:pPr>
        <w:spacing w:after="0" w:line="148" w:lineRule="exact"/>
        <w:rPr>
          <w:sz w:val="20"/>
          <w:szCs w:val="20"/>
          <w:color w:val="auto"/>
        </w:rPr>
      </w:pPr>
    </w:p>
    <w:p>
      <w:pPr>
        <w:ind w:firstLine="273"/>
        <w:spacing w:after="0" w:line="262" w:lineRule="auto"/>
        <w:rPr>
          <w:sz w:val="20"/>
          <w:szCs w:val="20"/>
          <w:color w:val="auto"/>
        </w:rPr>
      </w:pPr>
      <w:r>
        <w:rPr>
          <w:rFonts w:ascii="Times New Roman" w:cs="Times New Roman" w:eastAsia="Times New Roman" w:hAnsi="Times New Roman"/>
          <w:sz w:val="15"/>
          <w:szCs w:val="15"/>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150" w:lineRule="exact"/>
        <w:rPr>
          <w:sz w:val="20"/>
          <w:szCs w:val="20"/>
          <w:color w:val="auto"/>
        </w:rPr>
      </w:pPr>
    </w:p>
    <w:p>
      <w:pPr>
        <w:ind w:right="20" w:firstLine="273"/>
        <w:spacing w:after="0" w:line="257" w:lineRule="auto"/>
        <w:rPr>
          <w:sz w:val="20"/>
          <w:szCs w:val="20"/>
          <w:color w:val="auto"/>
        </w:rPr>
      </w:pPr>
      <w:r>
        <w:rPr>
          <w:rFonts w:ascii="Times New Roman" w:cs="Times New Roman" w:eastAsia="Times New Roman" w:hAnsi="Times New Roman"/>
          <w:sz w:val="15"/>
          <w:szCs w:val="15"/>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 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Accrued Research and Development Expenses</w:t>
      </w:r>
    </w:p>
    <w:p>
      <w:pPr>
        <w:spacing w:after="0" w:line="150" w:lineRule="exact"/>
        <w:rPr>
          <w:sz w:val="20"/>
          <w:szCs w:val="20"/>
          <w:color w:val="auto"/>
        </w:rPr>
      </w:pPr>
    </w:p>
    <w:p>
      <w:pPr>
        <w:ind w:right="20" w:firstLine="273"/>
        <w:spacing w:after="0" w:line="269" w:lineRule="auto"/>
        <w:rPr>
          <w:sz w:val="20"/>
          <w:szCs w:val="20"/>
          <w:color w:val="auto"/>
        </w:rPr>
      </w:pPr>
      <w:r>
        <w:rPr>
          <w:rFonts w:ascii="Times New Roman" w:cs="Times New Roman" w:eastAsia="Times New Roman" w:hAnsi="Times New Roman"/>
          <w:sz w:val="15"/>
          <w:szCs w:val="15"/>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F-15</w:t>
      </w:r>
    </w:p>
    <w:p>
      <w:pPr>
        <w:sectPr>
          <w:pgSz w:w="11900" w:h="16838" w:orient="portrait"/>
          <w:cols w:equalWidth="0" w:num="1">
            <w:col w:w="11180"/>
          </w:cols>
          <w:pgMar w:left="320" w:top="121" w:right="39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5"/>
          <w:szCs w:val="15"/>
          <w:color w:val="auto"/>
        </w:rPr>
        <w:t>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and September 30, 2020 (unaudited), there have been no material differences from the Company’s estimated accrued research and development expenses to actual expenses.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150" w:lineRule="exact"/>
        <w:rPr>
          <w:sz w:val="20"/>
          <w:szCs w:val="20"/>
          <w:color w:val="auto"/>
        </w:rPr>
      </w:pPr>
    </w:p>
    <w:p>
      <w:pPr>
        <w:ind w:right="20" w:firstLine="273"/>
        <w:spacing w:after="0" w:line="269" w:lineRule="auto"/>
        <w:rPr>
          <w:sz w:val="20"/>
          <w:szCs w:val="20"/>
          <w:color w:val="auto"/>
        </w:rPr>
      </w:pPr>
      <w:r>
        <w:rPr>
          <w:rFonts w:ascii="Times New Roman" w:cs="Times New Roman" w:eastAsia="Times New Roman" w:hAnsi="Times New Roman"/>
          <w:sz w:val="15"/>
          <w:szCs w:val="15"/>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5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10" w:lineRule="exact"/>
        <w:rPr>
          <w:sz w:val="20"/>
          <w:szCs w:val="20"/>
          <w:color w:val="auto"/>
        </w:rPr>
      </w:pPr>
    </w:p>
    <w:p>
      <w:pPr>
        <w:jc w:val="both"/>
        <w:ind w:right="40" w:firstLine="273"/>
        <w:spacing w:after="0" w:line="269" w:lineRule="auto"/>
        <w:rPr>
          <w:sz w:val="20"/>
          <w:szCs w:val="20"/>
          <w:color w:val="auto"/>
        </w:rPr>
      </w:pPr>
      <w:r>
        <w:rPr>
          <w:rFonts w:ascii="Times New Roman" w:cs="Times New Roman" w:eastAsia="Times New Roman" w:hAnsi="Times New Roman"/>
          <w:sz w:val="15"/>
          <w:szCs w:val="15"/>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Fair Value of Common Stock</w:t>
      </w:r>
    </w:p>
    <w:p>
      <w:pPr>
        <w:spacing w:after="0" w:line="148" w:lineRule="exact"/>
        <w:rPr>
          <w:sz w:val="20"/>
          <w:szCs w:val="20"/>
          <w:color w:val="auto"/>
        </w:rPr>
      </w:pPr>
    </w:p>
    <w:p>
      <w:pPr>
        <w:ind w:right="100" w:firstLine="273"/>
        <w:spacing w:after="0" w:line="259" w:lineRule="auto"/>
        <w:rPr>
          <w:sz w:val="20"/>
          <w:szCs w:val="20"/>
          <w:color w:val="auto"/>
        </w:rPr>
      </w:pPr>
      <w:r>
        <w:rPr>
          <w:rFonts w:ascii="Times New Roman" w:cs="Times New Roman" w:eastAsia="Times New Roman" w:hAnsi="Times New Roman"/>
          <w:sz w:val="15"/>
          <w:szCs w:val="15"/>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Expected Volatility</w:t>
      </w:r>
    </w:p>
    <w:p>
      <w:pPr>
        <w:spacing w:after="0" w:line="148" w:lineRule="exact"/>
        <w:rPr>
          <w:sz w:val="20"/>
          <w:szCs w:val="20"/>
          <w:color w:val="auto"/>
        </w:rPr>
      </w:pPr>
    </w:p>
    <w:p>
      <w:pPr>
        <w:ind w:right="320" w:firstLine="273"/>
        <w:spacing w:after="0" w:line="286" w:lineRule="auto"/>
        <w:rPr>
          <w:sz w:val="20"/>
          <w:szCs w:val="20"/>
          <w:color w:val="auto"/>
        </w:rPr>
      </w:pPr>
      <w:r>
        <w:rPr>
          <w:rFonts w:ascii="Times New Roman" w:cs="Times New Roman" w:eastAsia="Times New Roman" w:hAnsi="Times New Roman"/>
          <w:sz w:val="15"/>
          <w:szCs w:val="15"/>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w:t>
      </w:r>
    </w:p>
    <w:p>
      <w:pPr>
        <w:sectPr>
          <w:pgSz w:w="11900" w:h="16838" w:orient="portrait"/>
          <w:cols w:equalWidth="0" w:num="1">
            <w:col w:w="11240"/>
          </w:cols>
          <w:pgMar w:left="320" w:top="121" w:right="339" w:bottom="144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Expected Term</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stock options granted to employees and directors, the expected term is calculated using the simplified method for “plain vanilla” stock option awards.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Risk-Free Interest Rate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risk-free interest rate is based on the yield available on U.S. Treasury zero-coupon issues similar in duration to the expected term of the equity-settled award.</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Expected Dividends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expected dividend yield is assumed to be zero as the Company has never paid dividends and has no current plans to pay dividends on its common stock.</w:t>
      </w:r>
    </w:p>
    <w:p>
      <w:pPr>
        <w:spacing w:after="0" w:line="146" w:lineRule="exact"/>
        <w:rPr>
          <w:sz w:val="20"/>
          <w:szCs w:val="20"/>
          <w:color w:val="auto"/>
        </w:rPr>
      </w:pPr>
    </w:p>
    <w:p>
      <w:pPr>
        <w:ind w:right="40" w:firstLine="273"/>
        <w:spacing w:after="0" w:line="269" w:lineRule="auto"/>
        <w:rPr>
          <w:sz w:val="20"/>
          <w:szCs w:val="20"/>
          <w:color w:val="auto"/>
        </w:rPr>
      </w:pPr>
      <w:r>
        <w:rPr>
          <w:rFonts w:ascii="Times New Roman" w:cs="Times New Roman" w:eastAsia="Times New Roman" w:hAnsi="Times New Roman"/>
          <w:sz w:val="15"/>
          <w:szCs w:val="15"/>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Deferred Offering Costs</w:t>
      </w:r>
    </w:p>
    <w:p>
      <w:pPr>
        <w:spacing w:after="0" w:line="150" w:lineRule="exact"/>
        <w:rPr>
          <w:sz w:val="20"/>
          <w:szCs w:val="20"/>
          <w:color w:val="auto"/>
        </w:rPr>
      </w:pPr>
    </w:p>
    <w:p>
      <w:pPr>
        <w:ind w:right="60" w:firstLine="273"/>
        <w:spacing w:after="0" w:line="269" w:lineRule="auto"/>
        <w:rPr>
          <w:sz w:val="20"/>
          <w:szCs w:val="20"/>
          <w:color w:val="auto"/>
        </w:rPr>
      </w:pPr>
      <w:r>
        <w:rPr>
          <w:rFonts w:ascii="Times New Roman" w:cs="Times New Roman" w:eastAsia="Times New Roman" w:hAnsi="Times New Roman"/>
          <w:sz w:val="15"/>
          <w:szCs w:val="15"/>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 As of September 30, 2020 (unaudited), the Company recorded deferred offering costs of $1.2 million as other assets on the balance sheet.</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50" w:lineRule="exact"/>
        <w:rPr>
          <w:sz w:val="20"/>
          <w:szCs w:val="20"/>
          <w:color w:val="auto"/>
        </w:rPr>
      </w:pPr>
    </w:p>
    <w:p>
      <w:pPr>
        <w:jc w:val="both"/>
        <w:ind w:firstLine="273"/>
        <w:spacing w:after="0" w:line="269" w:lineRule="auto"/>
        <w:rPr>
          <w:sz w:val="20"/>
          <w:szCs w:val="20"/>
          <w:color w:val="auto"/>
        </w:rPr>
      </w:pPr>
      <w:r>
        <w:rPr>
          <w:rFonts w:ascii="Times New Roman" w:cs="Times New Roman" w:eastAsia="Times New Roman" w:hAnsi="Times New Roman"/>
          <w:sz w:val="15"/>
          <w:szCs w:val="15"/>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01" w:lineRule="exact"/>
        <w:rPr>
          <w:sz w:val="20"/>
          <w:szCs w:val="20"/>
          <w:color w:val="auto"/>
        </w:rPr>
      </w:pPr>
    </w:p>
    <w:p>
      <w:pPr>
        <w:ind w:firstLine="273"/>
        <w:spacing w:after="0" w:line="259" w:lineRule="auto"/>
        <w:rPr>
          <w:sz w:val="20"/>
          <w:szCs w:val="20"/>
          <w:color w:val="auto"/>
        </w:rPr>
      </w:pPr>
      <w:r>
        <w:rPr>
          <w:rFonts w:ascii="Times New Roman" w:cs="Times New Roman" w:eastAsia="Times New Roman" w:hAnsi="Times New Roman"/>
          <w:sz w:val="15"/>
          <w:szCs w:val="15"/>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10" w:lineRule="exact"/>
        <w:rPr>
          <w:sz w:val="20"/>
          <w:szCs w:val="20"/>
          <w:color w:val="auto"/>
        </w:rPr>
      </w:pPr>
    </w:p>
    <w:p>
      <w:pPr>
        <w:jc w:val="both"/>
        <w:ind w:right="120" w:firstLine="273"/>
        <w:spacing w:after="0" w:line="264" w:lineRule="auto"/>
        <w:rPr>
          <w:sz w:val="20"/>
          <w:szCs w:val="20"/>
          <w:color w:val="auto"/>
        </w:rPr>
      </w:pPr>
      <w:r>
        <w:rPr>
          <w:rFonts w:ascii="Times New Roman" w:cs="Times New Roman" w:eastAsia="Times New Roman" w:hAnsi="Times New Roman"/>
          <w:sz w:val="15"/>
          <w:szCs w:val="15"/>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F-17</w:t>
      </w:r>
    </w:p>
    <w:p>
      <w:pPr>
        <w:sectPr>
          <w:pgSz w:w="11900" w:h="16838" w:orient="portrait"/>
          <w:cols w:equalWidth="0" w:num="1">
            <w:col w:w="11220"/>
          </w:cols>
          <w:pgMar w:left="320" w:top="121" w:right="359" w:bottom="1440" w:gutter="0" w:footer="0" w:header="0"/>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Net Loss Per Share Attributable to Common Stockholders</w:t>
      </w:r>
    </w:p>
    <w:p>
      <w:pPr>
        <w:spacing w:after="0" w:line="150" w:lineRule="exact"/>
        <w:rPr>
          <w:sz w:val="20"/>
          <w:szCs w:val="20"/>
          <w:color w:val="auto"/>
        </w:rPr>
      </w:pPr>
    </w:p>
    <w:p>
      <w:pPr>
        <w:jc w:val="both"/>
        <w:ind w:right="20" w:firstLine="273"/>
        <w:spacing w:after="0" w:line="264" w:lineRule="auto"/>
        <w:rPr>
          <w:sz w:val="20"/>
          <w:szCs w:val="20"/>
          <w:color w:val="auto"/>
        </w:rPr>
      </w:pPr>
      <w:r>
        <w:rPr>
          <w:rFonts w:ascii="Times New Roman" w:cs="Times New Roman" w:eastAsia="Times New Roman" w:hAnsi="Times New Roman"/>
          <w:sz w:val="15"/>
          <w:szCs w:val="15"/>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4"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04" w:lineRule="exact"/>
        <w:rPr>
          <w:sz w:val="20"/>
          <w:szCs w:val="20"/>
          <w:color w:val="auto"/>
        </w:rPr>
      </w:pPr>
    </w:p>
    <w:p>
      <w:pPr>
        <w:ind w:right="20" w:firstLine="273"/>
        <w:spacing w:after="0" w:line="286" w:lineRule="auto"/>
        <w:rPr>
          <w:sz w:val="20"/>
          <w:szCs w:val="20"/>
          <w:color w:val="auto"/>
        </w:rPr>
      </w:pPr>
      <w:r>
        <w:rPr>
          <w:rFonts w:ascii="Times New Roman" w:cs="Times New Roman" w:eastAsia="Times New Roman" w:hAnsi="Times New Roman"/>
          <w:sz w:val="15"/>
          <w:szCs w:val="15"/>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89"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Commitments and Contingencies</w:t>
      </w:r>
    </w:p>
    <w:p>
      <w:pPr>
        <w:spacing w:after="0" w:line="150"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Comprehensive Loss</w:t>
      </w:r>
    </w:p>
    <w:p>
      <w:pPr>
        <w:spacing w:after="0" w:line="150" w:lineRule="exact"/>
        <w:rPr>
          <w:sz w:val="20"/>
          <w:szCs w:val="20"/>
          <w:color w:val="auto"/>
        </w:rPr>
      </w:pPr>
    </w:p>
    <w:p>
      <w:pPr>
        <w:ind w:right="120" w:firstLine="273"/>
        <w:spacing w:after="0" w:line="286" w:lineRule="auto"/>
        <w:rPr>
          <w:sz w:val="20"/>
          <w:szCs w:val="20"/>
          <w:color w:val="auto"/>
        </w:rPr>
      </w:pPr>
      <w:r>
        <w:rPr>
          <w:rFonts w:ascii="Times New Roman" w:cs="Times New Roman" w:eastAsia="Times New Roman" w:hAnsi="Times New Roman"/>
          <w:sz w:val="15"/>
          <w:szCs w:val="15"/>
          <w:color w:val="auto"/>
        </w:rPr>
        <w:t>Comprehensive loss is comprised of net loss and changes in accumulated other comprehensive income on the Company’s available-for-sale investments related to unrealized gains and losses.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w:t>
      </w:r>
    </w:p>
    <w:p>
      <w:pPr>
        <w:spacing w:after="0" w:line="150" w:lineRule="exact"/>
        <w:rPr>
          <w:sz w:val="20"/>
          <w:szCs w:val="20"/>
          <w:color w:val="auto"/>
        </w:rPr>
      </w:pPr>
    </w:p>
    <w:p>
      <w:pPr>
        <w:ind w:right="240" w:firstLine="273"/>
        <w:spacing w:after="0" w:line="269" w:lineRule="auto"/>
        <w:rPr>
          <w:sz w:val="20"/>
          <w:szCs w:val="20"/>
          <w:color w:val="auto"/>
        </w:rPr>
      </w:pPr>
      <w:r>
        <w:rPr>
          <w:rFonts w:ascii="Times New Roman" w:cs="Times New Roman" w:eastAsia="Times New Roman" w:hAnsi="Times New Roman"/>
          <w:sz w:val="15"/>
          <w:szCs w:val="15"/>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01"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The Company determined the fair value of financial assets and liabilities using the fair value hierarchy that describes three levels of inputs that may be used to measure fair value, as follows:</w:t>
      </w:r>
    </w:p>
    <w:p>
      <w:pPr>
        <w:spacing w:after="0" w:line="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Level 1—Quoted prices in active markets for identical assets and liabilities;</w:t>
      </w:r>
    </w:p>
    <w:p>
      <w:pPr>
        <w:spacing w:after="0" w:line="146" w:lineRule="exact"/>
        <w:rPr>
          <w:sz w:val="20"/>
          <w:szCs w:val="20"/>
          <w:color w:val="auto"/>
        </w:rPr>
      </w:pPr>
    </w:p>
    <w:p>
      <w:pPr>
        <w:ind w:left="1140" w:right="200" w:hanging="612"/>
        <w:spacing w:after="0" w:line="286" w:lineRule="auto"/>
        <w:rPr>
          <w:sz w:val="20"/>
          <w:szCs w:val="20"/>
          <w:color w:val="auto"/>
        </w:rPr>
      </w:pPr>
      <w:r>
        <w:rPr>
          <w:rFonts w:ascii="Times New Roman" w:cs="Times New Roman" w:eastAsia="Times New Roman" w:hAnsi="Times New Roman"/>
          <w:sz w:val="15"/>
          <w:szCs w:val="15"/>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F-18</w:t>
      </w:r>
    </w:p>
    <w:p>
      <w:pPr>
        <w:sectPr>
          <w:pgSz w:w="11900" w:h="16838" w:orient="portrait"/>
          <w:cols w:equalWidth="0" w:num="1">
            <w:col w:w="11220"/>
          </w:cols>
          <w:pgMar w:left="320" w:top="121" w:right="35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Level 3—Unobservable inputs that are supported by little or no market activity and that are significant to the fair value of the assets or liabilities.</w:t>
      </w:r>
    </w:p>
    <w:p>
      <w:pPr>
        <w:spacing w:after="0" w:line="146" w:lineRule="exact"/>
        <w:rPr>
          <w:sz w:val="20"/>
          <w:szCs w:val="20"/>
          <w:color w:val="auto"/>
        </w:rPr>
      </w:pPr>
    </w:p>
    <w:p>
      <w:pPr>
        <w:ind w:right="100" w:firstLine="273"/>
        <w:spacing w:after="0" w:line="269" w:lineRule="auto"/>
        <w:rPr>
          <w:sz w:val="20"/>
          <w:szCs w:val="20"/>
          <w:color w:val="auto"/>
        </w:rPr>
      </w:pPr>
      <w:r>
        <w:rPr>
          <w:rFonts w:ascii="Times New Roman" w:cs="Times New Roman" w:eastAsia="Times New Roman" w:hAnsi="Times New Roman"/>
          <w:sz w:val="15"/>
          <w:szCs w:val="15"/>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01" w:lineRule="exact"/>
        <w:rPr>
          <w:sz w:val="20"/>
          <w:szCs w:val="20"/>
          <w:color w:val="auto"/>
        </w:rPr>
      </w:pPr>
    </w:p>
    <w:p>
      <w:pPr>
        <w:ind w:right="200" w:firstLine="273"/>
        <w:spacing w:after="0" w:line="286" w:lineRule="auto"/>
        <w:rPr>
          <w:sz w:val="20"/>
          <w:szCs w:val="20"/>
          <w:color w:val="auto"/>
        </w:rPr>
      </w:pPr>
      <w:r>
        <w:rPr>
          <w:rFonts w:ascii="Times New Roman" w:cs="Times New Roman" w:eastAsia="Times New Roman" w:hAnsi="Times New Roman"/>
          <w:sz w:val="15"/>
          <w:szCs w:val="15"/>
          <w:color w:val="auto"/>
        </w:rPr>
        <w:t>The carrying amount of the Company’s other receivables, prepaid expenses, other current assets, accounts payable, and accrued expenses approximate fair value due to their short maturities.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Pronouncements</w:t>
      </w:r>
    </w:p>
    <w:p>
      <w:pPr>
        <w:spacing w:after="0" w:line="148" w:lineRule="exact"/>
        <w:rPr>
          <w:sz w:val="20"/>
          <w:szCs w:val="20"/>
          <w:color w:val="auto"/>
        </w:rPr>
      </w:pPr>
    </w:p>
    <w:p>
      <w:pPr>
        <w:ind w:right="80" w:firstLine="273"/>
        <w:spacing w:after="0" w:line="260" w:lineRule="auto"/>
        <w:rPr>
          <w:sz w:val="20"/>
          <w:szCs w:val="20"/>
          <w:color w:val="auto"/>
        </w:rPr>
      </w:pPr>
      <w:r>
        <w:rPr>
          <w:rFonts w:ascii="Times New Roman" w:cs="Times New Roman" w:eastAsia="Times New Roman" w:hAnsi="Times New Roman"/>
          <w:sz w:val="15"/>
          <w:szCs w:val="15"/>
          <w:color w:val="auto"/>
        </w:rPr>
        <w:t xml:space="preserve">In March 2016, the Financial Accounting Standards Board (FASB) issued Accounting Standards Update (ASU) No. 2016-09, </w:t>
      </w:r>
      <w:r>
        <w:rPr>
          <w:rFonts w:ascii="Times New Roman" w:cs="Times New Roman" w:eastAsia="Times New Roman" w:hAnsi="Times New Roman"/>
          <w:sz w:val="15"/>
          <w:szCs w:val="15"/>
          <w:i w:val="1"/>
          <w:iCs w:val="1"/>
          <w:color w:val="auto"/>
        </w:rPr>
        <w:t>Compensation—Stock Compensation (Topic 718):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Improvements to Employee Share-Based Payment Accounting</w:t>
      </w:r>
      <w:r>
        <w:rPr>
          <w:rFonts w:ascii="Times New Roman" w:cs="Times New Roman" w:eastAsia="Times New Roman" w:hAnsi="Times New Roman"/>
          <w:sz w:val="15"/>
          <w:szCs w:val="15"/>
          <w:color w:val="auto"/>
        </w:rPr>
        <w:t>. This ASU simplifies several aspects of the accounting for share-based payment award transactions, including, the income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05" w:lineRule="exact"/>
        <w:rPr>
          <w:sz w:val="20"/>
          <w:szCs w:val="20"/>
          <w:color w:val="auto"/>
        </w:rPr>
      </w:pPr>
    </w:p>
    <w:p>
      <w:pPr>
        <w:ind w:firstLine="273"/>
        <w:spacing w:after="0" w:line="262" w:lineRule="auto"/>
        <w:rPr>
          <w:sz w:val="20"/>
          <w:szCs w:val="20"/>
          <w:color w:val="auto"/>
        </w:rPr>
      </w:pPr>
      <w:r>
        <w:rPr>
          <w:rFonts w:ascii="Times New Roman" w:cs="Times New Roman" w:eastAsia="Times New Roman" w:hAnsi="Times New Roman"/>
          <w:sz w:val="15"/>
          <w:szCs w:val="15"/>
          <w:color w:val="auto"/>
        </w:rPr>
        <w:t xml:space="preserve">In May 2014, the FASB issued ASU No. 2014-09, </w:t>
      </w:r>
      <w:r>
        <w:rPr>
          <w:rFonts w:ascii="Times New Roman" w:cs="Times New Roman" w:eastAsia="Times New Roman" w:hAnsi="Times New Roman"/>
          <w:sz w:val="15"/>
          <w:szCs w:val="15"/>
          <w:i w:val="1"/>
          <w:iCs w:val="1"/>
          <w:color w:val="auto"/>
        </w:rPr>
        <w:t>Revenue from Contracts with Customers (Topic 606)</w:t>
      </w:r>
      <w:r>
        <w:rPr>
          <w:rFonts w:ascii="Times New Roman" w:cs="Times New Roman" w:eastAsia="Times New Roman" w:hAnsi="Times New Roman"/>
          <w:sz w:val="15"/>
          <w:szCs w:val="15"/>
          <w:color w:val="auto"/>
        </w:rPr>
        <w:t>, and further updated through ASU No. 2016-12. 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03" w:lineRule="exact"/>
        <w:rPr>
          <w:sz w:val="20"/>
          <w:szCs w:val="20"/>
          <w:color w:val="auto"/>
        </w:rPr>
      </w:pPr>
    </w:p>
    <w:p>
      <w:pPr>
        <w:jc w:val="both"/>
        <w:ind w:right="80" w:firstLine="273"/>
        <w:spacing w:after="0" w:line="271" w:lineRule="auto"/>
        <w:rPr>
          <w:sz w:val="20"/>
          <w:szCs w:val="20"/>
          <w:color w:val="auto"/>
        </w:rPr>
      </w:pPr>
      <w:r>
        <w:rPr>
          <w:rFonts w:ascii="Times New Roman" w:cs="Times New Roman" w:eastAsia="Times New Roman" w:hAnsi="Times New Roman"/>
          <w:sz w:val="15"/>
          <w:szCs w:val="15"/>
          <w:color w:val="auto"/>
        </w:rPr>
        <w:t xml:space="preserve">In November 2016, the FASB issued ASU No. 2016-18, </w:t>
      </w:r>
      <w:r>
        <w:rPr>
          <w:rFonts w:ascii="Times New Roman" w:cs="Times New Roman" w:eastAsia="Times New Roman" w:hAnsi="Times New Roman"/>
          <w:sz w:val="15"/>
          <w:szCs w:val="15"/>
          <w:i w:val="1"/>
          <w:iCs w:val="1"/>
          <w:color w:val="auto"/>
        </w:rPr>
        <w:t>Statement of Cash Flows (Topic 230): Restricted Cash,</w:t>
      </w:r>
      <w:r>
        <w:rPr>
          <w:rFonts w:ascii="Times New Roman" w:cs="Times New Roman" w:eastAsia="Times New Roman" w:hAnsi="Times New Roman"/>
          <w:sz w:val="15"/>
          <w:szCs w:val="15"/>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adopted the following accounting standards during the nine months ended September 30, 2020 (unaudited).</w:t>
      </w:r>
    </w:p>
    <w:p>
      <w:pPr>
        <w:spacing w:after="0" w:line="144" w:lineRule="exact"/>
        <w:rPr>
          <w:sz w:val="20"/>
          <w:szCs w:val="20"/>
          <w:color w:val="auto"/>
        </w:rPr>
      </w:pPr>
    </w:p>
    <w:p>
      <w:pPr>
        <w:ind w:right="20" w:firstLine="273"/>
        <w:spacing w:after="0" w:line="265" w:lineRule="auto"/>
        <w:rPr>
          <w:sz w:val="20"/>
          <w:szCs w:val="20"/>
          <w:color w:val="auto"/>
        </w:rPr>
      </w:pPr>
      <w:r>
        <w:rPr>
          <w:rFonts w:ascii="Times New Roman" w:cs="Times New Roman" w:eastAsia="Times New Roman" w:hAnsi="Times New Roman"/>
          <w:sz w:val="15"/>
          <w:szCs w:val="15"/>
          <w:color w:val="auto"/>
        </w:rPr>
        <w:t xml:space="preserve">In June 2016, the FASB issued ASU No. 2016-13, </w:t>
      </w:r>
      <w:r>
        <w:rPr>
          <w:rFonts w:ascii="Times New Roman" w:cs="Times New Roman" w:eastAsia="Times New Roman" w:hAnsi="Times New Roman"/>
          <w:sz w:val="15"/>
          <w:szCs w:val="15"/>
          <w:i w:val="1"/>
          <w:iCs w:val="1"/>
          <w:color w:val="auto"/>
        </w:rPr>
        <w:t>Financial Instruments—Credit Losses (Topic 326): Measurement of Credit Losses on Financial Instruments,</w:t>
      </w:r>
      <w:r>
        <w:rPr>
          <w:rFonts w:ascii="Times New Roman" w:cs="Times New Roman" w:eastAsia="Times New Roman" w:hAnsi="Times New Roman"/>
          <w:sz w:val="15"/>
          <w:szCs w:val="15"/>
          <w:color w:val="auto"/>
        </w:rPr>
        <w:t xml:space="preserve"> which requires that financial assets measured at amortized cost be presented at the net amount expected to be collected. Unrealized losses on 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101" w:lineRule="exact"/>
        <w:rPr>
          <w:sz w:val="20"/>
          <w:szCs w:val="20"/>
          <w:color w:val="auto"/>
        </w:rPr>
      </w:pPr>
    </w:p>
    <w:p>
      <w:pPr>
        <w:ind w:right="300" w:firstLine="273"/>
        <w:spacing w:after="0" w:line="271" w:lineRule="auto"/>
        <w:rPr>
          <w:sz w:val="20"/>
          <w:szCs w:val="20"/>
          <w:color w:val="auto"/>
        </w:rPr>
      </w:pPr>
      <w:r>
        <w:rPr>
          <w:rFonts w:ascii="Times New Roman" w:cs="Times New Roman" w:eastAsia="Times New Roman" w:hAnsi="Times New Roman"/>
          <w:sz w:val="15"/>
          <w:szCs w:val="15"/>
          <w:color w:val="auto"/>
        </w:rPr>
        <w:t xml:space="preserve">In August 2018, the FASB issued ASU No. 2018-13, </w:t>
      </w:r>
      <w:r>
        <w:rPr>
          <w:rFonts w:ascii="Times New Roman" w:cs="Times New Roman" w:eastAsia="Times New Roman" w:hAnsi="Times New Roman"/>
          <w:sz w:val="15"/>
          <w:szCs w:val="15"/>
          <w:i w:val="1"/>
          <w:iCs w:val="1"/>
          <w:color w:val="auto"/>
        </w:rPr>
        <w:t>Disclosure Framework—Changes to the Disclosure Requirements for Fair Value Measurement,</w:t>
      </w:r>
      <w:r>
        <w:rPr>
          <w:rFonts w:ascii="Times New Roman" w:cs="Times New Roman" w:eastAsia="Times New Roman" w:hAnsi="Times New Roman"/>
          <w:sz w:val="15"/>
          <w:szCs w:val="15"/>
          <w:color w:val="auto"/>
        </w:rPr>
        <w:t xml:space="preserve"> which amends Accounting Standards Codification 820, Fair Value Measurement. This standard modifies the disclosure requirements for fair value measurements by removing, modifying, or adding certain disclosures. The Company adopted this standard as of January 1, 2020, which did not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 Not Yet Adopted</w:t>
      </w:r>
    </w:p>
    <w:p>
      <w:pPr>
        <w:spacing w:after="0" w:line="148" w:lineRule="exact"/>
        <w:rPr>
          <w:sz w:val="20"/>
          <w:szCs w:val="20"/>
          <w:color w:val="auto"/>
        </w:rPr>
      </w:pPr>
    </w:p>
    <w:p>
      <w:pPr>
        <w:ind w:right="20" w:firstLine="273"/>
        <w:spacing w:after="0" w:line="262" w:lineRule="auto"/>
        <w:rPr>
          <w:sz w:val="20"/>
          <w:szCs w:val="20"/>
          <w:color w:val="auto"/>
        </w:rPr>
      </w:pPr>
      <w:r>
        <w:rPr>
          <w:rFonts w:ascii="Times New Roman" w:cs="Times New Roman" w:eastAsia="Times New Roman" w:hAnsi="Times New Roman"/>
          <w:sz w:val="15"/>
          <w:szCs w:val="15"/>
          <w:color w:val="auto"/>
        </w:rPr>
        <w:t xml:space="preserve">In February 2016, the FASB issued ASU No. 2016-02, </w:t>
      </w:r>
      <w:r>
        <w:rPr>
          <w:rFonts w:ascii="Times New Roman" w:cs="Times New Roman" w:eastAsia="Times New Roman" w:hAnsi="Times New Roman"/>
          <w:sz w:val="15"/>
          <w:szCs w:val="15"/>
          <w:i w:val="1"/>
          <w:iCs w:val="1"/>
          <w:color w:val="auto"/>
        </w:rPr>
        <w:t>Leases (Topic 842)</w:t>
      </w:r>
      <w:r>
        <w:rPr>
          <w:rFonts w:ascii="Times New Roman" w:cs="Times New Roman" w:eastAsia="Times New Roman" w:hAnsi="Times New Roman"/>
          <w:sz w:val="15"/>
          <w:szCs w:val="15"/>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03"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 xml:space="preserve">In June 2016, the FASB issued ASU No. 2016-13, </w:t>
      </w:r>
      <w:r>
        <w:rPr>
          <w:rFonts w:ascii="Times New Roman" w:cs="Times New Roman" w:eastAsia="Times New Roman" w:hAnsi="Times New Roman"/>
          <w:sz w:val="15"/>
          <w:szCs w:val="15"/>
          <w:i w:val="1"/>
          <w:iCs w:val="1"/>
          <w:color w:val="auto"/>
        </w:rPr>
        <w:t>Financial Instruments—Credit Losses (Topic 326): Measurement of Credit Losses on Financial Instruments,</w:t>
      </w:r>
      <w:r>
        <w:rPr>
          <w:rFonts w:ascii="Times New Roman" w:cs="Times New Roman" w:eastAsia="Times New Roman" w:hAnsi="Times New Roman"/>
          <w:sz w:val="15"/>
          <w:szCs w:val="15"/>
          <w:color w:val="auto"/>
        </w:rPr>
        <w:t xml:space="preserve"> which requires that financial assets measured at amortized cost be presented at the net amount expected to be collected. The measurement of 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10" w:lineRule="exact"/>
        <w:rPr>
          <w:sz w:val="20"/>
          <w:szCs w:val="20"/>
          <w:color w:val="auto"/>
        </w:rPr>
      </w:pPr>
    </w:p>
    <w:p>
      <w:pPr>
        <w:ind w:firstLine="273"/>
        <w:spacing w:after="0" w:line="265" w:lineRule="auto"/>
        <w:rPr>
          <w:sz w:val="20"/>
          <w:szCs w:val="20"/>
          <w:color w:val="auto"/>
        </w:rPr>
      </w:pPr>
      <w:r>
        <w:rPr>
          <w:rFonts w:ascii="Times New Roman" w:cs="Times New Roman" w:eastAsia="Times New Roman" w:hAnsi="Times New Roman"/>
          <w:sz w:val="15"/>
          <w:szCs w:val="15"/>
          <w:color w:val="auto"/>
        </w:rPr>
        <w:t xml:space="preserve">On June 20, 2018, the FASB issued ASU No. 2018-07, </w:t>
      </w:r>
      <w:r>
        <w:rPr>
          <w:rFonts w:ascii="Times New Roman" w:cs="Times New Roman" w:eastAsia="Times New Roman" w:hAnsi="Times New Roman"/>
          <w:sz w:val="15"/>
          <w:szCs w:val="15"/>
          <w:i w:val="1"/>
          <w:iCs w:val="1"/>
          <w:color w:val="auto"/>
        </w:rPr>
        <w:t>Compensation—Stock Compensation (Topic 718): Improvements to Non-employee Share-Based Payment Accounting,</w:t>
      </w:r>
      <w:r>
        <w:rPr>
          <w:rFonts w:ascii="Times New Roman" w:cs="Times New Roman" w:eastAsia="Times New Roman" w:hAnsi="Times New Roman"/>
          <w:sz w:val="15"/>
          <w:szCs w:val="15"/>
          <w:color w:val="auto"/>
        </w:rPr>
        <w:t xml:space="preserve"> to reduce cost and complexity and to improve financial reporting for share-based payments issued to non-employees. The standard is 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101" w:lineRule="exact"/>
        <w:rPr>
          <w:sz w:val="20"/>
          <w:szCs w:val="20"/>
          <w:color w:val="auto"/>
        </w:rPr>
      </w:pPr>
    </w:p>
    <w:p>
      <w:pPr>
        <w:ind w:right="60" w:firstLine="273"/>
        <w:spacing w:after="0" w:line="262" w:lineRule="auto"/>
        <w:rPr>
          <w:sz w:val="20"/>
          <w:szCs w:val="20"/>
          <w:color w:val="auto"/>
        </w:rPr>
      </w:pPr>
      <w:r>
        <w:rPr>
          <w:rFonts w:ascii="Times New Roman" w:cs="Times New Roman" w:eastAsia="Times New Roman" w:hAnsi="Times New Roman"/>
          <w:sz w:val="15"/>
          <w:szCs w:val="15"/>
          <w:color w:val="auto"/>
        </w:rPr>
        <w:t xml:space="preserve">In August 2018, the FASB issued ASU No. 2018-13, </w:t>
      </w:r>
      <w:r>
        <w:rPr>
          <w:rFonts w:ascii="Times New Roman" w:cs="Times New Roman" w:eastAsia="Times New Roman" w:hAnsi="Times New Roman"/>
          <w:sz w:val="15"/>
          <w:szCs w:val="15"/>
          <w:i w:val="1"/>
          <w:iCs w:val="1"/>
          <w:color w:val="auto"/>
        </w:rPr>
        <w:t>Disclosure Framework—Changes to the Disclosure Requirements for Fair Value Measurement,</w:t>
      </w:r>
      <w:r>
        <w:rPr>
          <w:rFonts w:ascii="Times New Roman" w:cs="Times New Roman" w:eastAsia="Times New Roman" w:hAnsi="Times New Roman"/>
          <w:sz w:val="15"/>
          <w:szCs w:val="15"/>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03" w:lineRule="exact"/>
        <w:rPr>
          <w:sz w:val="20"/>
          <w:szCs w:val="20"/>
          <w:color w:val="auto"/>
        </w:rPr>
      </w:pPr>
    </w:p>
    <w:p>
      <w:pPr>
        <w:ind w:right="80" w:firstLine="273"/>
        <w:spacing w:after="0" w:line="260" w:lineRule="auto"/>
        <w:rPr>
          <w:sz w:val="20"/>
          <w:szCs w:val="20"/>
          <w:color w:val="auto"/>
        </w:rPr>
      </w:pPr>
      <w:r>
        <w:rPr>
          <w:rFonts w:ascii="Times New Roman" w:cs="Times New Roman" w:eastAsia="Times New Roman" w:hAnsi="Times New Roman"/>
          <w:sz w:val="15"/>
          <w:szCs w:val="15"/>
          <w:color w:val="auto"/>
        </w:rPr>
        <w:t xml:space="preserve">In December 2019, the FASB issued ASU No. 2019-12, </w:t>
      </w:r>
      <w:r>
        <w:rPr>
          <w:rFonts w:ascii="Times New Roman" w:cs="Times New Roman" w:eastAsia="Times New Roman" w:hAnsi="Times New Roman"/>
          <w:sz w:val="15"/>
          <w:szCs w:val="15"/>
          <w:i w:val="1"/>
          <w:iCs w:val="1"/>
          <w:color w:val="auto"/>
        </w:rPr>
        <w:t>Income Taxes (Topic 740): Simplifying the Accounting for Income Taxes,</w:t>
      </w:r>
      <w:r>
        <w:rPr>
          <w:rFonts w:ascii="Times New Roman" w:cs="Times New Roman" w:eastAsia="Times New Roman" w:hAnsi="Times New Roman"/>
          <w:sz w:val="15"/>
          <w:szCs w:val="15"/>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 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ectPr>
          <w:pgSz w:w="11900" w:h="16838" w:orient="portrait"/>
          <w:cols w:equalWidth="0" w:num="1">
            <w:col w:w="11240"/>
          </w:cols>
          <w:pgMar w:left="320" w:top="121" w:right="339" w:bottom="1440" w:gutter="0" w:footer="0" w:header="0"/>
        </w:sectPr>
      </w:pPr>
    </w:p>
    <w:bookmarkStart w:id="208" w:name="page209"/>
    <w:bookmarkEnd w:id="208"/>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9" w:hanging="549"/>
        <w:spacing w:after="0"/>
        <w:tabs>
          <w:tab w:leader="none" w:pos="549" w:val="left"/>
        </w:tabs>
        <w:numPr>
          <w:ilvl w:val="0"/>
          <w:numId w:val="1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MEASUREMENTS AND FAIR VALUE OF FINANCIAL INSTRUMENTS</w:t>
      </w:r>
    </w:p>
    <w:p>
      <w:pPr>
        <w:spacing w:after="0" w:line="150" w:lineRule="exact"/>
        <w:rPr>
          <w:sz w:val="20"/>
          <w:szCs w:val="20"/>
          <w:color w:val="auto"/>
        </w:rPr>
      </w:pPr>
    </w:p>
    <w:p>
      <w:pPr>
        <w:ind w:left="9" w:right="500" w:firstLine="273"/>
        <w:spacing w:after="0" w:line="286" w:lineRule="auto"/>
        <w:rPr>
          <w:sz w:val="20"/>
          <w:szCs w:val="20"/>
          <w:color w:val="auto"/>
        </w:rPr>
      </w:pPr>
      <w:r>
        <w:rPr>
          <w:rFonts w:ascii="Times New Roman" w:cs="Times New Roman" w:eastAsia="Times New Roman" w:hAnsi="Times New Roman"/>
          <w:sz w:val="15"/>
          <w:szCs w:val="15"/>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69"/>
          </w:cols>
          <w:pgMar w:left="311"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Assets:</w:t>
      </w:r>
      <w:r>
        <w:rPr>
          <w:sz w:val="20"/>
          <w:szCs w:val="20"/>
          <w:color w:val="auto"/>
        </w:rPr>
        <w:tab/>
      </w:r>
      <w:r>
        <w:rPr>
          <w:rFonts w:ascii="Times New Roman" w:cs="Times New Roman" w:eastAsia="Times New Roman" w:hAnsi="Times New Roman"/>
          <w:sz w:val="15"/>
          <w:szCs w:val="15"/>
          <w:color w:val="auto"/>
        </w:rPr>
        <w:t>Classification:</w:t>
      </w:r>
    </w:p>
    <w:p>
      <w:pPr>
        <w:spacing w:after="0" w:line="77"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Money market funds</w:t>
      </w:r>
      <w:r>
        <w:rPr>
          <w:sz w:val="20"/>
          <w:szCs w:val="20"/>
          <w:color w:val="auto"/>
        </w:rPr>
        <w:tab/>
      </w:r>
      <w:r>
        <w:rPr>
          <w:rFonts w:ascii="Times New Roman" w:cs="Times New Roman" w:eastAsia="Times New Roman" w:hAnsi="Times New Roman"/>
          <w:sz w:val="15"/>
          <w:szCs w:val="15"/>
          <w:color w:val="auto"/>
        </w:rPr>
        <w:t>Cash and cash equivalents</w:t>
      </w:r>
    </w:p>
    <w:p>
      <w:pPr>
        <w:spacing w:after="0" w:line="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Total assets measured at fair value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Assets:</w:t>
      </w:r>
      <w:r>
        <w:rPr>
          <w:sz w:val="20"/>
          <w:szCs w:val="20"/>
          <w:color w:val="auto"/>
        </w:rPr>
        <w:tab/>
      </w:r>
      <w:r>
        <w:rPr>
          <w:rFonts w:ascii="Times New Roman" w:cs="Times New Roman" w:eastAsia="Times New Roman" w:hAnsi="Times New Roman"/>
          <w:sz w:val="15"/>
          <w:szCs w:val="15"/>
          <w:color w:val="auto"/>
        </w:rPr>
        <w:t>Classification:</w:t>
      </w:r>
    </w:p>
    <w:p>
      <w:pPr>
        <w:spacing w:after="0" w:line="77"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Money market funds</w:t>
      </w:r>
      <w:r>
        <w:rPr>
          <w:sz w:val="20"/>
          <w:szCs w:val="20"/>
          <w:color w:val="auto"/>
        </w:rPr>
        <w:tab/>
      </w:r>
      <w:r>
        <w:rPr>
          <w:rFonts w:ascii="Times New Roman" w:cs="Times New Roman" w:eastAsia="Times New Roman" w:hAnsi="Times New Roman"/>
          <w:sz w:val="15"/>
          <w:szCs w:val="15"/>
          <w:color w:val="auto"/>
        </w:rPr>
        <w:t>Cash and cash equivalents</w:t>
      </w:r>
    </w:p>
    <w:p>
      <w:pPr>
        <w:spacing w:after="0" w:line="55"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U.S. Treasury securities</w:t>
      </w:r>
      <w:r>
        <w:rPr>
          <w:sz w:val="20"/>
          <w:szCs w:val="20"/>
          <w:color w:val="auto"/>
        </w:rPr>
        <w:tab/>
      </w:r>
      <w:r>
        <w:rPr>
          <w:rFonts w:ascii="Times New Roman" w:cs="Times New Roman" w:eastAsia="Times New Roman" w:hAnsi="Times New Roman"/>
          <w:sz w:val="15"/>
          <w:szCs w:val="15"/>
          <w:color w:val="auto"/>
        </w:rPr>
        <w:t>Investments</w:t>
      </w:r>
    </w:p>
    <w:p>
      <w:pPr>
        <w:spacing w:after="0" w:line="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Total assets measured at fair value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Assets:</w:t>
      </w:r>
      <w:r>
        <w:rPr>
          <w:sz w:val="20"/>
          <w:szCs w:val="20"/>
          <w:color w:val="auto"/>
        </w:rPr>
        <w:tab/>
      </w:r>
      <w:r>
        <w:rPr>
          <w:rFonts w:ascii="Times New Roman" w:cs="Times New Roman" w:eastAsia="Times New Roman" w:hAnsi="Times New Roman"/>
          <w:sz w:val="15"/>
          <w:szCs w:val="15"/>
          <w:color w:val="auto"/>
        </w:rPr>
        <w:t>Classification:</w:t>
      </w:r>
    </w:p>
    <w:p>
      <w:pPr>
        <w:spacing w:after="0" w:line="77"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Money market funds</w:t>
      </w:r>
      <w:r>
        <w:rPr>
          <w:sz w:val="20"/>
          <w:szCs w:val="20"/>
          <w:color w:val="auto"/>
        </w:rPr>
        <w:tab/>
      </w:r>
      <w:r>
        <w:rPr>
          <w:rFonts w:ascii="Times New Roman" w:cs="Times New Roman" w:eastAsia="Times New Roman" w:hAnsi="Times New Roman"/>
          <w:sz w:val="15"/>
          <w:szCs w:val="15"/>
          <w:color w:val="auto"/>
        </w:rPr>
        <w:t>Cash and cash equivalents</w:t>
      </w:r>
    </w:p>
    <w:p>
      <w:pPr>
        <w:spacing w:after="0" w:line="55" w:lineRule="exact"/>
        <w:rPr>
          <w:sz w:val="20"/>
          <w:szCs w:val="20"/>
          <w:color w:val="auto"/>
        </w:rPr>
      </w:pPr>
    </w:p>
    <w:p>
      <w:pPr>
        <w:ind w:left="9"/>
        <w:spacing w:after="0"/>
        <w:tabs>
          <w:tab w:leader="none" w:pos="3289" w:val="left"/>
        </w:tabs>
        <w:rPr>
          <w:sz w:val="20"/>
          <w:szCs w:val="20"/>
          <w:color w:val="auto"/>
        </w:rPr>
      </w:pPr>
      <w:r>
        <w:rPr>
          <w:rFonts w:ascii="Times New Roman" w:cs="Times New Roman" w:eastAsia="Times New Roman" w:hAnsi="Times New Roman"/>
          <w:sz w:val="15"/>
          <w:szCs w:val="15"/>
          <w:color w:val="auto"/>
        </w:rPr>
        <w:t>U.S. Treasury securities</w:t>
      </w:r>
      <w:r>
        <w:rPr>
          <w:sz w:val="20"/>
          <w:szCs w:val="20"/>
          <w:color w:val="auto"/>
        </w:rPr>
        <w:tab/>
      </w:r>
      <w:r>
        <w:rPr>
          <w:rFonts w:ascii="Times New Roman" w:cs="Times New Roman" w:eastAsia="Times New Roman" w:hAnsi="Times New Roman"/>
          <w:sz w:val="15"/>
          <w:szCs w:val="15"/>
          <w:color w:val="auto"/>
        </w:rPr>
        <w:t>Investments</w:t>
      </w:r>
    </w:p>
    <w:p>
      <w:pPr>
        <w:spacing w:after="0" w:line="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Total assets measured at fair value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2"/>
          <w:szCs w:val="12"/>
          <w:b w:val="1"/>
          <w:bCs w:val="1"/>
          <w:color w:val="auto"/>
        </w:rPr>
        <w:t>December 31,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8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30,953</w:t>
            </w:r>
          </w:p>
        </w:tc>
        <w:tc>
          <w:tcPr>
            <w:tcW w:w="80" w:type="dxa"/>
            <w:vAlign w:val="bottom"/>
          </w:tcPr>
          <w:p>
            <w:pPr>
              <w:spacing w:after="0"/>
              <w:rPr>
                <w:sz w:val="24"/>
                <w:szCs w:val="24"/>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30,953</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30,953</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30,953</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05"/>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7"/>
        </w:trPr>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2"/>
        </w:trPr>
        <w:tc>
          <w:tcPr>
            <w:tcW w:w="26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6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17,485</w:t>
            </w:r>
          </w:p>
        </w:tc>
        <w:tc>
          <w:tcPr>
            <w:tcW w:w="80" w:type="dxa"/>
            <w:vAlign w:val="bottom"/>
          </w:tcPr>
          <w:p>
            <w:pPr>
              <w:spacing w:after="0"/>
              <w:rPr>
                <w:sz w:val="24"/>
                <w:szCs w:val="24"/>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17,485</w:t>
            </w:r>
          </w:p>
        </w:tc>
      </w:tr>
      <w:tr>
        <w:trPr>
          <w:trHeight w:val="227"/>
        </w:trPr>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68,535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68,535</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17,485</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68,535</w:t>
            </w:r>
          </w:p>
        </w:tc>
        <w:tc>
          <w:tcPr>
            <w:tcW w:w="100" w:type="dxa"/>
            <w:vAlign w:val="bottom"/>
          </w:tcPr>
          <w:p>
            <w:pPr>
              <w:spacing w:after="0"/>
              <w:rPr>
                <w:sz w:val="17"/>
                <w:szCs w:val="17"/>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86,020</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05"/>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September 30, 2020 (unaudited)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7"/>
        </w:trPr>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2"/>
        </w:trPr>
        <w:tc>
          <w:tcPr>
            <w:tcW w:w="26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6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17,706</w:t>
            </w:r>
          </w:p>
        </w:tc>
        <w:tc>
          <w:tcPr>
            <w:tcW w:w="80" w:type="dxa"/>
            <w:vAlign w:val="bottom"/>
          </w:tcPr>
          <w:p>
            <w:pPr>
              <w:spacing w:after="0"/>
              <w:rPr>
                <w:sz w:val="24"/>
                <w:szCs w:val="24"/>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17,706</w:t>
            </w:r>
          </w:p>
        </w:tc>
      </w:tr>
      <w:tr>
        <w:trPr>
          <w:trHeight w:val="227"/>
        </w:trPr>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103,800</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17,706</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103,800</w:t>
            </w:r>
          </w:p>
        </w:tc>
        <w:tc>
          <w:tcPr>
            <w:tcW w:w="100" w:type="dxa"/>
            <w:vAlign w:val="bottom"/>
          </w:tcPr>
          <w:p>
            <w:pPr>
              <w:spacing w:after="0"/>
              <w:rPr>
                <w:sz w:val="17"/>
                <w:szCs w:val="17"/>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121,506</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-2545080</wp:posOffset>
            </wp:positionV>
            <wp:extent cx="7153910" cy="144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14414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-2256790</wp:posOffset>
            </wp:positionV>
            <wp:extent cx="7153910" cy="165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16573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-1651000</wp:posOffset>
            </wp:positionV>
            <wp:extent cx="7153910" cy="144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14414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-1362075</wp:posOffset>
            </wp:positionV>
            <wp:extent cx="7153910" cy="144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14414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-612140</wp:posOffset>
            </wp:positionV>
            <wp:extent cx="7153910" cy="144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14414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-323850</wp:posOffset>
            </wp:positionV>
            <wp:extent cx="7153910" cy="144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14414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5449" w:space="720"/>
            <w:col w:w="5100"/>
          </w:cols>
          <w:pgMar w:left="311" w:top="121" w:right="319" w:bottom="1440" w:gutter="0" w:footer="0" w:header="0"/>
          <w:type w:val="continuous"/>
        </w:sectPr>
      </w:pPr>
    </w:p>
    <w:p>
      <w:pPr>
        <w:ind w:left="9" w:right="60" w:firstLine="273"/>
        <w:spacing w:after="0" w:line="264" w:lineRule="auto"/>
        <w:rPr>
          <w:sz w:val="20"/>
          <w:szCs w:val="20"/>
          <w:color w:val="auto"/>
        </w:rPr>
      </w:pPr>
      <w:r>
        <w:rPr>
          <w:rFonts w:ascii="Times New Roman" w:cs="Times New Roman" w:eastAsia="Times New Roman" w:hAnsi="Times New Roman"/>
          <w:sz w:val="15"/>
          <w:szCs w:val="15"/>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04"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There were no transfers between Levels 1, 2, or 3 for the periods presented.</w:t>
      </w:r>
    </w:p>
    <w:p>
      <w:pPr>
        <w:spacing w:after="0" w:line="14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is a summary of the Company’s cash equivalents and investments and the gross unrealized holding gains and losses (in thousands):</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3"/>
          </w:tcPr>
          <w:p>
            <w:pPr>
              <w:ind w:left="800"/>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 Basis</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Unrealized Losses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88"/>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7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27"/>
        </w:trPr>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17,485</w:t>
            </w:r>
          </w:p>
        </w:tc>
        <w:tc>
          <w:tcPr>
            <w:tcW w:w="8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029"/>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17,485</w:t>
            </w:r>
          </w:p>
        </w:tc>
      </w:tr>
      <w:tr>
        <w:trPr>
          <w:trHeight w:val="19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68,511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68,535</w:t>
            </w:r>
          </w:p>
        </w:tc>
      </w:tr>
      <w:tr>
        <w:trPr>
          <w:trHeight w:val="184"/>
        </w:trPr>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85,996</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86,020</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F-21</w:t>
      </w:r>
    </w:p>
    <w:p>
      <w:pPr>
        <w:sectPr>
          <w:pgSz w:w="11900" w:h="16838" w:orient="portrait"/>
          <w:cols w:equalWidth="0" w:num="1">
            <w:col w:w="11269"/>
          </w:cols>
          <w:pgMar w:left="311" w:top="121" w:right="319" w:bottom="1440" w:gutter="0" w:footer="0" w:header="0"/>
          <w:type w:val="continuous"/>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3"/>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September 30, 2020 (unaudited)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 Basis</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Unrealized Losses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88"/>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7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27"/>
        </w:trPr>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17,706</w:t>
            </w:r>
          </w:p>
        </w:tc>
        <w:tc>
          <w:tcPr>
            <w:tcW w:w="8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1029"/>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17,706</w:t>
            </w:r>
          </w:p>
        </w:tc>
      </w:tr>
      <w:tr>
        <w:trPr>
          <w:trHeight w:val="19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103,656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103,800</w:t>
            </w:r>
          </w:p>
        </w:tc>
      </w:tr>
      <w:tr>
        <w:trPr>
          <w:trHeight w:val="184"/>
        </w:trPr>
        <w:tc>
          <w:tcPr>
            <w:tcW w:w="52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121,362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29"/>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121,506</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60" w:firstLine="273"/>
        <w:spacing w:after="0" w:line="264" w:lineRule="auto"/>
        <w:rPr>
          <w:sz w:val="20"/>
          <w:szCs w:val="20"/>
          <w:color w:val="auto"/>
        </w:rPr>
      </w:pPr>
      <w:r>
        <w:rPr>
          <w:rFonts w:ascii="Times New Roman" w:cs="Times New Roman" w:eastAsia="Times New Roman" w:hAnsi="Times New Roman"/>
          <w:sz w:val="15"/>
          <w:szCs w:val="15"/>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104" w:lineRule="exact"/>
        <w:rPr>
          <w:sz w:val="20"/>
          <w:szCs w:val="20"/>
          <w:color w:val="auto"/>
        </w:rPr>
      </w:pPr>
    </w:p>
    <w:p>
      <w:pPr>
        <w:ind w:right="120" w:firstLine="273"/>
        <w:spacing w:after="0" w:line="269" w:lineRule="auto"/>
        <w:rPr>
          <w:sz w:val="20"/>
          <w:szCs w:val="20"/>
          <w:color w:val="auto"/>
        </w:rPr>
      </w:pPr>
      <w:r>
        <w:rPr>
          <w:rFonts w:ascii="Times New Roman" w:cs="Times New Roman" w:eastAsia="Times New Roman" w:hAnsi="Times New Roman"/>
          <w:sz w:val="15"/>
          <w:szCs w:val="15"/>
          <w:color w:val="auto"/>
        </w:rPr>
        <w:t>During the nine months ended September 30, 2020 (unaudited), the Company has not recorded any impairment charges on marketable securities related to other-than-temporary declines in market value or deterioration in credit risk. As of September 30, 2020 (unaudited), the weighted-average remaining maturity of the Company’s investment portfolio was less than one year.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w:t>
            </w:r>
          </w:p>
        </w:tc>
        <w:tc>
          <w:tcPr>
            <w:tcW w:w="620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OTHER FINANCIAL STATEMENT INFORMATION</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Other Receivables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receivables consist of the following (in thousands):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vMerge w:val="restart"/>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8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0" w:type="dxa"/>
            <w:vAlign w:val="bottom"/>
          </w:tcPr>
          <w:p>
            <w:pPr>
              <w:spacing w:after="0"/>
              <w:rPr>
                <w:sz w:val="1"/>
                <w:szCs w:val="1"/>
                <w:color w:val="auto"/>
              </w:rPr>
            </w:pPr>
          </w:p>
        </w:tc>
      </w:tr>
      <w:tr>
        <w:trPr>
          <w:trHeight w:val="193"/>
        </w:trPr>
        <w:tc>
          <w:tcPr>
            <w:tcW w:w="6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receivable</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tcPr>
          <w:p>
            <w:pPr>
              <w:spacing w:after="0"/>
              <w:rPr>
                <w:sz w:val="16"/>
                <w:szCs w:val="16"/>
                <w:color w:val="auto"/>
              </w:rPr>
            </w:pPr>
          </w:p>
        </w:tc>
        <w:tc>
          <w:tcPr>
            <w:tcW w:w="48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8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0" w:type="dxa"/>
            <w:vAlign w:val="bottom"/>
          </w:tcPr>
          <w:p>
            <w:pPr>
              <w:spacing w:after="0"/>
              <w:rPr>
                <w:sz w:val="1"/>
                <w:szCs w:val="1"/>
                <w:color w:val="auto"/>
              </w:rPr>
            </w:pPr>
          </w:p>
        </w:tc>
      </w:tr>
      <w:tr>
        <w:trPr>
          <w:trHeight w:val="193"/>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Grant receivable</w:t>
            </w:r>
          </w:p>
        </w:tc>
        <w:tc>
          <w:tcPr>
            <w:tcW w:w="3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receivables</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8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Property and equipment, net consists of the following (in thousands):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vMerge w:val="restart"/>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80" w:type="dxa"/>
            <w:vAlign w:val="bottom"/>
            <w:shd w:val="clear" w:color="auto" w:fill="CCEEFF"/>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0" w:type="dxa"/>
            <w:vAlign w:val="bottom"/>
          </w:tcPr>
          <w:p>
            <w:pPr>
              <w:spacing w:after="0"/>
              <w:rPr>
                <w:sz w:val="1"/>
                <w:szCs w:val="1"/>
                <w:color w:val="auto"/>
              </w:rPr>
            </w:pPr>
          </w:p>
        </w:tc>
      </w:tr>
      <w:tr>
        <w:trPr>
          <w:trHeight w:val="193"/>
        </w:trPr>
        <w:tc>
          <w:tcPr>
            <w:tcW w:w="6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Laboratory equipment</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1,304</w:t>
            </w:r>
          </w:p>
        </w:tc>
        <w:tc>
          <w:tcPr>
            <w:tcW w:w="100" w:type="dxa"/>
            <w:vAlign w:val="bottom"/>
          </w:tcPr>
          <w:p>
            <w:pPr>
              <w:spacing w:after="0"/>
              <w:rPr>
                <w:sz w:val="16"/>
                <w:szCs w:val="16"/>
                <w:color w:val="auto"/>
              </w:rPr>
            </w:pPr>
          </w:p>
        </w:tc>
        <w:tc>
          <w:tcPr>
            <w:tcW w:w="48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3,788</w:t>
            </w:r>
          </w:p>
        </w:tc>
        <w:tc>
          <w:tcPr>
            <w:tcW w:w="8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7,827</w:t>
            </w:r>
          </w:p>
        </w:tc>
        <w:tc>
          <w:tcPr>
            <w:tcW w:w="0" w:type="dxa"/>
            <w:vAlign w:val="bottom"/>
          </w:tcPr>
          <w:p>
            <w:pPr>
              <w:spacing w:after="0"/>
              <w:rPr>
                <w:sz w:val="1"/>
                <w:szCs w:val="1"/>
                <w:color w:val="auto"/>
              </w:rPr>
            </w:pPr>
          </w:p>
        </w:tc>
      </w:tr>
      <w:tr>
        <w:trPr>
          <w:trHeight w:val="193"/>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equipment and software</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47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193"/>
        </w:trPr>
        <w:tc>
          <w:tcPr>
            <w:tcW w:w="6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0" w:type="dxa"/>
            <w:vAlign w:val="bottom"/>
          </w:tcPr>
          <w:p>
            <w:pPr>
              <w:spacing w:after="0"/>
              <w:rPr>
                <w:sz w:val="1"/>
                <w:szCs w:val="1"/>
                <w:color w:val="auto"/>
              </w:rPr>
            </w:pPr>
          </w:p>
        </w:tc>
      </w:tr>
      <w:tr>
        <w:trPr>
          <w:trHeight w:val="193"/>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3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2,294</w:t>
            </w:r>
          </w:p>
        </w:tc>
        <w:tc>
          <w:tcPr>
            <w:tcW w:w="0" w:type="dxa"/>
            <w:vAlign w:val="bottom"/>
          </w:tcPr>
          <w:p>
            <w:pPr>
              <w:spacing w:after="0"/>
              <w:rPr>
                <w:sz w:val="1"/>
                <w:szCs w:val="1"/>
                <w:color w:val="auto"/>
              </w:rPr>
            </w:pPr>
          </w:p>
        </w:tc>
      </w:tr>
      <w:tr>
        <w:trPr>
          <w:trHeight w:val="193"/>
        </w:trPr>
        <w:tc>
          <w:tcPr>
            <w:tcW w:w="6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Construction in process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231F20"/>
              </w:rPr>
              <w: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84"/>
        </w:trPr>
        <w:tc>
          <w:tcPr>
            <w:tcW w:w="6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3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10,512</w:t>
            </w:r>
          </w:p>
        </w:tc>
        <w:tc>
          <w:tcPr>
            <w:tcW w:w="0" w:type="dxa"/>
            <w:vAlign w:val="bottom"/>
          </w:tcPr>
          <w:p>
            <w:pPr>
              <w:spacing w:after="0"/>
              <w:rPr>
                <w:sz w:val="1"/>
                <w:szCs w:val="1"/>
                <w:color w:val="auto"/>
              </w:rPr>
            </w:pPr>
          </w:p>
        </w:tc>
      </w:tr>
      <w:tr>
        <w:trPr>
          <w:trHeight w:val="193"/>
        </w:trPr>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1,877</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property and equipment, net</w:t>
            </w: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40" w:firstLine="273"/>
        <w:spacing w:after="0" w:line="286" w:lineRule="auto"/>
        <w:rPr>
          <w:sz w:val="20"/>
          <w:szCs w:val="20"/>
          <w:color w:val="auto"/>
        </w:rPr>
      </w:pPr>
      <w:r>
        <w:rPr>
          <w:rFonts w:ascii="Times New Roman" w:cs="Times New Roman" w:eastAsia="Times New Roman" w:hAnsi="Times New Roman"/>
          <w:sz w:val="15"/>
          <w:szCs w:val="15"/>
          <w:color w:val="auto"/>
        </w:rPr>
        <w:t>Depreciation and amortization expense related to property and equipment was less than $0.1 million and $0.7 million for the years ended December 31, 2018 and 2019, respectively, and $0.5 million and $1.1 million for the nine months ended September 30, 2019 and 2020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ectPr>
          <w:pgSz w:w="11900" w:h="16838" w:orient="portrait"/>
          <w:cols w:equalWidth="0" w:num="1">
            <w:col w:w="11260"/>
          </w:cols>
          <w:pgMar w:left="320" w:top="121" w:right="319" w:bottom="1440" w:gutter="0" w:footer="0" w:header="0"/>
        </w:sectPr>
      </w:pPr>
    </w:p>
    <w:bookmarkStart w:id="210" w:name="page211"/>
    <w:bookmarkEnd w:id="210"/>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Accrued Expenses</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Accrued expenses consist of the following (in thousands):</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6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60" w:type="dxa"/>
            <w:vAlign w:val="bottom"/>
            <w:gridSpan w:val="3"/>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vMerge w:val="restart"/>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Accrued compensation</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100" w:type="dxa"/>
            <w:vAlign w:val="bottom"/>
          </w:tcPr>
          <w:p>
            <w:pPr>
              <w:spacing w:after="0"/>
              <w:rPr>
                <w:sz w:val="16"/>
                <w:szCs w:val="16"/>
                <w:color w:val="auto"/>
              </w:rPr>
            </w:pPr>
          </w:p>
        </w:tc>
        <w:tc>
          <w:tcPr>
            <w:tcW w:w="48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1,336</w:t>
            </w:r>
          </w:p>
        </w:tc>
        <w:tc>
          <w:tcPr>
            <w:tcW w:w="8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1,565</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professional services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64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Accrued property and equipment</w:t>
            </w:r>
          </w:p>
        </w:tc>
        <w:tc>
          <w:tcPr>
            <w:tcW w:w="3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stock liability, current</w:t>
            </w:r>
          </w:p>
        </w:tc>
        <w:tc>
          <w:tcPr>
            <w:tcW w:w="3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4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0" w:type="dxa"/>
            <w:vAlign w:val="bottom"/>
          </w:tcPr>
          <w:p>
            <w:pPr>
              <w:spacing w:after="0"/>
              <w:rPr>
                <w:sz w:val="1"/>
                <w:szCs w:val="1"/>
                <w:color w:val="auto"/>
              </w:rPr>
            </w:pPr>
          </w:p>
        </w:tc>
      </w:tr>
      <w:tr>
        <w:trPr>
          <w:trHeight w:val="193"/>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119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accrued expenses</w:t>
            </w: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49" w:hanging="549"/>
        <w:spacing w:after="0"/>
        <w:tabs>
          <w:tab w:leader="none" w:pos="549" w:val="left"/>
        </w:tabs>
        <w:numPr>
          <w:ilvl w:val="0"/>
          <w:numId w:val="1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AND DEFERRED REVENUE</w:t>
      </w:r>
    </w:p>
    <w:p>
      <w:pPr>
        <w:spacing w:after="0" w:line="150" w:lineRule="exact"/>
        <w:rPr>
          <w:sz w:val="20"/>
          <w:szCs w:val="20"/>
          <w:color w:val="auto"/>
        </w:rPr>
      </w:pPr>
    </w:p>
    <w:p>
      <w:pPr>
        <w:ind w:left="269" w:right="480"/>
        <w:spacing w:after="0" w:line="442" w:lineRule="auto"/>
        <w:rPr>
          <w:sz w:val="20"/>
          <w:szCs w:val="20"/>
          <w:color w:val="auto"/>
        </w:rPr>
      </w:pPr>
      <w:r>
        <w:rPr>
          <w:rFonts w:ascii="Times New Roman" w:cs="Times New Roman" w:eastAsia="Times New Roman" w:hAnsi="Times New Roman"/>
          <w:sz w:val="15"/>
          <w:szCs w:val="15"/>
          <w:color w:val="auto"/>
        </w:rPr>
        <w:t xml:space="preserve">As of December 31, 2019 and September 30, 2020 (unaudited), the Company recorded $0.2 million and $0.4 million of deferred revenue related to the following agreements. </w:t>
      </w:r>
      <w:r>
        <w:rPr>
          <w:rFonts w:ascii="Times New Roman" w:cs="Times New Roman" w:eastAsia="Times New Roman" w:hAnsi="Times New Roman"/>
          <w:sz w:val="15"/>
          <w:szCs w:val="15"/>
          <w:b w:val="1"/>
          <w:bCs w:val="1"/>
          <w:i w:val="1"/>
          <w:iCs w:val="1"/>
          <w:color w:val="auto"/>
        </w:rPr>
        <w:t>Research Agreements</w:t>
      </w:r>
    </w:p>
    <w:p>
      <w:pPr>
        <w:spacing w:after="0" w:line="1" w:lineRule="exact"/>
        <w:rPr>
          <w:sz w:val="20"/>
          <w:szCs w:val="20"/>
          <w:color w:val="auto"/>
        </w:rPr>
      </w:pPr>
    </w:p>
    <w:p>
      <w:pPr>
        <w:ind w:left="9" w:right="200" w:firstLine="273"/>
        <w:spacing w:after="0" w:line="269" w:lineRule="auto"/>
        <w:rPr>
          <w:sz w:val="20"/>
          <w:szCs w:val="20"/>
          <w:color w:val="auto"/>
        </w:rPr>
      </w:pPr>
      <w:r>
        <w:rPr>
          <w:rFonts w:ascii="Times New Roman" w:cs="Times New Roman" w:eastAsia="Times New Roman" w:hAnsi="Times New Roman"/>
          <w:sz w:val="15"/>
          <w:szCs w:val="15"/>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and nine months ended September 30, 2020 (unaudited), the Company recognized research revenue of $0.1 million and nil with respect to the research agreement.</w:t>
      </w:r>
    </w:p>
    <w:p>
      <w:pPr>
        <w:spacing w:after="0" w:line="101" w:lineRule="exact"/>
        <w:rPr>
          <w:sz w:val="20"/>
          <w:szCs w:val="20"/>
          <w:color w:val="auto"/>
        </w:rPr>
      </w:pPr>
    </w:p>
    <w:p>
      <w:pPr>
        <w:ind w:left="9" w:right="300" w:firstLine="273"/>
        <w:spacing w:after="0" w:line="269" w:lineRule="auto"/>
        <w:rPr>
          <w:sz w:val="20"/>
          <w:szCs w:val="20"/>
          <w:color w:val="auto"/>
        </w:rPr>
      </w:pPr>
      <w:r>
        <w:rPr>
          <w:rFonts w:ascii="Times New Roman" w:cs="Times New Roman" w:eastAsia="Times New Roman" w:hAnsi="Times New Roman"/>
          <w:sz w:val="15"/>
          <w:szCs w:val="15"/>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September 30, 2020 (unaudited). During the nine months ended September 30, 2020 (unaudited), the Company did not recognize any research revenue with respect to the research agreement.</w:t>
      </w:r>
    </w:p>
    <w:p>
      <w:pPr>
        <w:spacing w:after="0" w:line="97"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NIH Grant</w:t>
      </w:r>
    </w:p>
    <w:p>
      <w:pPr>
        <w:spacing w:after="0" w:line="150" w:lineRule="exact"/>
        <w:rPr>
          <w:sz w:val="20"/>
          <w:szCs w:val="20"/>
          <w:color w:val="auto"/>
        </w:rPr>
      </w:pPr>
    </w:p>
    <w:p>
      <w:pPr>
        <w:ind w:left="9" w:right="240" w:firstLine="273"/>
        <w:spacing w:after="0" w:line="269" w:lineRule="auto"/>
        <w:rPr>
          <w:sz w:val="20"/>
          <w:szCs w:val="20"/>
          <w:color w:val="auto"/>
        </w:rPr>
      </w:pPr>
      <w:r>
        <w:rPr>
          <w:rFonts w:ascii="Times New Roman" w:cs="Times New Roman" w:eastAsia="Times New Roman" w:hAnsi="Times New Roman"/>
          <w:sz w:val="15"/>
          <w:szCs w:val="15"/>
          <w:color w:val="auto"/>
        </w:rPr>
        <w:t>In August 2019, the Company received a notice of award from the National Institutes of Health, which will provide funding of approximately $1.1 million to the Company for its development of research applications. In June 2020, the Company received a notice that additional grant consideration of $0.9 million will be awarded. During the year ended December 31, 2019 and nine months ended September 30, 2020 (unaudited), the Company recognized grant revenue of $0.1 million and $0.3 million with respect to the award.</w:t>
      </w:r>
    </w:p>
    <w:p>
      <w:pPr>
        <w:spacing w:after="0" w:line="97" w:lineRule="exact"/>
        <w:rPr>
          <w:sz w:val="20"/>
          <w:szCs w:val="20"/>
          <w:color w:val="auto"/>
        </w:rPr>
      </w:pPr>
    </w:p>
    <w:p>
      <w:pPr>
        <w:ind w:left="549" w:hanging="549"/>
        <w:spacing w:after="0"/>
        <w:tabs>
          <w:tab w:leader="none" w:pos="549" w:val="left"/>
        </w:tabs>
        <w:numPr>
          <w:ilvl w:val="0"/>
          <w:numId w:val="1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CONVERTIBLE NOTES</w:t>
      </w:r>
    </w:p>
    <w:p>
      <w:pPr>
        <w:spacing w:after="0" w:line="150" w:lineRule="exact"/>
        <w:rPr>
          <w:sz w:val="20"/>
          <w:szCs w:val="20"/>
          <w:color w:val="auto"/>
        </w:rPr>
      </w:pPr>
    </w:p>
    <w:p>
      <w:pPr>
        <w:ind w:left="9" w:right="160" w:firstLine="273"/>
        <w:spacing w:after="0" w:line="264" w:lineRule="auto"/>
        <w:rPr>
          <w:sz w:val="20"/>
          <w:szCs w:val="20"/>
          <w:color w:val="auto"/>
        </w:rPr>
      </w:pPr>
      <w:r>
        <w:rPr>
          <w:rFonts w:ascii="Times New Roman" w:cs="Times New Roman" w:eastAsia="Times New Roman" w:hAnsi="Times New Roman"/>
          <w:sz w:val="15"/>
          <w:szCs w:val="15"/>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124,618 shares of Series D convertible preferred stock at a conversion price of $3.25 per share, which was the issuance price of the Series D convertible preferred stock. The redemption of the Notes was accounted for as a debt extinguishment, and there was no gain or loss on extinguishment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F-23</w:t>
      </w:r>
    </w:p>
    <w:p>
      <w:pPr>
        <w:sectPr>
          <w:pgSz w:w="11900" w:h="16838" w:orient="portrait"/>
          <w:cols w:equalWidth="0" w:num="1">
            <w:col w:w="11269"/>
          </w:cols>
          <w:pgMar w:left="311" w:top="121" w:right="319" w:bottom="1440" w:gutter="0" w:footer="0" w:header="0"/>
        </w:sectPr>
      </w:pPr>
    </w:p>
    <w:bookmarkStart w:id="211" w:name="page212"/>
    <w:bookmarkEnd w:id="211"/>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9" w:hanging="549"/>
        <w:spacing w:after="0"/>
        <w:tabs>
          <w:tab w:leader="none" w:pos="549" w:val="left"/>
        </w:tabs>
        <w:numPr>
          <w:ilvl w:val="0"/>
          <w:numId w:val="1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CAPITAL STOCK AND STOCKHOLDERS’ EQUITY</w:t>
      </w:r>
    </w:p>
    <w:p>
      <w:pPr>
        <w:spacing w:after="0" w:line="150" w:lineRule="exact"/>
        <w:rPr>
          <w:sz w:val="20"/>
          <w:szCs w:val="20"/>
          <w:color w:val="auto"/>
        </w:rPr>
      </w:pPr>
    </w:p>
    <w:p>
      <w:pPr>
        <w:ind w:left="9" w:right="180" w:firstLine="273"/>
        <w:spacing w:after="0" w:line="286" w:lineRule="auto"/>
        <w:rPr>
          <w:sz w:val="20"/>
          <w:szCs w:val="20"/>
          <w:color w:val="auto"/>
        </w:rPr>
      </w:pPr>
      <w:r>
        <w:rPr>
          <w:rFonts w:ascii="Times New Roman" w:cs="Times New Roman" w:eastAsia="Times New Roman" w:hAnsi="Times New Roman"/>
          <w:sz w:val="15"/>
          <w:szCs w:val="15"/>
          <w:color w:val="auto"/>
        </w:rPr>
        <w:t>As of December 31, 2019, the Company is authorized to issue 158,950,748 shares of capital stock consisting of 91,500,000 shares of Class A common stock, 20,000,000 shares of Class B common stock, and 47,450,748 shares of convertible preferred stock.</w:t>
      </w:r>
    </w:p>
    <w:p>
      <w:pPr>
        <w:spacing w:after="0" w:line="89" w:lineRule="exact"/>
        <w:rPr>
          <w:sz w:val="20"/>
          <w:szCs w:val="20"/>
          <w:color w:val="auto"/>
        </w:rPr>
      </w:pPr>
    </w:p>
    <w:p>
      <w:pPr>
        <w:ind w:left="9" w:right="660" w:firstLine="273"/>
        <w:spacing w:after="0" w:line="286" w:lineRule="auto"/>
        <w:rPr>
          <w:sz w:val="20"/>
          <w:szCs w:val="20"/>
          <w:color w:val="auto"/>
        </w:rPr>
      </w:pPr>
      <w:r>
        <w:rPr>
          <w:rFonts w:ascii="Times New Roman" w:cs="Times New Roman" w:eastAsia="Times New Roman" w:hAnsi="Times New Roman"/>
          <w:sz w:val="15"/>
          <w:szCs w:val="15"/>
          <w:color w:val="auto"/>
        </w:rPr>
        <w:t>As of September 30, 2020 (unaudited), the Company is authorized to issue 202,117,414 shares of capital stock consisting of 120,000,000 shares of Class A common stock, 20,000,000 shares of Class B common stock, and 62,117,414 shares of convertible preferred stock.</w:t>
      </w:r>
    </w:p>
    <w:p>
      <w:pPr>
        <w:spacing w:after="0" w:line="85"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Convertible Preferred Stock</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Convertible preferred stock consists of the following:</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2018</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Issue Price</w:t>
            </w:r>
          </w:p>
        </w:tc>
        <w:tc>
          <w:tcPr>
            <w:tcW w:w="580" w:type="dxa"/>
            <w:vAlign w:val="bottom"/>
          </w:tcPr>
          <w:p>
            <w:pPr>
              <w:spacing w:after="0"/>
              <w:rPr>
                <w:sz w:val="9"/>
                <w:szCs w:val="9"/>
                <w:color w:val="auto"/>
              </w:rPr>
            </w:pPr>
          </w:p>
        </w:tc>
        <w:tc>
          <w:tcPr>
            <w:tcW w:w="1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 Authorized</w:t>
            </w: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 Issued and Outstanding</w:t>
            </w:r>
          </w:p>
        </w:tc>
        <w:tc>
          <w:tcPr>
            <w:tcW w:w="220" w:type="dxa"/>
            <w:vAlign w:val="bottom"/>
          </w:tcPr>
          <w:p>
            <w:pPr>
              <w:spacing w:after="0"/>
              <w:rPr>
                <w:sz w:val="9"/>
                <w:szCs w:val="9"/>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160" w:type="dxa"/>
            <w:vAlign w:val="bottom"/>
          </w:tcPr>
          <w:p>
            <w:pPr>
              <w:spacing w:after="0"/>
              <w:rPr>
                <w:sz w:val="9"/>
                <w:szCs w:val="9"/>
                <w:color w:val="auto"/>
              </w:rPr>
            </w:pPr>
          </w:p>
        </w:tc>
        <w:tc>
          <w:tcPr>
            <w:tcW w:w="1420" w:type="dxa"/>
            <w:vAlign w:val="bottom"/>
          </w:tcPr>
          <w:p>
            <w:pPr>
              <w:jc w:val="center"/>
              <w:ind w:right="89"/>
              <w:spacing w:after="0" w:line="105" w:lineRule="exact"/>
              <w:rPr>
                <w:sz w:val="20"/>
                <w:szCs w:val="20"/>
                <w:color w:val="auto"/>
              </w:rPr>
            </w:pPr>
            <w:r>
              <w:rPr>
                <w:rFonts w:ascii="Times New Roman" w:cs="Times New Roman" w:eastAsia="Times New Roman" w:hAnsi="Times New Roman"/>
                <w:sz w:val="12"/>
                <w:szCs w:val="12"/>
                <w:b w:val="1"/>
                <w:bCs w:val="1"/>
                <w:color w:val="auto"/>
              </w:rPr>
              <w:t>Aggregate Liquidation</w:t>
            </w: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202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rPr>
              <w:t>Preference</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00" w:type="dxa"/>
            <w:vAlign w:val="bottom"/>
            <w:gridSpan w:val="5"/>
          </w:tcPr>
          <w:p>
            <w:pPr>
              <w:jc w:val="center"/>
              <w:ind w:left="1269"/>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0.9081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6,607,201</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6,607,201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0" w:type="dxa"/>
            <w:vAlign w:val="bottom"/>
          </w:tcPr>
          <w:p>
            <w:pPr>
              <w:spacing w:after="0"/>
              <w:rPr>
                <w:sz w:val="1"/>
                <w:szCs w:val="1"/>
                <w:color w:val="auto"/>
              </w:rPr>
            </w:pPr>
          </w:p>
        </w:tc>
      </w:tr>
      <w:tr>
        <w:trPr>
          <w:trHeight w:val="193"/>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Series B</w:t>
            </w:r>
          </w:p>
        </w:tc>
        <w:tc>
          <w:tcPr>
            <w:tcW w:w="10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ind w:right="64"/>
              <w:spacing w:after="0"/>
              <w:rPr>
                <w:sz w:val="20"/>
                <w:szCs w:val="20"/>
                <w:color w:val="auto"/>
              </w:rPr>
            </w:pPr>
            <w:r>
              <w:rPr>
                <w:rFonts w:ascii="Times New Roman" w:cs="Times New Roman" w:eastAsia="Times New Roman" w:hAnsi="Times New Roman"/>
                <w:sz w:val="15"/>
                <w:szCs w:val="15"/>
                <w:color w:val="auto"/>
              </w:rPr>
              <w:t>1.7730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16,920,470</w:t>
            </w:r>
          </w:p>
        </w:tc>
        <w:tc>
          <w:tcPr>
            <w:tcW w:w="8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16,920,470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29,894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0" w:type="dxa"/>
            <w:vAlign w:val="bottom"/>
          </w:tcPr>
          <w:p>
            <w:pPr>
              <w:spacing w:after="0"/>
              <w:rPr>
                <w:sz w:val="1"/>
                <w:szCs w:val="1"/>
                <w:color w:val="auto"/>
              </w:rPr>
            </w:pPr>
          </w:p>
        </w:tc>
      </w:tr>
      <w:tr>
        <w:trPr>
          <w:trHeight w:val="209"/>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23,527,671</w:t>
            </w: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23,527,671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35,812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36,000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Issue Price</w:t>
            </w:r>
          </w:p>
        </w:tc>
        <w:tc>
          <w:tcPr>
            <w:tcW w:w="580" w:type="dxa"/>
            <w:vAlign w:val="bottom"/>
          </w:tcPr>
          <w:p>
            <w:pPr>
              <w:spacing w:after="0"/>
              <w:rPr>
                <w:sz w:val="9"/>
                <w:szCs w:val="9"/>
                <w:color w:val="auto"/>
              </w:rPr>
            </w:pPr>
          </w:p>
        </w:tc>
        <w:tc>
          <w:tcPr>
            <w:tcW w:w="1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 Authorized</w:t>
            </w: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 Issued and Outstanding</w:t>
            </w:r>
          </w:p>
        </w:tc>
        <w:tc>
          <w:tcPr>
            <w:tcW w:w="220" w:type="dxa"/>
            <w:vAlign w:val="bottom"/>
          </w:tcPr>
          <w:p>
            <w:pPr>
              <w:spacing w:after="0"/>
              <w:rPr>
                <w:sz w:val="9"/>
                <w:szCs w:val="9"/>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160" w:type="dxa"/>
            <w:vAlign w:val="bottom"/>
          </w:tcPr>
          <w:p>
            <w:pPr>
              <w:spacing w:after="0"/>
              <w:rPr>
                <w:sz w:val="9"/>
                <w:szCs w:val="9"/>
                <w:color w:val="auto"/>
              </w:rPr>
            </w:pPr>
          </w:p>
        </w:tc>
        <w:tc>
          <w:tcPr>
            <w:tcW w:w="1420" w:type="dxa"/>
            <w:vAlign w:val="bottom"/>
          </w:tcPr>
          <w:p>
            <w:pPr>
              <w:jc w:val="center"/>
              <w:ind w:right="89"/>
              <w:spacing w:after="0" w:line="105" w:lineRule="exact"/>
              <w:rPr>
                <w:sz w:val="20"/>
                <w:szCs w:val="20"/>
                <w:color w:val="auto"/>
              </w:rPr>
            </w:pPr>
            <w:r>
              <w:rPr>
                <w:rFonts w:ascii="Times New Roman" w:cs="Times New Roman" w:eastAsia="Times New Roman" w:hAnsi="Times New Roman"/>
                <w:sz w:val="12"/>
                <w:szCs w:val="12"/>
                <w:b w:val="1"/>
                <w:bCs w:val="1"/>
                <w:color w:val="auto"/>
              </w:rPr>
              <w:t>Aggregate Liquidation</w:t>
            </w: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202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rPr>
              <w:t>Preference</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00" w:type="dxa"/>
            <w:vAlign w:val="bottom"/>
            <w:gridSpan w:val="5"/>
          </w:tcPr>
          <w:p>
            <w:pPr>
              <w:jc w:val="center"/>
              <w:ind w:left="1269"/>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0.9081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6,607,201</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6,607,201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0" w:type="dxa"/>
            <w:vAlign w:val="bottom"/>
          </w:tcPr>
          <w:p>
            <w:pPr>
              <w:spacing w:after="0"/>
              <w:rPr>
                <w:sz w:val="1"/>
                <w:szCs w:val="1"/>
                <w:color w:val="auto"/>
              </w:rPr>
            </w:pPr>
          </w:p>
        </w:tc>
      </w:tr>
      <w:tr>
        <w:trPr>
          <w:trHeight w:val="193"/>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Series B</w:t>
            </w:r>
          </w:p>
        </w:tc>
        <w:tc>
          <w:tcPr>
            <w:tcW w:w="1060" w:type="dxa"/>
            <w:vAlign w:val="bottom"/>
          </w:tcPr>
          <w:p>
            <w:pPr>
              <w:spacing w:after="0"/>
              <w:rPr>
                <w:sz w:val="16"/>
                <w:szCs w:val="16"/>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1.7730</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16,920,470</w:t>
            </w:r>
          </w:p>
        </w:tc>
        <w:tc>
          <w:tcPr>
            <w:tcW w:w="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16,920,470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C</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2.5000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7,000,000</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17,500</w:t>
            </w:r>
          </w:p>
        </w:tc>
        <w:tc>
          <w:tcPr>
            <w:tcW w:w="0" w:type="dxa"/>
            <w:vAlign w:val="bottom"/>
          </w:tcPr>
          <w:p>
            <w:pPr>
              <w:spacing w:after="0"/>
              <w:rPr>
                <w:sz w:val="1"/>
                <w:szCs w:val="1"/>
                <w:color w:val="auto"/>
              </w:rPr>
            </w:pPr>
          </w:p>
        </w:tc>
      </w:tr>
      <w:tr>
        <w:trPr>
          <w:trHeight w:val="193"/>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Series D</w:t>
            </w:r>
          </w:p>
        </w:tc>
        <w:tc>
          <w:tcPr>
            <w:tcW w:w="10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ind w:right="64"/>
              <w:spacing w:after="0"/>
              <w:rPr>
                <w:sz w:val="20"/>
                <w:szCs w:val="20"/>
                <w:color w:val="auto"/>
              </w:rPr>
            </w:pPr>
            <w:r>
              <w:rPr>
                <w:rFonts w:ascii="Times New Roman" w:cs="Times New Roman" w:eastAsia="Times New Roman" w:hAnsi="Times New Roman"/>
                <w:sz w:val="15"/>
                <w:szCs w:val="15"/>
                <w:color w:val="auto"/>
              </w:rPr>
              <w:t>3.2500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16,923,077</w:t>
            </w:r>
          </w:p>
        </w:tc>
        <w:tc>
          <w:tcPr>
            <w:tcW w:w="8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16,923,077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54,794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55,000</w:t>
            </w:r>
          </w:p>
        </w:tc>
        <w:tc>
          <w:tcPr>
            <w:tcW w:w="0" w:type="dxa"/>
            <w:vAlign w:val="bottom"/>
          </w:tcPr>
          <w:p>
            <w:pPr>
              <w:spacing w:after="0"/>
              <w:rPr>
                <w:sz w:val="1"/>
                <w:szCs w:val="1"/>
                <w:color w:val="auto"/>
              </w:rPr>
            </w:pPr>
          </w:p>
        </w:tc>
      </w:tr>
      <w:tr>
        <w:trPr>
          <w:trHeight w:val="209"/>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47,450,748</w:t>
            </w: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47,450,748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107,953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108,500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September 30, 2020 (unaudited)</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Issue Price</w:t>
            </w:r>
          </w:p>
        </w:tc>
        <w:tc>
          <w:tcPr>
            <w:tcW w:w="580" w:type="dxa"/>
            <w:vAlign w:val="bottom"/>
          </w:tcPr>
          <w:p>
            <w:pPr>
              <w:spacing w:after="0"/>
              <w:rPr>
                <w:sz w:val="9"/>
                <w:szCs w:val="9"/>
                <w:color w:val="auto"/>
              </w:rPr>
            </w:pPr>
          </w:p>
        </w:tc>
        <w:tc>
          <w:tcPr>
            <w:tcW w:w="1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 Authorized</w:t>
            </w: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 Issued and Outstanding</w:t>
            </w:r>
          </w:p>
        </w:tc>
        <w:tc>
          <w:tcPr>
            <w:tcW w:w="220" w:type="dxa"/>
            <w:vAlign w:val="bottom"/>
          </w:tcPr>
          <w:p>
            <w:pPr>
              <w:spacing w:after="0"/>
              <w:rPr>
                <w:sz w:val="9"/>
                <w:szCs w:val="9"/>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160" w:type="dxa"/>
            <w:vAlign w:val="bottom"/>
          </w:tcPr>
          <w:p>
            <w:pPr>
              <w:spacing w:after="0"/>
              <w:rPr>
                <w:sz w:val="9"/>
                <w:szCs w:val="9"/>
                <w:color w:val="auto"/>
              </w:rPr>
            </w:pPr>
          </w:p>
        </w:tc>
        <w:tc>
          <w:tcPr>
            <w:tcW w:w="1420" w:type="dxa"/>
            <w:vAlign w:val="bottom"/>
          </w:tcPr>
          <w:p>
            <w:pPr>
              <w:jc w:val="center"/>
              <w:ind w:right="89"/>
              <w:spacing w:after="0" w:line="105" w:lineRule="exact"/>
              <w:rPr>
                <w:sz w:val="20"/>
                <w:szCs w:val="20"/>
                <w:color w:val="auto"/>
              </w:rPr>
            </w:pPr>
            <w:r>
              <w:rPr>
                <w:rFonts w:ascii="Times New Roman" w:cs="Times New Roman" w:eastAsia="Times New Roman" w:hAnsi="Times New Roman"/>
                <w:sz w:val="12"/>
                <w:szCs w:val="12"/>
                <w:b w:val="1"/>
                <w:bCs w:val="1"/>
                <w:color w:val="auto"/>
              </w:rPr>
              <w:t>Aggregate Liquidation</w:t>
            </w:r>
          </w:p>
        </w:tc>
        <w:tc>
          <w:tcPr>
            <w:tcW w:w="0" w:type="dxa"/>
            <w:vAlign w:val="bottom"/>
          </w:tcPr>
          <w:p>
            <w:pPr>
              <w:spacing w:after="0"/>
              <w:rPr>
                <w:sz w:val="1"/>
                <w:szCs w:val="1"/>
                <w:color w:val="auto"/>
              </w:rPr>
            </w:pPr>
          </w:p>
        </w:tc>
      </w:tr>
      <w:tr>
        <w:trPr>
          <w:trHeight w:val="159"/>
        </w:trPr>
        <w:tc>
          <w:tcPr>
            <w:tcW w:w="272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202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rPr>
              <w:t>Preference</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00" w:type="dxa"/>
            <w:vAlign w:val="bottom"/>
            <w:gridSpan w:val="5"/>
          </w:tcPr>
          <w:p>
            <w:pPr>
              <w:jc w:val="center"/>
              <w:ind w:left="1269"/>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0.9081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6,607,201</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6,607,201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0" w:type="dxa"/>
            <w:vAlign w:val="bottom"/>
          </w:tcPr>
          <w:p>
            <w:pPr>
              <w:spacing w:after="0"/>
              <w:rPr>
                <w:sz w:val="1"/>
                <w:szCs w:val="1"/>
                <w:color w:val="auto"/>
              </w:rPr>
            </w:pPr>
          </w:p>
        </w:tc>
      </w:tr>
      <w:tr>
        <w:trPr>
          <w:trHeight w:val="193"/>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Series B</w:t>
            </w:r>
          </w:p>
        </w:tc>
        <w:tc>
          <w:tcPr>
            <w:tcW w:w="1060" w:type="dxa"/>
            <w:vAlign w:val="bottom"/>
          </w:tcPr>
          <w:p>
            <w:pPr>
              <w:spacing w:after="0"/>
              <w:rPr>
                <w:sz w:val="16"/>
                <w:szCs w:val="16"/>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1.7730</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16,920,470</w:t>
            </w:r>
          </w:p>
        </w:tc>
        <w:tc>
          <w:tcPr>
            <w:tcW w:w="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16,920,470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C</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2.5000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7,000,000</w:t>
            </w: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17,500</w:t>
            </w:r>
          </w:p>
        </w:tc>
        <w:tc>
          <w:tcPr>
            <w:tcW w:w="0" w:type="dxa"/>
            <w:vAlign w:val="bottom"/>
          </w:tcPr>
          <w:p>
            <w:pPr>
              <w:spacing w:after="0"/>
              <w:rPr>
                <w:sz w:val="1"/>
                <w:szCs w:val="1"/>
                <w:color w:val="auto"/>
              </w:rPr>
            </w:pPr>
          </w:p>
        </w:tc>
      </w:tr>
      <w:tr>
        <w:trPr>
          <w:trHeight w:val="193"/>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Series D</w:t>
            </w:r>
          </w:p>
        </w:tc>
        <w:tc>
          <w:tcPr>
            <w:tcW w:w="1060" w:type="dxa"/>
            <w:vAlign w:val="bottom"/>
          </w:tcPr>
          <w:p>
            <w:pPr>
              <w:spacing w:after="0"/>
              <w:rPr>
                <w:sz w:val="16"/>
                <w:szCs w:val="16"/>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3.2500</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16,923,077</w:t>
            </w:r>
          </w:p>
        </w:tc>
        <w:tc>
          <w:tcPr>
            <w:tcW w:w="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16,923,077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55,000</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D-1</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3.7500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14,666,666</w:t>
            </w:r>
          </w:p>
        </w:tc>
        <w:tc>
          <w:tcPr>
            <w:tcW w:w="8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14,666,662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54,896</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55,000</w:t>
            </w:r>
          </w:p>
        </w:tc>
        <w:tc>
          <w:tcPr>
            <w:tcW w:w="0" w:type="dxa"/>
            <w:vAlign w:val="bottom"/>
          </w:tcPr>
          <w:p>
            <w:pPr>
              <w:spacing w:after="0"/>
              <w:rPr>
                <w:sz w:val="1"/>
                <w:szCs w:val="1"/>
                <w:color w:val="auto"/>
              </w:rPr>
            </w:pPr>
          </w:p>
        </w:tc>
      </w:tr>
      <w:tr>
        <w:trPr>
          <w:trHeight w:val="184"/>
        </w:trPr>
        <w:tc>
          <w:tcPr>
            <w:tcW w:w="27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62,117,414</w:t>
            </w:r>
          </w:p>
        </w:tc>
        <w:tc>
          <w:tcPr>
            <w:tcW w:w="8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62,117,410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162,849</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163,500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In March and April 2019, the Company issued 7,000,000 shares of its Series C convertible preferred stock at a price per share of $2.50 for net proceeds of $17.3 million.</w:t>
      </w:r>
    </w:p>
    <w:p>
      <w:pPr>
        <w:spacing w:after="0" w:line="146" w:lineRule="exact"/>
        <w:rPr>
          <w:sz w:val="20"/>
          <w:szCs w:val="20"/>
          <w:color w:val="auto"/>
        </w:rPr>
      </w:pPr>
    </w:p>
    <w:p>
      <w:pPr>
        <w:ind w:left="9" w:right="200" w:firstLine="273"/>
        <w:spacing w:after="0" w:line="286" w:lineRule="auto"/>
        <w:rPr>
          <w:sz w:val="20"/>
          <w:szCs w:val="20"/>
          <w:color w:val="auto"/>
        </w:rPr>
      </w:pPr>
      <w:r>
        <w:rPr>
          <w:rFonts w:ascii="Times New Roman" w:cs="Times New Roman" w:eastAsia="Times New Roman" w:hAnsi="Times New Roman"/>
          <w:sz w:val="15"/>
          <w:szCs w:val="15"/>
          <w:color w:val="auto"/>
        </w:rPr>
        <w:t>In November and December 2019, the Company issued 16,798,459 shares of its Series D convertible preferred stock at a price per share of $3.25 for net proceeds of $54.4 million, with such amounts not including the redemption of the Notes (see Note 6).</w:t>
      </w:r>
    </w:p>
    <w:p>
      <w:pPr>
        <w:spacing w:after="0" w:line="89" w:lineRule="exact"/>
        <w:rPr>
          <w:sz w:val="20"/>
          <w:szCs w:val="20"/>
          <w:color w:val="auto"/>
        </w:rPr>
      </w:pPr>
    </w:p>
    <w:p>
      <w:pPr>
        <w:ind w:left="9" w:right="60" w:firstLine="273"/>
        <w:spacing w:after="0" w:line="286" w:lineRule="auto"/>
        <w:rPr>
          <w:sz w:val="20"/>
          <w:szCs w:val="20"/>
          <w:color w:val="auto"/>
        </w:rPr>
      </w:pPr>
      <w:r>
        <w:rPr>
          <w:rFonts w:ascii="Times New Roman" w:cs="Times New Roman" w:eastAsia="Times New Roman" w:hAnsi="Times New Roman"/>
          <w:sz w:val="15"/>
          <w:szCs w:val="15"/>
          <w:color w:val="auto"/>
        </w:rPr>
        <w:t>During the nine months ended September 30, 2020 (unaudited), the Company issued 14,666,662 shares of its Series D-1 convertible preferred stock in May 2020 at a price per share of $3.75 for net proceeds of $54.9 million.</w:t>
      </w:r>
    </w:p>
    <w:p>
      <w:pPr>
        <w:spacing w:after="0" w:line="89"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holders of convertible preferred stock have various rights and preferences,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F-24</w:t>
      </w:r>
    </w:p>
    <w:p>
      <w:pPr>
        <w:sectPr>
          <w:pgSz w:w="11900" w:h="16838" w:orient="portrait"/>
          <w:cols w:equalWidth="0" w:num="1">
            <w:col w:w="11269"/>
          </w:cols>
          <w:pgMar w:left="311" w:top="121" w:right="31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Liquidation Rights</w:t>
      </w:r>
    </w:p>
    <w:p>
      <w:pPr>
        <w:spacing w:after="0" w:line="150" w:lineRule="exact"/>
        <w:rPr>
          <w:sz w:val="20"/>
          <w:szCs w:val="20"/>
          <w:color w:val="auto"/>
        </w:rPr>
      </w:pPr>
    </w:p>
    <w:p>
      <w:pPr>
        <w:ind w:right="200" w:firstLine="273"/>
        <w:spacing w:after="0" w:line="261" w:lineRule="auto"/>
        <w:rPr>
          <w:sz w:val="20"/>
          <w:szCs w:val="20"/>
          <w:color w:val="auto"/>
        </w:rPr>
      </w:pPr>
      <w:r>
        <w:rPr>
          <w:rFonts w:ascii="Times New Roman" w:cs="Times New Roman" w:eastAsia="Times New Roman" w:hAnsi="Times New Roman"/>
          <w:sz w:val="15"/>
          <w:szCs w:val="15"/>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$0.9081 per share for Series A convertible preferred stock, $1.7730 per share for Series B convertible preferred stock, $2.50 per share of Series C convertible preferred stock, $3.25 per share of Series D convertible preferred stock, and $3.75 per share of Series D-1 convertible preferred stock, each adjusted for any stock splits, combinations, and reorganizations, plus all declared and unpaid dividends on each such share.</w:t>
      </w:r>
    </w:p>
    <w:p>
      <w:pPr>
        <w:spacing w:after="0" w:line="107" w:lineRule="exact"/>
        <w:rPr>
          <w:sz w:val="20"/>
          <w:szCs w:val="20"/>
          <w:color w:val="auto"/>
        </w:rPr>
      </w:pPr>
    </w:p>
    <w:p>
      <w:pPr>
        <w:ind w:right="100" w:firstLine="273"/>
        <w:spacing w:after="0" w:line="264" w:lineRule="auto"/>
        <w:rPr>
          <w:sz w:val="20"/>
          <w:szCs w:val="20"/>
          <w:color w:val="auto"/>
        </w:rPr>
      </w:pPr>
      <w:r>
        <w:rPr>
          <w:rFonts w:ascii="Times New Roman" w:cs="Times New Roman" w:eastAsia="Times New Roman" w:hAnsi="Times New Roman"/>
          <w:sz w:val="15"/>
          <w:szCs w:val="15"/>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04" w:lineRule="exact"/>
        <w:rPr>
          <w:sz w:val="20"/>
          <w:szCs w:val="20"/>
          <w:color w:val="auto"/>
        </w:rPr>
      </w:pPr>
    </w:p>
    <w:p>
      <w:pPr>
        <w:ind w:right="320" w:firstLine="273"/>
        <w:spacing w:after="0" w:line="286" w:lineRule="auto"/>
        <w:rPr>
          <w:sz w:val="20"/>
          <w:szCs w:val="20"/>
          <w:color w:val="auto"/>
        </w:rPr>
      </w:pPr>
      <w:r>
        <w:rPr>
          <w:rFonts w:ascii="Times New Roman" w:cs="Times New Roman" w:eastAsia="Times New Roman" w:hAnsi="Times New Roman"/>
          <w:sz w:val="15"/>
          <w:szCs w:val="15"/>
          <w:color w:val="auto"/>
        </w:rPr>
        <w:t>After the payment to the holders of convertible preferred stock of the full preferential amount specified above, any remaining assets of the Company shall be distributed pro rata among the holders of common stock.</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 liquidation event requires approval by the holders of at least a majority of the outstanding shares of convertible preferred stock.</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Optional Conversion Rights</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Automatic Conversion Rights</w:t>
      </w:r>
    </w:p>
    <w:p>
      <w:pPr>
        <w:spacing w:after="0" w:line="150" w:lineRule="exact"/>
        <w:rPr>
          <w:sz w:val="20"/>
          <w:szCs w:val="20"/>
          <w:color w:val="auto"/>
        </w:rPr>
      </w:pPr>
    </w:p>
    <w:p>
      <w:pPr>
        <w:jc w:val="both"/>
        <w:ind w:right="260" w:firstLine="273"/>
        <w:spacing w:after="0" w:line="269" w:lineRule="auto"/>
        <w:rPr>
          <w:sz w:val="20"/>
          <w:szCs w:val="20"/>
          <w:color w:val="auto"/>
        </w:rPr>
      </w:pPr>
      <w:r>
        <w:rPr>
          <w:rFonts w:ascii="Times New Roman" w:cs="Times New Roman" w:eastAsia="Times New Roman" w:hAnsi="Times New Roman"/>
          <w:sz w:val="15"/>
          <w:szCs w:val="15"/>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Dividend Rights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holders of shares of Series A convertible preferred stock, Series B convertible preferred stock, Series C convertible preferred stock, Series D convertible preferred stock,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Series D-1 convertible preferred stock shall be entitled to receive dividends of $0.0545, $0.1064, $0.15, $0.195, and $0.225 respectively, per annum on each outstanding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Series A convertible preferred stock, Series B convertible preferred stock, Series C convertible preferred stock, Series D convertible preferred stock, and Series D-1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 payable in cash at the election of the Board of Directors, out of any assets at the time legally available therefor, when, as and if declared by the Board of Directors, on an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basis according to the number of shares of convertible preferred stock held by such holders, prior and in preference to the common stock and shall be noncumulative.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ectPr>
          <w:pgSz w:w="11900" w:h="16838" w:orient="portrait"/>
          <w:cols w:equalWidth="0" w:num="1">
            <w:col w:w="11260"/>
          </w:cols>
          <w:pgMar w:left="320" w:top="121" w:right="319" w:bottom="1440" w:gutter="0" w:footer="0" w:header="0"/>
        </w:sectPr>
      </w:pPr>
    </w:p>
    <w:bookmarkStart w:id="213" w:name="page214"/>
    <w:bookmarkEnd w:id="213"/>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150" w:lineRule="exact"/>
        <w:rPr>
          <w:sz w:val="20"/>
          <w:szCs w:val="20"/>
          <w:color w:val="auto"/>
        </w:rPr>
      </w:pPr>
    </w:p>
    <w:p>
      <w:pPr>
        <w:ind w:left="9" w:right="240" w:firstLine="273"/>
        <w:spacing w:after="0" w:line="286" w:lineRule="auto"/>
        <w:rPr>
          <w:sz w:val="20"/>
          <w:szCs w:val="20"/>
          <w:color w:val="auto"/>
        </w:rPr>
      </w:pPr>
      <w:r>
        <w:rPr>
          <w:rFonts w:ascii="Times New Roman" w:cs="Times New Roman" w:eastAsia="Times New Roman" w:hAnsi="Times New Roman"/>
          <w:sz w:val="15"/>
          <w:szCs w:val="15"/>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89" w:lineRule="exact"/>
        <w:rPr>
          <w:sz w:val="20"/>
          <w:szCs w:val="20"/>
          <w:color w:val="auto"/>
        </w:rPr>
      </w:pPr>
    </w:p>
    <w:p>
      <w:pPr>
        <w:ind w:left="9" w:right="120" w:firstLine="273"/>
        <w:spacing w:after="0" w:line="264" w:lineRule="auto"/>
        <w:rPr>
          <w:sz w:val="20"/>
          <w:szCs w:val="20"/>
          <w:color w:val="auto"/>
        </w:rPr>
      </w:pPr>
      <w:r>
        <w:rPr>
          <w:rFonts w:ascii="Times New Roman" w:cs="Times New Roman" w:eastAsia="Times New Roman" w:hAnsi="Times New Roman"/>
          <w:sz w:val="15"/>
          <w:szCs w:val="15"/>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and September 30, 2020 (unaudited), are elected by the holders of common stock and of any other class or series of voting stock, including convertible preferred stock, as a single class.</w:t>
      </w:r>
    </w:p>
    <w:p>
      <w:pPr>
        <w:spacing w:after="0" w:line="10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Redemption Rights</w:t>
      </w:r>
    </w:p>
    <w:p>
      <w:pPr>
        <w:spacing w:after="0" w:line="150" w:lineRule="exact"/>
        <w:rPr>
          <w:sz w:val="20"/>
          <w:szCs w:val="20"/>
          <w:color w:val="auto"/>
        </w:rPr>
      </w:pPr>
    </w:p>
    <w:p>
      <w:pPr>
        <w:ind w:left="9" w:right="140" w:firstLine="273"/>
        <w:spacing w:after="0" w:line="286" w:lineRule="auto"/>
        <w:rPr>
          <w:sz w:val="20"/>
          <w:szCs w:val="20"/>
          <w:color w:val="auto"/>
        </w:rPr>
      </w:pPr>
      <w:r>
        <w:rPr>
          <w:rFonts w:ascii="Times New Roman" w:cs="Times New Roman" w:eastAsia="Times New Roman" w:hAnsi="Times New Roman"/>
          <w:sz w:val="15"/>
          <w:szCs w:val="15"/>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pacing w:after="0" w:line="85"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Common stock issued and outstanding is as follows:</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60"/>
        </w:trPr>
        <w:tc>
          <w:tcPr>
            <w:tcW w:w="6380" w:type="dxa"/>
            <w:vAlign w:val="bottom"/>
          </w:tcPr>
          <w:p>
            <w:pPr>
              <w:spacing w:after="0"/>
              <w:rPr>
                <w:sz w:val="13"/>
                <w:szCs w:val="13"/>
                <w:color w:val="auto"/>
              </w:rPr>
            </w:pPr>
          </w:p>
        </w:tc>
        <w:tc>
          <w:tcPr>
            <w:tcW w:w="2140" w:type="dxa"/>
            <w:vAlign w:val="bottom"/>
            <w:gridSpan w:val="3"/>
          </w:tcPr>
          <w:p>
            <w:pPr>
              <w:ind w:left="12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13"/>
                <w:szCs w:val="13"/>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0" w:type="dxa"/>
            <w:vAlign w:val="bottom"/>
          </w:tcPr>
          <w:p>
            <w:pPr>
              <w:spacing w:after="0"/>
              <w:rPr>
                <w:sz w:val="1"/>
                <w:szCs w:val="1"/>
                <w:color w:val="auto"/>
              </w:rPr>
            </w:pPr>
          </w:p>
        </w:tc>
      </w:tr>
      <w:tr>
        <w:trPr>
          <w:trHeight w:val="19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6,118,051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6,094,516</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7,054,694</w:t>
            </w:r>
          </w:p>
        </w:tc>
        <w:tc>
          <w:tcPr>
            <w:tcW w:w="0" w:type="dxa"/>
            <w:vAlign w:val="bottom"/>
          </w:tcPr>
          <w:p>
            <w:pPr>
              <w:spacing w:after="0"/>
              <w:rPr>
                <w:sz w:val="1"/>
                <w:szCs w:val="1"/>
                <w:color w:val="auto"/>
              </w:rPr>
            </w:pPr>
          </w:p>
        </w:tc>
      </w:tr>
      <w:tr>
        <w:trPr>
          <w:trHeight w:val="193"/>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Class B common stock</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20,000,000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20,000,000</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20,000,000</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common stock issued and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26,118,051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26,094,516</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27,054,694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9" w:right="120" w:firstLine="273"/>
        <w:spacing w:after="0" w:line="264" w:lineRule="auto"/>
        <w:rPr>
          <w:sz w:val="20"/>
          <w:szCs w:val="20"/>
          <w:color w:val="auto"/>
        </w:rPr>
      </w:pPr>
      <w:r>
        <w:rPr>
          <w:rFonts w:ascii="Times New Roman" w:cs="Times New Roman" w:eastAsia="Times New Roman" w:hAnsi="Times New Roman"/>
          <w:sz w:val="15"/>
          <w:szCs w:val="15"/>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00" w:lineRule="exact"/>
        <w:rPr>
          <w:sz w:val="20"/>
          <w:szCs w:val="20"/>
          <w:color w:val="auto"/>
        </w:rPr>
      </w:pPr>
    </w:p>
    <w:p>
      <w:pPr>
        <w:ind w:left="549" w:hanging="549"/>
        <w:spacing w:after="0"/>
        <w:tabs>
          <w:tab w:leader="none" w:pos="549" w:val="left"/>
        </w:tabs>
        <w:numPr>
          <w:ilvl w:val="0"/>
          <w:numId w:val="1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EQUITY INCENTIVE PLANS</w:t>
      </w:r>
    </w:p>
    <w:p>
      <w:pPr>
        <w:spacing w:after="0" w:line="150" w:lineRule="exact"/>
        <w:rPr>
          <w:sz w:val="20"/>
          <w:szCs w:val="20"/>
          <w:color w:val="auto"/>
        </w:rPr>
      </w:pPr>
    </w:p>
    <w:p>
      <w:pPr>
        <w:ind w:left="9" w:right="80" w:firstLine="273"/>
        <w:spacing w:after="0" w:line="269" w:lineRule="auto"/>
        <w:rPr>
          <w:sz w:val="20"/>
          <w:szCs w:val="20"/>
          <w:color w:val="auto"/>
        </w:rPr>
      </w:pPr>
      <w:r>
        <w:rPr>
          <w:rFonts w:ascii="Times New Roman" w:cs="Times New Roman" w:eastAsia="Times New Roman" w:hAnsi="Times New Roman"/>
          <w:sz w:val="15"/>
          <w:szCs w:val="15"/>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During the nine months ended September 30, 2020 (unaudited), the Company adopted the 2020 RSU Equity Incentive Plan (2020 RSU Plan), which provided for the granting of RSUs to certain employees of the Company.</w:t>
      </w:r>
    </w:p>
    <w:p>
      <w:pPr>
        <w:spacing w:after="0" w:line="101" w:lineRule="exact"/>
        <w:rPr>
          <w:sz w:val="20"/>
          <w:szCs w:val="20"/>
          <w:color w:val="auto"/>
        </w:rPr>
      </w:pPr>
    </w:p>
    <w:p>
      <w:pPr>
        <w:jc w:val="both"/>
        <w:ind w:left="9" w:firstLine="273"/>
        <w:spacing w:after="0" w:line="258" w:lineRule="auto"/>
        <w:rPr>
          <w:sz w:val="20"/>
          <w:szCs w:val="20"/>
          <w:color w:val="auto"/>
        </w:rPr>
      </w:pPr>
      <w:r>
        <w:rPr>
          <w:rFonts w:ascii="Times New Roman" w:cs="Times New Roman" w:eastAsia="Times New Roman" w:hAnsi="Times New Roman"/>
          <w:sz w:val="15"/>
          <w:szCs w:val="15"/>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2017 Plan generally vest over four years and expire no later than</w:t>
      </w:r>
    </w:p>
    <w:p>
      <w:pPr>
        <w:ind w:left="9" w:right="100"/>
        <w:spacing w:after="0" w:line="265" w:lineRule="auto"/>
        <w:rPr>
          <w:sz w:val="20"/>
          <w:szCs w:val="20"/>
          <w:color w:val="auto"/>
        </w:rPr>
      </w:pPr>
      <w:r>
        <w:rPr>
          <w:rFonts w:ascii="Times New Roman" w:cs="Times New Roman" w:eastAsia="Times New Roman" w:hAnsi="Times New Roman"/>
          <w:sz w:val="15"/>
          <w:szCs w:val="15"/>
          <w:color w:val="auto"/>
        </w:rPr>
        <w:t>10 years from the date of grant. As of December 31, 2019, and September 30, 2020 (unaudited), the Company has reserved 19,442,199 and 25,283,351 shares of Class A common stock for issuance under the 2017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F-26</w:t>
      </w:r>
    </w:p>
    <w:p>
      <w:pPr>
        <w:sectPr>
          <w:pgSz w:w="11900" w:h="16838" w:orient="portrait"/>
          <w:cols w:equalWidth="0" w:num="1">
            <w:col w:w="11269"/>
          </w:cols>
          <w:pgMar w:left="311" w:top="121" w:right="31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Stock option activity under the 2017 Plan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20" w:type="dxa"/>
            <w:vAlign w:val="bottom"/>
          </w:tcPr>
          <w:p>
            <w:pPr>
              <w:spacing w:after="0"/>
              <w:rPr>
                <w:sz w:val="13"/>
                <w:szCs w:val="13"/>
                <w:color w:val="auto"/>
              </w:rPr>
            </w:pPr>
          </w:p>
        </w:tc>
        <w:tc>
          <w:tcPr>
            <w:tcW w:w="1560" w:type="dxa"/>
            <w:vAlign w:val="bottom"/>
            <w:vMerge w:val="restart"/>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rPr>
              <w:t>Options Outstanding</w:t>
            </w:r>
          </w:p>
        </w:tc>
        <w:tc>
          <w:tcPr>
            <w:tcW w:w="10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Weighted Average Exercise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Weighted Average Remaining</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Aggregate Intrinsic Value (in</w:t>
            </w: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Term (Years)</w:t>
            </w:r>
          </w:p>
        </w:tc>
        <w:tc>
          <w:tcPr>
            <w:tcW w:w="300" w:type="dxa"/>
            <w:vAlign w:val="bottom"/>
          </w:tcPr>
          <w:p>
            <w:pPr>
              <w:spacing w:after="0"/>
              <w:rPr>
                <w:sz w:val="13"/>
                <w:szCs w:val="13"/>
                <w:color w:val="auto"/>
              </w:rPr>
            </w:pPr>
          </w:p>
        </w:tc>
        <w:tc>
          <w:tcPr>
            <w:tcW w:w="1280" w:type="dxa"/>
            <w:vAlign w:val="bottom"/>
          </w:tcPr>
          <w:p>
            <w:pPr>
              <w:jc w:val="right"/>
              <w:ind w:right="427"/>
              <w:spacing w:after="0"/>
              <w:rPr>
                <w:sz w:val="20"/>
                <w:szCs w:val="20"/>
                <w:color w:val="auto"/>
              </w:rPr>
            </w:pPr>
            <w:r>
              <w:rPr>
                <w:rFonts w:ascii="Times New Roman" w:cs="Times New Roman" w:eastAsia="Times New Roman" w:hAnsi="Times New Roman"/>
                <w:sz w:val="12"/>
                <w:szCs w:val="12"/>
                <w:b w:val="1"/>
                <w:bCs w:val="1"/>
                <w:color w:val="auto"/>
              </w:rPr>
              <w:t>thousands)</w:t>
            </w:r>
          </w:p>
        </w:tc>
        <w:tc>
          <w:tcPr>
            <w:tcW w:w="0" w:type="dxa"/>
            <w:vAlign w:val="bottom"/>
          </w:tcPr>
          <w:p>
            <w:pPr>
              <w:spacing w:after="0"/>
              <w:rPr>
                <w:sz w:val="1"/>
                <w:szCs w:val="1"/>
                <w:color w:val="auto"/>
              </w:rPr>
            </w:pPr>
          </w:p>
        </w:tc>
      </w:tr>
      <w:tr>
        <w:trPr>
          <w:trHeight w:val="184"/>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263,915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5"/>
                <w:szCs w:val="15"/>
                <w:color w:val="231F20"/>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0.00001</w:t>
            </w: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4,850,473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0.02</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(1,809,821)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0.02</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(146,540)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231F20"/>
              </w:rPr>
              <w:t>0.00001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December 31, 2018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3,158,027</w:t>
            </w:r>
          </w:p>
        </w:tc>
        <w:tc>
          <w:tcPr>
            <w:tcW w:w="4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5"/>
                <w:szCs w:val="15"/>
                <w:color w:val="231F2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0.02</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9.46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231F2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3,005</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1,786,827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0.99</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(286,465)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0.02</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(1,458)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231F20"/>
              </w:rPr>
              <w:t>0.02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December 31, 2019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4,656,931</w:t>
            </w:r>
          </w:p>
        </w:tc>
        <w:tc>
          <w:tcPr>
            <w:tcW w:w="46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5"/>
                <w:szCs w:val="15"/>
                <w:color w:val="231F2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0.39</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8.86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231F2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4,051</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Options granted (unaudited)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13,757,666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1.38</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exercised (unaudited)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(1,420,792)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0.78</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Options cancelled and forfeited (unaudited)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(829,099)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231F20"/>
              </w:rPr>
              <w:t>0.95</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16,164,706</w:t>
            </w:r>
          </w:p>
        </w:tc>
        <w:tc>
          <w:tcPr>
            <w:tcW w:w="46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5"/>
                <w:szCs w:val="15"/>
                <w:color w:val="231F20"/>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1.17</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9.22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231F20"/>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41,230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2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Vested and exercisable, December 31, 2019</w:t>
            </w:r>
          </w:p>
        </w:tc>
        <w:tc>
          <w:tcPr>
            <w:tcW w:w="15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1,448,931</w:t>
            </w:r>
          </w:p>
        </w:tc>
        <w:tc>
          <w:tcPr>
            <w:tcW w:w="460" w:type="dxa"/>
            <w:vAlign w:val="bottom"/>
            <w:gridSpan w:val="2"/>
          </w:tcPr>
          <w:p>
            <w:pPr>
              <w:jc w:val="right"/>
              <w:ind w:right="212"/>
              <w:spacing w:after="0" w:line="159" w:lineRule="exact"/>
              <w:rPr>
                <w:sz w:val="20"/>
                <w:szCs w:val="20"/>
                <w:color w:val="auto"/>
              </w:rPr>
            </w:pPr>
            <w:r>
              <w:rPr>
                <w:rFonts w:ascii="Times New Roman" w:cs="Times New Roman" w:eastAsia="Times New Roman" w:hAnsi="Times New Roman"/>
                <w:sz w:val="15"/>
                <w:szCs w:val="15"/>
                <w:color w:val="231F20"/>
              </w:rPr>
              <w:t>$</w:t>
            </w:r>
          </w:p>
        </w:tc>
        <w:tc>
          <w:tcPr>
            <w:tcW w:w="12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231F20"/>
              </w:rPr>
              <w:t>0.15</w:t>
            </w:r>
          </w:p>
        </w:tc>
        <w:tc>
          <w:tcPr>
            <w:tcW w:w="100" w:type="dxa"/>
            <w:vAlign w:val="bottom"/>
          </w:tcPr>
          <w:p>
            <w:pPr>
              <w:spacing w:after="0"/>
              <w:rPr>
                <w:sz w:val="13"/>
                <w:szCs w:val="13"/>
                <w:color w:val="auto"/>
              </w:rPr>
            </w:pPr>
          </w:p>
        </w:tc>
        <w:tc>
          <w:tcPr>
            <w:tcW w:w="15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231F20"/>
              </w:rPr>
              <w:t>8.55</w:t>
            </w:r>
          </w:p>
        </w:tc>
        <w:tc>
          <w:tcPr>
            <w:tcW w:w="80" w:type="dxa"/>
            <w:vAlign w:val="bottom"/>
          </w:tcPr>
          <w:p>
            <w:pPr>
              <w:spacing w:after="0"/>
              <w:rPr>
                <w:sz w:val="13"/>
                <w:szCs w:val="13"/>
                <w:color w:val="auto"/>
              </w:rPr>
            </w:pPr>
          </w:p>
        </w:tc>
        <w:tc>
          <w:tcPr>
            <w:tcW w:w="300" w:type="dxa"/>
            <w:vAlign w:val="bottom"/>
          </w:tcPr>
          <w:p>
            <w:pPr>
              <w:jc w:val="right"/>
              <w:ind w:right="127"/>
              <w:spacing w:after="0" w:line="159" w:lineRule="exact"/>
              <w:rPr>
                <w:sz w:val="20"/>
                <w:szCs w:val="20"/>
                <w:color w:val="auto"/>
              </w:rPr>
            </w:pPr>
            <w:r>
              <w:rPr>
                <w:rFonts w:ascii="Times New Roman" w:cs="Times New Roman" w:eastAsia="Times New Roman" w:hAnsi="Times New Roman"/>
                <w:sz w:val="15"/>
                <w:szCs w:val="15"/>
                <w:color w:val="231F20"/>
              </w:rPr>
              <w:t>$</w:t>
            </w:r>
          </w:p>
        </w:tc>
        <w:tc>
          <w:tcPr>
            <w:tcW w:w="12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231F20"/>
              </w:rPr>
              <w:t>1,600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and exercisable,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2,126,058</w:t>
            </w:r>
          </w:p>
        </w:tc>
        <w:tc>
          <w:tcPr>
            <w:tcW w:w="46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5"/>
                <w:szCs w:val="15"/>
                <w:color w:val="231F20"/>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0.49</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8.20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231F20"/>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6,863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The weighted-average grant-date fair value of stock options granted to employees during the years ended December 31, 2018 and 2019, was $0.77 and $0.75 per share, respectively, and was $0.75 and $0.88 per share for the nine months ended September 30, 2019 and 2020 (unaudited), respectively. The total intrinsic value of stock options exercised during the years ended December 31, 2018 and 2019, was nil and $0.2 million, respectively, and was $0.2 million and $1.2 million during the nine months ended September 30, 2019 and 2020 (unaudited), respectively.</w:t>
      </w:r>
    </w:p>
    <w:p>
      <w:pPr>
        <w:spacing w:after="0" w:line="104"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financial statements during the nine months ended September 30, 2020 (unaudited).</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Determination of Fair Value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fair value of stock options granted to employees and directors is calculated using the Black-Scholes option pricing model using the following assumptions:</w:t>
      </w:r>
    </w:p>
    <w:p>
      <w:pPr>
        <w:sectPr>
          <w:pgSz w:w="11900" w:h="16838" w:orient="portrait"/>
          <w:cols w:equalWidth="0" w:num="1">
            <w:col w:w="11260"/>
          </w:cols>
          <w:pgMar w:left="320" w:top="121" w:right="319" w:bottom="1440" w:gutter="0" w:footer="0" w:header="0"/>
        </w:sectPr>
      </w:pPr>
    </w:p>
    <w:p>
      <w:pPr>
        <w:spacing w:after="0" w:line="173"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19685</wp:posOffset>
            </wp:positionV>
            <wp:extent cx="217805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12" w:lineRule="exact"/>
        <w:rPr>
          <w:sz w:val="20"/>
          <w:szCs w:val="20"/>
          <w:color w:val="auto"/>
        </w:rPr>
      </w:pPr>
    </w:p>
    <w:p>
      <w:pPr>
        <w:ind w:left="5020"/>
        <w:spacing w:after="0"/>
        <w:tabs>
          <w:tab w:leader="none" w:pos="6760"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19685</wp:posOffset>
            </wp:positionV>
            <wp:extent cx="217805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19685</wp:posOffset>
            </wp:positionV>
            <wp:extent cx="21780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1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19685</wp:posOffset>
            </wp:positionV>
            <wp:extent cx="21780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42" w:lineRule="exact"/>
        <w:rPr>
          <w:sz w:val="20"/>
          <w:szCs w:val="20"/>
          <w:color w:val="auto"/>
        </w:rPr>
      </w:pPr>
    </w:p>
    <w:p>
      <w:pPr>
        <w:sectPr>
          <w:pgSz w:w="11900" w:h="16838" w:orient="portrait"/>
          <w:cols w:equalWidth="0" w:num="2">
            <w:col w:w="7820" w:space="720"/>
            <w:col w:w="272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- 2.6%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0.3%-1.5%</w:t>
            </w:r>
          </w:p>
        </w:tc>
      </w:tr>
      <w:tr>
        <w:trPr>
          <w:trHeight w:val="193"/>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- 77.9%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- 77.5%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- 77.5%</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62.2%-69.2%</w:t>
            </w:r>
          </w:p>
        </w:tc>
      </w:tr>
      <w:tr>
        <w:trPr>
          <w:trHeight w:val="19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2920" w:type="dxa"/>
            <w:vAlign w:val="bottom"/>
            <w:gridSpan w:val="2"/>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6.08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- 6.08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- 6.08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5.21-6.22</w:t>
            </w:r>
          </w:p>
        </w:tc>
      </w:tr>
      <w:tr>
        <w:trPr>
          <w:trHeight w:val="197"/>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2920" w:type="dxa"/>
            <w:vAlign w:val="bottom"/>
            <w:gridSpan w:val="2"/>
          </w:tcPr>
          <w:p>
            <w:pPr>
              <w:jc w:val="center"/>
              <w:ind w:left="108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fair value of the stock options granted to non-employees is calculated at each reporting date using the Black-Scholes option pricing model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F-27</w:t>
      </w:r>
    </w:p>
    <w:p>
      <w:pPr>
        <w:sectPr>
          <w:pgSz w:w="11900" w:h="16838" w:orient="portrait"/>
          <w:cols w:equalWidth="0" w:num="1">
            <w:col w:w="11260"/>
          </w:cols>
          <w:pgMar w:left="320" w:top="121" w:right="319"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19685</wp:posOffset>
            </wp:positionV>
            <wp:extent cx="21780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12" w:lineRule="exact"/>
        <w:rPr>
          <w:sz w:val="20"/>
          <w:szCs w:val="20"/>
          <w:color w:val="auto"/>
        </w:rPr>
      </w:pPr>
    </w:p>
    <w:p>
      <w:pPr>
        <w:ind w:left="5020"/>
        <w:spacing w:after="0"/>
        <w:tabs>
          <w:tab w:leader="none" w:pos="6760"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19685</wp:posOffset>
            </wp:positionV>
            <wp:extent cx="21780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19685</wp:posOffset>
            </wp:positionV>
            <wp:extent cx="217805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1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19685</wp:posOffset>
            </wp:positionV>
            <wp:extent cx="21780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42" w:lineRule="exact"/>
        <w:rPr>
          <w:sz w:val="20"/>
          <w:szCs w:val="20"/>
          <w:color w:val="auto"/>
        </w:rPr>
      </w:pPr>
    </w:p>
    <w:p>
      <w:pPr>
        <w:sectPr>
          <w:pgSz w:w="11900" w:h="16838" w:orient="portrait"/>
          <w:cols w:equalWidth="0" w:num="2">
            <w:col w:w="7820" w:space="720"/>
            <w:col w:w="272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2860" w:type="dxa"/>
            <w:vAlign w:val="bottom"/>
            <w:shd w:val="clear" w:color="auto" w:fill="CCEEFF"/>
          </w:tcPr>
          <w:p>
            <w:pPr>
              <w:jc w:val="center"/>
              <w:ind w:left="1064"/>
              <w:spacing w:after="0"/>
              <w:rPr>
                <w:sz w:val="20"/>
                <w:szCs w:val="20"/>
                <w:color w:val="auto"/>
              </w:rPr>
            </w:pPr>
            <w:r>
              <w:rPr>
                <w:rFonts w:ascii="Times New Roman" w:cs="Times New Roman" w:eastAsia="Times New Roman" w:hAnsi="Times New Roman"/>
                <w:sz w:val="15"/>
                <w:szCs w:val="15"/>
                <w:color w:val="auto"/>
              </w:rPr>
              <w:t>2.7%</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 - 1.9%</w:t>
            </w:r>
          </w:p>
        </w:tc>
        <w:tc>
          <w:tcPr>
            <w:tcW w:w="174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1.5%-1.9%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0.5%-0.7%</w:t>
            </w:r>
          </w:p>
        </w:tc>
      </w:tr>
      <w:tr>
        <w:trPr>
          <w:trHeight w:val="193"/>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2860" w:type="dxa"/>
            <w:vAlign w:val="bottom"/>
          </w:tcPr>
          <w:p>
            <w:pPr>
              <w:jc w:val="center"/>
              <w:ind w:left="1064"/>
              <w:spacing w:after="0"/>
              <w:rPr>
                <w:sz w:val="20"/>
                <w:szCs w:val="20"/>
                <w:color w:val="auto"/>
              </w:rPr>
            </w:pPr>
            <w:r>
              <w:rPr>
                <w:rFonts w:ascii="Times New Roman" w:cs="Times New Roman" w:eastAsia="Times New Roman" w:hAnsi="Times New Roman"/>
                <w:sz w:val="15"/>
                <w:szCs w:val="15"/>
                <w:color w:val="auto"/>
              </w:rPr>
              <w:t>77.5%</w:t>
            </w: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77.7%</w:t>
            </w:r>
          </w:p>
        </w:tc>
        <w:tc>
          <w:tcPr>
            <w:tcW w:w="1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73.7%</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68.8%</w:t>
            </w:r>
          </w:p>
        </w:tc>
      </w:tr>
      <w:tr>
        <w:trPr>
          <w:trHeight w:val="19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2860" w:type="dxa"/>
            <w:vAlign w:val="bottom"/>
            <w:shd w:val="clear" w:color="auto" w:fill="CCEEFF"/>
          </w:tcPr>
          <w:p>
            <w:pPr>
              <w:jc w:val="center"/>
              <w:ind w:left="1064"/>
              <w:spacing w:after="0"/>
              <w:rPr>
                <w:sz w:val="20"/>
                <w:szCs w:val="20"/>
                <w:color w:val="auto"/>
              </w:rPr>
            </w:pPr>
            <w:r>
              <w:rPr>
                <w:rFonts w:ascii="Times New Roman" w:cs="Times New Roman" w:eastAsia="Times New Roman" w:hAnsi="Times New Roman"/>
                <w:sz w:val="15"/>
                <w:szCs w:val="15"/>
                <w:color w:val="auto"/>
              </w:rPr>
              <w:t>8.73 – 9.88</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7.73 – 9.49</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8.39-9.82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7.38-9.87</w:t>
            </w: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2860" w:type="dxa"/>
            <w:vAlign w:val="bottom"/>
          </w:tcPr>
          <w:p>
            <w:pPr>
              <w:jc w:val="center"/>
              <w:ind w:left="10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w:t>
      </w:r>
    </w:p>
    <w:p>
      <w:pPr>
        <w:spacing w:after="0" w:line="150" w:lineRule="exact"/>
        <w:rPr>
          <w:sz w:val="20"/>
          <w:szCs w:val="20"/>
          <w:color w:val="auto"/>
        </w:rPr>
      </w:pPr>
    </w:p>
    <w:p>
      <w:pPr>
        <w:ind w:firstLine="273"/>
        <w:spacing w:after="0" w:line="261" w:lineRule="auto"/>
        <w:rPr>
          <w:sz w:val="20"/>
          <w:szCs w:val="20"/>
          <w:color w:val="auto"/>
        </w:rPr>
      </w:pPr>
      <w:r>
        <w:rPr>
          <w:rFonts w:ascii="Times New Roman" w:cs="Times New Roman" w:eastAsia="Times New Roman" w:hAnsi="Times New Roman"/>
          <w:sz w:val="15"/>
          <w:szCs w:val="15"/>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activity of restricted shares of Class A common stock under the 2017 Plan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jc w:val="center"/>
              <w:ind w:right="227"/>
              <w:spacing w:after="0"/>
              <w:rPr>
                <w:sz w:val="20"/>
                <w:szCs w:val="20"/>
                <w:color w:val="auto"/>
              </w:rPr>
            </w:pPr>
            <w:r>
              <w:rPr>
                <w:rFonts w:ascii="Times New Roman" w:cs="Times New Roman" w:eastAsia="Times New Roman" w:hAnsi="Times New Roman"/>
                <w:sz w:val="12"/>
                <w:szCs w:val="12"/>
                <w:b w:val="1"/>
                <w:bCs w:val="1"/>
                <w:color w:val="auto"/>
                <w:w w:val="97"/>
              </w:rPr>
              <w:t>Weighted-Average</w:t>
            </w: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1940" w:type="dxa"/>
            <w:vAlign w:val="bottom"/>
            <w:vMerge w:val="restart"/>
          </w:tcPr>
          <w:p>
            <w:pPr>
              <w:jc w:val="right"/>
              <w:ind w:right="425"/>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40" w:type="dxa"/>
            <w:vAlign w:val="bottom"/>
          </w:tcPr>
          <w:p>
            <w:pPr>
              <w:jc w:val="center"/>
              <w:ind w:right="227"/>
              <w:spacing w:after="0" w:line="114" w:lineRule="exact"/>
              <w:rPr>
                <w:sz w:val="20"/>
                <w:szCs w:val="20"/>
                <w:color w:val="auto"/>
              </w:rPr>
            </w:pPr>
            <w:r>
              <w:rPr>
                <w:rFonts w:ascii="Times New Roman" w:cs="Times New Roman" w:eastAsia="Times New Roman" w:hAnsi="Times New Roman"/>
                <w:sz w:val="12"/>
                <w:szCs w:val="12"/>
                <w:b w:val="1"/>
                <w:bCs w:val="1"/>
                <w:color w:val="auto"/>
                <w:w w:val="99"/>
              </w:rPr>
              <w:t>Grant Date</w:t>
            </w:r>
          </w:p>
        </w:tc>
        <w:tc>
          <w:tcPr>
            <w:tcW w:w="0" w:type="dxa"/>
            <w:vAlign w:val="bottom"/>
          </w:tcPr>
          <w:p>
            <w:pPr>
              <w:spacing w:after="0"/>
              <w:rPr>
                <w:sz w:val="1"/>
                <w:szCs w:val="1"/>
                <w:color w:val="auto"/>
              </w:rPr>
            </w:pPr>
          </w:p>
        </w:tc>
      </w:tr>
      <w:tr>
        <w:trPr>
          <w:trHeight w:val="159"/>
        </w:trPr>
        <w:tc>
          <w:tcPr>
            <w:tcW w:w="7300" w:type="dxa"/>
            <w:vAlign w:val="bottom"/>
            <w:tcBorders>
              <w:bottom w:val="single" w:sz="8" w:color="CCEEFF"/>
            </w:tcBorders>
          </w:tcPr>
          <w:p>
            <w:pPr>
              <w:spacing w:after="0"/>
              <w:rPr>
                <w:sz w:val="13"/>
                <w:szCs w:val="13"/>
                <w:color w:val="auto"/>
              </w:rPr>
            </w:pPr>
          </w:p>
        </w:tc>
        <w:tc>
          <w:tcPr>
            <w:tcW w:w="1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227"/>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at December 31, 2017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2,119,792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3,619,147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0" w:type="dxa"/>
            <w:vAlign w:val="bottom"/>
          </w:tcPr>
          <w:p>
            <w:pPr>
              <w:spacing w:after="0"/>
              <w:rPr>
                <w:sz w:val="1"/>
                <w:szCs w:val="1"/>
                <w:color w:val="auto"/>
              </w:rPr>
            </w:pPr>
          </w:p>
        </w:tc>
      </w:tr>
      <w:tr>
        <w:trPr>
          <w:trHeight w:val="19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(612,899)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r>
        <w:trPr>
          <w:trHeight w:val="184"/>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Unvested at December 31, 2018</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5,126,040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0.35</w:t>
            </w:r>
          </w:p>
        </w:tc>
        <w:tc>
          <w:tcPr>
            <w:tcW w:w="0" w:type="dxa"/>
            <w:vAlign w:val="bottom"/>
          </w:tcPr>
          <w:p>
            <w:pPr>
              <w:spacing w:after="0"/>
              <w:rPr>
                <w:sz w:val="1"/>
                <w:szCs w:val="1"/>
                <w:color w:val="auto"/>
              </w:rPr>
            </w:pPr>
          </w:p>
        </w:tc>
      </w:tr>
      <w:tr>
        <w:trPr>
          <w:trHeight w:val="19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Granted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279,695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0" w:type="dxa"/>
            <w:vAlign w:val="bottom"/>
          </w:tcPr>
          <w:p>
            <w:pPr>
              <w:spacing w:after="0"/>
              <w:rPr>
                <w:sz w:val="1"/>
                <w:szCs w:val="1"/>
                <w:color w:val="auto"/>
              </w:rPr>
            </w:pPr>
          </w:p>
        </w:tc>
      </w:tr>
      <w:tr>
        <w:trPr>
          <w:trHeight w:val="193"/>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Repurchased</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(310,000)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0.77</w:t>
            </w:r>
          </w:p>
        </w:tc>
        <w:tc>
          <w:tcPr>
            <w:tcW w:w="0" w:type="dxa"/>
            <w:vAlign w:val="bottom"/>
          </w:tcPr>
          <w:p>
            <w:pPr>
              <w:spacing w:after="0"/>
              <w:rPr>
                <w:sz w:val="1"/>
                <w:szCs w:val="1"/>
                <w:color w:val="auto"/>
              </w:rPr>
            </w:pPr>
          </w:p>
        </w:tc>
      </w:tr>
      <w:tr>
        <w:trPr>
          <w:trHeight w:val="19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(1,886,347)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0.35</w:t>
            </w:r>
          </w:p>
        </w:tc>
        <w:tc>
          <w:tcPr>
            <w:tcW w:w="0" w:type="dxa"/>
            <w:vAlign w:val="bottom"/>
          </w:tcPr>
          <w:p>
            <w:pPr>
              <w:spacing w:after="0"/>
              <w:rPr>
                <w:sz w:val="1"/>
                <w:szCs w:val="1"/>
                <w:color w:val="auto"/>
              </w:rPr>
            </w:pPr>
          </w:p>
        </w:tc>
      </w:tr>
      <w:tr>
        <w:trPr>
          <w:trHeight w:val="184"/>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Unvested at December 31, 2019</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3,209,388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0.35</w:t>
            </w:r>
          </w:p>
        </w:tc>
        <w:tc>
          <w:tcPr>
            <w:tcW w:w="0" w:type="dxa"/>
            <w:vAlign w:val="bottom"/>
          </w:tcPr>
          <w:p>
            <w:pPr>
              <w:spacing w:after="0"/>
              <w:rPr>
                <w:sz w:val="1"/>
                <w:szCs w:val="1"/>
                <w:color w:val="auto"/>
              </w:rPr>
            </w:pPr>
          </w:p>
        </w:tc>
      </w:tr>
      <w:tr>
        <w:trPr>
          <w:trHeight w:val="19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Granted (unaudited)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886,975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0" w:type="dxa"/>
            <w:vAlign w:val="bottom"/>
          </w:tcPr>
          <w:p>
            <w:pPr>
              <w:spacing w:after="0"/>
              <w:rPr>
                <w:sz w:val="1"/>
                <w:szCs w:val="1"/>
                <w:color w:val="auto"/>
              </w:rPr>
            </w:pPr>
          </w:p>
        </w:tc>
      </w:tr>
      <w:tr>
        <w:trPr>
          <w:trHeight w:val="193"/>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Repurchased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(460,614)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19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(unaudited)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(1,083,673)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0" w:type="dxa"/>
            <w:vAlign w:val="bottom"/>
          </w:tcPr>
          <w:p>
            <w:pPr>
              <w:spacing w:after="0"/>
              <w:rPr>
                <w:sz w:val="1"/>
                <w:szCs w:val="1"/>
                <w:color w:val="auto"/>
              </w:rPr>
            </w:pPr>
          </w:p>
        </w:tc>
      </w:tr>
      <w:tr>
        <w:trPr>
          <w:trHeight w:val="184"/>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Unvested at September 30, 2020 (unaudited)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2,552,076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260" w:firstLine="273"/>
        <w:spacing w:after="0" w:line="286" w:lineRule="auto"/>
        <w:rPr>
          <w:sz w:val="20"/>
          <w:szCs w:val="20"/>
          <w:color w:val="auto"/>
        </w:rPr>
      </w:pPr>
      <w:r>
        <w:rPr>
          <w:rFonts w:ascii="Times New Roman" w:cs="Times New Roman" w:eastAsia="Times New Roman" w:hAnsi="Times New Roman"/>
          <w:sz w:val="15"/>
          <w:szCs w:val="15"/>
          <w:color w:val="auto"/>
        </w:rPr>
        <w:t>The fair value of the restricted shares of Class A common stock that vested during the years ended December 31, 2018 and 2019, was $0.2 million and $0.3 million, respectively, and was $0.4 million for nine months ended September 30, 2020 (unaudited).</w:t>
      </w:r>
    </w:p>
    <w:p>
      <w:pPr>
        <w:spacing w:after="0" w:line="89" w:lineRule="exact"/>
        <w:rPr>
          <w:sz w:val="20"/>
          <w:szCs w:val="20"/>
          <w:color w:val="auto"/>
        </w:rPr>
      </w:pPr>
    </w:p>
    <w:p>
      <w:pPr>
        <w:ind w:right="720" w:firstLine="273"/>
        <w:spacing w:after="0" w:line="286" w:lineRule="auto"/>
        <w:rPr>
          <w:sz w:val="20"/>
          <w:szCs w:val="20"/>
          <w:color w:val="auto"/>
        </w:rPr>
      </w:pPr>
      <w:r>
        <w:rPr>
          <w:rFonts w:ascii="Times New Roman" w:cs="Times New Roman" w:eastAsia="Times New Roman" w:hAnsi="Times New Roman"/>
          <w:sz w:val="15"/>
          <w:szCs w:val="15"/>
          <w:color w:val="auto"/>
        </w:rPr>
        <w:t>Amounts due from the Company’s employees, directors and consultants for the exercise of stock options and related tax withholding of $0.7 million are recorded as other receivables, related parties on the balance sheet as of September 30, 2020 (unaudited), all of which were received by the Company in October 2020.</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RSUs</w:t>
      </w:r>
    </w:p>
    <w:p>
      <w:pPr>
        <w:spacing w:after="0" w:line="150" w:lineRule="exact"/>
        <w:rPr>
          <w:sz w:val="20"/>
          <w:szCs w:val="20"/>
          <w:color w:val="auto"/>
        </w:rPr>
      </w:pPr>
    </w:p>
    <w:p>
      <w:pPr>
        <w:ind w:right="80" w:firstLine="273"/>
        <w:spacing w:after="0" w:line="264" w:lineRule="auto"/>
        <w:rPr>
          <w:sz w:val="20"/>
          <w:szCs w:val="20"/>
          <w:color w:val="auto"/>
        </w:rPr>
      </w:pPr>
      <w:r>
        <w:rPr>
          <w:rFonts w:ascii="Times New Roman" w:cs="Times New Roman" w:eastAsia="Times New Roman" w:hAnsi="Times New Roman"/>
          <w:sz w:val="15"/>
          <w:szCs w:val="15"/>
          <w:color w:val="auto"/>
        </w:rPr>
        <w:t>During the nine months ended September 30, 2020 (unaudited), the Company granted certain employees 717,319 RSUs under the 2020 RSU Plan that entitle the holder to receive shares of Class A common stock upon vesting. The Company has not recognized any stock-based compensation for these RSUs, which vest upon satisfaction of both a service condition and a performance condition that is satisfied upon the closing of the IPO and is not considered probable until such event occurs. Stock-based compensation will be recognized using the accelerated attribution method from the grant date upon achievement of the performance condition. 50%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F-28</w:t>
      </w:r>
    </w:p>
    <w:p>
      <w:pPr>
        <w:sectPr>
          <w:pgSz w:w="11900" w:h="16838" w:orient="portrait"/>
          <w:cols w:equalWidth="0" w:num="1">
            <w:col w:w="11260"/>
          </w:cols>
          <w:pgMar w:left="320" w:top="121" w:right="319" w:bottom="1440" w:gutter="0" w:footer="0" w:header="0"/>
          <w:type w:val="continuous"/>
        </w:sectPr>
      </w:pPr>
    </w:p>
    <w:bookmarkStart w:id="216" w:name="page217"/>
    <w:bookmarkEnd w:id="216"/>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 w:right="80"/>
        <w:spacing w:after="0" w:line="286" w:lineRule="auto"/>
        <w:rPr>
          <w:sz w:val="20"/>
          <w:szCs w:val="20"/>
          <w:color w:val="auto"/>
        </w:rPr>
      </w:pPr>
      <w:r>
        <w:rPr>
          <w:rFonts w:ascii="Times New Roman" w:cs="Times New Roman" w:eastAsia="Times New Roman" w:hAnsi="Times New Roman"/>
          <w:sz w:val="15"/>
          <w:szCs w:val="15"/>
          <w:color w:val="auto"/>
        </w:rPr>
        <w:t>RSUs vest upon the one-year anniversary of the IPO and the remaining 50% vest upon the two-year anniversary of the IPO. The weighted-average grant date fair value of the RSUs was $1.58 per share.</w:t>
      </w:r>
    </w:p>
    <w:p>
      <w:pPr>
        <w:spacing w:after="0" w:line="89" w:lineRule="exact"/>
        <w:rPr>
          <w:sz w:val="20"/>
          <w:szCs w:val="20"/>
          <w:color w:val="auto"/>
        </w:rPr>
      </w:pPr>
    </w:p>
    <w:p>
      <w:pPr>
        <w:ind w:left="9" w:right="160" w:firstLine="273"/>
        <w:spacing w:after="0" w:line="286" w:lineRule="auto"/>
        <w:rPr>
          <w:sz w:val="20"/>
          <w:szCs w:val="20"/>
          <w:color w:val="auto"/>
        </w:rPr>
      </w:pPr>
      <w:r>
        <w:rPr>
          <w:rFonts w:ascii="Times New Roman" w:cs="Times New Roman" w:eastAsia="Times New Roman" w:hAnsi="Times New Roman"/>
          <w:sz w:val="15"/>
          <w:szCs w:val="15"/>
          <w:color w:val="auto"/>
        </w:rPr>
        <w:t>If the performance condition had been achieved as of September 30, 2020, the Company would have recognized $0.2 million in additional stock-based compensation related to the RSUs for the service period rendered from the date of grant through September 30, 2020.</w:t>
      </w:r>
    </w:p>
    <w:p>
      <w:pPr>
        <w:spacing w:after="0" w:line="85"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Total stock-based compensation is as follows (in thousands):</w:t>
      </w:r>
    </w:p>
    <w:p>
      <w:pPr>
        <w:sectPr>
          <w:pgSz w:w="11900" w:h="16838" w:orient="portrait"/>
          <w:cols w:equalWidth="0" w:num="1">
            <w:col w:w="11269"/>
          </w:cols>
          <w:pgMar w:left="311" w:top="121" w:right="319" w:bottom="1440" w:gutter="0" w:footer="0" w:header="0"/>
        </w:sectPr>
      </w:pPr>
    </w:p>
    <w:p>
      <w:pPr>
        <w:spacing w:after="0" w:line="184" w:lineRule="exact"/>
        <w:rPr>
          <w:sz w:val="20"/>
          <w:szCs w:val="20"/>
          <w:color w:val="auto"/>
        </w:rPr>
      </w:pPr>
    </w:p>
    <w:p>
      <w:pPr>
        <w:jc w:val="center"/>
        <w:ind w:left="4969"/>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27305</wp:posOffset>
            </wp:positionV>
            <wp:extent cx="18897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9760" cy="6985"/>
                    </a:xfrm>
                    <a:prstGeom prst="rect">
                      <a:avLst/>
                    </a:prstGeom>
                    <a:noFill/>
                  </pic:spPr>
                </pic:pic>
              </a:graphicData>
            </a:graphic>
          </wp:anchor>
        </w:drawing>
      </w:r>
    </w:p>
    <w:p>
      <w:pPr>
        <w:spacing w:after="0" w:line="35" w:lineRule="exact"/>
        <w:rPr>
          <w:sz w:val="20"/>
          <w:szCs w:val="20"/>
          <w:color w:val="auto"/>
        </w:rPr>
      </w:pPr>
    </w:p>
    <w:p>
      <w:pPr>
        <w:ind w:left="5629"/>
        <w:spacing w:after="0"/>
        <w:tabs>
          <w:tab w:leader="none" w:pos="7129"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27305</wp:posOffset>
            </wp:positionV>
            <wp:extent cx="18897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97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19685</wp:posOffset>
            </wp:positionV>
            <wp:extent cx="201930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19300" cy="698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19685</wp:posOffset>
            </wp:positionV>
            <wp:extent cx="20193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19300" cy="6985"/>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42" w:lineRule="exact"/>
        <w:rPr>
          <w:sz w:val="20"/>
          <w:szCs w:val="20"/>
          <w:color w:val="auto"/>
        </w:rPr>
      </w:pPr>
    </w:p>
    <w:p>
      <w:pPr>
        <w:sectPr>
          <w:pgSz w:w="11900" w:h="16838" w:orient="portrait"/>
          <w:cols w:equalWidth="0" w:num="2">
            <w:col w:w="8049" w:space="720"/>
            <w:col w:w="2500"/>
          </w:cols>
          <w:pgMar w:left="311" w:top="121" w:right="319" w:bottom="1440" w:gutter="0" w:footer="0" w:header="0"/>
          <w:type w:val="continuous"/>
        </w:sectPr>
      </w:pPr>
    </w:p>
    <w:tbl>
      <w:tblPr>
        <w:tblLayout w:type="fixed"/>
        <w:tblInd w:w="9" w:type="dxa"/>
        <w:tblCellMar>
          <w:top w:w="0" w:type="dxa"/>
          <w:left w:w="0" w:type="dxa"/>
          <w:bottom w:w="0" w:type="dxa"/>
          <w:right w:w="0" w:type="dxa"/>
        </w:tblCellMar>
      </w:tblPr>
      <w:tr>
        <w:trPr>
          <w:trHeight w:val="18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granted to employees and directors</w:t>
            </w:r>
          </w:p>
        </w:tc>
        <w:tc>
          <w:tcPr>
            <w:tcW w:w="62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1,970</w:t>
            </w:r>
          </w:p>
        </w:tc>
      </w:tr>
      <w:tr>
        <w:trPr>
          <w:trHeight w:val="193"/>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granted to non-employees</w:t>
            </w:r>
          </w:p>
        </w:tc>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w:t>
            </w:r>
          </w:p>
        </w:tc>
      </w:tr>
      <w:tr>
        <w:trPr>
          <w:trHeight w:val="19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shares of Class A common stock</w:t>
            </w:r>
          </w:p>
        </w:tc>
        <w:tc>
          <w:tcPr>
            <w:tcW w:w="6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231F20"/>
              </w:rPr>
              <w:t>242</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84"/>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6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2,564</w:t>
            </w:r>
          </w:p>
        </w:tc>
      </w:tr>
      <w:tr>
        <w:trPr>
          <w:trHeight w:val="20"/>
        </w:trPr>
        <w:tc>
          <w:tcPr>
            <w:tcW w:w="5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summarizes the components of stock-based compensation recognized in the Company’s statements of operations and comprehensive loss (in thousands):</w:t>
      </w:r>
    </w:p>
    <w:p>
      <w:pPr>
        <w:sectPr>
          <w:pgSz w:w="11900" w:h="16838" w:orient="portrait"/>
          <w:cols w:equalWidth="0" w:num="1">
            <w:col w:w="11269"/>
          </w:cols>
          <w:pgMar w:left="311" w:top="121" w:right="319" w:bottom="1440" w:gutter="0" w:footer="0" w:header="0"/>
          <w:type w:val="continuous"/>
        </w:sectPr>
      </w:pPr>
    </w:p>
    <w:p>
      <w:pPr>
        <w:spacing w:after="0" w:line="184" w:lineRule="exact"/>
        <w:rPr>
          <w:sz w:val="20"/>
          <w:szCs w:val="20"/>
          <w:color w:val="auto"/>
        </w:rPr>
      </w:pPr>
    </w:p>
    <w:p>
      <w:pPr>
        <w:ind w:left="5549"/>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27305</wp:posOffset>
            </wp:positionV>
            <wp:extent cx="219964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99640" cy="6985"/>
                    </a:xfrm>
                    <a:prstGeom prst="rect">
                      <a:avLst/>
                    </a:prstGeom>
                    <a:noFill/>
                  </pic:spPr>
                </pic:pic>
              </a:graphicData>
            </a:graphic>
          </wp:anchor>
        </w:drawing>
      </w:r>
    </w:p>
    <w:p>
      <w:pPr>
        <w:spacing w:after="0" w:line="35" w:lineRule="exact"/>
        <w:rPr>
          <w:sz w:val="20"/>
          <w:szCs w:val="20"/>
          <w:color w:val="auto"/>
        </w:rPr>
      </w:pPr>
    </w:p>
    <w:p>
      <w:pPr>
        <w:ind w:left="5149"/>
        <w:spacing w:after="0"/>
        <w:tabs>
          <w:tab w:leader="none" w:pos="6909"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27305</wp:posOffset>
            </wp:positionV>
            <wp:extent cx="21996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9964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19685</wp:posOffset>
            </wp:positionV>
            <wp:extent cx="20478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19685</wp:posOffset>
            </wp:positionV>
            <wp:extent cx="20478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42" w:lineRule="exact"/>
        <w:rPr>
          <w:sz w:val="20"/>
          <w:szCs w:val="20"/>
          <w:color w:val="auto"/>
        </w:rPr>
      </w:pPr>
    </w:p>
    <w:p>
      <w:pPr>
        <w:sectPr>
          <w:pgSz w:w="11900" w:h="16838" w:orient="portrait"/>
          <w:cols w:equalWidth="0" w:num="2">
            <w:col w:w="7989" w:space="720"/>
            <w:col w:w="2560"/>
          </w:cols>
          <w:pgMar w:left="311" w:top="121" w:right="319" w:bottom="1440" w:gutter="0" w:footer="0" w:header="0"/>
          <w:type w:val="continuous"/>
        </w:sectPr>
      </w:pPr>
    </w:p>
    <w:tbl>
      <w:tblPr>
        <w:tblLayout w:type="fixed"/>
        <w:tblInd w:w="9" w:type="dxa"/>
        <w:tblCellMar>
          <w:top w:w="0" w:type="dxa"/>
          <w:left w:w="0" w:type="dxa"/>
          <w:bottom w:w="0" w:type="dxa"/>
          <w:right w:w="0" w:type="dxa"/>
        </w:tblCellMar>
      </w:tblPr>
      <w:tr>
        <w:trPr>
          <w:trHeight w:val="1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680" w:type="dxa"/>
            <w:vAlign w:val="bottom"/>
            <w:shd w:val="clear" w:color="auto" w:fill="CCEEFF"/>
          </w:tcPr>
          <w:p>
            <w:pPr>
              <w:jc w:val="right"/>
              <w:ind w:right="52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r>
      <w:tr>
        <w:trPr>
          <w:trHeight w:val="193"/>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231F20"/>
              </w:rPr>
              <w:t>385</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2,003</w:t>
            </w:r>
          </w:p>
        </w:tc>
      </w:tr>
      <w:tr>
        <w:trPr>
          <w:trHeight w:val="209"/>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680" w:type="dxa"/>
            <w:vAlign w:val="bottom"/>
            <w:tcBorders>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9" w:right="160" w:firstLine="273"/>
        <w:spacing w:after="0" w:line="286" w:lineRule="auto"/>
        <w:rPr>
          <w:sz w:val="20"/>
          <w:szCs w:val="20"/>
          <w:color w:val="auto"/>
        </w:rPr>
      </w:pPr>
      <w:r>
        <w:rPr>
          <w:rFonts w:ascii="Times New Roman" w:cs="Times New Roman" w:eastAsia="Times New Roman" w:hAnsi="Times New Roman"/>
          <w:sz w:val="15"/>
          <w:szCs w:val="15"/>
          <w:color w:val="auto"/>
        </w:rPr>
        <w:t>As of December 31, 2019 and September 30, 2020 (unaudited), the total unrecognized stock-based compensation related to unvested stock options and restricted stock awards was $3.8 million and $14.7 million, which the Company expects to recognize over a remaining weighted-average period of 2.71 years and 1.71 years, respectively.</w:t>
      </w:r>
    </w:p>
    <w:p>
      <w:pPr>
        <w:spacing w:after="0" w:line="89" w:lineRule="exact"/>
        <w:rPr>
          <w:sz w:val="20"/>
          <w:szCs w:val="20"/>
          <w:color w:val="auto"/>
        </w:rPr>
      </w:pPr>
    </w:p>
    <w:p>
      <w:pPr>
        <w:jc w:val="both"/>
        <w:ind w:left="9" w:right="500" w:firstLine="273"/>
        <w:spacing w:after="0" w:line="269" w:lineRule="auto"/>
        <w:rPr>
          <w:sz w:val="20"/>
          <w:szCs w:val="20"/>
          <w:color w:val="auto"/>
        </w:rPr>
      </w:pPr>
      <w:r>
        <w:rPr>
          <w:rFonts w:ascii="Times New Roman" w:cs="Times New Roman" w:eastAsia="Times New Roman" w:hAnsi="Times New Roman"/>
          <w:sz w:val="15"/>
          <w:szCs w:val="15"/>
          <w:color w:val="auto"/>
        </w:rPr>
        <w:t>The Company granted 127,500 shares of performance-based stock options in February 2018 through June 2019, of which 7,500 shares have vested or been determined to be probable to vest as of December 31, 2019. There is $0.1 million in unrecognized stock-based compensation associated with options not determined to be probable of vesting as of December 31, 2019.</w:t>
      </w:r>
    </w:p>
    <w:p>
      <w:pPr>
        <w:spacing w:after="0" w:line="97" w:lineRule="exact"/>
        <w:rPr>
          <w:sz w:val="20"/>
          <w:szCs w:val="20"/>
          <w:color w:val="auto"/>
        </w:rPr>
      </w:pPr>
    </w:p>
    <w:p>
      <w:pPr>
        <w:ind w:left="549" w:hanging="549"/>
        <w:spacing w:after="0"/>
        <w:tabs>
          <w:tab w:leader="none" w:pos="549" w:val="left"/>
        </w:tabs>
        <w:numPr>
          <w:ilvl w:val="0"/>
          <w:numId w:val="1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EMPLOYEE BENEFIT PLANS</w:t>
      </w:r>
    </w:p>
    <w:p>
      <w:pPr>
        <w:spacing w:after="0" w:line="150" w:lineRule="exact"/>
        <w:rPr>
          <w:sz w:val="20"/>
          <w:szCs w:val="20"/>
          <w:color w:val="auto"/>
        </w:rPr>
      </w:pPr>
    </w:p>
    <w:p>
      <w:pPr>
        <w:ind w:left="9" w:right="280" w:firstLine="273"/>
        <w:spacing w:after="0" w:line="269" w:lineRule="auto"/>
        <w:rPr>
          <w:sz w:val="20"/>
          <w:szCs w:val="20"/>
          <w:color w:val="auto"/>
        </w:rPr>
      </w:pPr>
      <w:r>
        <w:rPr>
          <w:rFonts w:ascii="Times New Roman" w:cs="Times New Roman" w:eastAsia="Times New Roman" w:hAnsi="Times New Roman"/>
          <w:sz w:val="15"/>
          <w:szCs w:val="15"/>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 or during the nine months ended September 30, 2020 (unaudited).</w:t>
      </w:r>
    </w:p>
    <w:p>
      <w:pPr>
        <w:spacing w:after="0" w:line="97" w:lineRule="exact"/>
        <w:rPr>
          <w:sz w:val="20"/>
          <w:szCs w:val="20"/>
          <w:color w:val="auto"/>
        </w:rPr>
      </w:pPr>
    </w:p>
    <w:p>
      <w:pPr>
        <w:ind w:left="549" w:hanging="549"/>
        <w:spacing w:after="0"/>
        <w:tabs>
          <w:tab w:leader="none" w:pos="549"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w:t>
      </w:r>
    </w:p>
    <w:p>
      <w:pPr>
        <w:spacing w:after="0" w:line="14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Facility Lease Agreement</w:t>
      </w:r>
    </w:p>
    <w:p>
      <w:pPr>
        <w:spacing w:after="0" w:line="150" w:lineRule="exact"/>
        <w:rPr>
          <w:sz w:val="20"/>
          <w:szCs w:val="20"/>
          <w:color w:val="auto"/>
        </w:rPr>
      </w:pPr>
    </w:p>
    <w:p>
      <w:pPr>
        <w:ind w:left="9" w:right="220" w:firstLine="273"/>
        <w:spacing w:after="0" w:line="286" w:lineRule="auto"/>
        <w:rPr>
          <w:sz w:val="20"/>
          <w:szCs w:val="20"/>
          <w:color w:val="auto"/>
        </w:rPr>
      </w:pPr>
      <w:r>
        <w:rPr>
          <w:rFonts w:ascii="Times New Roman" w:cs="Times New Roman" w:eastAsia="Times New Roman" w:hAnsi="Times New Roman"/>
          <w:sz w:val="15"/>
          <w:szCs w:val="15"/>
          <w:color w:val="auto"/>
        </w:rPr>
        <w:t>On March 1, 2018, the Company entered into an 18-month sublease agreement for its facility in South San Francisco, California. In March 2019, the Company extended the lease term until December 31, 2019.</w:t>
      </w:r>
    </w:p>
    <w:p>
      <w:pPr>
        <w:spacing w:after="0" w:line="89" w:lineRule="exact"/>
        <w:rPr>
          <w:sz w:val="20"/>
          <w:szCs w:val="20"/>
          <w:color w:val="auto"/>
        </w:rPr>
      </w:pPr>
    </w:p>
    <w:p>
      <w:pPr>
        <w:ind w:left="9" w:right="220" w:firstLine="273"/>
        <w:spacing w:after="0" w:line="286" w:lineRule="auto"/>
        <w:rPr>
          <w:sz w:val="20"/>
          <w:szCs w:val="20"/>
          <w:color w:val="auto"/>
        </w:rPr>
      </w:pPr>
      <w:r>
        <w:rPr>
          <w:rFonts w:ascii="Times New Roman" w:cs="Times New Roman" w:eastAsia="Times New Roman" w:hAnsi="Times New Roman"/>
          <w:sz w:val="15"/>
          <w:szCs w:val="15"/>
          <w:color w:val="auto"/>
        </w:rPr>
        <w:t>On January 4, 2019, the Company entered into a new lease agreement for office and laboratory space in Redwood City, California. The lease term commenced in November 2019 and ends on September 30, 2029.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F-29</w:t>
      </w:r>
    </w:p>
    <w:p>
      <w:pPr>
        <w:sectPr>
          <w:pgSz w:w="11900" w:h="16838" w:orient="portrait"/>
          <w:cols w:equalWidth="0" w:num="1">
            <w:col w:w="11269"/>
          </w:cols>
          <w:pgMar w:left="311" w:top="121" w:right="319" w:bottom="1440" w:gutter="0" w:footer="0" w:header="0"/>
          <w:type w:val="continuous"/>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5"/>
          <w:szCs w:val="15"/>
          <w:color w:val="auto"/>
        </w:rPr>
        <w:t>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89" w:lineRule="exact"/>
        <w:rPr>
          <w:sz w:val="20"/>
          <w:szCs w:val="20"/>
          <w:color w:val="auto"/>
        </w:rPr>
      </w:pPr>
    </w:p>
    <w:p>
      <w:pPr>
        <w:ind w:right="40" w:firstLine="273"/>
        <w:spacing w:after="0" w:line="264" w:lineRule="auto"/>
        <w:rPr>
          <w:sz w:val="20"/>
          <w:szCs w:val="20"/>
          <w:color w:val="auto"/>
        </w:rPr>
      </w:pPr>
      <w:r>
        <w:rPr>
          <w:rFonts w:ascii="Times New Roman" w:cs="Times New Roman" w:eastAsia="Times New Roman" w:hAnsi="Times New Roman"/>
          <w:sz w:val="15"/>
          <w:szCs w:val="15"/>
          <w:color w:val="auto"/>
        </w:rPr>
        <w:t>During the nine months ended September 30, 2020 (unaudited), 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July 1, 2021.</w:t>
      </w:r>
    </w:p>
    <w:p>
      <w:pPr>
        <w:spacing w:after="0" w:line="104" w:lineRule="exact"/>
        <w:rPr>
          <w:sz w:val="20"/>
          <w:szCs w:val="20"/>
          <w:color w:val="auto"/>
        </w:rPr>
      </w:pPr>
    </w:p>
    <w:p>
      <w:pPr>
        <w:jc w:val="both"/>
        <w:ind w:right="200" w:firstLine="273"/>
        <w:spacing w:after="0" w:line="269" w:lineRule="auto"/>
        <w:rPr>
          <w:sz w:val="20"/>
          <w:szCs w:val="20"/>
          <w:color w:val="auto"/>
        </w:rPr>
      </w:pPr>
      <w:r>
        <w:rPr>
          <w:rFonts w:ascii="Times New Roman" w:cs="Times New Roman" w:eastAsia="Times New Roman" w:hAnsi="Times New Roman"/>
          <w:sz w:val="15"/>
          <w:szCs w:val="15"/>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01" w:lineRule="exact"/>
        <w:rPr>
          <w:sz w:val="20"/>
          <w:szCs w:val="20"/>
          <w:color w:val="auto"/>
        </w:rPr>
      </w:pPr>
    </w:p>
    <w:p>
      <w:pPr>
        <w:jc w:val="both"/>
        <w:ind w:right="300" w:firstLine="273"/>
        <w:spacing w:after="0" w:line="269" w:lineRule="auto"/>
        <w:rPr>
          <w:sz w:val="20"/>
          <w:szCs w:val="20"/>
          <w:color w:val="auto"/>
        </w:rPr>
      </w:pPr>
      <w:r>
        <w:rPr>
          <w:rFonts w:ascii="Times New Roman" w:cs="Times New Roman" w:eastAsia="Times New Roman" w:hAnsi="Times New Roman"/>
          <w:sz w:val="15"/>
          <w:szCs w:val="15"/>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01" w:lineRule="exact"/>
        <w:rPr>
          <w:sz w:val="20"/>
          <w:szCs w:val="20"/>
          <w:color w:val="auto"/>
        </w:rPr>
      </w:pPr>
    </w:p>
    <w:p>
      <w:pPr>
        <w:ind w:right="280" w:firstLine="273"/>
        <w:spacing w:after="0" w:line="269" w:lineRule="auto"/>
        <w:rPr>
          <w:sz w:val="20"/>
          <w:szCs w:val="20"/>
          <w:color w:val="auto"/>
        </w:rPr>
      </w:pPr>
      <w:r>
        <w:rPr>
          <w:rFonts w:ascii="Times New Roman" w:cs="Times New Roman" w:eastAsia="Times New Roman" w:hAnsi="Times New Roman"/>
          <w:sz w:val="15"/>
          <w:szCs w:val="15"/>
          <w:color w:val="auto"/>
        </w:rPr>
        <w:t>Rent expense was $0.4 million and $0.6 million for the years ended December 31, 2018 and 2019, respectively, and was $0.4 million and $0.5 million for the nine months ended September 30, 2019 and 2020 (unaudited). The Company is required to pay property taxes, insurance, and normal maintenance costs for the facility and will be required to pay any increases over the base year of these expenses.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December 31, 2019, future minimum commitments under the Company’s non-cancelable facility operating lease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Years ending December 31:</w:t>
            </w:r>
          </w:p>
        </w:tc>
        <w:tc>
          <w:tcPr>
            <w:tcW w:w="260" w:type="dxa"/>
            <w:vAlign w:val="bottom"/>
          </w:tcPr>
          <w:p>
            <w:pPr>
              <w:spacing w:after="0"/>
              <w:rPr>
                <w:sz w:val="14"/>
                <w:szCs w:val="14"/>
                <w:color w:val="auto"/>
              </w:rPr>
            </w:pPr>
          </w:p>
        </w:tc>
        <w:tc>
          <w:tcPr>
            <w:tcW w:w="1320" w:type="dxa"/>
            <w:vAlign w:val="bottom"/>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89"/>
        </w:trPr>
        <w:tc>
          <w:tcPr>
            <w:tcW w:w="9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2020</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0" w:type="dxa"/>
            <w:vAlign w:val="bottom"/>
          </w:tcPr>
          <w:p>
            <w:pPr>
              <w:spacing w:after="0"/>
              <w:rPr>
                <w:sz w:val="1"/>
                <w:szCs w:val="1"/>
                <w:color w:val="auto"/>
              </w:rPr>
            </w:pPr>
          </w:p>
        </w:tc>
      </w:tr>
      <w:tr>
        <w:trPr>
          <w:trHeight w:val="193"/>
        </w:trPr>
        <w:tc>
          <w:tcPr>
            <w:tcW w:w="960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193"/>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w:t>
            </w:r>
          </w:p>
        </w:tc>
        <w:tc>
          <w:tcPr>
            <w:tcW w:w="0" w:type="dxa"/>
            <w:vAlign w:val="bottom"/>
          </w:tcPr>
          <w:p>
            <w:pPr>
              <w:spacing w:after="0"/>
              <w:rPr>
                <w:sz w:val="1"/>
                <w:szCs w:val="1"/>
                <w:color w:val="auto"/>
              </w:rPr>
            </w:pPr>
          </w:p>
        </w:tc>
      </w:tr>
      <w:tr>
        <w:trPr>
          <w:trHeight w:val="193"/>
        </w:trPr>
        <w:tc>
          <w:tcPr>
            <w:tcW w:w="960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0" w:type="dxa"/>
            <w:vAlign w:val="bottom"/>
          </w:tcPr>
          <w:p>
            <w:pPr>
              <w:spacing w:after="0"/>
              <w:rPr>
                <w:sz w:val="1"/>
                <w:szCs w:val="1"/>
                <w:color w:val="auto"/>
              </w:rPr>
            </w:pPr>
          </w:p>
        </w:tc>
      </w:tr>
      <w:tr>
        <w:trPr>
          <w:trHeight w:val="193"/>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w:t>
            </w:r>
          </w:p>
        </w:tc>
        <w:tc>
          <w:tcPr>
            <w:tcW w:w="0" w:type="dxa"/>
            <w:vAlign w:val="bottom"/>
          </w:tcPr>
          <w:p>
            <w:pPr>
              <w:spacing w:after="0"/>
              <w:rPr>
                <w:sz w:val="1"/>
                <w:szCs w:val="1"/>
                <w:color w:val="auto"/>
              </w:rPr>
            </w:pPr>
          </w:p>
        </w:tc>
      </w:tr>
      <w:tr>
        <w:trPr>
          <w:trHeight w:val="193"/>
        </w:trPr>
        <w:tc>
          <w:tcPr>
            <w:tcW w:w="9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5,035</w:t>
            </w:r>
          </w:p>
        </w:tc>
        <w:tc>
          <w:tcPr>
            <w:tcW w:w="0" w:type="dxa"/>
            <w:vAlign w:val="bottom"/>
          </w:tcPr>
          <w:p>
            <w:pPr>
              <w:spacing w:after="0"/>
              <w:rPr>
                <w:sz w:val="1"/>
                <w:szCs w:val="1"/>
                <w:color w:val="auto"/>
              </w:rPr>
            </w:pPr>
          </w:p>
        </w:tc>
      </w:tr>
      <w:tr>
        <w:trPr>
          <w:trHeight w:val="209"/>
        </w:trPr>
        <w:tc>
          <w:tcPr>
            <w:tcW w:w="9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5"/>
                <w:szCs w:val="15"/>
                <w:color w:val="auto"/>
              </w:rPr>
              <w:t>As of September 30, 2020 (unaudited), future minimum commitments under the Company’s non-cancelable facility operating lease are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6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Years ending December 31:</w:t>
            </w:r>
          </w:p>
        </w:tc>
        <w:tc>
          <w:tcPr>
            <w:tcW w:w="260" w:type="dxa"/>
            <w:vAlign w:val="bottom"/>
          </w:tcPr>
          <w:p>
            <w:pPr>
              <w:spacing w:after="0"/>
              <w:rPr>
                <w:sz w:val="24"/>
                <w:szCs w:val="24"/>
                <w:color w:val="auto"/>
              </w:rPr>
            </w:pPr>
          </w:p>
        </w:tc>
        <w:tc>
          <w:tcPr>
            <w:tcW w:w="1320" w:type="dxa"/>
            <w:vAlign w:val="bottom"/>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89"/>
        </w:trPr>
        <w:tc>
          <w:tcPr>
            <w:tcW w:w="9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2020 (three months remaining)</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0" w:type="dxa"/>
            <w:vAlign w:val="bottom"/>
          </w:tcPr>
          <w:p>
            <w:pPr>
              <w:spacing w:after="0"/>
              <w:rPr>
                <w:sz w:val="1"/>
                <w:szCs w:val="1"/>
                <w:color w:val="auto"/>
              </w:rPr>
            </w:pPr>
          </w:p>
        </w:tc>
      </w:tr>
      <w:tr>
        <w:trPr>
          <w:trHeight w:val="193"/>
        </w:trPr>
        <w:tc>
          <w:tcPr>
            <w:tcW w:w="960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193"/>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w:t>
            </w:r>
          </w:p>
        </w:tc>
        <w:tc>
          <w:tcPr>
            <w:tcW w:w="0" w:type="dxa"/>
            <w:vAlign w:val="bottom"/>
          </w:tcPr>
          <w:p>
            <w:pPr>
              <w:spacing w:after="0"/>
              <w:rPr>
                <w:sz w:val="1"/>
                <w:szCs w:val="1"/>
                <w:color w:val="auto"/>
              </w:rPr>
            </w:pPr>
          </w:p>
        </w:tc>
      </w:tr>
      <w:tr>
        <w:trPr>
          <w:trHeight w:val="193"/>
        </w:trPr>
        <w:tc>
          <w:tcPr>
            <w:tcW w:w="960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1,788</w:t>
            </w:r>
          </w:p>
        </w:tc>
        <w:tc>
          <w:tcPr>
            <w:tcW w:w="0" w:type="dxa"/>
            <w:vAlign w:val="bottom"/>
          </w:tcPr>
          <w:p>
            <w:pPr>
              <w:spacing w:after="0"/>
              <w:rPr>
                <w:sz w:val="1"/>
                <w:szCs w:val="1"/>
                <w:color w:val="auto"/>
              </w:rPr>
            </w:pPr>
          </w:p>
        </w:tc>
      </w:tr>
      <w:tr>
        <w:trPr>
          <w:trHeight w:val="193"/>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w:t>
            </w:r>
          </w:p>
        </w:tc>
        <w:tc>
          <w:tcPr>
            <w:tcW w:w="0" w:type="dxa"/>
            <w:vAlign w:val="bottom"/>
          </w:tcPr>
          <w:p>
            <w:pPr>
              <w:spacing w:after="0"/>
              <w:rPr>
                <w:sz w:val="1"/>
                <w:szCs w:val="1"/>
                <w:color w:val="auto"/>
              </w:rPr>
            </w:pPr>
          </w:p>
        </w:tc>
      </w:tr>
      <w:tr>
        <w:trPr>
          <w:trHeight w:val="193"/>
        </w:trPr>
        <w:tc>
          <w:tcPr>
            <w:tcW w:w="9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14,728</w:t>
            </w:r>
          </w:p>
        </w:tc>
        <w:tc>
          <w:tcPr>
            <w:tcW w:w="0" w:type="dxa"/>
            <w:vAlign w:val="bottom"/>
          </w:tcPr>
          <w:p>
            <w:pPr>
              <w:spacing w:after="0"/>
              <w:rPr>
                <w:sz w:val="1"/>
                <w:szCs w:val="1"/>
                <w:color w:val="auto"/>
              </w:rPr>
            </w:pPr>
          </w:p>
        </w:tc>
      </w:tr>
      <w:tr>
        <w:trPr>
          <w:trHeight w:val="209"/>
        </w:trPr>
        <w:tc>
          <w:tcPr>
            <w:tcW w:w="9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20,780</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F-30</w:t>
      </w:r>
    </w:p>
    <w:p>
      <w:pPr>
        <w:sectPr>
          <w:pgSz w:w="11900" w:h="16838" w:orient="portrait"/>
          <w:cols w:equalWidth="0" w:num="1">
            <w:col w:w="11260"/>
          </w:cols>
          <w:pgMar w:left="320" w:top="121" w:right="319" w:bottom="1440" w:gutter="0" w:footer="0" w:header="0"/>
        </w:sectPr>
      </w:pPr>
    </w:p>
    <w:bookmarkStart w:id="218" w:name="page219"/>
    <w:bookmarkEnd w:id="218"/>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Guarantees and Indemnifications</w:t>
      </w:r>
    </w:p>
    <w:p>
      <w:pPr>
        <w:spacing w:after="0" w:line="150" w:lineRule="exact"/>
        <w:rPr>
          <w:sz w:val="20"/>
          <w:szCs w:val="20"/>
          <w:color w:val="auto"/>
        </w:rPr>
      </w:pPr>
    </w:p>
    <w:p>
      <w:pPr>
        <w:ind w:left="9" w:right="200" w:firstLine="273"/>
        <w:spacing w:after="0" w:line="259" w:lineRule="auto"/>
        <w:rPr>
          <w:sz w:val="20"/>
          <w:szCs w:val="20"/>
          <w:color w:val="auto"/>
        </w:rPr>
      </w:pPr>
      <w:r>
        <w:rPr>
          <w:rFonts w:ascii="Times New Roman" w:cs="Times New Roman" w:eastAsia="Times New Roman" w:hAnsi="Times New Roman"/>
          <w:sz w:val="15"/>
          <w:szCs w:val="15"/>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and September 30, 2020 (unaudited), the Company does not have any material indemnification claims that were probable or reasonably possible and consequently has not recorded related liabilities.</w:t>
      </w:r>
    </w:p>
    <w:p>
      <w:pPr>
        <w:spacing w:after="0" w:line="10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Contingencies</w:t>
      </w:r>
    </w:p>
    <w:p>
      <w:pPr>
        <w:spacing w:after="0" w:line="150" w:lineRule="exact"/>
        <w:rPr>
          <w:sz w:val="20"/>
          <w:szCs w:val="20"/>
          <w:color w:val="auto"/>
        </w:rPr>
      </w:pPr>
    </w:p>
    <w:p>
      <w:pPr>
        <w:ind w:left="9" w:right="240" w:firstLine="273"/>
        <w:spacing w:after="0" w:line="286" w:lineRule="auto"/>
        <w:rPr>
          <w:sz w:val="20"/>
          <w:szCs w:val="20"/>
          <w:color w:val="auto"/>
        </w:rPr>
      </w:pPr>
      <w:r>
        <w:rPr>
          <w:rFonts w:ascii="Times New Roman" w:cs="Times New Roman" w:eastAsia="Times New Roman" w:hAnsi="Times New Roman"/>
          <w:sz w:val="15"/>
          <w:szCs w:val="15"/>
          <w:color w:val="auto"/>
        </w:rPr>
        <w:t>From time to time, the Company may become involved in legal proceedings arising in the ordinary course of business. The Company is not currently a party to any material legal proceedings.</w:t>
      </w:r>
    </w:p>
    <w:p>
      <w:pPr>
        <w:spacing w:after="0" w:line="85" w:lineRule="exact"/>
        <w:rPr>
          <w:sz w:val="20"/>
          <w:szCs w:val="20"/>
          <w:color w:val="auto"/>
        </w:rPr>
      </w:pPr>
    </w:p>
    <w:p>
      <w:pPr>
        <w:ind w:left="529" w:hanging="529"/>
        <w:spacing w:after="0"/>
        <w:tabs>
          <w:tab w:leader="none" w:pos="529" w:val="left"/>
        </w:tabs>
        <w:numPr>
          <w:ilvl w:val="0"/>
          <w:numId w:val="1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PROGNOMIQ, INC. (UNAUDITED)</w:t>
      </w:r>
    </w:p>
    <w:p>
      <w:pPr>
        <w:spacing w:after="0" w:line="150" w:lineRule="exact"/>
        <w:rPr>
          <w:sz w:val="20"/>
          <w:szCs w:val="20"/>
          <w:color w:val="auto"/>
        </w:rPr>
      </w:pPr>
    </w:p>
    <w:p>
      <w:pPr>
        <w:ind w:left="9" w:right="20" w:firstLine="273"/>
        <w:spacing w:after="0" w:line="269" w:lineRule="auto"/>
        <w:rPr>
          <w:sz w:val="20"/>
          <w:szCs w:val="20"/>
          <w:color w:val="auto"/>
        </w:rPr>
      </w:pPr>
      <w:r>
        <w:rPr>
          <w:rFonts w:ascii="Times New Roman" w:cs="Times New Roman" w:eastAsia="Times New Roman" w:hAnsi="Times New Roman"/>
          <w:sz w:val="15"/>
          <w:szCs w:val="15"/>
          <w:color w:val="auto"/>
        </w:rPr>
        <w:t>As discussed in Note 14, 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01" w:lineRule="exact"/>
        <w:rPr>
          <w:sz w:val="20"/>
          <w:szCs w:val="20"/>
          <w:color w:val="auto"/>
        </w:rPr>
      </w:pPr>
    </w:p>
    <w:p>
      <w:pPr>
        <w:ind w:left="9" w:right="80" w:firstLine="273"/>
        <w:spacing w:after="0" w:line="264" w:lineRule="auto"/>
        <w:rPr>
          <w:sz w:val="20"/>
          <w:szCs w:val="20"/>
          <w:color w:val="auto"/>
        </w:rPr>
      </w:pPr>
      <w:r>
        <w:rPr>
          <w:rFonts w:ascii="Times New Roman" w:cs="Times New Roman" w:eastAsia="Times New Roman" w:hAnsi="Times New Roman"/>
          <w:sz w:val="15"/>
          <w:szCs w:val="15"/>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September 30,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04" w:lineRule="exact"/>
        <w:rPr>
          <w:sz w:val="20"/>
          <w:szCs w:val="20"/>
          <w:color w:val="auto"/>
        </w:rPr>
      </w:pPr>
    </w:p>
    <w:p>
      <w:pPr>
        <w:ind w:left="9" w:firstLine="273"/>
        <w:spacing w:after="0" w:line="261" w:lineRule="auto"/>
        <w:rPr>
          <w:sz w:val="20"/>
          <w:szCs w:val="20"/>
          <w:color w:val="auto"/>
        </w:rPr>
      </w:pPr>
      <w:r>
        <w:rPr>
          <w:rFonts w:ascii="Times New Roman" w:cs="Times New Roman" w:eastAsia="Times New Roman" w:hAnsi="Times New Roman"/>
          <w:sz w:val="15"/>
          <w:szCs w:val="15"/>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07" w:lineRule="exact"/>
        <w:rPr>
          <w:sz w:val="20"/>
          <w:szCs w:val="20"/>
          <w:color w:val="auto"/>
        </w:rPr>
      </w:pPr>
    </w:p>
    <w:p>
      <w:pPr>
        <w:jc w:val="both"/>
        <w:ind w:left="9" w:right="140" w:firstLine="273"/>
        <w:spacing w:after="0" w:line="269" w:lineRule="auto"/>
        <w:rPr>
          <w:sz w:val="20"/>
          <w:szCs w:val="20"/>
          <w:color w:val="auto"/>
        </w:rPr>
      </w:pPr>
      <w:r>
        <w:rPr>
          <w:rFonts w:ascii="Times New Roman" w:cs="Times New Roman" w:eastAsia="Times New Roman" w:hAnsi="Times New Roman"/>
          <w:sz w:val="15"/>
          <w:szCs w:val="15"/>
          <w:color w:val="auto"/>
        </w:rPr>
        <w:t>The Company has determined that it has the ability to exercise significant influence over PrognomIQ and therefore has accounted for its investment in PrognomIQ using the equity method. During the nine months ended September 30, 2020, the carrying value of the Company’s investment in PrognomIQ was reduced to nil after recognizing net losses based on its percentage of ownership in PrognomIQ.</w:t>
      </w:r>
    </w:p>
    <w:p>
      <w:pPr>
        <w:spacing w:after="0" w:line="101" w:lineRule="exact"/>
        <w:rPr>
          <w:sz w:val="20"/>
          <w:szCs w:val="20"/>
          <w:color w:val="auto"/>
        </w:rPr>
      </w:pPr>
    </w:p>
    <w:p>
      <w:pPr>
        <w:ind w:left="9" w:right="100" w:firstLine="273"/>
        <w:spacing w:after="0" w:line="269" w:lineRule="auto"/>
        <w:rPr>
          <w:sz w:val="20"/>
          <w:szCs w:val="20"/>
          <w:color w:val="auto"/>
        </w:rPr>
      </w:pPr>
      <w:r>
        <w:rPr>
          <w:rFonts w:ascii="Times New Roman" w:cs="Times New Roman" w:eastAsia="Times New Roman" w:hAnsi="Times New Roman"/>
          <w:sz w:val="15"/>
          <w:szCs w:val="15"/>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01" w:lineRule="exact"/>
        <w:rPr>
          <w:sz w:val="20"/>
          <w:szCs w:val="20"/>
          <w:color w:val="auto"/>
        </w:rPr>
      </w:pPr>
    </w:p>
    <w:p>
      <w:pPr>
        <w:ind w:left="9" w:right="420" w:firstLine="273"/>
        <w:spacing w:after="0" w:line="286" w:lineRule="auto"/>
        <w:rPr>
          <w:sz w:val="20"/>
          <w:szCs w:val="20"/>
          <w:color w:val="auto"/>
        </w:rPr>
      </w:pPr>
      <w:r>
        <w:rPr>
          <w:rFonts w:ascii="Times New Roman" w:cs="Times New Roman" w:eastAsia="Times New Roman" w:hAnsi="Times New Roman"/>
          <w:sz w:val="15"/>
          <w:szCs w:val="15"/>
          <w:color w:val="auto"/>
        </w:rPr>
        <w:t>PrognomIQ constitutes a related party and as of September 30, 2020, the Company recorded $0.2 million in other receivables, related parties on the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F-31</w:t>
      </w:r>
    </w:p>
    <w:p>
      <w:pPr>
        <w:sectPr>
          <w:pgSz w:w="11900" w:h="16838" w:orient="portrait"/>
          <w:cols w:equalWidth="0" w:num="1">
            <w:col w:w="11269"/>
          </w:cols>
          <w:pgMar w:left="311" w:top="121" w:right="319" w:bottom="1440" w:gutter="0" w:footer="0" w:header="0"/>
        </w:sectPr>
      </w:pPr>
    </w:p>
    <w:bookmarkStart w:id="219" w:name="page220"/>
    <w:bookmarkEnd w:id="219"/>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 w:right="80" w:firstLine="273"/>
        <w:spacing w:after="0" w:line="264" w:lineRule="auto"/>
        <w:rPr>
          <w:sz w:val="20"/>
          <w:szCs w:val="20"/>
          <w:color w:val="auto"/>
        </w:rPr>
      </w:pPr>
      <w:r>
        <w:rPr>
          <w:rFonts w:ascii="Times New Roman" w:cs="Times New Roman" w:eastAsia="Times New Roman" w:hAnsi="Times New Roman"/>
          <w:sz w:val="15"/>
          <w:szCs w:val="15"/>
          <w:color w:val="auto"/>
        </w:rPr>
        <w:t>The Company's pro-rata distribution to its stockholders of most of the shares of capital stock of PrognomIQ resulted in a taxable gain of $6.4 million in August 2020. Due to the net loss incurred during the nine months ended September 30, 2020, the Company's net operating loss carryforwards, and the full valuation allowance recorded against the Company's net deferred tax assets, there is no income tax expense reflected on the statement of operations and comprehensive loss for the nine months ended September 30, 2020 related to this distribution.</w:t>
      </w:r>
    </w:p>
    <w:p>
      <w:pPr>
        <w:spacing w:after="0" w:line="100" w:lineRule="exact"/>
        <w:rPr>
          <w:sz w:val="20"/>
          <w:szCs w:val="20"/>
          <w:color w:val="auto"/>
        </w:rPr>
      </w:pPr>
    </w:p>
    <w:p>
      <w:pPr>
        <w:ind w:left="549" w:hanging="549"/>
        <w:spacing w:after="0"/>
        <w:tabs>
          <w:tab w:leader="none" w:pos="549" w:val="left"/>
        </w:tabs>
        <w:numPr>
          <w:ilvl w:val="0"/>
          <w:numId w:val="1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NET LOSS PER SHARE ATTRIBUTABLE TO COMMON STOCKHOLDERS</w:t>
      </w:r>
    </w:p>
    <w:p>
      <w:pPr>
        <w:spacing w:after="0" w:line="15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shows the computation of basic and diluted net loss per share (in thousands, except share and per share data):</w:t>
      </w:r>
    </w:p>
    <w:p>
      <w:pPr>
        <w:sectPr>
          <w:pgSz w:w="11900" w:h="16838" w:orient="portrait"/>
          <w:cols w:equalWidth="0" w:num="1">
            <w:col w:w="11269"/>
          </w:cols>
          <w:pgMar w:left="311" w:top="121" w:right="319" w:bottom="1440" w:gutter="0" w:footer="0" w:header="0"/>
        </w:sectPr>
      </w:pPr>
    </w:p>
    <w:p>
      <w:pPr>
        <w:spacing w:after="0" w:line="173" w:lineRule="exact"/>
        <w:rPr>
          <w:sz w:val="20"/>
          <w:szCs w:val="20"/>
          <w:color w:val="auto"/>
        </w:rPr>
      </w:pPr>
    </w:p>
    <w:p>
      <w:pPr>
        <w:jc w:val="center"/>
        <w:ind w:left="4689"/>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19685</wp:posOffset>
            </wp:positionV>
            <wp:extent cx="204787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ind w:left="5389"/>
        <w:spacing w:after="0"/>
        <w:tabs>
          <w:tab w:leader="none" w:pos="7029"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19685</wp:posOffset>
            </wp:positionV>
            <wp:extent cx="20478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19685</wp:posOffset>
            </wp:positionV>
            <wp:extent cx="20478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19685</wp:posOffset>
            </wp:positionV>
            <wp:extent cx="20478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42" w:lineRule="exact"/>
        <w:rPr>
          <w:sz w:val="20"/>
          <w:szCs w:val="20"/>
          <w:color w:val="auto"/>
        </w:rPr>
      </w:pPr>
    </w:p>
    <w:p>
      <w:pPr>
        <w:sectPr>
          <w:pgSz w:w="11900" w:h="16838" w:orient="portrait"/>
          <w:cols w:equalWidth="0" w:num="2">
            <w:col w:w="7989" w:space="720"/>
            <w:col w:w="2560"/>
          </w:cols>
          <w:pgMar w:left="311" w:top="121" w:right="319" w:bottom="1440" w:gutter="0" w:footer="0" w:header="0"/>
          <w:type w:val="continuous"/>
        </w:sectPr>
      </w:pPr>
    </w:p>
    <w:tbl>
      <w:tblPr>
        <w:tblLayout w:type="fixed"/>
        <w:tblInd w:w="9" w:type="dxa"/>
        <w:tblCellMar>
          <w:top w:w="0" w:type="dxa"/>
          <w:left w:w="0" w:type="dxa"/>
          <w:bottom w:w="0" w:type="dxa"/>
          <w:right w:w="0" w:type="dxa"/>
        </w:tblCellMar>
      </w:tblPr>
      <w:tr>
        <w:trPr>
          <w:trHeight w:val="18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Numerator:</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5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(6,307)</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(16,038)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(10,892)</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(19,839)</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Denominator:</w:t>
            </w: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Weighted-average common shares used in computing net loss per share</w:t>
            </w:r>
          </w:p>
        </w:tc>
        <w:tc>
          <w:tcPr>
            <w:tcW w:w="5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8,502,926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14,878,157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13,987,682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20,778,317</w:t>
            </w:r>
          </w:p>
        </w:tc>
        <w:tc>
          <w:tcPr>
            <w:tcW w:w="0" w:type="dxa"/>
            <w:vAlign w:val="bottom"/>
          </w:tcPr>
          <w:p>
            <w:pPr>
              <w:spacing w:after="0"/>
              <w:rPr>
                <w:sz w:val="1"/>
                <w:szCs w:val="1"/>
                <w:color w:val="auto"/>
              </w:rPr>
            </w:pPr>
          </w:p>
        </w:tc>
      </w:tr>
      <w:tr>
        <w:trPr>
          <w:trHeight w:val="170"/>
        </w:trPr>
        <w:tc>
          <w:tcPr>
            <w:tcW w:w="4720" w:type="dxa"/>
            <w:vAlign w:val="bottom"/>
          </w:tcPr>
          <w:p>
            <w:pPr>
              <w:ind w:left="140"/>
              <w:spacing w:after="0" w:line="171" w:lineRule="exact"/>
              <w:rPr>
                <w:sz w:val="20"/>
                <w:szCs w:val="20"/>
                <w:color w:val="auto"/>
              </w:rPr>
            </w:pPr>
            <w:r>
              <w:rPr>
                <w:rFonts w:ascii="Times New Roman" w:cs="Times New Roman" w:eastAsia="Times New Roman" w:hAnsi="Times New Roman"/>
                <w:sz w:val="15"/>
                <w:szCs w:val="15"/>
                <w:color w:val="auto"/>
              </w:rPr>
              <w:t>attributable to common stockholders, basic and diluted</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9" w:right="360" w:firstLine="273"/>
        <w:spacing w:after="0" w:line="286" w:lineRule="auto"/>
        <w:rPr>
          <w:sz w:val="20"/>
          <w:szCs w:val="20"/>
          <w:color w:val="auto"/>
        </w:rPr>
      </w:pPr>
      <w:r>
        <w:rPr>
          <w:rFonts w:ascii="Times New Roman" w:cs="Times New Roman" w:eastAsia="Times New Roman" w:hAnsi="Times New Roman"/>
          <w:sz w:val="15"/>
          <w:szCs w:val="15"/>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16"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4720" w:type="dxa"/>
            <w:vAlign w:val="bottom"/>
          </w:tcPr>
          <w:p>
            <w:pPr>
              <w:spacing w:after="0"/>
              <w:rPr>
                <w:sz w:val="14"/>
                <w:szCs w:val="14"/>
                <w:color w:val="auto"/>
              </w:rPr>
            </w:pPr>
          </w:p>
        </w:tc>
        <w:tc>
          <w:tcPr>
            <w:tcW w:w="214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80" w:type="dxa"/>
            <w:vAlign w:val="bottom"/>
            <w:tcBorders>
              <w:bottom w:val="single" w:sz="8" w:color="auto"/>
            </w:tcBorders>
          </w:tcPr>
          <w:p>
            <w:pPr>
              <w:spacing w:after="0"/>
              <w:rPr>
                <w:sz w:val="14"/>
                <w:szCs w:val="14"/>
                <w:color w:val="auto"/>
              </w:rPr>
            </w:pPr>
          </w:p>
        </w:tc>
      </w:tr>
      <w:tr>
        <w:trPr>
          <w:trHeight w:val="155"/>
        </w:trPr>
        <w:tc>
          <w:tcPr>
            <w:tcW w:w="4720" w:type="dxa"/>
            <w:vAlign w:val="bottom"/>
          </w:tcPr>
          <w:p>
            <w:pPr>
              <w:spacing w:after="0"/>
              <w:rPr>
                <w:sz w:val="13"/>
                <w:szCs w:val="13"/>
                <w:color w:val="auto"/>
              </w:rPr>
            </w:pPr>
          </w:p>
        </w:tc>
        <w:tc>
          <w:tcPr>
            <w:tcW w:w="15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c>
          <w:tcPr>
            <w:tcW w:w="1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50"/>
        </w:trPr>
        <w:tc>
          <w:tcPr>
            <w:tcW w:w="4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jc w:val="center"/>
              <w:ind w:left="99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080" w:type="dxa"/>
            <w:vAlign w:val="bottom"/>
          </w:tcPr>
          <w:p>
            <w:pPr>
              <w:spacing w:after="0"/>
              <w:rPr>
                <w:sz w:val="13"/>
                <w:szCs w:val="13"/>
                <w:color w:val="auto"/>
              </w:rPr>
            </w:pPr>
          </w:p>
        </w:tc>
      </w:tr>
      <w:tr>
        <w:trPr>
          <w:trHeight w:val="19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23,527,671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47,450,748</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30,527,671</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62,117,410</w:t>
            </w: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Class A common stock options issued and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3,158,027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4,656,931</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4,674,014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16,164,706</w:t>
            </w:r>
          </w:p>
        </w:tc>
      </w:tr>
      <w:tr>
        <w:trPr>
          <w:trHeight w:val="19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14,499,738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7,602,182</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9,187,975</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3,367,188</w:t>
            </w:r>
          </w:p>
        </w:tc>
      </w:tr>
      <w:tr>
        <w:trPr>
          <w:trHeight w:val="193"/>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 units</w:t>
            </w:r>
          </w:p>
        </w:tc>
        <w:tc>
          <w:tcPr>
            <w:tcW w:w="2140" w:type="dxa"/>
            <w:vAlign w:val="bottom"/>
            <w:gridSpan w:val="3"/>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140" w:type="dxa"/>
            <w:vAlign w:val="bottom"/>
            <w:gridSpan w:val="3"/>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717,319</w:t>
            </w:r>
          </w:p>
        </w:tc>
      </w:tr>
      <w:tr>
        <w:trPr>
          <w:trHeight w:val="209"/>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41,185,436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59,709,861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44,389,660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82,366,623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F-32</w:t>
      </w:r>
    </w:p>
    <w:p>
      <w:pPr>
        <w:sectPr>
          <w:pgSz w:w="11900" w:h="16838" w:orient="portrait"/>
          <w:cols w:equalWidth="0" w:num="1">
            <w:col w:w="11269"/>
          </w:cols>
          <w:pgMar w:left="311" w:top="121" w:right="319" w:bottom="1440" w:gutter="0" w:footer="0" w:header="0"/>
          <w:type w:val="continuous"/>
        </w:sectPr>
      </w:pPr>
    </w:p>
    <w:bookmarkStart w:id="220" w:name="page221"/>
    <w:bookmarkEnd w:id="22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Unaudited Pro Forma Net Loss per Share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Unaudited pro forma basic and diluted loss per share is computed as follows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7"/>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2"/>
                <w:szCs w:val="12"/>
                <w:b w:val="1"/>
                <w:bCs w:val="1"/>
                <w:color w:val="auto"/>
              </w:rPr>
              <w:t>September 30, 2020</w:t>
            </w: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Numerator:</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 forma net loss attributable to common stockholders</w:t>
            </w:r>
          </w:p>
        </w:tc>
        <w:tc>
          <w:tcPr>
            <w:tcW w:w="40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(19,839)</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Denominator:</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common shares used in computing net loss per share attributable to common stockholders, basic and diluted</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14,878,157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20,778,317</w:t>
            </w:r>
          </w:p>
        </w:tc>
        <w:tc>
          <w:tcPr>
            <w:tcW w:w="0" w:type="dxa"/>
            <w:vAlign w:val="bottom"/>
          </w:tcPr>
          <w:p>
            <w:pPr>
              <w:spacing w:after="0"/>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 to reflect the assumed conversion of convertible preferred stock</w:t>
            </w: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31,035,081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55,025,837</w:t>
            </w: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Pro forma weighted-average common shares used to compute net loss per share, basic and diluted</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45,913,238</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75,804,154</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net loss per share attributable to common stockholders, basic and diluted</w:t>
            </w:r>
          </w:p>
        </w:tc>
        <w:tc>
          <w:tcPr>
            <w:tcW w:w="400" w:type="dxa"/>
            <w:vAlign w:val="bottom"/>
            <w:tcBorders>
              <w:bottom w:val="single" w:sz="8" w:color="auto"/>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w w:val="85"/>
              </w:rPr>
              <w:t>13.</w:t>
            </w:r>
          </w:p>
        </w:tc>
        <w:tc>
          <w:tcPr>
            <w:tcW w:w="78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INCOME TAXES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80" w:type="dxa"/>
            <w:vAlign w:val="bottom"/>
            <w:vMerge w:val="continue"/>
          </w:tcPr>
          <w:p>
            <w:pPr>
              <w:spacing w:after="0"/>
              <w:rPr>
                <w:sz w:val="24"/>
                <w:szCs w:val="24"/>
                <w:color w:val="auto"/>
              </w:rPr>
            </w:pPr>
          </w:p>
        </w:tc>
        <w:tc>
          <w:tcPr>
            <w:tcW w:w="7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7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Income tax expense differs from the amount computed by applying the statutory federal income tax rate due to the following:</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6"/>
          </w:tcPr>
          <w:p>
            <w:pPr>
              <w:jc w:val="right"/>
              <w:ind w:right="847"/>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2"/>
                <w:szCs w:val="12"/>
                <w:b w:val="1"/>
                <w:bCs w:val="1"/>
                <w:color w:val="auto"/>
                <w:w w:val="99"/>
              </w:rPr>
              <w:t>2019</w:t>
            </w: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 tax benefits at statutory rate</w:t>
            </w:r>
          </w:p>
        </w:tc>
        <w:tc>
          <w:tcPr>
            <w:tcW w:w="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(1,169)</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(3,347)</w:t>
            </w:r>
          </w:p>
        </w:tc>
        <w:tc>
          <w:tcPr>
            <w:tcW w:w="0" w:type="dxa"/>
            <w:vAlign w:val="bottom"/>
          </w:tcPr>
          <w:p>
            <w:pPr>
              <w:spacing w:after="0"/>
              <w:rPr>
                <w:sz w:val="1"/>
                <w:szCs w:val="1"/>
                <w:color w:val="auto"/>
              </w:rPr>
            </w:pPr>
          </w:p>
        </w:tc>
      </w:tr>
      <w:tr>
        <w:trPr>
          <w:trHeight w:val="193"/>
        </w:trPr>
        <w:tc>
          <w:tcPr>
            <w:tcW w:w="8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State taxes, net of federal benefit</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0" w:type="dxa"/>
            <w:vAlign w:val="bottom"/>
          </w:tcPr>
          <w:p>
            <w:pPr>
              <w:spacing w:after="0"/>
              <w:rPr>
                <w:sz w:val="1"/>
                <w:szCs w:val="1"/>
                <w:color w:val="auto"/>
              </w:rPr>
            </w:pPr>
          </w:p>
        </w:tc>
      </w:tr>
      <w:tr>
        <w:trPr>
          <w:trHeight w:val="19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4,760</w:t>
            </w:r>
          </w:p>
        </w:tc>
        <w:tc>
          <w:tcPr>
            <w:tcW w:w="0" w:type="dxa"/>
            <w:vAlign w:val="bottom"/>
          </w:tcPr>
          <w:p>
            <w:pPr>
              <w:spacing w:after="0"/>
              <w:rPr>
                <w:sz w:val="1"/>
                <w:szCs w:val="1"/>
                <w:color w:val="auto"/>
              </w:rPr>
            </w:pPr>
          </w:p>
        </w:tc>
      </w:tr>
      <w:tr>
        <w:trPr>
          <w:trHeight w:val="193"/>
        </w:trPr>
        <w:tc>
          <w:tcPr>
            <w:tcW w:w="8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Permanent differences</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r>
        <w:trPr>
          <w:trHeight w:val="193"/>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193"/>
        </w:trPr>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39"/>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income tax expense</w:t>
            </w:r>
          </w:p>
        </w:tc>
        <w:tc>
          <w:tcPr>
            <w:tcW w:w="40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F-33</w:t>
      </w:r>
    </w:p>
    <w:p>
      <w:pPr>
        <w:sectPr>
          <w:pgSz w:w="11900" w:h="16838" w:orient="portrait"/>
          <w:cols w:equalWidth="0" w:num="1">
            <w:col w:w="11260"/>
          </w:cols>
          <w:pgMar w:left="320" w:top="121" w:right="31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273"/>
        <w:spacing w:after="0" w:line="286" w:lineRule="auto"/>
        <w:rPr>
          <w:sz w:val="20"/>
          <w:szCs w:val="20"/>
          <w:color w:val="auto"/>
        </w:rPr>
      </w:pPr>
      <w:r>
        <w:rPr>
          <w:rFonts w:ascii="Times New Roman" w:cs="Times New Roman" w:eastAsia="Times New Roman" w:hAnsi="Times New Roman"/>
          <w:sz w:val="15"/>
          <w:szCs w:val="15"/>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2"/>
                <w:szCs w:val="12"/>
                <w:b w:val="1"/>
                <w:bCs w:val="1"/>
                <w:color w:val="auto"/>
              </w:rPr>
              <w:t>2018</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7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3"/>
        </w:trPr>
        <w:tc>
          <w:tcPr>
            <w:tcW w:w="8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w:t>
            </w:r>
          </w:p>
        </w:tc>
        <w:tc>
          <w:tcPr>
            <w:tcW w:w="80" w:type="dxa"/>
            <w:vAlign w:val="bottom"/>
          </w:tcPr>
          <w:p>
            <w:pPr>
              <w:spacing w:after="0"/>
              <w:rPr>
                <w:sz w:val="16"/>
                <w:szCs w:val="16"/>
                <w:color w:val="auto"/>
              </w:rPr>
            </w:pP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4,991</w:t>
            </w:r>
          </w:p>
        </w:tc>
      </w:tr>
      <w:tr>
        <w:trPr>
          <w:trHeight w:val="19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assets and intangibles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8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Accrued expenses and reserves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r>
      <w:tr>
        <w:trPr>
          <w:trHeight w:val="19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r>
      <w:tr>
        <w:trPr>
          <w:trHeight w:val="193"/>
        </w:trPr>
        <w:tc>
          <w:tcPr>
            <w:tcW w:w="8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w:t>
            </w:r>
          </w:p>
        </w:tc>
      </w:tr>
      <w:tr>
        <w:trPr>
          <w:trHeight w:val="19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Gross deferred tax assets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6,704</w:t>
            </w:r>
          </w:p>
        </w:tc>
      </w:tr>
      <w:tr>
        <w:trPr>
          <w:trHeight w:val="19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valuation allowance</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(6,195)</w:t>
            </w:r>
          </w:p>
        </w:tc>
      </w:t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Net deferred tax assets</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6"/>
        </w:trPr>
        <w:tc>
          <w:tcPr>
            <w:tcW w:w="80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Deferred tax liabilities: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93"/>
        </w:trPr>
        <w:tc>
          <w:tcPr>
            <w:tcW w:w="80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Fixed assets and intangibles</w:t>
            </w:r>
          </w:p>
        </w:tc>
        <w:tc>
          <w:tcPr>
            <w:tcW w:w="10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w:t>
            </w:r>
          </w:p>
        </w:tc>
      </w:tr>
      <w:tr>
        <w:trPr>
          <w:trHeight w:val="184"/>
        </w:trPr>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deferred tax liabilities</w:t>
            </w: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w:t>
            </w:r>
          </w:p>
        </w:tc>
      </w:t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Total net deferred tax assets (liabilities)</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80" w:firstLine="273"/>
        <w:spacing w:after="0" w:line="257" w:lineRule="auto"/>
        <w:rPr>
          <w:sz w:val="20"/>
          <w:szCs w:val="20"/>
          <w:color w:val="auto"/>
        </w:rPr>
      </w:pPr>
      <w:r>
        <w:rPr>
          <w:rFonts w:ascii="Times New Roman" w:cs="Times New Roman" w:eastAsia="Times New Roman" w:hAnsi="Times New Roman"/>
          <w:sz w:val="15"/>
          <w:szCs w:val="15"/>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12" w:lineRule="exact"/>
        <w:rPr>
          <w:sz w:val="20"/>
          <w:szCs w:val="20"/>
          <w:color w:val="auto"/>
        </w:rPr>
      </w:pPr>
    </w:p>
    <w:p>
      <w:pPr>
        <w:ind w:right="160" w:firstLine="273"/>
        <w:spacing w:after="0" w:line="269" w:lineRule="auto"/>
        <w:rPr>
          <w:sz w:val="20"/>
          <w:szCs w:val="20"/>
          <w:color w:val="auto"/>
        </w:rPr>
      </w:pPr>
      <w:r>
        <w:rPr>
          <w:rFonts w:ascii="Times New Roman" w:cs="Times New Roman" w:eastAsia="Times New Roman" w:hAnsi="Times New Roman"/>
          <w:sz w:val="15"/>
          <w:szCs w:val="15"/>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01" w:lineRule="exact"/>
        <w:rPr>
          <w:sz w:val="20"/>
          <w:szCs w:val="20"/>
          <w:color w:val="auto"/>
        </w:rPr>
      </w:pPr>
    </w:p>
    <w:p>
      <w:pPr>
        <w:ind w:right="220" w:firstLine="273"/>
        <w:spacing w:after="0" w:line="286" w:lineRule="auto"/>
        <w:rPr>
          <w:sz w:val="20"/>
          <w:szCs w:val="20"/>
          <w:color w:val="auto"/>
        </w:rPr>
      </w:pPr>
      <w:r>
        <w:rPr>
          <w:rFonts w:ascii="Times New Roman" w:cs="Times New Roman" w:eastAsia="Times New Roman" w:hAnsi="Times New Roman"/>
          <w:sz w:val="15"/>
          <w:szCs w:val="15"/>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89" w:lineRule="exact"/>
        <w:rPr>
          <w:sz w:val="20"/>
          <w:szCs w:val="20"/>
          <w:color w:val="auto"/>
        </w:rPr>
      </w:pPr>
    </w:p>
    <w:p>
      <w:pPr>
        <w:jc w:val="both"/>
        <w:ind w:right="40" w:firstLine="273"/>
        <w:spacing w:after="0" w:line="269" w:lineRule="auto"/>
        <w:rPr>
          <w:sz w:val="20"/>
          <w:szCs w:val="20"/>
          <w:color w:val="auto"/>
        </w:rPr>
      </w:pPr>
      <w:r>
        <w:rPr>
          <w:rFonts w:ascii="Times New Roman" w:cs="Times New Roman" w:eastAsia="Times New Roman" w:hAnsi="Times New Roman"/>
          <w:sz w:val="15"/>
          <w:szCs w:val="15"/>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01" w:lineRule="exact"/>
        <w:rPr>
          <w:sz w:val="20"/>
          <w:szCs w:val="20"/>
          <w:color w:val="auto"/>
        </w:rPr>
      </w:pPr>
    </w:p>
    <w:p>
      <w:pPr>
        <w:ind w:right="380" w:firstLine="273"/>
        <w:spacing w:after="0" w:line="286" w:lineRule="auto"/>
        <w:rPr>
          <w:sz w:val="20"/>
          <w:szCs w:val="20"/>
          <w:color w:val="auto"/>
        </w:rPr>
      </w:pPr>
      <w:r>
        <w:rPr>
          <w:rFonts w:ascii="Times New Roman" w:cs="Times New Roman" w:eastAsia="Times New Roman" w:hAnsi="Times New Roman"/>
          <w:sz w:val="15"/>
          <w:szCs w:val="15"/>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F-34</w:t>
      </w:r>
    </w:p>
    <w:p>
      <w:pPr>
        <w:sectPr>
          <w:pgSz w:w="11900" w:h="16838" w:orient="portrait"/>
          <w:cols w:equalWidth="0" w:num="1">
            <w:col w:w="11260"/>
          </w:cols>
          <w:pgMar w:left="320" w:top="121" w:right="319" w:bottom="1440" w:gutter="0" w:footer="0" w:header="0"/>
        </w:sectPr>
      </w:pPr>
    </w:p>
    <w:bookmarkStart w:id="222" w:name="page223"/>
    <w:bookmarkEnd w:id="222"/>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next 12 months. No amounts would impact the effective tax rate on continuing operations as any change would offset with a corresponding adjustment to the valuation allowance.</w:t>
      </w:r>
    </w:p>
    <w:p>
      <w:pPr>
        <w:spacing w:after="0" w:line="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beginning and ending unrecognized tax benefits amounts is as follows (in thousands):</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65"/>
        </w:trPr>
        <w:tc>
          <w:tcPr>
            <w:tcW w:w="8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2018</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84"/>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93"/>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Change related to prior year provisions</w:t>
            </w:r>
          </w:p>
        </w:tc>
        <w:tc>
          <w:tcPr>
            <w:tcW w:w="108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9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related to current year provisions</w:t>
            </w:r>
          </w:p>
        </w:tc>
        <w:tc>
          <w:tcPr>
            <w:tcW w:w="10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r>
      <w:tr>
        <w:trPr>
          <w:trHeight w:val="184"/>
        </w:trPr>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Ending balance</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w:t>
            </w:r>
          </w:p>
        </w:tc>
      </w:tr>
      <w:tr>
        <w:trPr>
          <w:trHeight w:val="20"/>
        </w:trPr>
        <w:tc>
          <w:tcPr>
            <w:tcW w:w="8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9" w:right="400" w:firstLine="273"/>
        <w:spacing w:after="0" w:line="286" w:lineRule="auto"/>
        <w:rPr>
          <w:sz w:val="20"/>
          <w:szCs w:val="20"/>
          <w:color w:val="auto"/>
        </w:rPr>
      </w:pPr>
      <w:r>
        <w:rPr>
          <w:rFonts w:ascii="Times New Roman" w:cs="Times New Roman" w:eastAsia="Times New Roman" w:hAnsi="Times New Roman"/>
          <w:sz w:val="15"/>
          <w:szCs w:val="15"/>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89" w:lineRule="exact"/>
        <w:rPr>
          <w:sz w:val="20"/>
          <w:szCs w:val="20"/>
          <w:color w:val="auto"/>
        </w:rPr>
      </w:pPr>
    </w:p>
    <w:p>
      <w:pPr>
        <w:ind w:left="9" w:right="40" w:firstLine="273"/>
        <w:spacing w:after="0" w:line="286" w:lineRule="auto"/>
        <w:rPr>
          <w:sz w:val="20"/>
          <w:szCs w:val="20"/>
          <w:color w:val="auto"/>
        </w:rPr>
      </w:pPr>
      <w:r>
        <w:rPr>
          <w:rFonts w:ascii="Times New Roman" w:cs="Times New Roman" w:eastAsia="Times New Roman" w:hAnsi="Times New Roman"/>
          <w:sz w:val="15"/>
          <w:szCs w:val="15"/>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89" w:lineRule="exact"/>
        <w:rPr>
          <w:sz w:val="20"/>
          <w:szCs w:val="20"/>
          <w:color w:val="auto"/>
        </w:rPr>
      </w:pPr>
    </w:p>
    <w:p>
      <w:pPr>
        <w:jc w:val="both"/>
        <w:ind w:left="9" w:right="140" w:firstLine="273"/>
        <w:spacing w:after="0" w:line="269" w:lineRule="auto"/>
        <w:rPr>
          <w:sz w:val="20"/>
          <w:szCs w:val="20"/>
          <w:color w:val="auto"/>
        </w:rPr>
      </w:pPr>
      <w:r>
        <w:rPr>
          <w:rFonts w:ascii="Times New Roman" w:cs="Times New Roman" w:eastAsia="Times New Roman" w:hAnsi="Times New Roman"/>
          <w:sz w:val="15"/>
          <w:szCs w:val="15"/>
          <w:color w:val="auto"/>
        </w:rPr>
        <w:t>For the nine months ended September 30, 2019 and 2020 (unaudited),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01" w:lineRule="exact"/>
        <w:rPr>
          <w:sz w:val="20"/>
          <w:szCs w:val="20"/>
          <w:color w:val="auto"/>
        </w:rPr>
      </w:pPr>
    </w:p>
    <w:p>
      <w:pPr>
        <w:ind w:left="9" w:right="40" w:firstLine="273"/>
        <w:spacing w:after="0" w:line="258" w:lineRule="auto"/>
        <w:rPr>
          <w:sz w:val="20"/>
          <w:szCs w:val="20"/>
          <w:color w:val="auto"/>
        </w:rPr>
      </w:pPr>
      <w:r>
        <w:rPr>
          <w:rFonts w:ascii="Times New Roman" w:cs="Times New Roman" w:eastAsia="Times New Roman" w:hAnsi="Times New Roman"/>
          <w:sz w:val="15"/>
          <w:szCs w:val="15"/>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nine months ended September 30, 2020.</w:t>
      </w:r>
    </w:p>
    <w:p>
      <w:pPr>
        <w:spacing w:after="0" w:line="106" w:lineRule="exact"/>
        <w:rPr>
          <w:sz w:val="20"/>
          <w:szCs w:val="20"/>
          <w:color w:val="auto"/>
        </w:rPr>
      </w:pPr>
    </w:p>
    <w:p>
      <w:pPr>
        <w:ind w:left="549" w:hanging="549"/>
        <w:spacing w:after="0"/>
        <w:tabs>
          <w:tab w:leader="none" w:pos="549" w:val="left"/>
        </w:tabs>
        <w:numPr>
          <w:ilvl w:val="0"/>
          <w:numId w:val="1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SUBSEQUENT EVENTS</w:t>
      </w:r>
    </w:p>
    <w:p>
      <w:pPr>
        <w:spacing w:after="0" w:line="150" w:lineRule="exact"/>
        <w:rPr>
          <w:sz w:val="20"/>
          <w:szCs w:val="20"/>
          <w:color w:val="auto"/>
        </w:rPr>
      </w:pPr>
    </w:p>
    <w:p>
      <w:pPr>
        <w:ind w:left="9" w:right="60" w:firstLine="273"/>
        <w:spacing w:after="0" w:line="286" w:lineRule="auto"/>
        <w:rPr>
          <w:sz w:val="20"/>
          <w:szCs w:val="20"/>
          <w:color w:val="auto"/>
        </w:rPr>
      </w:pPr>
      <w:r>
        <w:rPr>
          <w:rFonts w:ascii="Times New Roman" w:cs="Times New Roman" w:eastAsia="Times New Roman" w:hAnsi="Times New Roman"/>
          <w:sz w:val="15"/>
          <w:szCs w:val="15"/>
          <w:color w:val="auto"/>
        </w:rPr>
        <w:t>The Company evaluated events subsequent from December 31, 2019 through September 25, 2020, the date at which the financial statements as of and for the years ended December 31, 2018 and 2019 were available to be issued.</w:t>
      </w:r>
    </w:p>
    <w:p>
      <w:pPr>
        <w:spacing w:after="0" w:line="89" w:lineRule="exact"/>
        <w:rPr>
          <w:sz w:val="20"/>
          <w:szCs w:val="20"/>
          <w:color w:val="auto"/>
        </w:rPr>
      </w:pPr>
    </w:p>
    <w:p>
      <w:pPr>
        <w:ind w:left="9" w:right="300" w:firstLine="273"/>
        <w:spacing w:after="0" w:line="286" w:lineRule="auto"/>
        <w:rPr>
          <w:sz w:val="20"/>
          <w:szCs w:val="20"/>
          <w:color w:val="auto"/>
        </w:rPr>
      </w:pPr>
      <w:r>
        <w:rPr>
          <w:rFonts w:ascii="Times New Roman" w:cs="Times New Roman" w:eastAsia="Times New Roman" w:hAnsi="Times New Roman"/>
          <w:sz w:val="15"/>
          <w:szCs w:val="15"/>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89" w:lineRule="exact"/>
        <w:rPr>
          <w:sz w:val="20"/>
          <w:szCs w:val="20"/>
          <w:color w:val="auto"/>
        </w:rPr>
      </w:pPr>
    </w:p>
    <w:p>
      <w:pPr>
        <w:ind w:left="269" w:right="1160"/>
        <w:spacing w:after="0" w:line="442" w:lineRule="auto"/>
        <w:rPr>
          <w:sz w:val="20"/>
          <w:szCs w:val="20"/>
          <w:color w:val="auto"/>
        </w:rPr>
      </w:pPr>
      <w:r>
        <w:rPr>
          <w:rFonts w:ascii="Times New Roman" w:cs="Times New Roman" w:eastAsia="Times New Roman" w:hAnsi="Times New Roman"/>
          <w:sz w:val="15"/>
          <w:szCs w:val="15"/>
          <w:color w:val="auto"/>
        </w:rPr>
        <w:t xml:space="preserve">In May 2020, the Company issued 14,666,662 shares of its Series D-1 convertible preferred stock at a price per share of $3.75 for gross proceeds of $55.0 million. </w:t>
      </w:r>
      <w:r>
        <w:rPr>
          <w:rFonts w:ascii="Times New Roman" w:cs="Times New Roman" w:eastAsia="Times New Roman" w:hAnsi="Times New Roman"/>
          <w:sz w:val="15"/>
          <w:szCs w:val="15"/>
          <w:b w:val="1"/>
          <w:bCs w:val="1"/>
          <w:i w:val="1"/>
          <w:iCs w:val="1"/>
          <w:color w:val="auto"/>
        </w:rPr>
        <w:t>COVID-19 Pandemic</w:t>
      </w:r>
    </w:p>
    <w:p>
      <w:pPr>
        <w:spacing w:after="0" w:line="1" w:lineRule="exact"/>
        <w:rPr>
          <w:sz w:val="20"/>
          <w:szCs w:val="20"/>
          <w:color w:val="auto"/>
        </w:rPr>
      </w:pPr>
    </w:p>
    <w:p>
      <w:pPr>
        <w:ind w:left="9" w:right="400" w:firstLine="273"/>
        <w:spacing w:after="0" w:line="286" w:lineRule="auto"/>
        <w:rPr>
          <w:sz w:val="20"/>
          <w:szCs w:val="20"/>
          <w:color w:val="auto"/>
        </w:rPr>
      </w:pPr>
      <w:r>
        <w:rPr>
          <w:rFonts w:ascii="Times New Roman" w:cs="Times New Roman" w:eastAsia="Times New Roman" w:hAnsi="Times New Roman"/>
          <w:sz w:val="15"/>
          <w:szCs w:val="15"/>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F-35</w:t>
      </w:r>
    </w:p>
    <w:p>
      <w:pPr>
        <w:sectPr>
          <w:pgSz w:w="11900" w:h="16838" w:orient="portrait"/>
          <w:cols w:equalWidth="0" w:num="1">
            <w:col w:w="11269"/>
          </w:cols>
          <w:pgMar w:left="311" w:top="121" w:right="31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firstLine="273"/>
        <w:spacing w:after="0" w:line="259" w:lineRule="auto"/>
        <w:rPr>
          <w:sz w:val="20"/>
          <w:szCs w:val="20"/>
          <w:color w:val="auto"/>
        </w:rPr>
      </w:pPr>
      <w:r>
        <w:rPr>
          <w:rFonts w:ascii="Times New Roman" w:cs="Times New Roman" w:eastAsia="Times New Roman" w:hAnsi="Times New Roman"/>
          <w:sz w:val="15"/>
          <w:szCs w:val="15"/>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10" w:lineRule="exact"/>
        <w:rPr>
          <w:sz w:val="20"/>
          <w:szCs w:val="20"/>
          <w:color w:val="auto"/>
        </w:rPr>
      </w:pPr>
    </w:p>
    <w:p>
      <w:pPr>
        <w:ind w:right="120" w:firstLine="273"/>
        <w:spacing w:after="0" w:line="261" w:lineRule="auto"/>
        <w:rPr>
          <w:sz w:val="20"/>
          <w:szCs w:val="20"/>
          <w:color w:val="auto"/>
        </w:rPr>
      </w:pPr>
      <w:r>
        <w:rPr>
          <w:rFonts w:ascii="Times New Roman" w:cs="Times New Roman" w:eastAsia="Times New Roman" w:hAnsi="Times New Roman"/>
          <w:sz w:val="15"/>
          <w:szCs w:val="15"/>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Lease Amendment</w:t>
      </w:r>
    </w:p>
    <w:p>
      <w:pPr>
        <w:spacing w:after="0" w:line="150" w:lineRule="exact"/>
        <w:rPr>
          <w:sz w:val="20"/>
          <w:szCs w:val="20"/>
          <w:color w:val="auto"/>
        </w:rPr>
      </w:pPr>
    </w:p>
    <w:p>
      <w:pPr>
        <w:ind w:right="80" w:firstLine="273"/>
        <w:spacing w:after="0" w:line="269" w:lineRule="auto"/>
        <w:rPr>
          <w:sz w:val="20"/>
          <w:szCs w:val="20"/>
          <w:color w:val="auto"/>
        </w:rPr>
      </w:pPr>
      <w:r>
        <w:rPr>
          <w:rFonts w:ascii="Times New Roman" w:cs="Times New Roman" w:eastAsia="Times New Roman" w:hAnsi="Times New Roman"/>
          <w:sz w:val="15"/>
          <w:szCs w:val="15"/>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01" w:lineRule="exact"/>
        <w:rPr>
          <w:sz w:val="20"/>
          <w:szCs w:val="20"/>
          <w:color w:val="auto"/>
        </w:rPr>
      </w:pPr>
    </w:p>
    <w:p>
      <w:pPr>
        <w:ind w:right="180" w:firstLine="273"/>
        <w:spacing w:after="0" w:line="264" w:lineRule="auto"/>
        <w:rPr>
          <w:sz w:val="20"/>
          <w:szCs w:val="20"/>
          <w:color w:val="auto"/>
        </w:rPr>
      </w:pPr>
      <w:r>
        <w:rPr>
          <w:rFonts w:ascii="Times New Roman" w:cs="Times New Roman" w:eastAsia="Times New Roman" w:hAnsi="Times New Roman"/>
          <w:sz w:val="15"/>
          <w:szCs w:val="15"/>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04" w:lineRule="exact"/>
        <w:rPr>
          <w:sz w:val="20"/>
          <w:szCs w:val="20"/>
          <w:color w:val="auto"/>
        </w:rPr>
      </w:pPr>
    </w:p>
    <w:p>
      <w:pPr>
        <w:ind w:right="180" w:firstLine="273"/>
        <w:spacing w:after="0" w:line="269" w:lineRule="auto"/>
        <w:rPr>
          <w:sz w:val="20"/>
          <w:szCs w:val="20"/>
          <w:color w:val="auto"/>
        </w:rPr>
      </w:pPr>
      <w:r>
        <w:rPr>
          <w:rFonts w:ascii="Times New Roman" w:cs="Times New Roman" w:eastAsia="Times New Roman" w:hAnsi="Times New Roman"/>
          <w:sz w:val="15"/>
          <w:szCs w:val="15"/>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PrognomIQ Transaction</w:t>
      </w:r>
    </w:p>
    <w:p>
      <w:pPr>
        <w:spacing w:after="0" w:line="150" w:lineRule="exact"/>
        <w:rPr>
          <w:sz w:val="20"/>
          <w:szCs w:val="20"/>
          <w:color w:val="auto"/>
        </w:rPr>
      </w:pPr>
    </w:p>
    <w:p>
      <w:pPr>
        <w:ind w:right="20" w:firstLine="273"/>
        <w:spacing w:after="0" w:line="261" w:lineRule="auto"/>
        <w:rPr>
          <w:sz w:val="20"/>
          <w:szCs w:val="20"/>
          <w:color w:val="auto"/>
        </w:rPr>
      </w:pPr>
      <w:r>
        <w:rPr>
          <w:rFonts w:ascii="Times New Roman" w:cs="Times New Roman" w:eastAsia="Times New Roman" w:hAnsi="Times New Roman"/>
          <w:sz w:val="15"/>
          <w:szCs w:val="15"/>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07"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Omid Farokhzad, Chief Executive Officer, serves as the Chair of PrognomIQ’s board of directors. Philip Ma resigned from his position as the Company’s Chief Business Officer and transitioned to the full-time Chief Executive Officer of PrognomIQ, effective October 15, 2020.</w:t>
      </w:r>
    </w:p>
    <w:p>
      <w:pPr>
        <w:spacing w:after="0" w:line="89" w:lineRule="exact"/>
        <w:rPr>
          <w:sz w:val="20"/>
          <w:szCs w:val="20"/>
          <w:color w:val="auto"/>
        </w:rPr>
      </w:pPr>
    </w:p>
    <w:p>
      <w:pPr>
        <w:ind w:right="540" w:firstLine="273"/>
        <w:spacing w:after="0" w:line="286" w:lineRule="auto"/>
        <w:rPr>
          <w:sz w:val="20"/>
          <w:szCs w:val="20"/>
          <w:color w:val="auto"/>
        </w:rPr>
      </w:pPr>
      <w:r>
        <w:rPr>
          <w:rFonts w:ascii="Times New Roman" w:cs="Times New Roman" w:eastAsia="Times New Roman" w:hAnsi="Times New Roman"/>
          <w:sz w:val="15"/>
          <w:szCs w:val="15"/>
          <w:color w:val="auto"/>
        </w:rPr>
        <w:t>Furthermore, pursuant to the anti-dilution provisions included in the Company's stock incentive plan, certain adjustments were made to the number and exercise price of the outstanding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F-36</w:t>
      </w:r>
    </w:p>
    <w:p>
      <w:pPr>
        <w:sectPr>
          <w:pgSz w:w="11900" w:h="16838" w:orient="portrait"/>
          <w:cols w:equalWidth="0" w:num="1">
            <w:col w:w="11240"/>
          </w:cols>
          <w:pgMar w:left="320" w:top="121" w:right="339" w:bottom="1440" w:gutter="0" w:footer="0" w:header="0"/>
        </w:sectPr>
      </w:pPr>
    </w:p>
    <w:bookmarkStart w:id="224" w:name="page225"/>
    <w:bookmarkEnd w:id="224"/>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 w:right="140"/>
        <w:spacing w:after="0" w:line="269" w:lineRule="auto"/>
        <w:rPr>
          <w:sz w:val="20"/>
          <w:szCs w:val="20"/>
          <w:color w:val="auto"/>
        </w:rPr>
      </w:pPr>
      <w:r>
        <w:rPr>
          <w:rFonts w:ascii="Times New Roman" w:cs="Times New Roman" w:eastAsia="Times New Roman" w:hAnsi="Times New Roman"/>
          <w:sz w:val="15"/>
          <w:szCs w:val="15"/>
          <w:color w:val="auto"/>
        </w:rPr>
        <w:t>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97" w:lineRule="exact"/>
        <w:rPr>
          <w:sz w:val="20"/>
          <w:szCs w:val="20"/>
          <w:color w:val="auto"/>
        </w:rPr>
      </w:pPr>
    </w:p>
    <w:p>
      <w:pPr>
        <w:ind w:left="549" w:hanging="549"/>
        <w:spacing w:after="0"/>
        <w:tabs>
          <w:tab w:leader="none" w:pos="549" w:val="left"/>
        </w:tabs>
        <w:numPr>
          <w:ilvl w:val="0"/>
          <w:numId w:val="1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SUBSEQUENT EVENTS (UNAUDITED)</w:t>
      </w:r>
    </w:p>
    <w:p>
      <w:pPr>
        <w:spacing w:after="0" w:line="150" w:lineRule="exact"/>
        <w:rPr>
          <w:sz w:val="20"/>
          <w:szCs w:val="20"/>
          <w:color w:val="auto"/>
        </w:rPr>
      </w:pPr>
    </w:p>
    <w:p>
      <w:pPr>
        <w:ind w:left="9" w:right="100" w:firstLine="273"/>
        <w:spacing w:after="0" w:line="286" w:lineRule="auto"/>
        <w:rPr>
          <w:sz w:val="20"/>
          <w:szCs w:val="20"/>
          <w:color w:val="auto"/>
        </w:rPr>
      </w:pPr>
      <w:r>
        <w:rPr>
          <w:rFonts w:ascii="Times New Roman" w:cs="Times New Roman" w:eastAsia="Times New Roman" w:hAnsi="Times New Roman"/>
          <w:sz w:val="15"/>
          <w:szCs w:val="15"/>
          <w:color w:val="auto"/>
        </w:rPr>
        <w:t>The Company evaluated subsequent events through October 30, 2020, the date at which the unaudited financial statements as of September 30, 2020 and for the nine months ended September 30, 2019 and 2020 were issued; except for the purchase agreement disclosed below as to which the date is November 12, 2020.</w:t>
      </w:r>
    </w:p>
    <w:p>
      <w:pPr>
        <w:spacing w:after="0" w:line="89" w:lineRule="exact"/>
        <w:rPr>
          <w:sz w:val="20"/>
          <w:szCs w:val="20"/>
          <w:color w:val="auto"/>
        </w:rPr>
      </w:pPr>
    </w:p>
    <w:p>
      <w:pPr>
        <w:jc w:val="both"/>
        <w:ind w:left="9" w:firstLine="273"/>
        <w:spacing w:after="0" w:line="269" w:lineRule="auto"/>
        <w:rPr>
          <w:sz w:val="20"/>
          <w:szCs w:val="20"/>
          <w:color w:val="auto"/>
        </w:rPr>
      </w:pPr>
      <w:r>
        <w:rPr>
          <w:rFonts w:ascii="Times New Roman" w:cs="Times New Roman" w:eastAsia="Times New Roman" w:hAnsi="Times New Roman"/>
          <w:sz w:val="15"/>
          <w:szCs w:val="15"/>
          <w:color w:val="auto"/>
        </w:rPr>
        <w:t>On November 12, 2020, the Company entered into a purchase agreement with Fidelity Management &amp; Research Company LLC, SoftBank, certain funds and accounts advised by T. Rowe Price Associates, Inc. and aMoon Fund to purchase an aggregate of $135.0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F-37</w:t>
      </w:r>
    </w:p>
    <w:p>
      <w:pPr>
        <w:sectPr>
          <w:pgSz w:w="11900" w:h="16838" w:orient="portrait"/>
          <w:cols w:equalWidth="0" w:num="1">
            <w:col w:w="11249"/>
          </w:cols>
          <w:pgMar w:left="311" w:top="121" w:right="339" w:bottom="1440" w:gutter="0" w:footer="0" w:header="0"/>
        </w:sectPr>
      </w:pPr>
    </w:p>
    <w:bookmarkStart w:id="225" w:name="page226"/>
    <w:bookmarkEnd w:id="2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903605</wp:posOffset>
            </wp:positionV>
            <wp:extent cx="715391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2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239395</wp:posOffset>
            </wp:positionV>
            <wp:extent cx="2524125" cy="8223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4125" cy="82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Seer, Inc.</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239395</wp:posOffset>
            </wp:positionV>
            <wp:extent cx="358394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40005</wp:posOffset>
            </wp:positionV>
            <wp:extent cx="358394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3400" w:val="left"/>
          <w:tab w:leader="none" w:pos="6700" w:val="left"/>
          <w:tab w:leader="none" w:pos="10480" w:val="left"/>
        </w:tabs>
        <w:rPr>
          <w:sz w:val="20"/>
          <w:szCs w:val="20"/>
          <w:color w:val="auto"/>
        </w:rPr>
      </w:pPr>
      <w:r>
        <w:rPr>
          <w:rFonts w:ascii="Times New Roman" w:cs="Times New Roman" w:eastAsia="Times New Roman" w:hAnsi="Times New Roman"/>
          <w:sz w:val="24"/>
          <w:szCs w:val="24"/>
          <w:b w:val="1"/>
          <w:bCs w:val="1"/>
          <w:color w:val="auto"/>
        </w:rPr>
        <w:t>J.P. Morgan</w:t>
      </w:r>
      <w:r>
        <w:rPr>
          <w:sz w:val="20"/>
          <w:szCs w:val="20"/>
          <w:color w:val="auto"/>
        </w:rPr>
        <w:tab/>
      </w:r>
      <w:r>
        <w:rPr>
          <w:rFonts w:ascii="Times New Roman" w:cs="Times New Roman" w:eastAsia="Times New Roman" w:hAnsi="Times New Roman"/>
          <w:sz w:val="24"/>
          <w:szCs w:val="24"/>
          <w:b w:val="1"/>
          <w:bCs w:val="1"/>
          <w:color w:val="auto"/>
        </w:rPr>
        <w:t>Morgan Stanley</w:t>
      </w:r>
      <w:r>
        <w:rPr>
          <w:sz w:val="20"/>
          <w:szCs w:val="20"/>
          <w:color w:val="auto"/>
        </w:rPr>
        <w:tab/>
      </w:r>
      <w:r>
        <w:rPr>
          <w:rFonts w:ascii="Times New Roman" w:cs="Times New Roman" w:eastAsia="Times New Roman" w:hAnsi="Times New Roman"/>
          <w:sz w:val="24"/>
          <w:szCs w:val="24"/>
          <w:b w:val="1"/>
          <w:bCs w:val="1"/>
          <w:color w:val="auto"/>
        </w:rPr>
        <w:t>BofA Securities</w:t>
      </w:r>
      <w:r>
        <w:rPr>
          <w:sz w:val="20"/>
          <w:szCs w:val="20"/>
          <w:color w:val="auto"/>
        </w:rPr>
        <w:tab/>
      </w:r>
      <w:r>
        <w:rPr>
          <w:rFonts w:ascii="Times New Roman" w:cs="Times New Roman" w:eastAsia="Times New Roman" w:hAnsi="Times New Roman"/>
          <w:sz w:val="24"/>
          <w:szCs w:val="24"/>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5"/>
          <w:szCs w:val="15"/>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5391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6" w:name="page227"/>
    <w:bookmarkEnd w:id="226"/>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INFORMATION NOT REQUIRED IN THE PROSPECTUS</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13. Other Expenses of Issuance and Distribution</w:t>
      </w:r>
    </w:p>
    <w:p>
      <w:pPr>
        <w:spacing w:after="0" w:line="150" w:lineRule="exact"/>
        <w:rPr>
          <w:sz w:val="20"/>
          <w:szCs w:val="20"/>
          <w:color w:val="auto"/>
        </w:rPr>
      </w:pPr>
    </w:p>
    <w:p>
      <w:pPr>
        <w:ind w:left="9" w:right="500" w:firstLine="273"/>
        <w:spacing w:after="0" w:line="269" w:lineRule="auto"/>
        <w:rPr>
          <w:sz w:val="20"/>
          <w:szCs w:val="20"/>
          <w:color w:val="auto"/>
        </w:rPr>
      </w:pPr>
      <w:r>
        <w:rPr>
          <w:rFonts w:ascii="Times New Roman" w:cs="Times New Roman" w:eastAsia="Times New Roman" w:hAnsi="Times New Roman"/>
          <w:sz w:val="15"/>
          <w:szCs w:val="15"/>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filing fee of the Financial Industry Regulatory Authority, Inc., or FINRA, and the Nasdaq Stock Market LLC, or Nasdaq, listing fee.</w:t>
      </w:r>
    </w:p>
    <w:p>
      <w:pPr>
        <w:spacing w:after="0" w:line="138"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968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 PAID OR TO BE</w:t>
            </w:r>
          </w:p>
        </w:tc>
        <w:tc>
          <w:tcPr>
            <w:tcW w:w="0" w:type="dxa"/>
            <w:vAlign w:val="bottom"/>
          </w:tcPr>
          <w:p>
            <w:pPr>
              <w:spacing w:after="0"/>
              <w:rPr>
                <w:sz w:val="1"/>
                <w:szCs w:val="1"/>
                <w:color w:val="auto"/>
              </w:rPr>
            </w:pPr>
          </w:p>
        </w:tc>
      </w:tr>
      <w:tr>
        <w:trPr>
          <w:trHeight w:val="160"/>
        </w:trPr>
        <w:tc>
          <w:tcPr>
            <w:tcW w:w="9680" w:type="dxa"/>
            <w:vAlign w:val="bottom"/>
          </w:tcPr>
          <w:p>
            <w:pPr>
              <w:spacing w:after="0"/>
              <w:rPr>
                <w:sz w:val="13"/>
                <w:szCs w:val="13"/>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PAID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16,365</w:t>
            </w:r>
          </w:p>
        </w:tc>
        <w:tc>
          <w:tcPr>
            <w:tcW w:w="0" w:type="dxa"/>
            <w:vAlign w:val="bottom"/>
          </w:tcPr>
          <w:p>
            <w:pPr>
              <w:spacing w:after="0"/>
              <w:rPr>
                <w:sz w:val="1"/>
                <w:szCs w:val="1"/>
                <w:color w:val="auto"/>
              </w:rPr>
            </w:pPr>
          </w:p>
        </w:tc>
      </w:tr>
      <w:tr>
        <w:trPr>
          <w:trHeight w:val="205"/>
        </w:trPr>
        <w:tc>
          <w:tcPr>
            <w:tcW w:w="9680" w:type="dxa"/>
            <w:vAlign w:val="bottom"/>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1020" w:type="dxa"/>
            <w:vAlign w:val="bottom"/>
          </w:tcPr>
          <w:p>
            <w:pPr>
              <w:jc w:val="right"/>
              <w:ind w:right="84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23,000</w:t>
            </w:r>
          </w:p>
        </w:tc>
        <w:tc>
          <w:tcPr>
            <w:tcW w:w="0" w:type="dxa"/>
            <w:vAlign w:val="bottom"/>
          </w:tcPr>
          <w:p>
            <w:pPr>
              <w:spacing w:after="0"/>
              <w:rPr>
                <w:sz w:val="1"/>
                <w:szCs w:val="1"/>
                <w:color w:val="auto"/>
              </w:rPr>
            </w:pPr>
          </w:p>
        </w:tc>
      </w:tr>
      <w:tr>
        <w:trPr>
          <w:trHeight w:val="22"/>
        </w:trPr>
        <w:tc>
          <w:tcPr>
            <w:tcW w:w="9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Nasdaq listing fee</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0" w:type="dxa"/>
            <w:vAlign w:val="bottom"/>
          </w:tcPr>
          <w:p>
            <w:pPr>
              <w:spacing w:after="0"/>
              <w:rPr>
                <w:sz w:val="1"/>
                <w:szCs w:val="1"/>
                <w:color w:val="auto"/>
              </w:rPr>
            </w:pPr>
          </w:p>
        </w:tc>
      </w:tr>
      <w:tr>
        <w:trPr>
          <w:trHeight w:val="205"/>
        </w:trPr>
        <w:tc>
          <w:tcPr>
            <w:tcW w:w="9680" w:type="dxa"/>
            <w:vAlign w:val="bottom"/>
          </w:tcPr>
          <w:p>
            <w:pPr>
              <w:spacing w:after="0"/>
              <w:rPr>
                <w:sz w:val="20"/>
                <w:szCs w:val="20"/>
                <w:color w:val="auto"/>
              </w:rPr>
            </w:pPr>
            <w:r>
              <w:rPr>
                <w:rFonts w:ascii="Times New Roman" w:cs="Times New Roman" w:eastAsia="Times New Roman" w:hAnsi="Times New Roman"/>
                <w:sz w:val="15"/>
                <w:szCs w:val="15"/>
                <w:color w:val="auto"/>
              </w:rPr>
              <w:t>Printing and engraving expenses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
        </w:trPr>
        <w:tc>
          <w:tcPr>
            <w:tcW w:w="9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9680" w:type="dxa"/>
            <w:vAlign w:val="bottom"/>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
        </w:trPr>
        <w:tc>
          <w:tcPr>
            <w:tcW w:w="9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 agent and registrar fees</w:t>
            </w: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9680" w:type="dxa"/>
            <w:vAlign w:val="bottom"/>
          </w:tcPr>
          <w:p>
            <w:pPr>
              <w:spacing w:after="0"/>
              <w:rPr>
                <w:sz w:val="20"/>
                <w:szCs w:val="20"/>
                <w:color w:val="auto"/>
              </w:rPr>
            </w:pPr>
            <w:r>
              <w:rPr>
                <w:rFonts w:ascii="Times New Roman" w:cs="Times New Roman" w:eastAsia="Times New Roman" w:hAnsi="Times New Roman"/>
                <w:sz w:val="15"/>
                <w:szCs w:val="15"/>
                <w:color w:val="auto"/>
              </w:rPr>
              <w:t>Miscellaneous expenses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
        </w:trPr>
        <w:tc>
          <w:tcPr>
            <w:tcW w:w="96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2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6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69" w:hanging="269"/>
        <w:spacing w:after="0"/>
        <w:tabs>
          <w:tab w:leader="none" w:pos="269"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completed by amendment.</w:t>
      </w:r>
    </w:p>
    <w:p>
      <w:pPr>
        <w:spacing w:after="0" w:line="12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14. Indemnification of Directors and Officers</w:t>
      </w:r>
    </w:p>
    <w:p>
      <w:pPr>
        <w:spacing w:after="0" w:line="150" w:lineRule="exact"/>
        <w:rPr>
          <w:sz w:val="20"/>
          <w:szCs w:val="20"/>
          <w:color w:val="auto"/>
        </w:rPr>
      </w:pPr>
    </w:p>
    <w:p>
      <w:pPr>
        <w:ind w:left="9" w:right="40" w:firstLine="273"/>
        <w:spacing w:after="0" w:line="256" w:lineRule="auto"/>
        <w:rPr>
          <w:sz w:val="20"/>
          <w:szCs w:val="20"/>
          <w:color w:val="auto"/>
        </w:rPr>
      </w:pPr>
      <w:r>
        <w:rPr>
          <w:rFonts w:ascii="Times New Roman" w:cs="Times New Roman" w:eastAsia="Times New Roman" w:hAnsi="Times New Roman"/>
          <w:sz w:val="15"/>
          <w:szCs w:val="15"/>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14" w:lineRule="exact"/>
        <w:rPr>
          <w:sz w:val="20"/>
          <w:szCs w:val="20"/>
          <w:color w:val="auto"/>
        </w:rPr>
      </w:pPr>
    </w:p>
    <w:p>
      <w:pPr>
        <w:ind w:left="9" w:right="40" w:firstLine="273"/>
        <w:spacing w:after="0" w:line="259" w:lineRule="auto"/>
        <w:rPr>
          <w:sz w:val="20"/>
          <w:szCs w:val="20"/>
          <w:color w:val="auto"/>
        </w:rPr>
      </w:pPr>
      <w:r>
        <w:rPr>
          <w:rFonts w:ascii="Times New Roman" w:cs="Times New Roman" w:eastAsia="Times New Roman" w:hAnsi="Times New Roman"/>
          <w:sz w:val="15"/>
          <w:szCs w:val="15"/>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II-1</w:t>
      </w:r>
    </w:p>
    <w:p>
      <w:pPr>
        <w:sectPr>
          <w:pgSz w:w="11900" w:h="16838" w:orient="portrait"/>
          <w:cols w:equalWidth="0" w:num="1">
            <w:col w:w="11269"/>
          </w:cols>
          <w:pgMar w:left="311" w:top="121" w:right="319" w:bottom="1440" w:gutter="0" w:footer="0" w:header="0"/>
        </w:sectPr>
      </w:pPr>
    </w:p>
    <w:bookmarkStart w:id="227" w:name="page228"/>
    <w:bookmarkEnd w:id="227"/>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then the liability of the registrant’s directors shall be eliminated or limited to the fullest extent permitted by the DGCL, as so amended.</w:t>
      </w:r>
    </w:p>
    <w:p>
      <w:pPr>
        <w:spacing w:after="0" w:line="146" w:lineRule="exact"/>
        <w:rPr>
          <w:sz w:val="20"/>
          <w:szCs w:val="20"/>
          <w:color w:val="auto"/>
        </w:rPr>
      </w:pPr>
    </w:p>
    <w:p>
      <w:pPr>
        <w:ind w:firstLine="273"/>
        <w:spacing w:after="0" w:line="264" w:lineRule="auto"/>
        <w:rPr>
          <w:sz w:val="20"/>
          <w:szCs w:val="20"/>
          <w:color w:val="auto"/>
        </w:rPr>
      </w:pPr>
      <w:r>
        <w:rPr>
          <w:rFonts w:ascii="Times New Roman" w:cs="Times New Roman" w:eastAsia="Times New Roman" w:hAnsi="Times New Roman"/>
          <w:sz w:val="15"/>
          <w:szCs w:val="15"/>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04" w:lineRule="exact"/>
        <w:rPr>
          <w:sz w:val="20"/>
          <w:szCs w:val="20"/>
          <w:color w:val="auto"/>
        </w:rPr>
      </w:pPr>
    </w:p>
    <w:p>
      <w:pPr>
        <w:ind w:right="380" w:firstLine="273"/>
        <w:spacing w:after="0" w:line="269" w:lineRule="auto"/>
        <w:rPr>
          <w:sz w:val="20"/>
          <w:szCs w:val="20"/>
          <w:color w:val="auto"/>
        </w:rPr>
      </w:pPr>
      <w:r>
        <w:rPr>
          <w:rFonts w:ascii="Times New Roman" w:cs="Times New Roman" w:eastAsia="Times New Roman" w:hAnsi="Times New Roman"/>
          <w:sz w:val="15"/>
          <w:szCs w:val="15"/>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01" w:lineRule="exact"/>
        <w:rPr>
          <w:sz w:val="20"/>
          <w:szCs w:val="20"/>
          <w:color w:val="auto"/>
        </w:rPr>
      </w:pPr>
    </w:p>
    <w:p>
      <w:pPr>
        <w:ind w:right="120" w:firstLine="273"/>
        <w:spacing w:after="0" w:line="264" w:lineRule="auto"/>
        <w:rPr>
          <w:sz w:val="20"/>
          <w:szCs w:val="20"/>
          <w:color w:val="auto"/>
        </w:rPr>
      </w:pPr>
      <w:r>
        <w:rPr>
          <w:rFonts w:ascii="Times New Roman" w:cs="Times New Roman" w:eastAsia="Times New Roman" w:hAnsi="Times New Roman"/>
          <w:sz w:val="15"/>
          <w:szCs w:val="15"/>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04"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89" w:lineRule="exact"/>
        <w:rPr>
          <w:sz w:val="20"/>
          <w:szCs w:val="20"/>
          <w:color w:val="auto"/>
        </w:rPr>
      </w:pPr>
    </w:p>
    <w:p>
      <w:pPr>
        <w:jc w:val="both"/>
        <w:ind w:right="100" w:firstLine="273"/>
        <w:spacing w:after="0" w:line="269" w:lineRule="auto"/>
        <w:rPr>
          <w:sz w:val="20"/>
          <w:szCs w:val="20"/>
          <w:color w:val="auto"/>
        </w:rPr>
      </w:pPr>
      <w:r>
        <w:rPr>
          <w:rFonts w:ascii="Times New Roman" w:cs="Times New Roman" w:eastAsia="Times New Roman" w:hAnsi="Times New Roman"/>
          <w:sz w:val="15"/>
          <w:szCs w:val="15"/>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15. Recent Sales of Unregistered Securities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Since January 1, 2017, we have issued the following unregistered securities: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Issuances of Convertible Preferred Stock</w:t>
      </w:r>
    </w:p>
    <w:p>
      <w:pPr>
        <w:spacing w:after="0" w:line="150" w:lineRule="exact"/>
        <w:rPr>
          <w:sz w:val="20"/>
          <w:szCs w:val="20"/>
          <w:color w:val="auto"/>
        </w:rPr>
      </w:pPr>
    </w:p>
    <w:p>
      <w:pPr>
        <w:ind w:left="540" w:right="140" w:hanging="277"/>
        <w:spacing w:after="0" w:line="286" w:lineRule="auto"/>
        <w:tabs>
          <w:tab w:leader="none" w:pos="536"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20, 2017, we sold 6,607,201 shares of Series A convertible preferred stock to eleven accredited investors at a price of $0.9081 per share, for aggregate proceeds of approximately $6,000,000.</w:t>
      </w:r>
    </w:p>
    <w:p>
      <w:pPr>
        <w:spacing w:after="0" w:line="88" w:lineRule="exact"/>
        <w:rPr>
          <w:rFonts w:ascii="Times New Roman" w:cs="Times New Roman" w:eastAsia="Times New Roman" w:hAnsi="Times New Roman"/>
          <w:sz w:val="15"/>
          <w:szCs w:val="15"/>
          <w:color w:val="auto"/>
        </w:rPr>
      </w:pPr>
    </w:p>
    <w:p>
      <w:pPr>
        <w:ind w:left="540" w:right="220" w:hanging="277"/>
        <w:spacing w:after="0" w:line="286" w:lineRule="auto"/>
        <w:tabs>
          <w:tab w:leader="none" w:pos="536"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23, 2018, we sold 16,920,470 shares of Series B convertible preferred stock to eleven accredited investors at a price of $1.773 per share, for aggregate proceeds of approximately $30,000,000.</w:t>
      </w:r>
    </w:p>
    <w:p>
      <w:pPr>
        <w:spacing w:after="0" w:line="88" w:lineRule="exact"/>
        <w:rPr>
          <w:rFonts w:ascii="Times New Roman" w:cs="Times New Roman" w:eastAsia="Times New Roman" w:hAnsi="Times New Roman"/>
          <w:sz w:val="15"/>
          <w:szCs w:val="15"/>
          <w:color w:val="auto"/>
        </w:rPr>
      </w:pPr>
    </w:p>
    <w:p>
      <w:pPr>
        <w:ind w:left="540" w:right="200" w:hanging="277"/>
        <w:spacing w:after="0" w:line="286" w:lineRule="auto"/>
        <w:tabs>
          <w:tab w:leader="none" w:pos="536"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7, 2019 and April 12, 2019, we sold 4,000,000 and 3,000,000 shares of Series C convertible preferred stock, respectively, to eight accredited investors at a price of $2.50 per share, for total aggregate proceeds of approximately $17,500,000.</w:t>
      </w:r>
    </w:p>
    <w:p>
      <w:pPr>
        <w:spacing w:after="0" w:line="88"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7, 2019, we issued convertible promissory notes in the aggregate principal amount of $400,000 to two accredited investors.</w:t>
      </w:r>
    </w:p>
    <w:p>
      <w:pPr>
        <w:spacing w:after="0" w:line="145" w:lineRule="exact"/>
        <w:rPr>
          <w:rFonts w:ascii="Times New Roman" w:cs="Times New Roman" w:eastAsia="Times New Roman" w:hAnsi="Times New Roman"/>
          <w:sz w:val="15"/>
          <w:szCs w:val="15"/>
          <w:color w:val="auto"/>
        </w:rPr>
      </w:pPr>
    </w:p>
    <w:p>
      <w:pPr>
        <w:ind w:left="540" w:right="160" w:hanging="277"/>
        <w:spacing w:after="0" w:line="286" w:lineRule="auto"/>
        <w:tabs>
          <w:tab w:leader="none" w:pos="536"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15, 2019 and December 13, 2019, we sold 15,238,082 and 1,684,995 shares of Series D convertible preferred stock, respectively, to 18 accredited investors at a price of $3.25 per share, for total aggregate proceeds of approximately $55,000,000, which consideration included $400,000 in cancellation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II-2</w:t>
      </w:r>
    </w:p>
    <w:p>
      <w:pPr>
        <w:sectPr>
          <w:pgSz w:w="11900" w:h="16838" w:orient="portrait"/>
          <w:cols w:equalWidth="0" w:num="1">
            <w:col w:w="11240"/>
          </w:cols>
          <w:pgMar w:left="320" w:top="121" w:right="339" w:bottom="1440" w:gutter="0" w:footer="0" w:header="0"/>
        </w:sectPr>
      </w:pPr>
    </w:p>
    <w:bookmarkStart w:id="228" w:name="page229"/>
    <w:bookmarkEnd w:id="228"/>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540" w:hanging="277"/>
        <w:spacing w:after="0" w:line="286" w:lineRule="auto"/>
        <w:tabs>
          <w:tab w:leader="none" w:pos="536"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12, 2020, we sold 14,666,662 shares of Series D-1 convertible preferred stock to 21 accredited investors at a price of $3.75 per share, for aggregate proceeds of approximately $55,000,000.</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Option, RSU and Common Stock Issuances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Since January 1, 2017, we have issued the following unregistered securities:</w:t>
      </w:r>
    </w:p>
    <w:p>
      <w:pPr>
        <w:spacing w:after="0" w:line="146" w:lineRule="exact"/>
        <w:rPr>
          <w:sz w:val="20"/>
          <w:szCs w:val="20"/>
          <w:color w:val="auto"/>
        </w:rPr>
      </w:pPr>
    </w:p>
    <w:p>
      <w:pPr>
        <w:ind w:left="540" w:right="160" w:hanging="277"/>
        <w:spacing w:after="0" w:line="286" w:lineRule="auto"/>
        <w:tabs>
          <w:tab w:leader="none" w:pos="53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September 20, 2017 to November 12, 2020, we granted to our directors, officers, employees, consultants and other service providers options to purchase an aggregate of 22,671,881 shares of our Class A common stock under our equity compensation plans, at exercise prices ranging from approximately $0.01 to $3.72 per share.</w:t>
      </w:r>
    </w:p>
    <w:p>
      <w:pPr>
        <w:spacing w:after="0" w:line="88" w:lineRule="exact"/>
        <w:rPr>
          <w:rFonts w:ascii="Times New Roman" w:cs="Times New Roman" w:eastAsia="Times New Roman" w:hAnsi="Times New Roman"/>
          <w:sz w:val="15"/>
          <w:szCs w:val="15"/>
          <w:color w:val="auto"/>
        </w:rPr>
      </w:pPr>
    </w:p>
    <w:p>
      <w:pPr>
        <w:ind w:left="540" w:right="80" w:hanging="277"/>
        <w:spacing w:after="0" w:line="269" w:lineRule="auto"/>
        <w:tabs>
          <w:tab w:leader="none" w:pos="53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September 20, 2017 to November 12, 2020 we issued and sold to our officers, directors, employees, consultants and other service providers an aggregate of 3,546,183 shares of our Class A common stock upon the exercise of options under our equity compensation plans at exercise prices ranging from $0.01 to $1.62 per share, for a weighted-average exercise price of $0.34 per share.</w:t>
      </w:r>
    </w:p>
    <w:p>
      <w:pPr>
        <w:spacing w:after="0" w:line="101" w:lineRule="exact"/>
        <w:rPr>
          <w:rFonts w:ascii="Times New Roman" w:cs="Times New Roman" w:eastAsia="Times New Roman" w:hAnsi="Times New Roman"/>
          <w:sz w:val="15"/>
          <w:szCs w:val="15"/>
          <w:color w:val="auto"/>
        </w:rPr>
      </w:pPr>
    </w:p>
    <w:p>
      <w:pPr>
        <w:ind w:left="540" w:right="360" w:hanging="277"/>
        <w:spacing w:after="0" w:line="286" w:lineRule="auto"/>
        <w:tabs>
          <w:tab w:leader="none" w:pos="53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September 20, 2017 to February 26, 2018, we issued and sold to our officers, directors, employees, consultants and other service providers an aggregate of 4,308,230 shares of our Class A common stock under our equity compensation plans at exercise prices ranging from $0.00001 to $0.01 per share.</w:t>
      </w:r>
    </w:p>
    <w:p>
      <w:pPr>
        <w:spacing w:after="0" w:line="88" w:lineRule="exact"/>
        <w:rPr>
          <w:rFonts w:ascii="Times New Roman" w:cs="Times New Roman" w:eastAsia="Times New Roman" w:hAnsi="Times New Roman"/>
          <w:sz w:val="15"/>
          <w:szCs w:val="15"/>
          <w:color w:val="auto"/>
        </w:rPr>
      </w:pPr>
    </w:p>
    <w:p>
      <w:pPr>
        <w:ind w:left="540" w:right="400" w:hanging="277"/>
        <w:spacing w:after="0" w:line="286" w:lineRule="auto"/>
        <w:tabs>
          <w:tab w:leader="none" w:pos="53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20, 2017, we issued and sold to our officers, directors, employees, consultants and other service providers an aggregate of 20,000,000 shares of our Class B common stock at a purchase price of $0.00001 per share.</w:t>
      </w:r>
    </w:p>
    <w:p>
      <w:pPr>
        <w:spacing w:after="0" w:line="88" w:lineRule="exact"/>
        <w:rPr>
          <w:rFonts w:ascii="Times New Roman" w:cs="Times New Roman" w:eastAsia="Times New Roman" w:hAnsi="Times New Roman"/>
          <w:sz w:val="15"/>
          <w:szCs w:val="15"/>
          <w:color w:val="auto"/>
        </w:rPr>
      </w:pPr>
    </w:p>
    <w:p>
      <w:pPr>
        <w:ind w:left="540" w:right="80" w:hanging="277"/>
        <w:spacing w:after="0" w:line="286" w:lineRule="auto"/>
        <w:tabs>
          <w:tab w:leader="none" w:pos="53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April 1, 2020 to November 12, 2020, we granted to our directors, officers, employees, consultants and other service providers an aggregate of 817,319 RSUs to be settled in shares of our Class A common stock under our equity compensation plans.</w:t>
      </w:r>
    </w:p>
    <w:p>
      <w:pPr>
        <w:spacing w:after="0" w:line="89"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None of the foregoing transactions involved any underwriters, underwriting discounts or commissions, or any public offering. Except as set forth below,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 Exhibit and Financial Statement Schedules</w:t>
      </w:r>
    </w:p>
    <w:p>
      <w:pPr>
        <w:spacing w:after="0" w:line="146" w:lineRule="exact"/>
        <w:rPr>
          <w:sz w:val="20"/>
          <w:szCs w:val="20"/>
          <w:color w:val="auto"/>
        </w:rPr>
      </w:pPr>
    </w:p>
    <w:p>
      <w:pPr>
        <w:ind w:left="540" w:hanging="277"/>
        <w:spacing w:after="0"/>
        <w:tabs>
          <w:tab w:leader="none" w:pos="5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Exhibits</w:t>
      </w:r>
      <w:r>
        <w:rPr>
          <w:rFonts w:ascii="Times New Roman" w:cs="Times New Roman" w:eastAsia="Times New Roman" w:hAnsi="Times New Roman"/>
          <w:sz w:val="15"/>
          <w:szCs w:val="15"/>
          <w:b w:val="1"/>
          <w:bCs w:val="1"/>
          <w:color w:val="auto"/>
        </w:rPr>
        <w:t>.</w:t>
      </w:r>
    </w:p>
    <w:p>
      <w:pPr>
        <w:spacing w:after="0" w:line="150" w:lineRule="exact"/>
        <w:rPr>
          <w:sz w:val="20"/>
          <w:szCs w:val="20"/>
          <w:color w:val="auto"/>
        </w:rPr>
      </w:pPr>
    </w:p>
    <w:p>
      <w:pPr>
        <w:ind w:right="720" w:firstLine="273"/>
        <w:spacing w:after="0" w:line="286" w:lineRule="auto"/>
        <w:rPr>
          <w:sz w:val="20"/>
          <w:szCs w:val="20"/>
          <w:color w:val="auto"/>
        </w:rPr>
      </w:pPr>
      <w:r>
        <w:rPr>
          <w:rFonts w:ascii="Times New Roman" w:cs="Times New Roman" w:eastAsia="Times New Roman" w:hAnsi="Times New Roman"/>
          <w:sz w:val="15"/>
          <w:szCs w:val="15"/>
          <w:color w:val="auto"/>
        </w:rPr>
        <w:t>See the Exhibit Index immediately preceding the signature page hereto for a list of exhibits filed as part of this registration statement on Form S-1, which Exhibit Index is incorporated herein by reference.</w:t>
      </w:r>
    </w:p>
    <w:p>
      <w:pPr>
        <w:spacing w:after="0" w:line="85" w:lineRule="exact"/>
        <w:rPr>
          <w:sz w:val="20"/>
          <w:szCs w:val="20"/>
          <w:color w:val="auto"/>
        </w:rPr>
      </w:pPr>
    </w:p>
    <w:p>
      <w:pPr>
        <w:ind w:left="540" w:hanging="277"/>
        <w:spacing w:after="0"/>
        <w:tabs>
          <w:tab w:leader="none" w:pos="5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Financial Statement Schedules.</w:t>
      </w:r>
    </w:p>
    <w:p>
      <w:pPr>
        <w:spacing w:after="0" w:line="150" w:lineRule="exact"/>
        <w:rPr>
          <w:sz w:val="20"/>
          <w:szCs w:val="20"/>
          <w:color w:val="auto"/>
        </w:rPr>
      </w:pPr>
    </w:p>
    <w:p>
      <w:pPr>
        <w:ind w:right="1460" w:firstLine="273"/>
        <w:spacing w:after="0" w:line="442" w:lineRule="auto"/>
        <w:rPr>
          <w:sz w:val="20"/>
          <w:szCs w:val="20"/>
          <w:color w:val="auto"/>
        </w:rPr>
      </w:pPr>
      <w:r>
        <w:rPr>
          <w:rFonts w:ascii="Times New Roman" w:cs="Times New Roman" w:eastAsia="Times New Roman" w:hAnsi="Times New Roman"/>
          <w:sz w:val="15"/>
          <w:szCs w:val="15"/>
          <w:color w:val="auto"/>
        </w:rPr>
        <w:t xml:space="preserve">Schedules have been omitted because the information required to be set forth therein is not applicable or is shown in the financial statements or notes thereto. </w:t>
      </w:r>
      <w:r>
        <w:rPr>
          <w:rFonts w:ascii="Times New Roman" w:cs="Times New Roman" w:eastAsia="Times New Roman" w:hAnsi="Times New Roman"/>
          <w:sz w:val="15"/>
          <w:szCs w:val="15"/>
          <w:b w:val="1"/>
          <w:bCs w:val="1"/>
          <w:color w:val="auto"/>
        </w:rPr>
        <w:t>Item 17. Undertakings</w:t>
      </w:r>
    </w:p>
    <w:p>
      <w:pPr>
        <w:spacing w:after="0" w:line="1" w:lineRule="exact"/>
        <w:rPr>
          <w:sz w:val="20"/>
          <w:szCs w:val="20"/>
          <w:color w:val="auto"/>
        </w:rPr>
      </w:pPr>
    </w:p>
    <w:p>
      <w:pPr>
        <w:ind w:firstLine="273"/>
        <w:spacing w:after="0" w:line="286" w:lineRule="auto"/>
        <w:rPr>
          <w:sz w:val="20"/>
          <w:szCs w:val="20"/>
          <w:color w:val="auto"/>
        </w:rPr>
      </w:pPr>
      <w:r>
        <w:rPr>
          <w:rFonts w:ascii="Times New Roman" w:cs="Times New Roman" w:eastAsia="Times New Roman" w:hAnsi="Times New Roman"/>
          <w:sz w:val="15"/>
          <w:szCs w:val="15"/>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II-3</w:t>
      </w:r>
    </w:p>
    <w:p>
      <w:pPr>
        <w:sectPr>
          <w:pgSz w:w="11900" w:h="16838" w:orient="portrait"/>
          <w:cols w:equalWidth="0" w:num="1">
            <w:col w:w="11260"/>
          </w:cols>
          <w:pgMar w:left="320" w:top="121" w:right="319" w:bottom="1440" w:gutter="0" w:footer="0" w:header="0"/>
        </w:sectPr>
      </w:pPr>
    </w:p>
    <w:bookmarkStart w:id="229" w:name="page230"/>
    <w:bookmarkEnd w:id="229"/>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273"/>
        <w:spacing w:after="0" w:line="258"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undersigned hereby undertakes that:</w:t>
      </w:r>
    </w:p>
    <w:p>
      <w:pPr>
        <w:spacing w:after="0" w:line="146" w:lineRule="exact"/>
        <w:rPr>
          <w:sz w:val="20"/>
          <w:szCs w:val="20"/>
          <w:color w:val="auto"/>
        </w:rPr>
      </w:pPr>
    </w:p>
    <w:p>
      <w:pPr>
        <w:ind w:left="540" w:right="20" w:hanging="277"/>
        <w:spacing w:after="0" w:line="269" w:lineRule="auto"/>
        <w:tabs>
          <w:tab w:leader="none" w:pos="535"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01" w:lineRule="exact"/>
        <w:rPr>
          <w:rFonts w:ascii="Times New Roman" w:cs="Times New Roman" w:eastAsia="Times New Roman" w:hAnsi="Times New Roman"/>
          <w:sz w:val="15"/>
          <w:szCs w:val="15"/>
          <w:color w:val="auto"/>
        </w:rPr>
      </w:pPr>
    </w:p>
    <w:p>
      <w:pPr>
        <w:ind w:left="540" w:hanging="277"/>
        <w:spacing w:after="0" w:line="286" w:lineRule="auto"/>
        <w:tabs>
          <w:tab w:leader="none" w:pos="535"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II-4</w:t>
      </w:r>
    </w:p>
    <w:p>
      <w:pPr>
        <w:sectPr>
          <w:pgSz w:w="11900" w:h="16838" w:orient="portrait"/>
          <w:cols w:equalWidth="0" w:num="1">
            <w:col w:w="11200"/>
          </w:cols>
          <w:pgMar w:left="320" w:top="121" w:right="379" w:bottom="1440" w:gutter="0" w:footer="0" w:header="0"/>
        </w:sectPr>
      </w:pPr>
    </w:p>
    <w:bookmarkStart w:id="230" w:name="page231"/>
    <w:bookmarkEnd w:id="230"/>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560" w:type="dxa"/>
            <w:vAlign w:val="bottom"/>
            <w:gridSpan w:val="2"/>
          </w:tcPr>
          <w:p>
            <w:pPr>
              <w:ind w:left="194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1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9"/>
        </w:trPr>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53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19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2"/>
                <w:szCs w:val="22"/>
                <w:color w:val="auto"/>
              </w:rPr>
            </w:pPr>
          </w:p>
        </w:tc>
        <w:tc>
          <w:tcPr>
            <w:tcW w:w="5380" w:type="dxa"/>
            <w:vAlign w:val="bottom"/>
            <w:gridSpan w:val="3"/>
          </w:tcPr>
          <w:p>
            <w:pPr>
              <w:spacing w:after="0"/>
              <w:rPr>
                <w:rFonts w:ascii="Times New Roman" w:cs="Times New Roman" w:eastAsia="Times New Roman" w:hAnsi="Times New Roman"/>
                <w:sz w:val="14"/>
                <w:szCs w:val="14"/>
                <w:u w:val="single" w:color="auto"/>
                <w:color w:val="0000FF"/>
              </w:rPr>
            </w:pPr>
            <w:hyperlink w:anchor="page234">
              <w:r>
                <w:rPr>
                  <w:rFonts w:ascii="Times New Roman" w:cs="Times New Roman" w:eastAsia="Times New Roman" w:hAnsi="Times New Roman"/>
                  <w:sz w:val="14"/>
                  <w:szCs w:val="14"/>
                  <w:u w:val="single" w:color="auto"/>
                  <w:color w:val="0000FF"/>
                </w:rPr>
                <w:t>Amended and Restated Certificate of Incorporation of the Registrant, as currently in effect.</w:t>
              </w:r>
            </w:hyperlink>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2"/>
                <w:szCs w:val="22"/>
                <w:color w:val="auto"/>
              </w:rPr>
            </w:pPr>
          </w:p>
        </w:tc>
        <w:tc>
          <w:tcPr>
            <w:tcW w:w="7340" w:type="dxa"/>
            <w:vAlign w:val="bottom"/>
            <w:gridSpan w:val="4"/>
          </w:tcPr>
          <w:p>
            <w:pPr>
              <w:spacing w:after="0"/>
              <w:rPr>
                <w:rFonts w:ascii="Times New Roman" w:cs="Times New Roman" w:eastAsia="Times New Roman" w:hAnsi="Times New Roman"/>
                <w:sz w:val="14"/>
                <w:szCs w:val="14"/>
                <w:color w:val="0000FF"/>
              </w:rPr>
            </w:pPr>
            <w:hyperlink w:anchor="page267">
              <w:r>
                <w:rPr>
                  <w:rFonts w:ascii="Times New Roman" w:cs="Times New Roman" w:eastAsia="Times New Roman" w:hAnsi="Times New Roman"/>
                  <w:sz w:val="14"/>
                  <w:szCs w:val="14"/>
                  <w:u w:val="single" w:color="auto"/>
                  <w:color w:val="0000FF"/>
                </w:rPr>
                <w:t>Form of Amended and Restated Certificate of Incorporation of the Registrant, to be in effect upon completion of this offering</w:t>
              </w:r>
              <w:r>
                <w:rPr>
                  <w:rFonts w:ascii="Times New Roman" w:cs="Times New Roman" w:eastAsia="Times New Roman" w:hAnsi="Times New Roman"/>
                  <w:sz w:val="14"/>
                  <w:szCs w:val="14"/>
                  <w:color w:val="0000FF"/>
                </w:rPr>
                <w:t>.</w:t>
              </w:r>
            </w:hyperlink>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2"/>
                <w:szCs w:val="22"/>
                <w:color w:val="auto"/>
              </w:rPr>
            </w:pPr>
          </w:p>
        </w:tc>
        <w:tc>
          <w:tcPr>
            <w:tcW w:w="5380" w:type="dxa"/>
            <w:vAlign w:val="bottom"/>
            <w:gridSpan w:val="3"/>
          </w:tcPr>
          <w:p>
            <w:pPr>
              <w:spacing w:after="0"/>
              <w:rPr>
                <w:rFonts w:ascii="Times New Roman" w:cs="Times New Roman" w:eastAsia="Times New Roman" w:hAnsi="Times New Roman"/>
                <w:sz w:val="14"/>
                <w:szCs w:val="14"/>
                <w:u w:val="single" w:color="auto"/>
                <w:color w:val="0000FF"/>
              </w:rPr>
            </w:pPr>
            <w:hyperlink w:anchor="page280">
              <w:r>
                <w:rPr>
                  <w:rFonts w:ascii="Times New Roman" w:cs="Times New Roman" w:eastAsia="Times New Roman" w:hAnsi="Times New Roman"/>
                  <w:sz w:val="14"/>
                  <w:szCs w:val="14"/>
                  <w:u w:val="single" w:color="auto"/>
                  <w:color w:val="0000FF"/>
                </w:rPr>
                <w:t>Amended and Restated Bylaws of the Registrant, as amended, as currently in effect.</w:t>
              </w:r>
            </w:hyperlink>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2"/>
                <w:szCs w:val="22"/>
                <w:color w:val="auto"/>
              </w:rPr>
            </w:pPr>
          </w:p>
        </w:tc>
        <w:tc>
          <w:tcPr>
            <w:tcW w:w="7340" w:type="dxa"/>
            <w:vAlign w:val="bottom"/>
            <w:gridSpan w:val="4"/>
          </w:tcPr>
          <w:p>
            <w:pPr>
              <w:spacing w:after="0"/>
              <w:rPr>
                <w:rFonts w:ascii="Times New Roman" w:cs="Times New Roman" w:eastAsia="Times New Roman" w:hAnsi="Times New Roman"/>
                <w:sz w:val="14"/>
                <w:szCs w:val="14"/>
                <w:u w:val="single" w:color="auto"/>
                <w:color w:val="0000FF"/>
              </w:rPr>
            </w:pPr>
            <w:hyperlink w:anchor="page293">
              <w:r>
                <w:rPr>
                  <w:rFonts w:ascii="Times New Roman" w:cs="Times New Roman" w:eastAsia="Times New Roman" w:hAnsi="Times New Roman"/>
                  <w:sz w:val="14"/>
                  <w:szCs w:val="14"/>
                  <w:u w:val="single" w:color="auto"/>
                  <w:color w:val="0000FF"/>
                </w:rPr>
                <w:t>Form of Amended and Restated Bylaws of the Registrant, to be in effect upon completion of this offering.</w:t>
              </w:r>
            </w:hyperlink>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2"/>
                <w:szCs w:val="22"/>
                <w:color w:val="auto"/>
              </w:rPr>
            </w:pPr>
          </w:p>
        </w:tc>
        <w:tc>
          <w:tcPr>
            <w:tcW w:w="5380" w:type="dxa"/>
            <w:vAlign w:val="bottom"/>
            <w:gridSpan w:val="3"/>
          </w:tcPr>
          <w:p>
            <w:pPr>
              <w:spacing w:after="0"/>
              <w:rPr>
                <w:rFonts w:ascii="Times New Roman" w:cs="Times New Roman" w:eastAsia="Times New Roman" w:hAnsi="Times New Roman"/>
                <w:sz w:val="14"/>
                <w:szCs w:val="14"/>
                <w:u w:val="single" w:color="auto"/>
                <w:color w:val="0000FF"/>
              </w:rPr>
            </w:pPr>
            <w:hyperlink w:anchor="page324">
              <w:r>
                <w:rPr>
                  <w:rFonts w:ascii="Times New Roman" w:cs="Times New Roman" w:eastAsia="Times New Roman" w:hAnsi="Times New Roman"/>
                  <w:sz w:val="14"/>
                  <w:szCs w:val="14"/>
                  <w:u w:val="single" w:color="auto"/>
                  <w:color w:val="0000FF"/>
                </w:rPr>
                <w:t>Form of common stock certificate of the Registrant.</w:t>
              </w:r>
            </w:hyperlink>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2"/>
                <w:szCs w:val="22"/>
                <w:color w:val="auto"/>
              </w:rPr>
            </w:pPr>
          </w:p>
        </w:tc>
        <w:tc>
          <w:tcPr>
            <w:tcW w:w="9980" w:type="dxa"/>
            <w:vAlign w:val="bottom"/>
            <w:gridSpan w:val="7"/>
          </w:tcPr>
          <w:p>
            <w:pPr>
              <w:spacing w:after="0"/>
              <w:rPr>
                <w:rFonts w:ascii="Times New Roman" w:cs="Times New Roman" w:eastAsia="Times New Roman" w:hAnsi="Times New Roman"/>
                <w:sz w:val="14"/>
                <w:szCs w:val="14"/>
                <w:u w:val="single" w:color="auto"/>
                <w:color w:val="0000FF"/>
              </w:rPr>
            </w:pPr>
            <w:hyperlink w:anchor="page326">
              <w:r>
                <w:rPr>
                  <w:rFonts w:ascii="Times New Roman" w:cs="Times New Roman" w:eastAsia="Times New Roman" w:hAnsi="Times New Roman"/>
                  <w:sz w:val="14"/>
                  <w:szCs w:val="14"/>
                  <w:u w:val="single" w:color="auto"/>
                  <w:color w:val="0000FF"/>
                </w:rPr>
                <w:t>Amended and Restated Investors’ Rights Agreement, by and among the Registrant and certain holders of its capital stock, dated as of May 12, 2020.</w:t>
              </w:r>
            </w:hyperlink>
          </w:p>
        </w:tc>
      </w:tr>
      <w:tr>
        <w:trPr>
          <w:trHeight w:val="23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0"/>
                <w:szCs w:val="20"/>
                <w:color w:val="auto"/>
              </w:rPr>
            </w:pPr>
          </w:p>
        </w:tc>
        <w:tc>
          <w:tcPr>
            <w:tcW w:w="9980" w:type="dxa"/>
            <w:vAlign w:val="bottom"/>
            <w:gridSpan w:val="7"/>
          </w:tcPr>
          <w:p>
            <w:pPr>
              <w:spacing w:after="0"/>
              <w:rPr>
                <w:rFonts w:ascii="Times New Roman" w:cs="Times New Roman" w:eastAsia="Times New Roman" w:hAnsi="Times New Roman"/>
                <w:sz w:val="14"/>
                <w:szCs w:val="14"/>
                <w:color w:val="0000FF"/>
              </w:rPr>
            </w:pPr>
            <w:hyperlink w:anchor="page368">
              <w:r>
                <w:rPr>
                  <w:rFonts w:ascii="Times New Roman" w:cs="Times New Roman" w:eastAsia="Times New Roman" w:hAnsi="Times New Roman"/>
                  <w:sz w:val="14"/>
                  <w:szCs w:val="14"/>
                  <w:color w:val="0000FF"/>
                </w:rPr>
                <w:t>Form of Amended and Restated Investors’ Rights Agreement, by and among the Registrant and certain holders of its capital stock, to be in effect upon completion of the</w:t>
              </w:r>
            </w:hyperlink>
          </w:p>
        </w:tc>
      </w:tr>
      <w:tr>
        <w:trPr>
          <w:trHeight w:val="139"/>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4"/>
                <w:szCs w:val="14"/>
                <w:color w:val="0000FF"/>
              </w:rPr>
            </w:pPr>
            <w:hyperlink w:anchor="page368">
              <w:r>
                <w:rPr>
                  <w:rFonts w:ascii="Times New Roman" w:cs="Times New Roman" w:eastAsia="Times New Roman" w:hAnsi="Times New Roman"/>
                  <w:sz w:val="14"/>
                  <w:szCs w:val="14"/>
                  <w:color w:val="0000FF"/>
                </w:rPr>
                <w:t>offering and private placement.</w:t>
              </w:r>
            </w:hyperlink>
          </w:p>
        </w:tc>
        <w:tc>
          <w:tcPr>
            <w:tcW w:w="3560" w:type="dxa"/>
            <w:vAlign w:val="bottom"/>
            <w:tcBorders>
              <w:top w:val="single" w:sz="8" w:color="0000FF"/>
            </w:tcBorders>
            <w:gridSpan w:val="2"/>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238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60"/>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Opinion of Wilson Sonsini Goodrich &amp; Rosati, P.C.</w:t>
            </w:r>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2"/>
                <w:szCs w:val="22"/>
                <w:color w:val="auto"/>
              </w:rPr>
            </w:pPr>
          </w:p>
        </w:tc>
        <w:tc>
          <w:tcPr>
            <w:tcW w:w="7340" w:type="dxa"/>
            <w:vAlign w:val="bottom"/>
            <w:gridSpan w:val="4"/>
          </w:tcPr>
          <w:p>
            <w:pPr>
              <w:spacing w:after="0"/>
              <w:rPr>
                <w:rFonts w:ascii="Times New Roman" w:cs="Times New Roman" w:eastAsia="Times New Roman" w:hAnsi="Times New Roman"/>
                <w:sz w:val="14"/>
                <w:szCs w:val="14"/>
                <w:u w:val="single" w:color="auto"/>
                <w:color w:val="0000FF"/>
              </w:rPr>
            </w:pPr>
            <w:hyperlink w:anchor="page404">
              <w:r>
                <w:rPr>
                  <w:rFonts w:ascii="Times New Roman" w:cs="Times New Roman" w:eastAsia="Times New Roman" w:hAnsi="Times New Roman"/>
                  <w:sz w:val="14"/>
                  <w:szCs w:val="14"/>
                  <w:u w:val="single" w:color="auto"/>
                  <w:color w:val="0000FF"/>
                </w:rPr>
                <w:t>Form of Indemnification Agreement between the Registrant and each of its directors and executive officers.</w:t>
              </w:r>
            </w:hyperlink>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2020 Equity Incentive Plan and related form agreements.</w:t>
            </w:r>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2"/>
                <w:szCs w:val="22"/>
                <w:color w:val="auto"/>
              </w:rPr>
            </w:pPr>
          </w:p>
        </w:tc>
        <w:tc>
          <w:tcPr>
            <w:tcW w:w="5380" w:type="dxa"/>
            <w:vAlign w:val="bottom"/>
            <w:gridSpan w:val="3"/>
          </w:tcPr>
          <w:p>
            <w:pPr>
              <w:spacing w:after="0"/>
              <w:rPr>
                <w:rFonts w:ascii="Times New Roman" w:cs="Times New Roman" w:eastAsia="Times New Roman" w:hAnsi="Times New Roman"/>
                <w:sz w:val="14"/>
                <w:szCs w:val="14"/>
                <w:u w:val="single" w:color="auto"/>
                <w:color w:val="0000FF"/>
              </w:rPr>
            </w:pPr>
            <w:hyperlink w:anchor="page421">
              <w:r>
                <w:rPr>
                  <w:rFonts w:ascii="Times New Roman" w:cs="Times New Roman" w:eastAsia="Times New Roman" w:hAnsi="Times New Roman"/>
                  <w:sz w:val="14"/>
                  <w:szCs w:val="14"/>
                  <w:u w:val="single" w:color="auto"/>
                  <w:color w:val="0000FF"/>
                </w:rPr>
                <w:t>2017 Equity Incentive Plan and related form agreements.</w:t>
              </w:r>
            </w:hyperlink>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2"/>
                <w:szCs w:val="22"/>
                <w:color w:val="auto"/>
              </w:rPr>
            </w:pPr>
          </w:p>
        </w:tc>
        <w:tc>
          <w:tcPr>
            <w:tcW w:w="5380" w:type="dxa"/>
            <w:vAlign w:val="bottom"/>
            <w:gridSpan w:val="3"/>
          </w:tcPr>
          <w:p>
            <w:pPr>
              <w:spacing w:after="0"/>
              <w:rPr>
                <w:rFonts w:ascii="Times New Roman" w:cs="Times New Roman" w:eastAsia="Times New Roman" w:hAnsi="Times New Roman"/>
                <w:sz w:val="14"/>
                <w:szCs w:val="14"/>
                <w:u w:val="single" w:color="auto"/>
                <w:color w:val="0000FF"/>
              </w:rPr>
            </w:pPr>
            <w:hyperlink w:anchor="page461">
              <w:r>
                <w:rPr>
                  <w:rFonts w:ascii="Times New Roman" w:cs="Times New Roman" w:eastAsia="Times New Roman" w:hAnsi="Times New Roman"/>
                  <w:sz w:val="14"/>
                  <w:szCs w:val="14"/>
                  <w:u w:val="single" w:color="auto"/>
                  <w:color w:val="0000FF"/>
                </w:rPr>
                <w:t>2020 RSU Equity Incentive Plan and related form agreements.</w:t>
              </w:r>
            </w:hyperlink>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2020 Employee Stock Purchase Plan.</w:t>
            </w:r>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2"/>
                <w:szCs w:val="22"/>
                <w:color w:val="auto"/>
              </w:rPr>
            </w:pPr>
          </w:p>
        </w:tc>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Key Executive Change in Control and Severance Plan, and form of Participation Agreement thereunder.</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Confirmatory Offer Letter between the Registrant and Dr. Omid Farokhzad, effective as of</w:t>
            </w:r>
          </w:p>
        </w:tc>
        <w:tc>
          <w:tcPr>
            <w:tcW w:w="196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 2020.</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Confirmatory Offer Letter between the Registrant and Omead Ostadan, effective as of</w:t>
            </w:r>
          </w:p>
        </w:tc>
        <w:tc>
          <w:tcPr>
            <w:tcW w:w="196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 2020.</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Confirmatory Offer Letter between the Registrant and David Horn, effective as of</w:t>
            </w:r>
          </w:p>
        </w:tc>
        <w:tc>
          <w:tcPr>
            <w:tcW w:w="196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 2020.</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22"/>
                <w:szCs w:val="22"/>
                <w:color w:val="auto"/>
              </w:rPr>
            </w:pPr>
          </w:p>
        </w:tc>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CEO Change in Control and Severance Agreement between the Registrant and Dr. Omid Farokhzad, effective as of</w:t>
            </w:r>
          </w:p>
        </w:tc>
        <w:tc>
          <w:tcPr>
            <w:tcW w:w="2380" w:type="dxa"/>
            <w:vAlign w:val="bottom"/>
          </w:tcPr>
          <w:p>
            <w:pPr>
              <w:jc w:val="right"/>
              <w:ind w:right="1828"/>
              <w:spacing w:after="0"/>
              <w:rPr>
                <w:sz w:val="20"/>
                <w:szCs w:val="20"/>
                <w:color w:val="auto"/>
              </w:rPr>
            </w:pPr>
            <w:r>
              <w:rPr>
                <w:rFonts w:ascii="Times New Roman" w:cs="Times New Roman" w:eastAsia="Times New Roman" w:hAnsi="Times New Roman"/>
                <w:sz w:val="14"/>
                <w:szCs w:val="14"/>
                <w:color w:val="auto"/>
              </w:rPr>
              <w:t>, 2020.</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Confirmatory Offer Letter between the Registrant and Dr. Omid Farokhzad, effective as of</w:t>
            </w:r>
          </w:p>
        </w:tc>
        <w:tc>
          <w:tcPr>
            <w:tcW w:w="1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 2020.</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Change in Control and Severance Agreement.</w:t>
            </w:r>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22"/>
                <w:szCs w:val="22"/>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Outside Director Compensation Policy.</w:t>
            </w:r>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22"/>
                <w:szCs w:val="22"/>
                <w:color w:val="auto"/>
              </w:rPr>
            </w:pPr>
          </w:p>
        </w:tc>
        <w:tc>
          <w:tcPr>
            <w:tcW w:w="7340" w:type="dxa"/>
            <w:vAlign w:val="bottom"/>
            <w:gridSpan w:val="4"/>
          </w:tcPr>
          <w:p>
            <w:pPr>
              <w:spacing w:after="0"/>
              <w:rPr>
                <w:rFonts w:ascii="Times New Roman" w:cs="Times New Roman" w:eastAsia="Times New Roman" w:hAnsi="Times New Roman"/>
                <w:sz w:val="14"/>
                <w:szCs w:val="14"/>
                <w:u w:val="single" w:color="auto"/>
                <w:color w:val="0000FF"/>
              </w:rPr>
            </w:pPr>
            <w:hyperlink w:anchor="page487">
              <w:r>
                <w:rPr>
                  <w:rFonts w:ascii="Times New Roman" w:cs="Times New Roman" w:eastAsia="Times New Roman" w:hAnsi="Times New Roman"/>
                  <w:sz w:val="14"/>
                  <w:szCs w:val="14"/>
                  <w:u w:val="single" w:color="auto"/>
                  <w:color w:val="0000FF"/>
                </w:rPr>
                <w:t>Umbrella Development &amp; Supply Agreement between the Registrant and Hamilton Company, dated March 9, 2020.</w:t>
              </w:r>
            </w:hyperlink>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22"/>
                <w:szCs w:val="22"/>
                <w:color w:val="auto"/>
              </w:rPr>
            </w:pPr>
          </w:p>
        </w:tc>
        <w:tc>
          <w:tcPr>
            <w:tcW w:w="9980" w:type="dxa"/>
            <w:vAlign w:val="bottom"/>
            <w:gridSpan w:val="7"/>
          </w:tcPr>
          <w:p>
            <w:pPr>
              <w:spacing w:after="0"/>
              <w:rPr>
                <w:rFonts w:ascii="Times New Roman" w:cs="Times New Roman" w:eastAsia="Times New Roman" w:hAnsi="Times New Roman"/>
                <w:sz w:val="14"/>
                <w:szCs w:val="14"/>
                <w:u w:val="single" w:color="auto"/>
                <w:color w:val="0000FF"/>
              </w:rPr>
            </w:pPr>
            <w:hyperlink w:anchor="page517">
              <w:r>
                <w:rPr>
                  <w:rFonts w:ascii="Times New Roman" w:cs="Times New Roman" w:eastAsia="Times New Roman" w:hAnsi="Times New Roman"/>
                  <w:sz w:val="14"/>
                  <w:szCs w:val="14"/>
                  <w:u w:val="single" w:color="auto"/>
                  <w:color w:val="0000FF"/>
                </w:rPr>
                <w:t>Exclusive Patent License Agreement between the Registrant and The Brigham and Women’s Hospital, Inc., dated December 18, 2017.</w:t>
              </w:r>
            </w:hyperlink>
          </w:p>
        </w:tc>
      </w:tr>
      <w:tr>
        <w:trPr>
          <w:trHeight w:val="219"/>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19"/>
                <w:szCs w:val="19"/>
                <w:color w:val="auto"/>
              </w:rPr>
            </w:pPr>
          </w:p>
        </w:tc>
        <w:tc>
          <w:tcPr>
            <w:tcW w:w="9980" w:type="dxa"/>
            <w:vAlign w:val="bottom"/>
            <w:gridSpan w:val="7"/>
          </w:tcPr>
          <w:p>
            <w:pPr>
              <w:spacing w:after="0"/>
              <w:rPr>
                <w:rFonts w:ascii="Times New Roman" w:cs="Times New Roman" w:eastAsia="Times New Roman" w:hAnsi="Times New Roman"/>
                <w:sz w:val="14"/>
                <w:szCs w:val="14"/>
                <w:color w:val="0000FF"/>
              </w:rPr>
            </w:pPr>
            <w:hyperlink w:anchor="page546">
              <w:r>
                <w:rPr>
                  <w:rFonts w:ascii="Times New Roman" w:cs="Times New Roman" w:eastAsia="Times New Roman" w:hAnsi="Times New Roman"/>
                  <w:sz w:val="14"/>
                  <w:szCs w:val="14"/>
                  <w:color w:val="0000FF"/>
                </w:rPr>
                <w:t>Class A Common Stock Purchase Agreement by and among the Registrant, Fidelity Management &amp; Research Company LLC, SoftBank, certain funds and accounts advised</w:t>
              </w:r>
            </w:hyperlink>
          </w:p>
        </w:tc>
      </w:tr>
      <w:tr>
        <w:trPr>
          <w:trHeight w:val="116"/>
        </w:trPr>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80" w:type="dxa"/>
            <w:vAlign w:val="bottom"/>
            <w:tcBorders>
              <w:top w:val="single" w:sz="8" w:color="0000FF"/>
              <w:bottom w:val="single" w:sz="8" w:color="0000FF"/>
            </w:tcBorders>
            <w:gridSpan w:val="2"/>
          </w:tcPr>
          <w:p>
            <w:pPr>
              <w:spacing w:after="0" w:line="116" w:lineRule="exact"/>
              <w:rPr>
                <w:rFonts w:ascii="Times New Roman" w:cs="Times New Roman" w:eastAsia="Times New Roman" w:hAnsi="Times New Roman"/>
                <w:sz w:val="13"/>
                <w:szCs w:val="13"/>
                <w:color w:val="0000FF"/>
              </w:rPr>
            </w:pPr>
            <w:hyperlink w:anchor="page546">
              <w:r>
                <w:rPr>
                  <w:rFonts w:ascii="Times New Roman" w:cs="Times New Roman" w:eastAsia="Times New Roman" w:hAnsi="Times New Roman"/>
                  <w:sz w:val="13"/>
                  <w:szCs w:val="13"/>
                  <w:color w:val="0000FF"/>
                </w:rPr>
                <w:t>by T. Rowe Price Associates, Inc. and aMoon Fund, dated as of November 12, 2020.</w:t>
              </w:r>
            </w:hyperlink>
          </w:p>
        </w:tc>
        <w:tc>
          <w:tcPr>
            <w:tcW w:w="500" w:type="dxa"/>
            <w:vAlign w:val="bottom"/>
            <w:tcBorders>
              <w:top w:val="single" w:sz="8" w:color="0000FF"/>
            </w:tcBorders>
          </w:tcPr>
          <w:p>
            <w:pPr>
              <w:spacing w:after="0"/>
              <w:rPr>
                <w:sz w:val="10"/>
                <w:szCs w:val="10"/>
                <w:color w:val="auto"/>
              </w:rPr>
            </w:pPr>
          </w:p>
        </w:tc>
        <w:tc>
          <w:tcPr>
            <w:tcW w:w="1960" w:type="dxa"/>
            <w:vAlign w:val="bottom"/>
            <w:tcBorders>
              <w:top w:val="single" w:sz="8" w:color="0000FF"/>
            </w:tcBorders>
          </w:tcPr>
          <w:p>
            <w:pPr>
              <w:spacing w:after="0"/>
              <w:rPr>
                <w:sz w:val="10"/>
                <w:szCs w:val="10"/>
                <w:color w:val="auto"/>
              </w:rPr>
            </w:pPr>
          </w:p>
        </w:tc>
        <w:tc>
          <w:tcPr>
            <w:tcW w:w="23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r>
      <w:tr>
        <w:trPr>
          <w:trHeight w:val="249"/>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1"/>
                <w:szCs w:val="21"/>
                <w:color w:val="auto"/>
              </w:rPr>
            </w:pPr>
          </w:p>
        </w:tc>
        <w:tc>
          <w:tcPr>
            <w:tcW w:w="5380" w:type="dxa"/>
            <w:vAlign w:val="bottom"/>
            <w:gridSpan w:val="3"/>
          </w:tcPr>
          <w:p>
            <w:pPr>
              <w:spacing w:after="0"/>
              <w:rPr>
                <w:rFonts w:ascii="Times New Roman" w:cs="Times New Roman" w:eastAsia="Times New Roman" w:hAnsi="Times New Roman"/>
                <w:sz w:val="14"/>
                <w:szCs w:val="14"/>
                <w:u w:val="single" w:color="auto"/>
                <w:color w:val="0000FF"/>
              </w:rPr>
            </w:pPr>
            <w:hyperlink w:anchor="page577">
              <w:r>
                <w:rPr>
                  <w:rFonts w:ascii="Times New Roman" w:cs="Times New Roman" w:eastAsia="Times New Roman" w:hAnsi="Times New Roman"/>
                  <w:sz w:val="14"/>
                  <w:szCs w:val="14"/>
                  <w:u w:val="single" w:color="auto"/>
                  <w:color w:val="0000FF"/>
                </w:rPr>
                <w:t>Consent of Deloitte &amp; Touche LLP, independent registered public accounting firm.</w:t>
              </w:r>
            </w:hyperlink>
          </w:p>
        </w:tc>
        <w:tc>
          <w:tcPr>
            <w:tcW w:w="19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22"/>
                <w:szCs w:val="22"/>
                <w:color w:val="auto"/>
              </w:rPr>
            </w:pPr>
          </w:p>
        </w:tc>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Consent of Wilson Sonsini Goodrich &amp; Rosati, Professional Corporation (included in Exhibit 5.1).</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22"/>
                <w:szCs w:val="22"/>
                <w:color w:val="auto"/>
              </w:rPr>
            </w:pPr>
          </w:p>
        </w:tc>
        <w:tc>
          <w:tcPr>
            <w:tcW w:w="5380" w:type="dxa"/>
            <w:vAlign w:val="bottom"/>
            <w:gridSpan w:val="3"/>
          </w:tcPr>
          <w:p>
            <w:pPr>
              <w:spacing w:after="0"/>
              <w:rPr>
                <w:rFonts w:ascii="Times New Roman" w:cs="Times New Roman" w:eastAsia="Times New Roman" w:hAnsi="Times New Roman"/>
                <w:sz w:val="14"/>
                <w:szCs w:val="14"/>
                <w:u w:val="single" w:color="auto"/>
                <w:color w:val="0000FF"/>
              </w:rPr>
            </w:pPr>
            <w:hyperlink w:anchor="page232">
              <w:r>
                <w:rPr>
                  <w:rFonts w:ascii="Times New Roman" w:cs="Times New Roman" w:eastAsia="Times New Roman" w:hAnsi="Times New Roman"/>
                  <w:sz w:val="14"/>
                  <w:szCs w:val="14"/>
                  <w:u w:val="single" w:color="auto"/>
                  <w:color w:val="0000FF"/>
                </w:rPr>
                <w:t>Power of Attorney (included on page II-7).</w:t>
              </w:r>
            </w:hyperlink>
          </w:p>
        </w:tc>
        <w:tc>
          <w:tcPr>
            <w:tcW w:w="19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14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__________</w:t>
      </w:r>
    </w:p>
    <w:p>
      <w:pPr>
        <w:spacing w:after="0" w:line="18" w:lineRule="exact"/>
        <w:rPr>
          <w:sz w:val="20"/>
          <w:szCs w:val="20"/>
          <w:color w:val="auto"/>
        </w:rPr>
      </w:pPr>
    </w:p>
    <w:p>
      <w:pPr>
        <w:ind w:left="269" w:hanging="269"/>
        <w:spacing w:after="0"/>
        <w:tabs>
          <w:tab w:leader="none" w:pos="269"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II-5</w:t>
      </w:r>
    </w:p>
    <w:p>
      <w:pPr>
        <w:sectPr>
          <w:pgSz w:w="11900" w:h="16838" w:orient="portrait"/>
          <w:cols w:equalWidth="0" w:num="1">
            <w:col w:w="11269"/>
          </w:cols>
          <w:pgMar w:left="311" w:top="121" w:right="319" w:bottom="1440" w:gutter="0" w:footer="0" w:header="0"/>
        </w:sectPr>
      </w:pPr>
    </w:p>
    <w:bookmarkStart w:id="231" w:name="page232"/>
    <w:bookmarkEnd w:id="231"/>
    <w:p>
      <w:pPr>
        <w:ind w:left="269"/>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9" w:hanging="289"/>
        <w:spacing w:after="0"/>
        <w:tabs>
          <w:tab w:leader="none" w:pos="289"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management contract or compensatory plan.</w:t>
      </w:r>
    </w:p>
    <w:p>
      <w:pPr>
        <w:spacing w:after="0" w:line="12" w:lineRule="exact"/>
        <w:rPr>
          <w:sz w:val="20"/>
          <w:szCs w:val="20"/>
          <w:color w:val="auto"/>
        </w:rPr>
      </w:pPr>
    </w:p>
    <w:p>
      <w:pPr>
        <w:ind w:left="269" w:hanging="269"/>
        <w:spacing w:after="0"/>
        <w:tabs>
          <w:tab w:leader="none" w:pos="269"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the exhibit, marked by brackets and asterisk [***], have been omitted because the omitted information (i) is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29"/>
        <w:spacing w:after="0"/>
        <w:rPr>
          <w:sz w:val="20"/>
          <w:szCs w:val="20"/>
          <w:color w:val="auto"/>
        </w:rPr>
      </w:pPr>
      <w:r>
        <w:rPr>
          <w:rFonts w:ascii="Times New Roman" w:cs="Times New Roman" w:eastAsia="Times New Roman" w:hAnsi="Times New Roman"/>
          <w:sz w:val="15"/>
          <w:szCs w:val="15"/>
          <w:color w:val="auto"/>
        </w:rPr>
        <w:t>II-6</w:t>
      </w:r>
    </w:p>
    <w:p>
      <w:pPr>
        <w:sectPr>
          <w:pgSz w:w="11900" w:h="16838" w:orient="portrait"/>
          <w:cols w:equalWidth="0" w:num="1">
            <w:col w:w="10689"/>
          </w:cols>
          <w:pgMar w:left="311" w:top="121" w:right="899" w:bottom="1440" w:gutter="0" w:footer="0" w:header="0"/>
        </w:sectPr>
      </w:pPr>
    </w:p>
    <w:bookmarkStart w:id="232" w:name="page233"/>
    <w:bookmarkEnd w:id="232"/>
    <w:p>
      <w:pPr>
        <w:ind w:left="260"/>
        <w:spacing w:after="0"/>
        <w:rPr>
          <w:rFonts w:ascii="Times New Roman" w:cs="Times New Roman" w:eastAsia="Times New Roman" w:hAnsi="Times New Roman"/>
          <w:sz w:val="15"/>
          <w:szCs w:val="15"/>
          <w:b w:val="1"/>
          <w:bCs w:val="1"/>
          <w:u w:val="single" w:color="auto"/>
          <w:color w:val="0000FF"/>
        </w:rPr>
      </w:pPr>
      <w:hyperlink w:anchor="page2">
        <w:r>
          <w:rPr>
            <w:rFonts w:ascii="Times New Roman" w:cs="Times New Roman" w:eastAsia="Times New Roman" w:hAnsi="Times New Roman"/>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0" w:lineRule="exact"/>
        <w:rPr>
          <w:sz w:val="20"/>
          <w:szCs w:val="20"/>
          <w:color w:val="auto"/>
        </w:rPr>
      </w:pPr>
    </w:p>
    <w:p>
      <w:pPr>
        <w:ind w:right="440" w:firstLine="273"/>
        <w:spacing w:after="0" w:line="286"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has duly caused this registration statement to be signed on its behalf by the undersigned, thereunto duly authorized, in the City of Redwood City, State of California, on November 12, 2020.</w:t>
      </w:r>
    </w:p>
    <w:p>
      <w:pPr>
        <w:spacing w:after="0" w:line="1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5"/>
          <w:szCs w:val="15"/>
          <w:b w:val="1"/>
          <w:bCs w:val="1"/>
          <w:color w:val="auto"/>
        </w:rPr>
        <w:t>SEER, INC.</w:t>
      </w:r>
    </w:p>
    <w:p>
      <w:pPr>
        <w:spacing w:after="0" w:line="286" w:lineRule="exact"/>
        <w:rPr>
          <w:sz w:val="20"/>
          <w:szCs w:val="20"/>
          <w:color w:val="auto"/>
        </w:rPr>
      </w:pPr>
    </w:p>
    <w:p>
      <w:pPr>
        <w:ind w:left="5860"/>
        <w:spacing w:after="0"/>
        <w:tabs>
          <w:tab w:leader="none" w:pos="64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29845</wp:posOffset>
            </wp:positionV>
            <wp:extent cx="30575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57525" cy="6985"/>
                    </a:xfrm>
                    <a:prstGeom prst="rect">
                      <a:avLst/>
                    </a:prstGeom>
                    <a:noFill/>
                  </pic:spPr>
                </pic:pic>
              </a:graphicData>
            </a:graphic>
          </wp:anchor>
        </w:drawing>
      </w:r>
    </w:p>
    <w:p>
      <w:pPr>
        <w:spacing w:after="0" w:line="4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5"/>
          <w:szCs w:val="15"/>
          <w:color w:val="auto"/>
        </w:rPr>
        <w:t>Omid Farokhzad, M.D.</w:t>
      </w:r>
    </w:p>
    <w:p>
      <w:pPr>
        <w:spacing w:after="0" w:line="5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50" w:lineRule="exact"/>
        <w:rPr>
          <w:sz w:val="20"/>
          <w:szCs w:val="20"/>
          <w:color w:val="auto"/>
        </w:rPr>
      </w:pPr>
    </w:p>
    <w:p>
      <w:pPr>
        <w:ind w:firstLine="273"/>
        <w:spacing w:after="0" w:line="258"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appears below constitutes and appoints Omid Farokhzad, M.D. and David Horn as his or her true and lawful attorneys-in-fact and agents, with full power of substitution and substitution, for him or her and in his or her name, place and stead, in any and all capacities (including his or her capacity as a director and/or officer of Seer,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10" w:lineRule="exact"/>
        <w:rPr>
          <w:sz w:val="20"/>
          <w:szCs w:val="20"/>
          <w:color w:val="auto"/>
        </w:rPr>
      </w:pPr>
    </w:p>
    <w:p>
      <w:pPr>
        <w:ind w:right="480" w:firstLine="273"/>
        <w:spacing w:after="0" w:line="286"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by the following persons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tc>
        <w:tc>
          <w:tcPr>
            <w:tcW w:w="8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8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DATE</w:t>
            </w:r>
          </w:p>
        </w:tc>
        <w:tc>
          <w:tcPr>
            <w:tcW w:w="0" w:type="dxa"/>
            <w:vAlign w:val="bottom"/>
          </w:tcPr>
          <w:p>
            <w:pPr>
              <w:spacing w:after="0"/>
              <w:rPr>
                <w:sz w:val="1"/>
                <w:szCs w:val="1"/>
                <w:color w:val="auto"/>
              </w:rPr>
            </w:pPr>
          </w:p>
        </w:tc>
      </w:tr>
      <w:tr>
        <w:trPr>
          <w:trHeight w:val="166"/>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/s/ Omid Farokhzad, M.D.</w:t>
            </w:r>
          </w:p>
        </w:tc>
        <w:tc>
          <w:tcPr>
            <w:tcW w:w="80" w:type="dxa"/>
            <w:vAlign w:val="bottom"/>
          </w:tcPr>
          <w:p>
            <w:pPr>
              <w:spacing w:after="0"/>
              <w:rPr>
                <w:sz w:val="14"/>
                <w:szCs w:val="14"/>
                <w:color w:val="auto"/>
              </w:rPr>
            </w:pPr>
          </w:p>
        </w:tc>
        <w:tc>
          <w:tcPr>
            <w:tcW w:w="37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5"/>
                <w:szCs w:val="15"/>
                <w:color w:val="auto"/>
              </w:rPr>
              <w:t>Chief Executive Officer and</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130"/>
        </w:trPr>
        <w:tc>
          <w:tcPr>
            <w:tcW w:w="37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78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color w:val="auto"/>
              </w:rPr>
              <w:t>Chair of the Board of Directors</w:t>
            </w:r>
          </w:p>
        </w:tc>
        <w:tc>
          <w:tcPr>
            <w:tcW w:w="3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Omid Farokhzad, M.D.</w:t>
            </w:r>
          </w:p>
        </w:tc>
        <w:tc>
          <w:tcPr>
            <w:tcW w:w="80" w:type="dxa"/>
            <w:vAlign w:val="bottom"/>
          </w:tcPr>
          <w:p>
            <w:pPr>
              <w:spacing w:after="0"/>
              <w:rPr>
                <w:sz w:val="17"/>
                <w:szCs w:val="17"/>
                <w:color w:val="auto"/>
              </w:rPr>
            </w:pP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Executive Officer</w:t>
            </w:r>
            <w:r>
              <w:rPr>
                <w:rFonts w:ascii="Times New Roman" w:cs="Times New Roman" w:eastAsia="Times New Roman" w:hAnsi="Times New Roman"/>
                <w:sz w:val="15"/>
                <w:szCs w:val="15"/>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David R. Horn</w:t>
            </w:r>
          </w:p>
        </w:tc>
        <w:tc>
          <w:tcPr>
            <w:tcW w:w="80" w:type="dxa"/>
            <w:vAlign w:val="bottom"/>
          </w:tcPr>
          <w:p>
            <w:pPr>
              <w:spacing w:after="0"/>
              <w:rPr>
                <w:sz w:val="24"/>
                <w:szCs w:val="24"/>
                <w:color w:val="auto"/>
              </w:rPr>
            </w:pP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Chief Financial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202"/>
        </w:trPr>
        <w:tc>
          <w:tcPr>
            <w:tcW w:w="3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David R. Horn</w:t>
            </w:r>
          </w:p>
        </w:tc>
        <w:tc>
          <w:tcPr>
            <w:tcW w:w="80" w:type="dxa"/>
            <w:vAlign w:val="bottom"/>
          </w:tcPr>
          <w:p>
            <w:pPr>
              <w:spacing w:after="0"/>
              <w:rPr>
                <w:sz w:val="17"/>
                <w:szCs w:val="17"/>
                <w:color w:val="auto"/>
              </w:rPr>
            </w:pP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Financial Officer and Accounting Officer</w:t>
            </w:r>
            <w:r>
              <w:rPr>
                <w:rFonts w:ascii="Times New Roman" w:cs="Times New Roman" w:eastAsia="Times New Roman" w:hAnsi="Times New Roman"/>
                <w:sz w:val="15"/>
                <w:szCs w:val="15"/>
                <w:color w:val="auto"/>
              </w:rPr>
              <w:t>)</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David Hallal</w:t>
            </w:r>
          </w:p>
        </w:tc>
        <w:tc>
          <w:tcPr>
            <w:tcW w:w="80" w:type="dxa"/>
            <w:vAlign w:val="bottom"/>
          </w:tcPr>
          <w:p>
            <w:pPr>
              <w:spacing w:after="0"/>
              <w:rPr>
                <w:sz w:val="22"/>
                <w:szCs w:val="22"/>
                <w:color w:val="auto"/>
              </w:rPr>
            </w:pPr>
          </w:p>
        </w:tc>
        <w:tc>
          <w:tcPr>
            <w:tcW w:w="3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Lead Independent 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7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David Hallal</w:t>
            </w:r>
          </w:p>
        </w:tc>
        <w:tc>
          <w:tcPr>
            <w:tcW w:w="8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Catherine Friedman</w:t>
            </w:r>
          </w:p>
        </w:tc>
        <w:tc>
          <w:tcPr>
            <w:tcW w:w="80" w:type="dxa"/>
            <w:vAlign w:val="bottom"/>
          </w:tcPr>
          <w:p>
            <w:pPr>
              <w:spacing w:after="0"/>
              <w:rPr>
                <w:sz w:val="23"/>
                <w:szCs w:val="23"/>
                <w:color w:val="auto"/>
              </w:rPr>
            </w:pPr>
          </w:p>
        </w:tc>
        <w:tc>
          <w:tcPr>
            <w:tcW w:w="3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7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Catherine Friedman</w:t>
            </w:r>
          </w:p>
        </w:tc>
        <w:tc>
          <w:tcPr>
            <w:tcW w:w="8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Robert Langer, Sc.D.</w:t>
            </w:r>
          </w:p>
        </w:tc>
        <w:tc>
          <w:tcPr>
            <w:tcW w:w="80" w:type="dxa"/>
            <w:vAlign w:val="bottom"/>
          </w:tcPr>
          <w:p>
            <w:pPr>
              <w:spacing w:after="0"/>
              <w:rPr>
                <w:sz w:val="23"/>
                <w:szCs w:val="23"/>
                <w:color w:val="auto"/>
              </w:rPr>
            </w:pPr>
          </w:p>
        </w:tc>
        <w:tc>
          <w:tcPr>
            <w:tcW w:w="3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7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Robert Langer, Sc.D.</w:t>
            </w:r>
          </w:p>
        </w:tc>
        <w:tc>
          <w:tcPr>
            <w:tcW w:w="8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Terrance McGuire</w:t>
            </w:r>
          </w:p>
        </w:tc>
        <w:tc>
          <w:tcPr>
            <w:tcW w:w="80" w:type="dxa"/>
            <w:vAlign w:val="bottom"/>
          </w:tcPr>
          <w:p>
            <w:pPr>
              <w:spacing w:after="0"/>
              <w:rPr>
                <w:sz w:val="23"/>
                <w:szCs w:val="23"/>
                <w:color w:val="auto"/>
              </w:rPr>
            </w:pPr>
          </w:p>
        </w:tc>
        <w:tc>
          <w:tcPr>
            <w:tcW w:w="3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7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Terrance McGuire</w:t>
            </w:r>
          </w:p>
        </w:tc>
        <w:tc>
          <w:tcPr>
            <w:tcW w:w="8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Omead Ostadan</w:t>
            </w:r>
          </w:p>
        </w:tc>
        <w:tc>
          <w:tcPr>
            <w:tcW w:w="80" w:type="dxa"/>
            <w:vAlign w:val="bottom"/>
          </w:tcPr>
          <w:p>
            <w:pPr>
              <w:spacing w:after="0"/>
              <w:rPr>
                <w:sz w:val="23"/>
                <w:szCs w:val="23"/>
                <w:color w:val="auto"/>
              </w:rPr>
            </w:pPr>
          </w:p>
        </w:tc>
        <w:tc>
          <w:tcPr>
            <w:tcW w:w="3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7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Omead Ostadan</w:t>
            </w:r>
          </w:p>
        </w:tc>
        <w:tc>
          <w:tcPr>
            <w:tcW w:w="8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David Singer</w:t>
            </w:r>
          </w:p>
        </w:tc>
        <w:tc>
          <w:tcPr>
            <w:tcW w:w="80" w:type="dxa"/>
            <w:vAlign w:val="bottom"/>
          </w:tcPr>
          <w:p>
            <w:pPr>
              <w:spacing w:after="0"/>
              <w:rPr>
                <w:sz w:val="23"/>
                <w:szCs w:val="23"/>
                <w:color w:val="auto"/>
              </w:rPr>
            </w:pPr>
          </w:p>
        </w:tc>
        <w:tc>
          <w:tcPr>
            <w:tcW w:w="3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November 12, 2020</w:t>
            </w:r>
          </w:p>
        </w:tc>
        <w:tc>
          <w:tcPr>
            <w:tcW w:w="0" w:type="dxa"/>
            <w:vAlign w:val="bottom"/>
          </w:tcPr>
          <w:p>
            <w:pPr>
              <w:spacing w:after="0"/>
              <w:rPr>
                <w:sz w:val="1"/>
                <w:szCs w:val="1"/>
                <w:color w:val="auto"/>
              </w:rPr>
            </w:pPr>
          </w:p>
        </w:tc>
      </w:tr>
      <w:tr>
        <w:trPr>
          <w:trHeight w:val="7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David Singer</w:t>
            </w:r>
          </w:p>
        </w:tc>
        <w:tc>
          <w:tcPr>
            <w:tcW w:w="8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II-7</w:t>
      </w:r>
    </w:p>
    <w:p>
      <w:pPr>
        <w:sectPr>
          <w:pgSz w:w="11900" w:h="16838" w:orient="portrait"/>
          <w:cols w:equalWidth="0" w:num="1">
            <w:col w:w="11260"/>
          </w:cols>
          <w:pgMar w:left="320" w:top="121" w:right="3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5"/>
          <w:szCs w:val="15"/>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SEER,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25" w:lineRule="exact"/>
        <w:rPr>
          <w:sz w:val="20"/>
          <w:szCs w:val="20"/>
          <w:color w:val="auto"/>
        </w:rPr>
      </w:pPr>
    </w:p>
    <w:p>
      <w:pPr>
        <w:ind w:right="60" w:firstLine="545"/>
        <w:spacing w:after="0" w:line="283" w:lineRule="auto"/>
        <w:rPr>
          <w:sz w:val="20"/>
          <w:szCs w:val="20"/>
          <w:color w:val="auto"/>
        </w:rPr>
      </w:pPr>
      <w:r>
        <w:rPr>
          <w:rFonts w:ascii="Times New Roman" w:cs="Times New Roman" w:eastAsia="Times New Roman" w:hAnsi="Times New Roman"/>
          <w:sz w:val="18"/>
          <w:szCs w:val="18"/>
          <w:color w:val="auto"/>
        </w:rPr>
        <w:t>Seer,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49" w:lineRule="exact"/>
        <w:rPr>
          <w:sz w:val="20"/>
          <w:szCs w:val="20"/>
          <w:color w:val="auto"/>
        </w:rPr>
      </w:pPr>
    </w:p>
    <w:p>
      <w:pPr>
        <w:ind w:right="660" w:firstLine="1081"/>
        <w:spacing w:after="0" w:line="283" w:lineRule="auto"/>
        <w:tabs>
          <w:tab w:leader="none" w:pos="1635"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name of this corporation is Seer, Inc., and that this corporation was originally incorporated pursuant to the General Corporation Law on March 16, 2017 under the name Seer Biosciences, Inc.</w:t>
      </w:r>
    </w:p>
    <w:p>
      <w:pPr>
        <w:spacing w:after="0" w:line="79" w:lineRule="exact"/>
        <w:rPr>
          <w:rFonts w:ascii="Times New Roman" w:cs="Times New Roman" w:eastAsia="Times New Roman" w:hAnsi="Times New Roman"/>
          <w:sz w:val="18"/>
          <w:szCs w:val="18"/>
          <w:b w:val="1"/>
          <w:bCs w:val="1"/>
          <w:color w:val="auto"/>
        </w:rPr>
      </w:pPr>
    </w:p>
    <w:p>
      <w:pPr>
        <w:ind w:right="180" w:firstLine="1081"/>
        <w:spacing w:after="0" w:line="261" w:lineRule="auto"/>
        <w:tabs>
          <w:tab w:leader="none" w:pos="1635"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95" w:lineRule="exact"/>
        <w:rPr>
          <w:sz w:val="20"/>
          <w:szCs w:val="20"/>
          <w:color w:val="auto"/>
        </w:rPr>
      </w:pPr>
    </w:p>
    <w:p>
      <w:pPr>
        <w:ind w:right="180" w:firstLine="1090"/>
        <w:spacing w:after="0" w:line="28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as previously amended and restated, be amended and restated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to read as follows:</w:t>
      </w:r>
    </w:p>
    <w:p>
      <w:pPr>
        <w:spacing w:after="0" w:line="7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Seer,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140" w:firstLine="1090"/>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Wilmington,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19801, County of New Castle. The name of its registered agent at such address is The Corporation Trust Company.</w:t>
      </w:r>
    </w:p>
    <w:p>
      <w:pPr>
        <w:spacing w:after="0" w:line="71" w:lineRule="exact"/>
        <w:rPr>
          <w:sz w:val="20"/>
          <w:szCs w:val="20"/>
          <w:color w:val="auto"/>
        </w:rPr>
      </w:pPr>
    </w:p>
    <w:p>
      <w:pPr>
        <w:ind w:right="840" w:firstLine="1090"/>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nature of the business or purposes to be conducted or promoted is to engage in any lawful act or activity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may be organized under the General Corporation Law.</w:t>
      </w:r>
    </w:p>
    <w:p>
      <w:pPr>
        <w:spacing w:after="0" w:line="71" w:lineRule="exact"/>
        <w:rPr>
          <w:sz w:val="20"/>
          <w:szCs w:val="20"/>
          <w:color w:val="auto"/>
        </w:rPr>
      </w:pPr>
    </w:p>
    <w:p>
      <w:pPr>
        <w:ind w:right="120" w:firstLine="109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total number of shares of all classes of stock which the Corporation shall have authority to issue is (i) 120,000,000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Class A Common Stock, $0.00001 par value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xml:space="preserve"> ”), (ii) 20,000,000 shares of Class B Common Stock, $0.00001 par value per share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together with the Class A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(iii) 62,117,414 shares of Preferred Stock, $0.00001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which 6,607,201 shall be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16,920,470 shall be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7,000,000 shall be designated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16,923,077 shall be designated “</w:t>
      </w:r>
      <w:r>
        <w:rPr>
          <w:rFonts w:ascii="Times New Roman" w:cs="Times New Roman" w:eastAsia="Times New Roman" w:hAnsi="Times New Roman"/>
          <w:sz w:val="18"/>
          <w:szCs w:val="18"/>
          <w:b w:val="1"/>
          <w:bCs w:val="1"/>
          <w:color w:val="auto"/>
        </w:rPr>
        <w:t>Series D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14,666,666 shall be designated “</w:t>
      </w:r>
      <w:r>
        <w:rPr>
          <w:rFonts w:ascii="Times New Roman" w:cs="Times New Roman" w:eastAsia="Times New Roman" w:hAnsi="Times New Roman"/>
          <w:sz w:val="18"/>
          <w:szCs w:val="18"/>
          <w:b w:val="1"/>
          <w:bCs w:val="1"/>
          <w:color w:val="auto"/>
        </w:rPr>
        <w:t>Series D-1 Preferred Stock</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right="200" w:firstLine="545"/>
        <w:spacing w:after="0" w:line="283"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260"/>
          </w:cols>
          <w:pgMar w:left="320" w:top="121" w:right="319" w:bottom="1440" w:gutter="0" w:footer="0" w:header="0"/>
        </w:sectPr>
      </w:pPr>
    </w:p>
    <w:bookmarkStart w:id="234" w:name="page235"/>
    <w:bookmarkEnd w:id="234"/>
    <w:p>
      <w:pPr>
        <w:ind w:left="544" w:hanging="544"/>
        <w:spacing w:after="0"/>
        <w:tabs>
          <w:tab w:leader="none" w:pos="5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45" w:lineRule="exact"/>
        <w:rPr>
          <w:rFonts w:ascii="Times New Roman" w:cs="Times New Roman" w:eastAsia="Times New Roman" w:hAnsi="Times New Roman"/>
          <w:sz w:val="18"/>
          <w:szCs w:val="18"/>
          <w:color w:val="auto"/>
        </w:rPr>
      </w:pPr>
    </w:p>
    <w:p>
      <w:pPr>
        <w:ind w:left="-536" w:right="140" w:firstLine="1081"/>
        <w:spacing w:after="0" w:line="283" w:lineRule="auto"/>
        <w:tabs>
          <w:tab w:leader="none" w:pos="10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79" w:lineRule="exact"/>
        <w:rPr>
          <w:rFonts w:ascii="Times New Roman" w:cs="Times New Roman" w:eastAsia="Times New Roman" w:hAnsi="Times New Roman"/>
          <w:sz w:val="18"/>
          <w:szCs w:val="18"/>
          <w:color w:val="auto"/>
        </w:rPr>
      </w:pPr>
    </w:p>
    <w:p>
      <w:pPr>
        <w:ind w:left="-536" w:right="300" w:firstLine="1081"/>
        <w:spacing w:after="0" w:line="266" w:lineRule="auto"/>
        <w:tabs>
          <w:tab w:leader="none" w:pos="10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Status</w:t>
      </w:r>
      <w:r>
        <w:rPr>
          <w:rFonts w:ascii="Times New Roman" w:cs="Times New Roman" w:eastAsia="Times New Roman" w:hAnsi="Times New Roman"/>
          <w:sz w:val="18"/>
          <w:szCs w:val="18"/>
          <w:color w:val="auto"/>
        </w:rPr>
        <w:t>. Except as otherwise provided in this Certificate of Incorporation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95" w:lineRule="exact"/>
        <w:rPr>
          <w:rFonts w:ascii="Times New Roman" w:cs="Times New Roman" w:eastAsia="Times New Roman" w:hAnsi="Times New Roman"/>
          <w:sz w:val="18"/>
          <w:szCs w:val="18"/>
          <w:color w:val="auto"/>
        </w:rPr>
      </w:pPr>
    </w:p>
    <w:p>
      <w:pPr>
        <w:ind w:left="-536" w:right="140" w:firstLine="1081"/>
        <w:spacing w:after="0" w:line="254" w:lineRule="auto"/>
        <w:tabs>
          <w:tab w:leader="none" w:pos="10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expressly provided by this Certificate of Incorporation or as provided by law, the holders of shares of Class A Common Stock and Class B Common Stock shall (a) at all times vote together as a single class on all matters (including the election of directors) submitted to a vote or for the consent (if action by written consent of the stockholders is permitted at such time under this Certificate of Incorporation) of the stockholders of the Corporation, (b) be entitled to notice of any stockholders’ meeting in accordance with the Bylaws of the Corporation and (c) be entitled to vote upon such matters and in such manner as may be provided by applicable law. Except as otherwise expressly provided herein or required by applicable law, each holder of Class A Common Stock shall have the right to one (1) vote per share of Class A Common Stock held of record by such holder and each holder of Class B Common Stock shall have the right to ten (10) votes per share of Class B Common Stock held of record by such holder.</w:t>
      </w:r>
    </w:p>
    <w:p>
      <w:pPr>
        <w:spacing w:after="0" w:line="110" w:lineRule="exact"/>
        <w:rPr>
          <w:rFonts w:ascii="Times New Roman" w:cs="Times New Roman" w:eastAsia="Times New Roman" w:hAnsi="Times New Roman"/>
          <w:sz w:val="18"/>
          <w:szCs w:val="18"/>
          <w:color w:val="auto"/>
        </w:rPr>
      </w:pPr>
    </w:p>
    <w:p>
      <w:pPr>
        <w:ind w:left="1084" w:hanging="539"/>
        <w:spacing w:after="0"/>
        <w:tabs>
          <w:tab w:leader="none" w:pos="108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ind w:left="10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Section 4, the following terms shall have the following meanings:</w:t>
      </w:r>
    </w:p>
    <w:p>
      <w:pPr>
        <w:spacing w:after="0" w:line="145" w:lineRule="exact"/>
        <w:rPr>
          <w:rFonts w:ascii="Times New Roman" w:cs="Times New Roman" w:eastAsia="Times New Roman" w:hAnsi="Times New Roman"/>
          <w:sz w:val="18"/>
          <w:szCs w:val="18"/>
          <w:color w:val="auto"/>
        </w:rPr>
      </w:pPr>
    </w:p>
    <w:p>
      <w:pPr>
        <w:jc w:val="both"/>
        <w:ind w:left="1644" w:hanging="554"/>
        <w:spacing w:after="0" w:line="256" w:lineRule="auto"/>
        <w:tabs>
          <w:tab w:leader="none" w:pos="163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stockholder of the Corporation, any person, entity or firm which, directly or indirectly, controls, is controlled by or is under common control with such stockholder, including, without limitation, any entity of which the stockholder is a partner or member, any partner, officer, director, member or employee of such stockholder and any venture capital fund now or hereafter existing of which the stockholder is a partner or member which is controlled by or under common control with one or more general partners of such stockholder or shares the same management company with such stockholder.</w:t>
      </w:r>
    </w:p>
    <w:p>
      <w:pPr>
        <w:spacing w:after="0" w:line="106" w:lineRule="exact"/>
        <w:rPr>
          <w:rFonts w:ascii="Times New Roman" w:cs="Times New Roman" w:eastAsia="Times New Roman" w:hAnsi="Times New Roman"/>
          <w:sz w:val="18"/>
          <w:szCs w:val="18"/>
          <w:color w:val="auto"/>
        </w:rPr>
      </w:pPr>
    </w:p>
    <w:p>
      <w:pPr>
        <w:ind w:left="1624" w:hanging="534"/>
        <w:spacing w:after="0"/>
        <w:tabs>
          <w:tab w:leader="none" w:pos="162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Stockholder</w:t>
      </w:r>
      <w:r>
        <w:rPr>
          <w:rFonts w:ascii="Times New Roman" w:cs="Times New Roman" w:eastAsia="Times New Roman" w:hAnsi="Times New Roman"/>
          <w:sz w:val="18"/>
          <w:szCs w:val="18"/>
          <w:color w:val="auto"/>
        </w:rPr>
        <w:t>” shall mean any stockholder that is issued Class B Common Stock by the Corporation.</w:t>
      </w:r>
    </w:p>
    <w:p>
      <w:pPr>
        <w:spacing w:after="0" w:line="145" w:lineRule="exact"/>
        <w:rPr>
          <w:rFonts w:ascii="Times New Roman" w:cs="Times New Roman" w:eastAsia="Times New Roman" w:hAnsi="Times New Roman"/>
          <w:sz w:val="18"/>
          <w:szCs w:val="18"/>
          <w:color w:val="auto"/>
        </w:rPr>
      </w:pPr>
    </w:p>
    <w:p>
      <w:pPr>
        <w:ind w:left="1644" w:hanging="554"/>
        <w:spacing w:after="0" w:line="283" w:lineRule="auto"/>
        <w:tabs>
          <w:tab w:leader="none" w:pos="164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xml:space="preserve">” shall mean, with respect to any Class B Stockholder, any trust, account, plan, corporation, partnership, or limited liability company specified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established by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5044" w:hanging="107"/>
        <w:spacing w:after="0"/>
        <w:tabs>
          <w:tab w:leader="none" w:pos="5044" w:val="left"/>
        </w:tabs>
        <w:numPr>
          <w:ilvl w:val="3"/>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724"/>
          </w:cols>
          <w:pgMar w:left="856" w:top="1400" w:right="319" w:bottom="1440" w:gutter="0" w:footer="0" w:header="0"/>
        </w:sectPr>
      </w:pPr>
    </w:p>
    <w:bookmarkStart w:id="235" w:name="page236"/>
    <w:bookmarkEnd w:id="235"/>
    <w:p>
      <w:pPr>
        <w:ind w:left="1640"/>
        <w:spacing w:after="0"/>
        <w:rPr>
          <w:sz w:val="20"/>
          <w:szCs w:val="20"/>
          <w:color w:val="auto"/>
        </w:rPr>
      </w:pPr>
      <w:r>
        <w:rPr>
          <w:rFonts w:ascii="Times New Roman" w:cs="Times New Roman" w:eastAsia="Times New Roman" w:hAnsi="Times New Roman"/>
          <w:sz w:val="18"/>
          <w:szCs w:val="18"/>
          <w:color w:val="auto"/>
        </w:rPr>
        <w:t xml:space="preserve">for such Class B Stockholder, so long as such entity meets the requirements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left="1640" w:hanging="554"/>
        <w:spacing w:after="0" w:line="266" w:lineRule="auto"/>
        <w:tabs>
          <w:tab w:leader="none" w:pos="163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w:t>
      </w:r>
    </w:p>
    <w:p>
      <w:pPr>
        <w:spacing w:after="0" w:line="95" w:lineRule="exact"/>
        <w:rPr>
          <w:rFonts w:ascii="Times New Roman" w:cs="Times New Roman" w:eastAsia="Times New Roman" w:hAnsi="Times New Roman"/>
          <w:sz w:val="18"/>
          <w:szCs w:val="18"/>
          <w:color w:val="auto"/>
        </w:rPr>
      </w:pPr>
    </w:p>
    <w:p>
      <w:pPr>
        <w:ind w:left="1640" w:hanging="554"/>
        <w:spacing w:after="0" w:line="283" w:lineRule="auto"/>
        <w:tabs>
          <w:tab w:leader="none" w:pos="16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shall mean, with respect to a share of Class B Common Stock, the power (whether exclusive or shared) to vote or direct the voting of such share of Class B Common Stock by proxy, voting agreement or otherwise.</w:t>
      </w:r>
    </w:p>
    <w:p>
      <w:pPr>
        <w:spacing w:after="0" w:line="80" w:lineRule="exact"/>
        <w:rPr>
          <w:sz w:val="20"/>
          <w:szCs w:val="20"/>
          <w:color w:val="auto"/>
        </w:rPr>
      </w:pPr>
    </w:p>
    <w:p>
      <w:pPr>
        <w:ind w:right="220" w:firstLine="1090"/>
        <w:spacing w:after="0" w:line="28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Each share of Class B Common Stock shall be convertible into one (1) fully paid and nonassessable share of Class A Common Stock at the option of the holder thereof at any time upon written notice to the transfer agent of the Corporation.</w:t>
      </w:r>
    </w:p>
    <w:p>
      <w:pPr>
        <w:spacing w:after="0" w:line="80" w:lineRule="exact"/>
        <w:rPr>
          <w:sz w:val="20"/>
          <w:szCs w:val="20"/>
          <w:color w:val="auto"/>
        </w:rPr>
      </w:pPr>
    </w:p>
    <w:p>
      <w:pPr>
        <w:ind w:right="20" w:firstLine="1090"/>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Automatic Conversion upon Transfer</w:t>
      </w:r>
      <w:r>
        <w:rPr>
          <w:rFonts w:ascii="Times New Roman" w:cs="Times New Roman" w:eastAsia="Times New Roman" w:hAnsi="Times New Roman"/>
          <w:sz w:val="18"/>
          <w:szCs w:val="18"/>
          <w:color w:val="auto"/>
        </w:rPr>
        <w:t xml:space="preserve">. Each share of Class B Common Stock shall automatically, without any further action, convert into one (1) fully paid and nonassessable share of Class A Common Stock upon the Transfer of such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 Class B Stockholder that is a single member limited liability company, a Transfer of Class B Common Stock by a Class B Stockholder to the sole member of such Class B Stockholder shall not trigger such automatic conversion;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Transfer by a Class B Stockholder (including a Class B Stockholder that is a transferee of Class B Common Stock by virtue of a permitted transfer from a single member limited liability company to its sole member as contemplated under this </w:t>
      </w:r>
      <w:r>
        <w:rPr>
          <w:rFonts w:ascii="Times New Roman" w:cs="Times New Roman" w:eastAsia="Times New Roman" w:hAnsi="Times New Roman"/>
          <w:sz w:val="18"/>
          <w:szCs w:val="18"/>
          <w:u w:val="single" w:color="auto"/>
          <w:color w:val="auto"/>
        </w:rPr>
        <w:t>Subsection 4.3</w:t>
      </w:r>
      <w:r>
        <w:rPr>
          <w:rFonts w:ascii="Times New Roman" w:cs="Times New Roman" w:eastAsia="Times New Roman" w:hAnsi="Times New Roman"/>
          <w:sz w:val="18"/>
          <w:szCs w:val="18"/>
          <w:color w:val="auto"/>
        </w:rPr>
        <w:t>) to any of the following Permitted Entities, and from any of the following Permitted Entities back to such Class B Stockholder and/or any other Permitted Entity by or for such Class B Stockholder shall not trigger such automatic conversion:</w:t>
      </w:r>
    </w:p>
    <w:p>
      <w:pPr>
        <w:spacing w:after="0" w:line="110" w:lineRule="exact"/>
        <w:rPr>
          <w:sz w:val="20"/>
          <w:szCs w:val="20"/>
          <w:color w:val="auto"/>
        </w:rPr>
      </w:pPr>
    </w:p>
    <w:p>
      <w:pPr>
        <w:ind w:left="1620" w:hanging="534"/>
        <w:spacing w:after="0"/>
        <w:tabs>
          <w:tab w:leader="none" w:pos="1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such Class B Stockholder;</w:t>
      </w:r>
    </w:p>
    <w:p>
      <w:pPr>
        <w:spacing w:after="0" w:line="145" w:lineRule="exact"/>
        <w:rPr>
          <w:rFonts w:ascii="Times New Roman" w:cs="Times New Roman" w:eastAsia="Times New Roman" w:hAnsi="Times New Roman"/>
          <w:sz w:val="18"/>
          <w:szCs w:val="18"/>
          <w:color w:val="auto"/>
        </w:rPr>
      </w:pPr>
    </w:p>
    <w:p>
      <w:pPr>
        <w:ind w:left="1640" w:hanging="554"/>
        <w:spacing w:after="0" w:line="283" w:lineRule="auto"/>
        <w:tabs>
          <w:tab w:leader="none" w:pos="163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for the benefit of such Class B Stockholder or such Class B Stockholder’s spouse, parents or children, and for the benefit of no other person or persons;</w:t>
      </w:r>
    </w:p>
    <w:p>
      <w:pPr>
        <w:spacing w:after="0" w:line="79" w:lineRule="exact"/>
        <w:rPr>
          <w:rFonts w:ascii="Times New Roman" w:cs="Times New Roman" w:eastAsia="Times New Roman" w:hAnsi="Times New Roman"/>
          <w:sz w:val="18"/>
          <w:szCs w:val="18"/>
          <w:color w:val="auto"/>
        </w:rPr>
      </w:pPr>
    </w:p>
    <w:p>
      <w:pPr>
        <w:jc w:val="both"/>
        <w:ind w:left="1640" w:hanging="554"/>
        <w:spacing w:after="0" w:line="258" w:lineRule="auto"/>
        <w:tabs>
          <w:tab w:leader="none" w:pos="1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for the benefit of persons other than those listed in paragraph 4.3(ii) or an Individual Retirement Account, as defined in Section 408(a) of the Internal Revenue Code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a pension, profit sharing, stock bonus or other type of plan or trust of which such Class B Stockholder is a participant or beneficiary and which satisfies the requirements for qualification under Section 401 of the Code, in each case so long as the Class B Stockholder has sole dispositive power and exclusive Voting Control 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040" w:hanging="107"/>
        <w:spacing w:after="0"/>
        <w:tabs>
          <w:tab w:leader="none" w:pos="50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720"/>
          </w:cols>
          <w:pgMar w:left="860" w:top="1400" w:right="319" w:bottom="1440" w:gutter="0" w:footer="0" w:header="0"/>
        </w:sectPr>
      </w:pPr>
    </w:p>
    <w:bookmarkStart w:id="236" w:name="page237"/>
    <w:bookmarkEnd w:id="236"/>
    <w:p>
      <w:pPr>
        <w:ind w:left="1640"/>
        <w:spacing w:after="0"/>
        <w:rPr>
          <w:sz w:val="20"/>
          <w:szCs w:val="20"/>
          <w:color w:val="auto"/>
        </w:rPr>
      </w:pPr>
      <w:r>
        <w:rPr>
          <w:rFonts w:ascii="Times New Roman" w:cs="Times New Roman" w:eastAsia="Times New Roman" w:hAnsi="Times New Roman"/>
          <w:sz w:val="18"/>
          <w:szCs w:val="18"/>
          <w:color w:val="auto"/>
        </w:rPr>
        <w:t>respect to the shares of Class B Common Stock held by such trust; or</w:t>
      </w:r>
    </w:p>
    <w:p>
      <w:pPr>
        <w:spacing w:after="0" w:line="145" w:lineRule="exact"/>
        <w:rPr>
          <w:sz w:val="20"/>
          <w:szCs w:val="20"/>
          <w:color w:val="auto"/>
        </w:rPr>
      </w:pPr>
    </w:p>
    <w:p>
      <w:pPr>
        <w:jc w:val="both"/>
        <w:ind w:left="1640" w:hanging="554"/>
        <w:spacing w:after="0" w:line="256" w:lineRule="auto"/>
        <w:tabs>
          <w:tab w:leader="none" w:pos="163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liability company in which such Class B Stockholder, together with such Class B Stockholder’s spouse or children, or, in the case of a Class B Stockholder that is a single member limited liability company, the sole member of such Class B Stockholder and such sole member’s spouse or children, directly, or indirectly through one or more Permitted Entities, owns membership interests with sufficient Voting Control in the limited liability company, or otherwise has legally enforceable rights, such that the Class B Stockholder retains sole dispositive power and exclusive Voting Control with respect to the shares of Class B Common Stock held by such limited liability company;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such Transfer does not involve any payment of cash, securities, property or other consideration (other than an interest in such trust) to the Class B Stockholder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the requirements of such Permitted Entity as described in paragraphs 4.3(i)-4.3(iii) above are no longer met, then each share of Class B Common Stock then held by such Permitted Entity shall automatically convert into one (1) fully paid and nonassessable share of Class A Common Stock.</w:t>
      </w:r>
    </w:p>
    <w:p>
      <w:pPr>
        <w:spacing w:after="0" w:line="99" w:lineRule="exact"/>
        <w:rPr>
          <w:sz w:val="20"/>
          <w:szCs w:val="20"/>
          <w:color w:val="auto"/>
        </w:rPr>
      </w:pPr>
    </w:p>
    <w:p>
      <w:pPr>
        <w:ind w:right="40" w:firstLine="109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first day following any period of 90 consecutive days during which such Class B Stockholder does not directly, or, in the case of a Class B Stockholder that is not a natural person, through a member, nominee or designee, provide services to the Corporation as an employee, consultant or director, (iii) the written consent or agreement of holders in interest of at least fifty percent (50%) of the then outstanding shares of Class B Common Stock or (iv) the earlier of (x) the first day following the fifth anniversary of the closing of the first firm-commitment underwritten public offering pursuant to an effective registration statement under the Securities Act of 1933, as amended, resulting in the listing of shares of the Corporation’s capital stock on a securities exchange registered with the U.S. Securities and Exchange Commission as a national securities exchange pursuant to Section 6(a) of the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(y) December 31, 2025.</w:t>
      </w:r>
    </w:p>
    <w:p>
      <w:pPr>
        <w:spacing w:after="0" w:line="107" w:lineRule="exact"/>
        <w:rPr>
          <w:sz w:val="20"/>
          <w:szCs w:val="20"/>
          <w:color w:val="auto"/>
        </w:rPr>
      </w:pPr>
    </w:p>
    <w:p>
      <w:pPr>
        <w:ind w:right="100" w:firstLine="1090"/>
        <w:spacing w:after="0" w:line="28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In the event of a conversion of shares of Class B Common Stock to shares of Class A Common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such conversion shall be deemed to have been made at the time that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720"/>
          </w:cols>
          <w:pgMar w:left="860" w:top="1400" w:right="319" w:bottom="1440" w:gutter="0" w:footer="0" w:header="0"/>
        </w:sectPr>
      </w:pPr>
    </w:p>
    <w:bookmarkStart w:id="237" w:name="page238"/>
    <w:bookmarkEnd w:id="237"/>
    <w:p>
      <w:pPr>
        <w:ind w:left="540" w:right="160"/>
        <w:spacing w:after="0" w:line="255" w:lineRule="auto"/>
        <w:rPr>
          <w:sz w:val="20"/>
          <w:szCs w:val="20"/>
          <w:color w:val="auto"/>
        </w:rPr>
      </w:pPr>
      <w:r>
        <w:rPr>
          <w:rFonts w:ascii="Times New Roman" w:cs="Times New Roman" w:eastAsia="Times New Roman" w:hAnsi="Times New Roman"/>
          <w:sz w:val="18"/>
          <w:szCs w:val="18"/>
          <w:color w:val="auto"/>
        </w:rPr>
        <w:t xml:space="preserve">transfer agent receives the written notice required pursuant to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the time that the Transfer of such shares occurred or the death or permanent disability of the Class B Stockholder (or its sole member), as applicable. Upon any conversion of Class B Common Stock to Class A Common Stock, all rights of the holder of such shares of Class B Common Stock shall cease and the person or persons in whose names or names the certificate or certificates representing the shares of Class B Common Stock are to be issued, if any, shall be treated for all purposes as having become the record holder or holders of such number of shares of Class A Common Stock into which such Class B Common Stock were convertible. Shares of Class B Common Stock that are converted into shares of Class A Common Stock as provided in this Section 4 shall be retired and shall not be reissued.</w:t>
      </w:r>
    </w:p>
    <w:p>
      <w:pPr>
        <w:spacing w:after="0" w:line="107" w:lineRule="exact"/>
        <w:rPr>
          <w:sz w:val="20"/>
          <w:szCs w:val="20"/>
          <w:color w:val="auto"/>
        </w:rPr>
      </w:pPr>
    </w:p>
    <w:p>
      <w:pPr>
        <w:ind w:right="80" w:firstLine="1081"/>
        <w:spacing w:after="0" w:line="261" w:lineRule="auto"/>
        <w:tabs>
          <w:tab w:leader="none" w:pos="163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99" w:lineRule="exact"/>
        <w:rPr>
          <w:rFonts w:ascii="Times New Roman" w:cs="Times New Roman" w:eastAsia="Times New Roman" w:hAnsi="Times New Roman"/>
          <w:sz w:val="18"/>
          <w:szCs w:val="18"/>
          <w:color w:val="auto"/>
        </w:rPr>
      </w:pPr>
    </w:p>
    <w:p>
      <w:pPr>
        <w:ind w:right="60" w:firstLine="1081"/>
        <w:spacing w:after="0" w:line="261" w:lineRule="auto"/>
        <w:tabs>
          <w:tab w:leader="none" w:pos="163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Authorized Class A Common Stock</w:t>
      </w:r>
      <w:r>
        <w:rPr>
          <w:rFonts w:ascii="Times New Roman" w:cs="Times New Roman" w:eastAsia="Times New Roman" w:hAnsi="Times New Roman"/>
          <w:sz w:val="18"/>
          <w:szCs w:val="18"/>
          <w:color w:val="auto"/>
        </w:rPr>
        <w:t>. The number of authorized shares of Class A Common Stock may be increased or decreased (but not below the number of shares of Class A Common Stock then outstanding) by an affirmative vote of the holders of a majority of the voting power of the Corporation (in addition to the affirmative vote of holders of the Preferred Stock voting as a separate class pursuant to Article Fourth, Part B, Section 3.3.8 of this Certificate of Incorporation).</w:t>
      </w:r>
    </w:p>
    <w:p>
      <w:pPr>
        <w:spacing w:after="0" w:line="99" w:lineRule="exact"/>
        <w:rPr>
          <w:rFonts w:ascii="Times New Roman" w:cs="Times New Roman" w:eastAsia="Times New Roman" w:hAnsi="Times New Roman"/>
          <w:sz w:val="18"/>
          <w:szCs w:val="18"/>
          <w:color w:val="auto"/>
        </w:rPr>
      </w:pPr>
    </w:p>
    <w:p>
      <w:pPr>
        <w:jc w:val="both"/>
        <w:ind w:right="220" w:firstLine="1081"/>
        <w:spacing w:after="0" w:line="258" w:lineRule="auto"/>
        <w:tabs>
          <w:tab w:leader="none" w:pos="1635"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to Class A Common Stock and the general administration of this dual class Common Stock structure, including the issuance of stock certificates with respect thereto, as it may deem necessary or advisable, and may request that holders of shares of Class B Common Stock furnish affidavits or other proof to the Corporation as it deems necessary to verify the ownership of Class B Common Stock and to confirm that a conversion to Class A Common Stock has not occurred.</w:t>
      </w:r>
    </w:p>
    <w:p>
      <w:pPr>
        <w:spacing w:after="0" w:line="102"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45"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8"/>
          <w:szCs w:val="18"/>
          <w:color w:val="auto"/>
        </w:rPr>
        <w:t>6,607,201 shares of the authorized and issued Preferred Stock of the Corporation are hereby designated Series A Preferred Stock, 16,920,470 shares of the authorized and issued Preferred Stock of the Corporation are hereby designated Series B Preferred Stock, 7,000,000 shares of the authorized and issued Preferred Stock of the Corporation are hereby designated Series C Preferred Stock, 16,923,077 shares of the authorized and unissued Preferred Stock of the Corporation are hereby designated Series D Preferred Stock and 14,666,666 shares of the authorized and unissued Preferred Stock of the Corporation are hereby designated Series D-1 Preferred Stock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240"/>
          </w:cols>
          <w:pgMar w:left="320" w:top="1400" w:right="339" w:bottom="1440" w:gutter="0" w:footer="0" w:header="0"/>
        </w:sectPr>
      </w:pPr>
    </w:p>
    <w:bookmarkStart w:id="238" w:name="page239"/>
    <w:bookmarkEnd w:id="238"/>
    <w:p>
      <w:pPr>
        <w:ind w:left="1620" w:hanging="539"/>
        <w:spacing w:after="0"/>
        <w:tabs>
          <w:tab w:leader="none" w:pos="16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firstLine="545"/>
        <w:spacing w:after="0" w:line="251" w:lineRule="auto"/>
        <w:rPr>
          <w:sz w:val="20"/>
          <w:szCs w:val="20"/>
          <w:color w:val="auto"/>
        </w:rPr>
      </w:pPr>
      <w:r>
        <w:rPr>
          <w:rFonts w:ascii="Times New Roman" w:cs="Times New Roman" w:eastAsia="Times New Roman" w:hAnsi="Times New Roman"/>
          <w:sz w:val="18"/>
          <w:szCs w:val="18"/>
          <w:color w:val="auto"/>
        </w:rPr>
        <w:t>Holders of Series A Preferred Stock, in preference to the holders of Common Stock and pari passu with the holders of Series B Preferred Stock, the holders of Series C Preferred Stock, the holders of Series D Preferred Stock and the holders of Series D-1 Preferred Stock, shall be entitled to receive, but only out of funds that are legally available therefor, cash dividends at the rate of $0.0545 per annum on each outstanding share of Series A Preferred Stock. Holders of Series B Preferred Stock, in preference to the holders of Common Stock and pari passu with the holders of Series A Preferred Stock, the holders of Series C Preferred Stock, the holders of Series D Preferred Stock and the holders of Series D-1 Preferred Stock, shall be entitled to receive, but only out of funds that are legally available therefor, cash dividends at the rate of $0.1064 per annum on each outstanding share of Series B Preferred Stock. Holders of Series C Preferred Stock, in preference to the holders of Common Stock and pari passu with the holders of Series A Preferred Stock, the holders of Series B Preferred Stock, the holders of Series D Preferred Stock and the holders of Series D-1 Preferred Stock, shall be entitled to receive, but only out of funds that are legally available therefor, cash dividends at the rate of $0.15 per annum on each outstanding share of Series C Preferred Stock. Holders of Series D Preferred Stock, in preference to the holders of Common Stock and pari passu with the holders of Series A Preferred Stock, the holders of Series B Preferred Stock, the holders of Series C Preferred Stock and the holders of Series D-1 Preferred Stock, shall be entitled to receive, but only out of funds that are legally available therefor, cash dividends at the rate of $0.195 per annum on each outstanding share of Series D Preferred Stock. Holders of Series D-1 Preferred Stock, in preference to the holders of Common Stock and pari passu with the holders of Series A Preferred Stock, the holders of Series B Preferred Stock, the holders of Series C Preferred Stock and the holders of Series D Preferred Stock, shall be entitled to receive, but only out of funds that are legally available therefor, cash dividends at the rate of $0.225 per annum on each outstanding share of Series D-1 Preferred Stock. Such dividends shall be payable only when, as and if declared by the Board of Directors and shall be non-cumulative. After payment of such dividends to the holders of Series A Preferred Stock, Series B Preferred Stock, Series C Preferred Stock, Series D Preferred Stock and Series D-1 Preferred Stock,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Series A Conversion Rate (as defined below), Series B Conversion Rate (as defined below), Series C Conversion Rate (as defined below), Series D Conversion Rate (as defined below) and Series D-1 Conversion Rate (as defined below), as applicable. A distribution to the Corporation’s stockholders may be made without regard to the preferential dividends arrears amount or any preferential rights amount (each as determined under applicable law).</w:t>
      </w:r>
    </w:p>
    <w:p>
      <w:pPr>
        <w:spacing w:after="0" w:line="337" w:lineRule="exact"/>
        <w:rPr>
          <w:sz w:val="20"/>
          <w:szCs w:val="20"/>
          <w:color w:val="auto"/>
        </w:rPr>
      </w:pPr>
    </w:p>
    <w:p>
      <w:pPr>
        <w:ind w:left="1620" w:hanging="539"/>
        <w:spacing w:after="0"/>
        <w:tabs>
          <w:tab w:leader="none" w:pos="16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right="120" w:firstLine="1635"/>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Preferred Stock</w:t>
      </w:r>
      <w:r>
        <w:rPr>
          <w:rFonts w:ascii="Times New Roman" w:cs="Times New Roman" w:eastAsia="Times New Roman" w:hAnsi="Times New Roman"/>
          <w:sz w:val="18"/>
          <w:szCs w:val="18"/>
          <w:color w:val="auto"/>
        </w:rPr>
        <w:t>. In the event of any voluntary or involuntary liquidation, dissolution or winding up of the Corporation or Deemed Liquidation Event, the holders of shares of Preferred Stock then outstanding shall be entitled to be paid out of the assets of the Corporation available for distribution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260"/>
          </w:cols>
          <w:pgMar w:left="320" w:top="1400" w:right="319" w:bottom="1440" w:gutter="0" w:footer="0" w:header="0"/>
        </w:sectPr>
      </w:pPr>
    </w:p>
    <w:bookmarkStart w:id="239" w:name="page240"/>
    <w:bookmarkEnd w:id="239"/>
    <w:p>
      <w:pPr>
        <w:spacing w:after="0" w:line="252" w:lineRule="auto"/>
        <w:rPr>
          <w:sz w:val="20"/>
          <w:szCs w:val="20"/>
          <w:color w:val="auto"/>
        </w:rPr>
      </w:pPr>
      <w:r>
        <w:rPr>
          <w:rFonts w:ascii="Times New Roman" w:cs="Times New Roman" w:eastAsia="Times New Roman" w:hAnsi="Times New Roman"/>
          <w:sz w:val="18"/>
          <w:szCs w:val="18"/>
          <w:color w:val="auto"/>
        </w:rPr>
        <w:t xml:space="preserve">stockholders before any payment shall be made to the holders of Common Stock by reason of their ownership thereof, an amount per share of Preferred Stock equal to the greater of (i) the Original Issue Price of such series of Preferred Stock, plus any dividends declared but unpaid thereon and (ii) such amount per share as would have been payable had all shares of such series of Preferred Stock been converted into Class A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is hereinafter referred to as in the case of the Series A Preferred Stock, the “</w:t>
      </w:r>
      <w:r>
        <w:rPr>
          <w:rFonts w:ascii="Times New Roman" w:cs="Times New Roman" w:eastAsia="Times New Roman" w:hAnsi="Times New Roman"/>
          <w:sz w:val="18"/>
          <w:szCs w:val="18"/>
          <w:b w:val="1"/>
          <w:bCs w:val="1"/>
          <w:color w:val="auto"/>
        </w:rPr>
        <w:t>Series A Liquidation Amount</w:t>
      </w:r>
      <w:r>
        <w:rPr>
          <w:rFonts w:ascii="Times New Roman" w:cs="Times New Roman" w:eastAsia="Times New Roman" w:hAnsi="Times New Roman"/>
          <w:sz w:val="18"/>
          <w:szCs w:val="18"/>
          <w:color w:val="auto"/>
        </w:rPr>
        <w:t>,” as in the case of the Series B Preferred Stock, the “</w:t>
      </w:r>
      <w:r>
        <w:rPr>
          <w:rFonts w:ascii="Times New Roman" w:cs="Times New Roman" w:eastAsia="Times New Roman" w:hAnsi="Times New Roman"/>
          <w:sz w:val="18"/>
          <w:szCs w:val="18"/>
          <w:b w:val="1"/>
          <w:bCs w:val="1"/>
          <w:color w:val="auto"/>
        </w:rPr>
        <w:t>Series B Liquidation Amount</w:t>
      </w:r>
      <w:r>
        <w:rPr>
          <w:rFonts w:ascii="Times New Roman" w:cs="Times New Roman" w:eastAsia="Times New Roman" w:hAnsi="Times New Roman"/>
          <w:sz w:val="18"/>
          <w:szCs w:val="18"/>
          <w:color w:val="auto"/>
        </w:rPr>
        <w:t>,” as in the case of the Series C Preferred Stock, the “</w:t>
      </w:r>
      <w:r>
        <w:rPr>
          <w:rFonts w:ascii="Times New Roman" w:cs="Times New Roman" w:eastAsia="Times New Roman" w:hAnsi="Times New Roman"/>
          <w:sz w:val="18"/>
          <w:szCs w:val="18"/>
          <w:b w:val="1"/>
          <w:bCs w:val="1"/>
          <w:color w:val="auto"/>
        </w:rPr>
        <w:t>Series C Liquidation Amount</w:t>
      </w:r>
      <w:r>
        <w:rPr>
          <w:rFonts w:ascii="Times New Roman" w:cs="Times New Roman" w:eastAsia="Times New Roman" w:hAnsi="Times New Roman"/>
          <w:sz w:val="18"/>
          <w:szCs w:val="18"/>
          <w:color w:val="auto"/>
        </w:rPr>
        <w:t>,” as in the case of the Series D Preferred Stock, the “</w:t>
      </w:r>
      <w:r>
        <w:rPr>
          <w:rFonts w:ascii="Times New Roman" w:cs="Times New Roman" w:eastAsia="Times New Roman" w:hAnsi="Times New Roman"/>
          <w:sz w:val="18"/>
          <w:szCs w:val="18"/>
          <w:b w:val="1"/>
          <w:bCs w:val="1"/>
          <w:color w:val="auto"/>
        </w:rPr>
        <w:t>Series D Liquidation Amount</w:t>
      </w:r>
      <w:r>
        <w:rPr>
          <w:rFonts w:ascii="Times New Roman" w:cs="Times New Roman" w:eastAsia="Times New Roman" w:hAnsi="Times New Roman"/>
          <w:sz w:val="18"/>
          <w:szCs w:val="18"/>
          <w:color w:val="auto"/>
        </w:rPr>
        <w:t>” and as in the case of the Series D-1 Preferred Stock, the “</w:t>
      </w:r>
      <w:r>
        <w:rPr>
          <w:rFonts w:ascii="Times New Roman" w:cs="Times New Roman" w:eastAsia="Times New Roman" w:hAnsi="Times New Roman"/>
          <w:sz w:val="18"/>
          <w:szCs w:val="18"/>
          <w:b w:val="1"/>
          <w:bCs w:val="1"/>
          <w:color w:val="auto"/>
        </w:rPr>
        <w:t>Series D-1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w:t>
      </w:r>
      <w:r>
        <w:rPr>
          <w:rFonts w:ascii="Times New Roman" w:cs="Times New Roman" w:eastAsia="Times New Roman" w:hAnsi="Times New Roman"/>
          <w:sz w:val="18"/>
          <w:szCs w:val="18"/>
          <w:b w:val="1"/>
          <w:bCs w:val="1"/>
          <w:color w:val="auto"/>
        </w:rPr>
        <w:t>Series A Original Issue Price</w:t>
      </w:r>
      <w:r>
        <w:rPr>
          <w:rFonts w:ascii="Times New Roman" w:cs="Times New Roman" w:eastAsia="Times New Roman" w:hAnsi="Times New Roman"/>
          <w:sz w:val="18"/>
          <w:szCs w:val="18"/>
          <w:color w:val="auto"/>
        </w:rPr>
        <w:t>” shall mean $0.9081 per share, subject to appropriate adjustment in the event of any stock dividend, stock split, combination or other similar recapitalization with respect to the Series A Preferred Stock. The “</w:t>
      </w:r>
      <w:r>
        <w:rPr>
          <w:rFonts w:ascii="Times New Roman" w:cs="Times New Roman" w:eastAsia="Times New Roman" w:hAnsi="Times New Roman"/>
          <w:sz w:val="18"/>
          <w:szCs w:val="18"/>
          <w:b w:val="1"/>
          <w:bCs w:val="1"/>
          <w:color w:val="auto"/>
        </w:rPr>
        <w:t>Series B Original Issue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shall mean $1.7730 per share, subject to appropriate adjustment in the event of any stock dividend, stock split, combination or other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recapitalization with respect to the Series B Preferred Stock. The “</w:t>
      </w:r>
      <w:r>
        <w:rPr>
          <w:rFonts w:ascii="Times New Roman" w:cs="Times New Roman" w:eastAsia="Times New Roman" w:hAnsi="Times New Roman"/>
          <w:sz w:val="18"/>
          <w:szCs w:val="18"/>
          <w:b w:val="1"/>
          <w:bCs w:val="1"/>
          <w:color w:val="auto"/>
        </w:rPr>
        <w:t>Series C Original Issue Price</w:t>
      </w:r>
      <w:r>
        <w:rPr>
          <w:rFonts w:ascii="Times New Roman" w:cs="Times New Roman" w:eastAsia="Times New Roman" w:hAnsi="Times New Roman"/>
          <w:sz w:val="18"/>
          <w:szCs w:val="18"/>
          <w:color w:val="auto"/>
        </w:rPr>
        <w:t>” shall mean $2.50 per share, subject to appropriate adjustment in the event of any stock dividend, stock split, combination or other similar recapitalization with respect to the Series C Preferred Stock. The “</w:t>
      </w:r>
      <w:r>
        <w:rPr>
          <w:rFonts w:ascii="Times New Roman" w:cs="Times New Roman" w:eastAsia="Times New Roman" w:hAnsi="Times New Roman"/>
          <w:sz w:val="18"/>
          <w:szCs w:val="18"/>
          <w:b w:val="1"/>
          <w:bCs w:val="1"/>
          <w:color w:val="auto"/>
        </w:rPr>
        <w:t>Series D Original Issue Price</w:t>
      </w:r>
      <w:r>
        <w:rPr>
          <w:rFonts w:ascii="Times New Roman" w:cs="Times New Roman" w:eastAsia="Times New Roman" w:hAnsi="Times New Roman"/>
          <w:sz w:val="18"/>
          <w:szCs w:val="18"/>
          <w:color w:val="auto"/>
        </w:rPr>
        <w:t>” shall mean $3.25 per share, subject to appropriate adjustment in the event of any stock dividend, stock split, combination or other similar recapitalization with respect to the Series D Preferred Stock. The “</w:t>
      </w:r>
      <w:r>
        <w:rPr>
          <w:rFonts w:ascii="Times New Roman" w:cs="Times New Roman" w:eastAsia="Times New Roman" w:hAnsi="Times New Roman"/>
          <w:sz w:val="18"/>
          <w:szCs w:val="18"/>
          <w:b w:val="1"/>
          <w:bCs w:val="1"/>
          <w:color w:val="auto"/>
        </w:rPr>
        <w:t>Series D-1 Original Issue Price</w:t>
      </w:r>
      <w:r>
        <w:rPr>
          <w:rFonts w:ascii="Times New Roman" w:cs="Times New Roman" w:eastAsia="Times New Roman" w:hAnsi="Times New Roman"/>
          <w:sz w:val="18"/>
          <w:szCs w:val="18"/>
          <w:color w:val="auto"/>
        </w:rPr>
        <w:t>” shall mean $3.75 per share, subject to appropriate adjustment in the event of any stock dividend, stock split, combination or other similar recapitalization with respect to the Series D-1 Preferred Stock.</w:t>
      </w:r>
    </w:p>
    <w:p>
      <w:pPr>
        <w:spacing w:after="0" w:line="323" w:lineRule="exact"/>
        <w:rPr>
          <w:sz w:val="20"/>
          <w:szCs w:val="20"/>
          <w:color w:val="auto"/>
        </w:rPr>
      </w:pPr>
    </w:p>
    <w:p>
      <w:pPr>
        <w:ind w:right="140" w:firstLine="1635"/>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Payments to Holders of Common Stock</w:t>
      </w:r>
      <w:r>
        <w:rPr>
          <w:rFonts w:ascii="Times New Roman" w:cs="Times New Roman" w:eastAsia="Times New Roman" w:hAnsi="Times New Roman"/>
          <w:sz w:val="18"/>
          <w:szCs w:val="18"/>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shares of Common Stock, pro rata based on the number of shares held by each such holder.</w:t>
      </w:r>
    </w:p>
    <w:p>
      <w:pPr>
        <w:spacing w:after="0" w:line="99" w:lineRule="exact"/>
        <w:rPr>
          <w:sz w:val="20"/>
          <w:szCs w:val="20"/>
          <w:color w:val="auto"/>
        </w:rPr>
      </w:pPr>
    </w:p>
    <w:p>
      <w:pPr>
        <w:ind w:left="1620"/>
        <w:spacing w:after="0"/>
        <w:tabs>
          <w:tab w:leader="none" w:pos="21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right="20" w:firstLine="2181"/>
        <w:spacing w:after="0" w:line="269"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unless the holders of at least a majority of the outstanding shares of Preferred Stock elect otherwise by written notice sent to the Corporation prior to the effective date of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260"/>
          </w:cols>
          <w:pgMar w:left="320" w:top="1400" w:right="319" w:bottom="1440" w:gutter="0" w:footer="0" w:header="0"/>
        </w:sectPr>
      </w:pPr>
    </w:p>
    <w:bookmarkStart w:id="240" w:name="page241"/>
    <w:bookmarkEnd w:id="240"/>
    <w:p>
      <w:pPr>
        <w:ind w:left="3269" w:hanging="543"/>
        <w:spacing w:after="0"/>
        <w:tabs>
          <w:tab w:leader="none" w:pos="326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in which</w:t>
      </w:r>
    </w:p>
    <w:p>
      <w:pPr>
        <w:spacing w:after="0" w:line="145" w:lineRule="exact"/>
        <w:rPr>
          <w:rFonts w:ascii="Times New Roman" w:cs="Times New Roman" w:eastAsia="Times New Roman" w:hAnsi="Times New Roman"/>
          <w:sz w:val="18"/>
          <w:szCs w:val="18"/>
          <w:color w:val="auto"/>
        </w:rPr>
      </w:pPr>
    </w:p>
    <w:p>
      <w:pPr>
        <w:ind w:left="3809" w:hanging="538"/>
        <w:spacing w:after="0"/>
        <w:tabs>
          <w:tab w:leader="none" w:pos="38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145" w:lineRule="exact"/>
        <w:rPr>
          <w:rFonts w:ascii="Times New Roman" w:cs="Times New Roman" w:eastAsia="Times New Roman" w:hAnsi="Times New Roman"/>
          <w:sz w:val="18"/>
          <w:szCs w:val="18"/>
          <w:color w:val="auto"/>
        </w:rPr>
      </w:pPr>
    </w:p>
    <w:p>
      <w:pPr>
        <w:ind w:left="3809" w:right="160" w:hanging="538"/>
        <w:spacing w:after="0" w:line="283" w:lineRule="auto"/>
        <w:tabs>
          <w:tab w:leader="none" w:pos="380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Corporation is a constituent party and the Corporation issues shares of its capital stock pursuant to such merger or consolidation,</w:t>
      </w:r>
    </w:p>
    <w:p>
      <w:pPr>
        <w:spacing w:after="0" w:line="80" w:lineRule="exact"/>
        <w:rPr>
          <w:sz w:val="20"/>
          <w:szCs w:val="20"/>
          <w:color w:val="auto"/>
        </w:rPr>
      </w:pPr>
    </w:p>
    <w:p>
      <w:pPr>
        <w:ind w:left="9" w:right="60"/>
        <w:spacing w:after="0" w:line="258" w:lineRule="auto"/>
        <w:rPr>
          <w:sz w:val="20"/>
          <w:szCs w:val="20"/>
          <w:color w:val="auto"/>
        </w:rPr>
      </w:pPr>
      <w:r>
        <w:rPr>
          <w:rFonts w:ascii="Times New Roman" w:cs="Times New Roman" w:eastAsia="Times New Roman" w:hAnsi="Times New Roman"/>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03" w:lineRule="exact"/>
        <w:rPr>
          <w:sz w:val="20"/>
          <w:szCs w:val="20"/>
          <w:color w:val="auto"/>
        </w:rPr>
      </w:pPr>
    </w:p>
    <w:p>
      <w:pPr>
        <w:ind w:left="9" w:firstLine="2717"/>
        <w:spacing w:after="0" w:line="255" w:lineRule="auto"/>
        <w:tabs>
          <w:tab w:leader="none" w:pos="327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(in all fields or substantially all fields such that the Corporation is unable to continue operations in its ordinary course of business)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(in all fields or substantially all fields such that the Corporation is unable to continue operations in its ordinary course of business) or other disposition is to a wholly owned subsidiary of the Corporation.</w:t>
      </w:r>
    </w:p>
    <w:p>
      <w:pPr>
        <w:spacing w:after="0" w:line="107" w:lineRule="exact"/>
        <w:rPr>
          <w:sz w:val="20"/>
          <w:szCs w:val="20"/>
          <w:color w:val="auto"/>
        </w:rPr>
      </w:pPr>
    </w:p>
    <w:p>
      <w:pPr>
        <w:ind w:left="2189"/>
        <w:spacing w:after="0"/>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Effecting a Deemed Liquidation Event</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9" w:right="160" w:firstLine="2717"/>
        <w:spacing w:after="0" w:line="261" w:lineRule="auto"/>
        <w:tabs>
          <w:tab w:leader="none" w:pos="327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Subsection 2.3.1(a)(i)</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w:t>
      </w:r>
    </w:p>
    <w:p>
      <w:pPr>
        <w:spacing w:after="0" w:line="99" w:lineRule="exact"/>
        <w:rPr>
          <w:rFonts w:ascii="Times New Roman" w:cs="Times New Roman" w:eastAsia="Times New Roman" w:hAnsi="Times New Roman"/>
          <w:sz w:val="18"/>
          <w:szCs w:val="18"/>
          <w:color w:val="auto"/>
        </w:rPr>
      </w:pPr>
    </w:p>
    <w:p>
      <w:pPr>
        <w:ind w:left="9" w:right="140" w:firstLine="2717"/>
        <w:spacing w:after="0" w:line="239" w:lineRule="auto"/>
        <w:tabs>
          <w:tab w:leader="none" w:pos="327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Deemed Liquidation Event referred to in </w:t>
      </w:r>
      <w:r>
        <w:rPr>
          <w:rFonts w:ascii="Times New Roman" w:cs="Times New Roman" w:eastAsia="Times New Roman" w:hAnsi="Times New Roman"/>
          <w:sz w:val="18"/>
          <w:szCs w:val="18"/>
          <w:u w:val="single" w:color="auto"/>
          <w:color w:val="auto"/>
        </w:rPr>
        <w:t>Subsection 2.3.1(a)(ii)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2.3.1(b)</w:t>
      </w:r>
      <w:r>
        <w:rPr>
          <w:rFonts w:ascii="Times New Roman" w:cs="Times New Roman" w:eastAsia="Times New Roman" w:hAnsi="Times New Roman"/>
          <w:sz w:val="18"/>
          <w:szCs w:val="18"/>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Deemed Liquidation Event advising such holders of their right (and the requirements to be met to secure such right) pursuant to the terms of the following clause</w:t>
      </w:r>
    </w:p>
    <w:p>
      <w:pPr>
        <w:spacing w:after="0" w:line="1" w:lineRule="exact"/>
        <w:rPr>
          <w:rFonts w:ascii="Times New Roman" w:cs="Times New Roman" w:eastAsia="Times New Roman" w:hAnsi="Times New Roman"/>
          <w:sz w:val="18"/>
          <w:szCs w:val="18"/>
          <w:color w:val="auto"/>
        </w:rPr>
      </w:pPr>
    </w:p>
    <w:p>
      <w:pPr>
        <w:ind w:left="9" w:right="340" w:hanging="9"/>
        <w:spacing w:after="0" w:line="260" w:lineRule="auto"/>
        <w:tabs>
          <w:tab w:leader="none" w:pos="27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the redemption of such shares of Preferred Stock, and (ii) if the holders of at least a majority of the then outstanding shares of Preferred Stock so request in a written instrument delivered to the Corporation not later than one hundred twenty (120) days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3" w:lineRule="exact"/>
        <w:rPr>
          <w:rFonts w:ascii="Times New Roman" w:cs="Times New Roman" w:eastAsia="Times New Roman" w:hAnsi="Times New Roman"/>
          <w:sz w:val="18"/>
          <w:szCs w:val="18"/>
          <w:color w:val="auto"/>
        </w:rPr>
      </w:pPr>
    </w:p>
    <w:p>
      <w:pPr>
        <w:ind w:left="5589" w:hanging="107"/>
        <w:spacing w:after="0"/>
        <w:tabs>
          <w:tab w:leader="none" w:pos="5589"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209"/>
          </w:cols>
          <w:pgMar w:left="311" w:top="1400" w:right="379" w:bottom="1440" w:gutter="0" w:footer="0" w:header="0"/>
        </w:sectPr>
      </w:pPr>
    </w:p>
    <w:bookmarkStart w:id="241" w:name="page242"/>
    <w:bookmarkEnd w:id="241"/>
    <w:p>
      <w:pPr>
        <w:ind w:right="40"/>
        <w:spacing w:after="0" w:line="247" w:lineRule="auto"/>
        <w:rPr>
          <w:sz w:val="20"/>
          <w:szCs w:val="20"/>
          <w:color w:val="auto"/>
        </w:rPr>
      </w:pPr>
      <w:r>
        <w:rPr>
          <w:rFonts w:ascii="Times New Roman" w:cs="Times New Roman" w:eastAsia="Times New Roman" w:hAnsi="Times New Roman"/>
          <w:sz w:val="18"/>
          <w:szCs w:val="18"/>
          <w:color w:val="auto"/>
        </w:rPr>
        <w:t>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on the one hundred fiftieth (150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such Deemed Liquidation Event, to redeem all outstanding shares of Series A Preferred Stock at a price per share equal to the Series A Liquidation Amount, all outstanding shares of Series B Preferred Stock at a price per share equal to the Series B Liquidation Amount, all outstanding shares of Series C Preferred Stock at a price per share equal to the Series C Liquidation Amount, all outstanding shares of Series D Preferred Stock at a price per share equal to the Series D Liquidation Amount and all outstanding shares of Series D-1 Preferred Stock at a price per share equal to the Series D-1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and shall redeem the remaining shares as soon as it may lawfully do so under Delaware law governing distributions to stockholders. Prior to the distribution or redemption provided for in this </w:t>
      </w:r>
      <w:r>
        <w:rPr>
          <w:rFonts w:ascii="Times New Roman" w:cs="Times New Roman" w:eastAsia="Times New Roman" w:hAnsi="Times New Roman"/>
          <w:sz w:val="18"/>
          <w:szCs w:val="18"/>
          <w:u w:val="single" w:color="auto"/>
          <w:color w:val="auto"/>
        </w:rPr>
        <w:t>Subsection 2.3.2(b)</w:t>
      </w:r>
      <w:r>
        <w:rPr>
          <w:rFonts w:ascii="Times New Roman" w:cs="Times New Roman" w:eastAsia="Times New Roman" w:hAnsi="Times New Roman"/>
          <w:sz w:val="18"/>
          <w:szCs w:val="18"/>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13" w:lineRule="exact"/>
        <w:rPr>
          <w:sz w:val="20"/>
          <w:szCs w:val="20"/>
          <w:color w:val="auto"/>
        </w:rPr>
      </w:pPr>
    </w:p>
    <w:p>
      <w:pPr>
        <w:ind w:right="220" w:firstLine="2181"/>
        <w:spacing w:after="0" w:line="258"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The amount deemed paid or distributed to the holders of capital stock of the Corporation upon any such merger, consolidation, sale, transfer, exclusive license (in all fields or substantially all fields such that the Corporation is unable to continue operations in its ordinary course of business),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03" w:lineRule="exact"/>
        <w:rPr>
          <w:sz w:val="20"/>
          <w:szCs w:val="20"/>
          <w:color w:val="auto"/>
        </w:rPr>
      </w:pPr>
    </w:p>
    <w:p>
      <w:pPr>
        <w:ind w:firstLine="2181"/>
        <w:spacing w:after="0" w:line="254"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Allocation of Escrow and Contingent Consideration</w:t>
      </w:r>
      <w:r>
        <w:rPr>
          <w:rFonts w:ascii="Times New Roman" w:cs="Times New Roman" w:eastAsia="Times New Roman" w:hAnsi="Times New Roman"/>
          <w:sz w:val="18"/>
          <w:szCs w:val="18"/>
          <w:color w:val="auto"/>
        </w:rPr>
        <w:t xml:space="preserve">. In the event of a Deemed Liquidation Event pursuant to </w:t>
      </w:r>
      <w:r>
        <w:rPr>
          <w:rFonts w:ascii="Times New Roman" w:cs="Times New Roman" w:eastAsia="Times New Roman" w:hAnsi="Times New Roman"/>
          <w:sz w:val="18"/>
          <w:szCs w:val="18"/>
          <w:u w:val="single" w:color="auto"/>
          <w:color w:val="auto"/>
        </w:rPr>
        <w:t>Subsection 2.3.1(a)(i)</w:t>
      </w:r>
      <w:r>
        <w:rPr>
          <w:rFonts w:ascii="Times New Roman" w:cs="Times New Roman" w:eastAsia="Times New Roman" w:hAnsi="Times New Roman"/>
          <w:sz w:val="18"/>
          <w:szCs w:val="18"/>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the Merger Agreement shall provide that (a) the portion of such consideration that is not Additional Consideration (such portion, the “</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 consideration placed into escrow or retained as holdback to be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20"/>
          </w:cols>
          <w:pgMar w:left="320" w:top="1400" w:right="3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satisfaction of indemnification or similar obligations in connection with such Deemed Liquidation Event shall be deemed to be Additional Consideration.</w:t>
      </w:r>
    </w:p>
    <w:p>
      <w:pPr>
        <w:spacing w:after="0" w:line="145" w:lineRule="exact"/>
        <w:rPr>
          <w:sz w:val="20"/>
          <w:szCs w:val="20"/>
          <w:color w:val="auto"/>
        </w:rPr>
      </w:pPr>
    </w:p>
    <w:p>
      <w:pPr>
        <w:ind w:left="1620" w:hanging="539"/>
        <w:spacing w:after="0"/>
        <w:tabs>
          <w:tab w:leader="none" w:pos="1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40" w:firstLine="1635"/>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Class A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as a single class. Except as provided by law or by the other provisions of the Certificate of Incorporation, holders of Preferred Stock shall vote together with the holders of Common Stock as a single class.</w:t>
      </w:r>
    </w:p>
    <w:p>
      <w:pPr>
        <w:spacing w:after="0" w:line="106" w:lineRule="exact"/>
        <w:rPr>
          <w:sz w:val="20"/>
          <w:szCs w:val="20"/>
          <w:color w:val="auto"/>
        </w:rPr>
      </w:pPr>
    </w:p>
    <w:p>
      <w:pPr>
        <w:ind w:firstLine="1635"/>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The holders of record of the shares of Preferred Stock, exclusively and as a separate class, shall be entitled to elect one director of the Corporation (the “</w:t>
      </w:r>
      <w:r>
        <w:rPr>
          <w:rFonts w:ascii="Times New Roman" w:cs="Times New Roman" w:eastAsia="Times New Roman" w:hAnsi="Times New Roman"/>
          <w:sz w:val="18"/>
          <w:szCs w:val="18"/>
          <w:b w:val="1"/>
          <w:bCs w:val="1"/>
          <w:color w:val="auto"/>
        </w:rPr>
        <w:t>Preferred Director</w:t>
      </w:r>
      <w:r>
        <w:rPr>
          <w:rFonts w:ascii="Times New Roman" w:cs="Times New Roman" w:eastAsia="Times New Roman" w:hAnsi="Times New Roman"/>
          <w:sz w:val="18"/>
          <w:szCs w:val="18"/>
          <w:color w:val="auto"/>
        </w:rPr>
        <w:t>”). The holders of record of the shares of Preferred Stock and Common Stock, exclusively and as a single class, shall be entitled to elect one director of the Corporation (the “</w:t>
      </w:r>
      <w:r>
        <w:rPr>
          <w:rFonts w:ascii="Times New Roman" w:cs="Times New Roman" w:eastAsia="Times New Roman" w:hAnsi="Times New Roman"/>
          <w:sz w:val="18"/>
          <w:szCs w:val="18"/>
          <w:b w:val="1"/>
          <w:bCs w:val="1"/>
          <w:color w:val="auto"/>
        </w:rPr>
        <w:t>Mutual Director</w:t>
      </w:r>
      <w:r>
        <w:rPr>
          <w:rFonts w:ascii="Times New Roman" w:cs="Times New Roman" w:eastAsia="Times New Roman" w:hAnsi="Times New Roman"/>
          <w:sz w:val="18"/>
          <w:szCs w:val="18"/>
          <w:color w:val="auto"/>
        </w:rPr>
        <w:t xml:space="preserve">”). The holders of record of the shares of Common Stock, exclusively and as a separate class, shall be entitled to elect three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1400" w:right="399" w:bottom="1440" w:gutter="0" w:footer="0" w:header="0"/>
        </w:sectPr>
      </w:pPr>
    </w:p>
    <w:bookmarkStart w:id="243" w:name="page244"/>
    <w:bookmarkEnd w:id="243"/>
    <w:p>
      <w:pPr>
        <w:ind w:right="320" w:firstLine="1635"/>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xml:space="preserve">. At any time when any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03" w:lineRule="exact"/>
        <w:rPr>
          <w:sz w:val="20"/>
          <w:szCs w:val="20"/>
          <w:color w:val="auto"/>
        </w:rPr>
      </w:pPr>
    </w:p>
    <w:p>
      <w:pPr>
        <w:ind w:right="160" w:firstLine="2181"/>
        <w:spacing w:after="0" w:line="283" w:lineRule="auto"/>
        <w:rPr>
          <w:sz w:val="20"/>
          <w:szCs w:val="20"/>
          <w:color w:val="auto"/>
        </w:rPr>
      </w:pPr>
      <w:r>
        <w:rPr>
          <w:rFonts w:ascii="Times New Roman" w:cs="Times New Roman" w:eastAsia="Times New Roman" w:hAnsi="Times New Roman"/>
          <w:sz w:val="18"/>
          <w:szCs w:val="18"/>
          <w:color w:val="auto"/>
        </w:rPr>
        <w:t>3.3.1 liquidate, dissolve or wind-up the business and affairs of the Corporation, effect any merger or consolidation or any other Deemed Liquidation Event, or consent to any of the foregoing;</w:t>
      </w:r>
    </w:p>
    <w:p>
      <w:pPr>
        <w:spacing w:after="0" w:line="80" w:lineRule="exact"/>
        <w:rPr>
          <w:sz w:val="20"/>
          <w:szCs w:val="20"/>
          <w:color w:val="auto"/>
        </w:rPr>
      </w:pPr>
    </w:p>
    <w:p>
      <w:pPr>
        <w:ind w:right="400" w:firstLine="2181"/>
        <w:spacing w:after="0" w:line="283" w:lineRule="auto"/>
        <w:rPr>
          <w:sz w:val="20"/>
          <w:szCs w:val="20"/>
          <w:color w:val="auto"/>
        </w:rPr>
      </w:pPr>
      <w:r>
        <w:rPr>
          <w:rFonts w:ascii="Times New Roman" w:cs="Times New Roman" w:eastAsia="Times New Roman" w:hAnsi="Times New Roman"/>
          <w:sz w:val="18"/>
          <w:szCs w:val="18"/>
          <w:color w:val="auto"/>
        </w:rPr>
        <w:t>3.3.2 amend, alter, repeal or waive any provision of the Certificate of Incorporation or Bylaws of the Corporation in a manner that adversely affects the powers, preferences or rights of the Preferred Stock;</w:t>
      </w:r>
    </w:p>
    <w:p>
      <w:pPr>
        <w:spacing w:after="0" w:line="80" w:lineRule="exact"/>
        <w:rPr>
          <w:sz w:val="20"/>
          <w:szCs w:val="20"/>
          <w:color w:val="auto"/>
        </w:rPr>
      </w:pPr>
    </w:p>
    <w:p>
      <w:pPr>
        <w:ind w:right="160" w:firstLine="2181"/>
        <w:spacing w:after="0" w:line="266" w:lineRule="auto"/>
        <w:rPr>
          <w:sz w:val="20"/>
          <w:szCs w:val="20"/>
          <w:color w:val="auto"/>
        </w:rPr>
      </w:pPr>
      <w:r>
        <w:rPr>
          <w:rFonts w:ascii="Times New Roman" w:cs="Times New Roman" w:eastAsia="Times New Roman" w:hAnsi="Times New Roman"/>
          <w:sz w:val="18"/>
          <w:szCs w:val="18"/>
          <w:color w:val="auto"/>
        </w:rPr>
        <w:t>3.3.3 create, or authorize the creation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95" w:lineRule="exact"/>
        <w:rPr>
          <w:sz w:val="20"/>
          <w:szCs w:val="20"/>
          <w:color w:val="auto"/>
        </w:rPr>
      </w:pPr>
    </w:p>
    <w:p>
      <w:pPr>
        <w:ind w:right="20" w:firstLine="2181"/>
        <w:spacing w:after="0" w:line="256" w:lineRule="auto"/>
        <w:rPr>
          <w:sz w:val="20"/>
          <w:szCs w:val="20"/>
          <w:color w:val="auto"/>
        </w:rPr>
      </w:pPr>
      <w:r>
        <w:rPr>
          <w:rFonts w:ascii="Times New Roman" w:cs="Times New Roman" w:eastAsia="Times New Roman" w:hAnsi="Times New Roman"/>
          <w:sz w:val="18"/>
          <w:szCs w:val="18"/>
          <w:color w:val="auto"/>
        </w:rPr>
        <w:t>3.3.4 (i)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06" w:lineRule="exact"/>
        <w:rPr>
          <w:sz w:val="20"/>
          <w:szCs w:val="20"/>
          <w:color w:val="auto"/>
        </w:rPr>
      </w:pPr>
    </w:p>
    <w:p>
      <w:pPr>
        <w:ind w:firstLine="2181"/>
        <w:spacing w:after="0" w:line="255" w:lineRule="auto"/>
        <w:rPr>
          <w:sz w:val="20"/>
          <w:szCs w:val="20"/>
          <w:color w:val="auto"/>
        </w:rPr>
      </w:pPr>
      <w:r>
        <w:rPr>
          <w:rFonts w:ascii="Times New Roman" w:cs="Times New Roman" w:eastAsia="Times New Roman" w:hAnsi="Times New Roman"/>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current or former employees, officers, directors, consultants or other persons who perform or performed services for the Corporation or any subsidiary pursuant to agreements approved by the Board of Directors pursuant to which the Corporation has the option to repurchase shares of stock upon the occurrence of specified events, including but not limited to the cessation of such employment or service, at the lower of the original purchase price or the then-current fair market value thereof;</w:t>
      </w:r>
    </w:p>
    <w:p>
      <w:pPr>
        <w:spacing w:after="0" w:line="107" w:lineRule="exact"/>
        <w:rPr>
          <w:sz w:val="20"/>
          <w:szCs w:val="20"/>
          <w:color w:val="auto"/>
        </w:rPr>
      </w:pPr>
    </w:p>
    <w:p>
      <w:pPr>
        <w:ind w:right="20" w:firstLine="2181"/>
        <w:spacing w:after="0" w:line="283" w:lineRule="auto"/>
        <w:rPr>
          <w:sz w:val="20"/>
          <w:szCs w:val="20"/>
          <w:color w:val="auto"/>
        </w:rPr>
      </w:pPr>
      <w:r>
        <w:rPr>
          <w:rFonts w:ascii="Times New Roman" w:cs="Times New Roman" w:eastAsia="Times New Roman" w:hAnsi="Times New Roman"/>
          <w:sz w:val="18"/>
          <w:szCs w:val="18"/>
          <w:color w:val="auto"/>
        </w:rPr>
        <w:t>3.3.6 permit any direct or indirect subsidiary to issue shares of its capital stock, or sell, transfer or otherwise dispose of any capital stock of any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400" w:right="319" w:bottom="1440" w:gutter="0" w:footer="0" w:header="0"/>
        </w:sectPr>
      </w:pPr>
    </w:p>
    <w:bookmarkStart w:id="244" w:name="page245"/>
    <w:bookmarkEnd w:id="244"/>
    <w:p>
      <w:pPr>
        <w:ind w:right="180"/>
        <w:spacing w:after="0" w:line="266" w:lineRule="auto"/>
        <w:rPr>
          <w:sz w:val="20"/>
          <w:szCs w:val="20"/>
          <w:color w:val="auto"/>
        </w:rPr>
      </w:pPr>
      <w:r>
        <w:rPr>
          <w:rFonts w:ascii="Times New Roman" w:cs="Times New Roman" w:eastAsia="Times New Roman" w:hAnsi="Times New Roman"/>
          <w:sz w:val="18"/>
          <w:szCs w:val="18"/>
          <w:color w:val="auto"/>
        </w:rPr>
        <w:t>subsidiary of the Corporation, or permit any direct or indirect subsidiary to sell, lease, transfer, exclusively license (in all fields or substantially all fields such that the Corporation is unable to continue operations in its ordinary course of business) or otherwise dispose (in a single transaction or series of related transactions) of all or substantially all of the assets of such subsidiary;</w:t>
      </w:r>
    </w:p>
    <w:p>
      <w:pPr>
        <w:spacing w:after="0" w:line="95" w:lineRule="exact"/>
        <w:rPr>
          <w:sz w:val="20"/>
          <w:szCs w:val="20"/>
          <w:color w:val="auto"/>
        </w:rPr>
      </w:pPr>
    </w:p>
    <w:p>
      <w:pPr>
        <w:ind w:left="2180"/>
        <w:spacing w:after="0"/>
        <w:tabs>
          <w:tab w:leader="none" w:pos="2700" w:val="left"/>
        </w:tabs>
        <w:rPr>
          <w:sz w:val="20"/>
          <w:szCs w:val="20"/>
          <w:color w:val="auto"/>
        </w:rPr>
      </w:pPr>
      <w:r>
        <w:rPr>
          <w:rFonts w:ascii="Times New Roman" w:cs="Times New Roman" w:eastAsia="Times New Roman" w:hAnsi="Times New Roman"/>
          <w:sz w:val="18"/>
          <w:szCs w:val="18"/>
          <w:color w:val="auto"/>
        </w:rPr>
        <w:t>3.3.7</w:t>
        <w:tab/>
        <w:t>increase or decrease the authorized number of directors constituting the Board of Directors;</w:t>
      </w:r>
    </w:p>
    <w:p>
      <w:pPr>
        <w:spacing w:after="0" w:line="145" w:lineRule="exact"/>
        <w:rPr>
          <w:sz w:val="20"/>
          <w:szCs w:val="20"/>
          <w:color w:val="auto"/>
        </w:rPr>
      </w:pPr>
    </w:p>
    <w:p>
      <w:pPr>
        <w:ind w:left="2180"/>
        <w:spacing w:after="0"/>
        <w:tabs>
          <w:tab w:leader="none" w:pos="2700" w:val="left"/>
        </w:tabs>
        <w:rPr>
          <w:sz w:val="20"/>
          <w:szCs w:val="20"/>
          <w:color w:val="auto"/>
        </w:rPr>
      </w:pPr>
      <w:r>
        <w:rPr>
          <w:rFonts w:ascii="Times New Roman" w:cs="Times New Roman" w:eastAsia="Times New Roman" w:hAnsi="Times New Roman"/>
          <w:sz w:val="18"/>
          <w:szCs w:val="18"/>
          <w:color w:val="auto"/>
        </w:rPr>
        <w:t>3.3.8</w:t>
        <w:tab/>
        <w:t>increase or decrease the authorized number of shares of Common Stock or Preferred Stock;</w:t>
      </w:r>
    </w:p>
    <w:p>
      <w:pPr>
        <w:spacing w:after="0" w:line="145" w:lineRule="exact"/>
        <w:rPr>
          <w:sz w:val="20"/>
          <w:szCs w:val="20"/>
          <w:color w:val="auto"/>
        </w:rPr>
      </w:pPr>
    </w:p>
    <w:p>
      <w:pPr>
        <w:ind w:right="180" w:firstLine="2181"/>
        <w:spacing w:after="0" w:line="256" w:lineRule="auto"/>
        <w:rPr>
          <w:sz w:val="20"/>
          <w:szCs w:val="20"/>
          <w:color w:val="auto"/>
        </w:rPr>
      </w:pPr>
      <w:r>
        <w:rPr>
          <w:rFonts w:ascii="Times New Roman" w:cs="Times New Roman" w:eastAsia="Times New Roman" w:hAnsi="Times New Roman"/>
          <w:sz w:val="18"/>
          <w:szCs w:val="18"/>
          <w:color w:val="auto"/>
        </w:rPr>
        <w:t>3.3.9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$10,000,000 other than equipment leases or trade payables incurred in the ordinary course;</w:t>
      </w:r>
    </w:p>
    <w:p>
      <w:pPr>
        <w:spacing w:after="0" w:line="106" w:lineRule="exact"/>
        <w:rPr>
          <w:sz w:val="20"/>
          <w:szCs w:val="20"/>
          <w:color w:val="auto"/>
        </w:rPr>
      </w:pPr>
    </w:p>
    <w:p>
      <w:pPr>
        <w:ind w:right="420" w:firstLine="2181"/>
        <w:spacing w:after="0" w:line="261" w:lineRule="auto"/>
        <w:rPr>
          <w:sz w:val="20"/>
          <w:szCs w:val="20"/>
          <w:color w:val="auto"/>
        </w:rPr>
      </w:pPr>
      <w:r>
        <w:rPr>
          <w:rFonts w:ascii="Times New Roman" w:cs="Times New Roman" w:eastAsia="Times New Roman" w:hAnsi="Times New Roman"/>
          <w:sz w:val="18"/>
          <w:szCs w:val="18"/>
          <w:color w:val="auto"/>
        </w:rPr>
        <w:t>3.3.10 authorize or enter into any transaction between the Corporation and any related party, other than routine compensation of the Corporation’s employees or other service providers that has received the prior approval of the Board of Directors, where routine compensation for purposes hereof shall mean a change in salary, bonus or employment benefits of less than or equal to 10% that is made as part of a general review as compared to former salary, bonus or employment benefits; or</w:t>
      </w:r>
    </w:p>
    <w:p>
      <w:pPr>
        <w:spacing w:after="0" w:line="99" w:lineRule="exact"/>
        <w:rPr>
          <w:sz w:val="20"/>
          <w:szCs w:val="20"/>
          <w:color w:val="auto"/>
        </w:rPr>
      </w:pPr>
    </w:p>
    <w:p>
      <w:pPr>
        <w:ind w:firstLine="2181"/>
        <w:spacing w:after="0" w:line="266" w:lineRule="auto"/>
        <w:rPr>
          <w:sz w:val="20"/>
          <w:szCs w:val="20"/>
          <w:color w:val="auto"/>
        </w:rPr>
      </w:pPr>
      <w:r>
        <w:rPr>
          <w:rFonts w:ascii="Times New Roman" w:cs="Times New Roman" w:eastAsia="Times New Roman" w:hAnsi="Times New Roman"/>
          <w:sz w:val="18"/>
          <w:szCs w:val="18"/>
          <w:color w:val="auto"/>
        </w:rPr>
        <w:t>3.3.11 create any new stock or option plan or increase the number of shares authorized for issuance under any existing stock or option plan in excess of an annual increase in the number of authorized shares of up to 3% of the fully diluted capitalization of the Corporation that is approved by the Board of Directors and is measured as of the date of such approval.</w:t>
      </w:r>
    </w:p>
    <w:p>
      <w:pPr>
        <w:spacing w:after="0" w:line="95" w:lineRule="exact"/>
        <w:rPr>
          <w:sz w:val="20"/>
          <w:szCs w:val="20"/>
          <w:color w:val="auto"/>
        </w:rPr>
      </w:pPr>
    </w:p>
    <w:p>
      <w:pPr>
        <w:ind w:right="40" w:firstLine="1635"/>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A Preferred Stock Protective Provision</w:t>
      </w:r>
      <w:r>
        <w:rPr>
          <w:rFonts w:ascii="Times New Roman" w:cs="Times New Roman" w:eastAsia="Times New Roman" w:hAnsi="Times New Roman"/>
          <w:sz w:val="18"/>
          <w:szCs w:val="18"/>
          <w:color w:val="auto"/>
        </w:rPr>
        <w:t>. At any time when any shares of Series A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A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A Preferred Stock with respect to rights, preferences, powers, privileges) without (in addition to any other vote required by law or the Certificate of Incorporation) the written consent or affirmative vote of the holders of at least a majority of the then outstanding shares of Series A Preferred Stock, given in writing or by vote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0" w:right="339" w:bottom="1440" w:gutter="0" w:footer="0" w:header="0"/>
        </w:sectPr>
      </w:pPr>
    </w:p>
    <w:bookmarkStart w:id="245" w:name="page246"/>
    <w:bookmarkEnd w:id="245"/>
    <w:p>
      <w:pPr>
        <w:ind w:right="120"/>
        <w:spacing w:after="0" w:line="283" w:lineRule="auto"/>
        <w:rPr>
          <w:sz w:val="20"/>
          <w:szCs w:val="20"/>
          <w:color w:val="auto"/>
        </w:rPr>
      </w:pPr>
      <w:r>
        <w:rPr>
          <w:rFonts w:ascii="Times New Roman" w:cs="Times New Roman" w:eastAsia="Times New Roman" w:hAnsi="Times New Roman"/>
          <w:sz w:val="18"/>
          <w:szCs w:val="18"/>
          <w:color w:val="auto"/>
        </w:rPr>
        <w:t>a meeting, consenting or voting (as the case may be) separately as a class, and any such act or transaction entered into without such consent or vote shall be null and void ab initio, and of no force or effect.</w:t>
      </w:r>
    </w:p>
    <w:p>
      <w:pPr>
        <w:spacing w:after="0" w:line="80" w:lineRule="exact"/>
        <w:rPr>
          <w:sz w:val="20"/>
          <w:szCs w:val="20"/>
          <w:color w:val="auto"/>
        </w:rPr>
      </w:pPr>
    </w:p>
    <w:p>
      <w:pPr>
        <w:ind w:right="20" w:firstLine="1635"/>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Series B Preferred Stock Protective Provision</w:t>
      </w:r>
      <w:r>
        <w:rPr>
          <w:rFonts w:ascii="Times New Roman" w:cs="Times New Roman" w:eastAsia="Times New Roman" w:hAnsi="Times New Roman"/>
          <w:sz w:val="18"/>
          <w:szCs w:val="18"/>
          <w:color w:val="auto"/>
        </w:rPr>
        <w:t>. At any time when any shares of Series B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B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B Preferred Stock with respect to rights, preferences, powers, privileges) without (in addition to any other vote required by law or the Certificate of Incorporation) the written consent or affirmative vote of the holders of at least a majority of the then outstanding shares of Series B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07" w:lineRule="exact"/>
        <w:rPr>
          <w:sz w:val="20"/>
          <w:szCs w:val="20"/>
          <w:color w:val="auto"/>
        </w:rPr>
      </w:pPr>
    </w:p>
    <w:p>
      <w:pPr>
        <w:ind w:right="20" w:firstLine="1635"/>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Series C Preferred Stock Protective Provision</w:t>
      </w:r>
      <w:r>
        <w:rPr>
          <w:rFonts w:ascii="Times New Roman" w:cs="Times New Roman" w:eastAsia="Times New Roman" w:hAnsi="Times New Roman"/>
          <w:sz w:val="18"/>
          <w:szCs w:val="18"/>
          <w:color w:val="auto"/>
        </w:rPr>
        <w:t>. At any time when any shares of Series C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C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C Preferred Stock with respect to rights, preferences, powers, privileges) without (in addition to any other vote required by law or the Certificate of Incorporation) the written consent or affirmative vote of the holders of at least a majority of the then outstanding shares of Series C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07" w:lineRule="exact"/>
        <w:rPr>
          <w:sz w:val="20"/>
          <w:szCs w:val="20"/>
          <w:color w:val="auto"/>
        </w:rPr>
      </w:pPr>
    </w:p>
    <w:p>
      <w:pPr>
        <w:ind w:firstLine="1635"/>
        <w:spacing w:after="0" w:line="25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Series D Preferred Stock Protective Provision</w:t>
      </w:r>
      <w:r>
        <w:rPr>
          <w:rFonts w:ascii="Times New Roman" w:cs="Times New Roman" w:eastAsia="Times New Roman" w:hAnsi="Times New Roman"/>
          <w:sz w:val="18"/>
          <w:szCs w:val="18"/>
          <w:color w:val="auto"/>
        </w:rPr>
        <w:t>. At any time when any shares of Series D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D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D Preferred Stock with respect to rights, preferences, powers, privileges) without (in addition to any other vote required by law or the Certificate of Incorporation) the written consent or affirmative vote of the holders of at least a majority of the then outstanding shares of Series D Preferred Stock, given in writing or by vote at a meeting, consenting or voting (as the case may be) separately as a class, and any such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00" w:right="379" w:bottom="1440" w:gutter="0" w:footer="0" w:header="0"/>
        </w:sectPr>
      </w:pPr>
    </w:p>
    <w:bookmarkStart w:id="246" w:name="page247"/>
    <w:bookmarkEnd w:id="246"/>
    <w:p>
      <w:pPr>
        <w:ind w:left="9"/>
        <w:spacing w:after="0"/>
        <w:rPr>
          <w:sz w:val="20"/>
          <w:szCs w:val="20"/>
          <w:color w:val="auto"/>
        </w:rPr>
      </w:pPr>
      <w:r>
        <w:rPr>
          <w:rFonts w:ascii="Times New Roman" w:cs="Times New Roman" w:eastAsia="Times New Roman" w:hAnsi="Times New Roman"/>
          <w:sz w:val="18"/>
          <w:szCs w:val="18"/>
          <w:color w:val="auto"/>
        </w:rPr>
        <w:t>transaction entered into without such consent or vote shall be null and void ab initio, and of no force or effect.</w:t>
      </w:r>
    </w:p>
    <w:p>
      <w:pPr>
        <w:spacing w:after="0" w:line="145" w:lineRule="exact"/>
        <w:rPr>
          <w:sz w:val="20"/>
          <w:szCs w:val="20"/>
          <w:color w:val="auto"/>
        </w:rPr>
      </w:pPr>
    </w:p>
    <w:p>
      <w:pPr>
        <w:ind w:left="9" w:right="20" w:firstLine="1635"/>
        <w:spacing w:after="0" w:line="25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Series D-1 Preferred Stock Protective Provision</w:t>
      </w:r>
      <w:r>
        <w:rPr>
          <w:rFonts w:ascii="Times New Roman" w:cs="Times New Roman" w:eastAsia="Times New Roman" w:hAnsi="Times New Roman"/>
          <w:sz w:val="18"/>
          <w:szCs w:val="18"/>
          <w:color w:val="auto"/>
        </w:rPr>
        <w:t>. At any time when any shares of Series D-1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D-1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D-1 Preferred Stock with respect to rights, preferences, powers, privileges) without (in addition to any other vote required by law or the Certificate of Incorporation) the written consent or affirmative vote of the holders of at least a majority of the then outstanding shares of Series D-1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07" w:lineRule="exact"/>
        <w:rPr>
          <w:sz w:val="20"/>
          <w:szCs w:val="20"/>
          <w:color w:val="auto"/>
        </w:rPr>
      </w:pPr>
    </w:p>
    <w:p>
      <w:pPr>
        <w:ind w:left="1629" w:hanging="539"/>
        <w:spacing w:after="0"/>
        <w:tabs>
          <w:tab w:leader="none" w:pos="162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The holders of the Preferred Stock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1629"/>
        <w:spacing w:after="0"/>
        <w:tabs>
          <w:tab w:leader="none" w:pos="2169"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9" w:firstLine="2181"/>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Class A Common Stock as is determined (i) in the case of the Series A Preferred Stock by dividing the Series A Original Issue Price by the Series A Conversion Price (as defined below) in effect at the time of conversion (the “</w:t>
      </w:r>
      <w:r>
        <w:rPr>
          <w:rFonts w:ascii="Times New Roman" w:cs="Times New Roman" w:eastAsia="Times New Roman" w:hAnsi="Times New Roman"/>
          <w:sz w:val="18"/>
          <w:szCs w:val="18"/>
          <w:b w:val="1"/>
          <w:bCs w:val="1"/>
          <w:color w:val="auto"/>
        </w:rPr>
        <w:t>Series A Conversion Rate</w:t>
      </w:r>
      <w:r>
        <w:rPr>
          <w:rFonts w:ascii="Times New Roman" w:cs="Times New Roman" w:eastAsia="Times New Roman" w:hAnsi="Times New Roman"/>
          <w:sz w:val="18"/>
          <w:szCs w:val="18"/>
          <w:color w:val="auto"/>
        </w:rPr>
        <w:t>”), (ii) in the case of the Series B Preferred Stock by dividing the Series B Original Issue Price by the Series B Conversion Price (as defined below) in effect at the time of conversion (the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(iii) in the case of the Series C Preferred Stock by dividing the Series C Original Issue Price by the Series C Conversion Price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in effect at the time of conversion (the “</w:t>
      </w:r>
      <w:r>
        <w:rPr>
          <w:rFonts w:ascii="Times New Roman" w:cs="Times New Roman" w:eastAsia="Times New Roman" w:hAnsi="Times New Roman"/>
          <w:sz w:val="18"/>
          <w:szCs w:val="18"/>
          <w:b w:val="1"/>
          <w:bCs w:val="1"/>
          <w:color w:val="auto"/>
        </w:rPr>
        <w:t>Series C Conversion Rate</w:t>
      </w:r>
      <w:r>
        <w:rPr>
          <w:rFonts w:ascii="Times New Roman" w:cs="Times New Roman" w:eastAsia="Times New Roman" w:hAnsi="Times New Roman"/>
          <w:sz w:val="18"/>
          <w:szCs w:val="18"/>
          <w:color w:val="auto"/>
        </w:rPr>
        <w:t>”), (iv) in the case of the Series D Preferred Stock by dividing the Series D Original Issue Price by the Series D Conversion Price (as defined below) in effect at the time of conversion (the “</w:t>
      </w:r>
      <w:r>
        <w:rPr>
          <w:rFonts w:ascii="Times New Roman" w:cs="Times New Roman" w:eastAsia="Times New Roman" w:hAnsi="Times New Roman"/>
          <w:sz w:val="18"/>
          <w:szCs w:val="18"/>
          <w:b w:val="1"/>
          <w:bCs w:val="1"/>
          <w:color w:val="auto"/>
        </w:rPr>
        <w:t>Series D Conversion Rate</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ind w:left="9" w:right="140" w:hanging="9"/>
        <w:spacing w:after="0" w:line="252" w:lineRule="auto"/>
        <w:tabs>
          <w:tab w:leader="none" w:pos="2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D-1 Preferred Stock by dividing the Series D-1 Original Issue Price by the Series D-1 Conversion Price (as defined below) in effect at the time of conversion (the “</w:t>
      </w:r>
      <w:r>
        <w:rPr>
          <w:rFonts w:ascii="Times New Roman" w:cs="Times New Roman" w:eastAsia="Times New Roman" w:hAnsi="Times New Roman"/>
          <w:sz w:val="18"/>
          <w:szCs w:val="18"/>
          <w:b w:val="1"/>
          <w:bCs w:val="1"/>
          <w:color w:val="auto"/>
        </w:rPr>
        <w:t>Series D-1 Conversion Rate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Series A Conversion Price</w:t>
      </w:r>
      <w:r>
        <w:rPr>
          <w:rFonts w:ascii="Times New Roman" w:cs="Times New Roman" w:eastAsia="Times New Roman" w:hAnsi="Times New Roman"/>
          <w:sz w:val="18"/>
          <w:szCs w:val="18"/>
          <w:color w:val="auto"/>
        </w:rPr>
        <w:t>” shall initially be equal to $0.9081. Such initial Series A Conversion Price and the Series A Conversion Rate shall be subject to adjustment as provided below. The “</w:t>
      </w:r>
      <w:r>
        <w:rPr>
          <w:rFonts w:ascii="Times New Roman" w:cs="Times New Roman" w:eastAsia="Times New Roman" w:hAnsi="Times New Roman"/>
          <w:sz w:val="18"/>
          <w:szCs w:val="18"/>
          <w:b w:val="1"/>
          <w:bCs w:val="1"/>
          <w:color w:val="auto"/>
        </w:rPr>
        <w:t>Series B Conversion Price</w:t>
      </w:r>
      <w:r>
        <w:rPr>
          <w:rFonts w:ascii="Times New Roman" w:cs="Times New Roman" w:eastAsia="Times New Roman" w:hAnsi="Times New Roman"/>
          <w:sz w:val="18"/>
          <w:szCs w:val="18"/>
          <w:color w:val="auto"/>
        </w:rPr>
        <w:t>” shall initially be equal to $1.7730. Such initial Series B Conversion Price and the Series B Conversion Rate shall be subject to adjustment as provided below. The “</w:t>
      </w:r>
      <w:r>
        <w:rPr>
          <w:rFonts w:ascii="Times New Roman" w:cs="Times New Roman" w:eastAsia="Times New Roman" w:hAnsi="Times New Roman"/>
          <w:sz w:val="18"/>
          <w:szCs w:val="18"/>
          <w:b w:val="1"/>
          <w:bCs w:val="1"/>
          <w:color w:val="auto"/>
        </w:rPr>
        <w:t>Series C Conversion Price</w:t>
      </w:r>
      <w:r>
        <w:rPr>
          <w:rFonts w:ascii="Times New Roman" w:cs="Times New Roman" w:eastAsia="Times New Roman" w:hAnsi="Times New Roman"/>
          <w:sz w:val="18"/>
          <w:szCs w:val="18"/>
          <w:color w:val="auto"/>
        </w:rPr>
        <w:t>” shall initially be equal to $2.50. Such initial Series C Conversion Price and the Series C Conversion Rate shall be subject to adjustment as provided below. The “</w:t>
      </w:r>
      <w:r>
        <w:rPr>
          <w:rFonts w:ascii="Times New Roman" w:cs="Times New Roman" w:eastAsia="Times New Roman" w:hAnsi="Times New Roman"/>
          <w:sz w:val="18"/>
          <w:szCs w:val="18"/>
          <w:b w:val="1"/>
          <w:bCs w:val="1"/>
          <w:color w:val="auto"/>
        </w:rPr>
        <w:t>Series D Conversion Price</w:t>
      </w:r>
      <w:r>
        <w:rPr>
          <w:rFonts w:ascii="Times New Roman" w:cs="Times New Roman" w:eastAsia="Times New Roman" w:hAnsi="Times New Roman"/>
          <w:sz w:val="18"/>
          <w:szCs w:val="18"/>
          <w:color w:val="auto"/>
        </w:rPr>
        <w:t>” shall initially be equal to $3.25. Such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49" w:hanging="113"/>
        <w:spacing w:after="0"/>
        <w:tabs>
          <w:tab w:leader="none" w:pos="554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269"/>
          </w:cols>
          <w:pgMar w:left="311" w:top="1400" w:right="319" w:bottom="1440" w:gutter="0" w:footer="0" w:header="0"/>
        </w:sectPr>
      </w:pPr>
    </w:p>
    <w:bookmarkStart w:id="247" w:name="page248"/>
    <w:bookmarkEnd w:id="247"/>
    <w:p>
      <w:pPr>
        <w:ind w:left="9" w:right="60"/>
        <w:spacing w:after="0" w:line="269" w:lineRule="auto"/>
        <w:rPr>
          <w:sz w:val="20"/>
          <w:szCs w:val="20"/>
          <w:color w:val="auto"/>
        </w:rPr>
      </w:pPr>
      <w:r>
        <w:rPr>
          <w:rFonts w:ascii="Times New Roman" w:cs="Times New Roman" w:eastAsia="Times New Roman" w:hAnsi="Times New Roman"/>
          <w:sz w:val="18"/>
          <w:szCs w:val="18"/>
          <w:color w:val="auto"/>
        </w:rPr>
        <w:t>initial Series D Conversion Price and the Series D Conversion Rate shall be subject to adjustment as provided below. The “</w:t>
      </w:r>
      <w:r>
        <w:rPr>
          <w:rFonts w:ascii="Times New Roman" w:cs="Times New Roman" w:eastAsia="Times New Roman" w:hAnsi="Times New Roman"/>
          <w:sz w:val="18"/>
          <w:szCs w:val="18"/>
          <w:b w:val="1"/>
          <w:bCs w:val="1"/>
          <w:color w:val="auto"/>
        </w:rPr>
        <w:t>Series D-1 Conversion Price</w:t>
      </w:r>
      <w:r>
        <w:rPr>
          <w:rFonts w:ascii="Times New Roman" w:cs="Times New Roman" w:eastAsia="Times New Roman" w:hAnsi="Times New Roman"/>
          <w:sz w:val="18"/>
          <w:szCs w:val="18"/>
          <w:color w:val="auto"/>
        </w:rPr>
        <w:t>” shall initially be equal to $3.75. Such initial Series D-1 Conversion Price and the Series D-1 Conversion Rate shall be subject to adjustment as provided below.</w:t>
      </w:r>
    </w:p>
    <w:p>
      <w:pPr>
        <w:spacing w:after="0" w:line="92" w:lineRule="exact"/>
        <w:rPr>
          <w:sz w:val="20"/>
          <w:szCs w:val="20"/>
          <w:color w:val="auto"/>
        </w:rPr>
      </w:pPr>
    </w:p>
    <w:p>
      <w:pPr>
        <w:ind w:left="9" w:right="160" w:firstLine="2181"/>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95" w:lineRule="exact"/>
        <w:rPr>
          <w:sz w:val="20"/>
          <w:szCs w:val="20"/>
          <w:color w:val="auto"/>
        </w:rPr>
      </w:pPr>
    </w:p>
    <w:p>
      <w:pPr>
        <w:ind w:left="9" w:right="40" w:firstLine="1635"/>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Class A Common Stock shall be issued upon conversion of the Preferred Stock. In lieu of any fractional shares to which the holder would otherwise be entitled, the Corporation shall pay cash equal to such fraction multiplied by the fair market value of a share of Class A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Class A Common Stock and the aggregate number of shares of Class A Common Stock issuable upon such conversion.</w:t>
      </w:r>
    </w:p>
    <w:p>
      <w:pPr>
        <w:spacing w:after="0" w:line="103" w:lineRule="exact"/>
        <w:rPr>
          <w:sz w:val="20"/>
          <w:szCs w:val="20"/>
          <w:color w:val="auto"/>
        </w:rPr>
      </w:pPr>
    </w:p>
    <w:p>
      <w:pPr>
        <w:ind w:left="1629"/>
        <w:spacing w:after="0"/>
        <w:tabs>
          <w:tab w:leader="none" w:pos="2169"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9" w:firstLine="2181"/>
        <w:spacing w:after="0" w:line="251"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Class A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Class A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b w:val="1"/>
          <w:bCs w:val="1"/>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Corporation shall, as soon as practicable after the Conversion Time</w:t>
      </w:r>
    </w:p>
    <w:p>
      <w:pPr>
        <w:spacing w:after="0" w:line="10" w:lineRule="exact"/>
        <w:rPr>
          <w:sz w:val="20"/>
          <w:szCs w:val="20"/>
          <w:color w:val="auto"/>
        </w:rPr>
      </w:pPr>
    </w:p>
    <w:p>
      <w:pPr>
        <w:ind w:left="209" w:hanging="209"/>
        <w:spacing w:after="0"/>
        <w:tabs>
          <w:tab w:leader="none" w:pos="20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and deliver to such holder of Preferred Stock, or to his, her or its nominees, a certificate or certificates for the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549" w:hanging="113"/>
        <w:spacing w:after="0"/>
        <w:tabs>
          <w:tab w:leader="none" w:pos="554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269"/>
          </w:cols>
          <w:pgMar w:left="311" w:top="1396" w:right="319" w:bottom="1440" w:gutter="0" w:footer="0" w:header="0"/>
        </w:sectPr>
      </w:pPr>
    </w:p>
    <w:bookmarkStart w:id="248" w:name="page249"/>
    <w:bookmarkEnd w:id="248"/>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number of full shares of Class A Common Stock issuable upon such conversion in accordance with the provisions hereof and a certificate for the number (if any) of the shares of Preferred Stock represented by the surrendered certificate that were not converted into Class A Common Stock, (ii) pay in cash such amount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Class A Common Stock otherwise issuable upon such conversion and (iii) pay all declared but unpaid dividends on the shares of Preferred Stock converted.</w:t>
      </w:r>
    </w:p>
    <w:p>
      <w:pPr>
        <w:spacing w:after="0" w:line="99" w:lineRule="exact"/>
        <w:rPr>
          <w:sz w:val="20"/>
          <w:szCs w:val="20"/>
          <w:color w:val="auto"/>
        </w:rPr>
      </w:pPr>
    </w:p>
    <w:p>
      <w:pPr>
        <w:ind w:firstLine="2181"/>
        <w:spacing w:after="0" w:line="253"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Class A Common Stock as shall from time to time be sufficient to effect the conversion of all outstanding Preferred Stock; and if at any time the number of authorized but unissued shares of Class A Common Stock shall not be sufficient to effect the conversion of all then outstanding shares of the Preferred Stock, the Corporation shall take such corporate action as may be necessary to increase its authorized but unissued shares of Class A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Series A Conversion Price, Series B Conversion Price, Series C Conversion Price, Series D Conversion Price or Series D-1 Conversion Price below the then par value of the shares of Class A Common Stock issuable upon conversion of the Preferred Stock, the Corporation will take any corporate action which may, in the opinion of its counsel, be necessary in order that the Corporation may validly and legally issue fully paid and non-assessable shares of Class A Common Stock at such adjusted Series A Conversion Price, Series B Conversion Price, Series C Conversion Price, Series D Conversion Price or Series D-1 Conversion Price.</w:t>
      </w:r>
    </w:p>
    <w:p>
      <w:pPr>
        <w:spacing w:after="0" w:line="107" w:lineRule="exact"/>
        <w:rPr>
          <w:sz w:val="20"/>
          <w:szCs w:val="20"/>
          <w:color w:val="auto"/>
        </w:rPr>
      </w:pPr>
    </w:p>
    <w:p>
      <w:pPr>
        <w:ind w:right="120" w:firstLine="2181"/>
        <w:spacing w:after="0" w:line="255"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Class A Common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07" w:lineRule="exact"/>
        <w:rPr>
          <w:sz w:val="20"/>
          <w:szCs w:val="20"/>
          <w:color w:val="auto"/>
        </w:rPr>
      </w:pPr>
    </w:p>
    <w:p>
      <w:pPr>
        <w:ind w:right="80" w:firstLine="2181"/>
        <w:spacing w:after="0" w:line="261" w:lineRule="auto"/>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No Further Adjustment</w:t>
      </w:r>
      <w:r>
        <w:rPr>
          <w:rFonts w:ascii="Times New Roman" w:cs="Times New Roman" w:eastAsia="Times New Roman" w:hAnsi="Times New Roman"/>
          <w:sz w:val="18"/>
          <w:szCs w:val="18"/>
          <w:color w:val="auto"/>
        </w:rPr>
        <w:t>. Upon any such conversion, no adjustment to the Series A Conversion Price, Series B Conversion Price, Series C Conversion Price, Series D Conversion Price or Series D-1 Conversion Price, as applicable to such series of Preferred Stock, shall be made for any declared but unpaid dividends on the Series A Preferred Stock, Series B Preferred Stock, Series C Preferred Stock, Series D Preferred Stock or Series D-1 Preferred Stock, as applicable, surrendered for conversion or on the Class A Common Stock delivered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1400" w:right="439" w:bottom="1440" w:gutter="0" w:footer="0" w:header="0"/>
        </w:sectPr>
      </w:pPr>
    </w:p>
    <w:bookmarkStart w:id="249" w:name="page250"/>
    <w:bookmarkEnd w:id="249"/>
    <w:p>
      <w:pPr>
        <w:ind w:right="200" w:firstLine="2181"/>
        <w:spacing w:after="0" w:line="256"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Class A Common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Class A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06" w:lineRule="exact"/>
        <w:rPr>
          <w:sz w:val="20"/>
          <w:szCs w:val="20"/>
          <w:color w:val="auto"/>
        </w:rPr>
      </w:pPr>
    </w:p>
    <w:p>
      <w:pPr>
        <w:ind w:left="1620"/>
        <w:spacing w:after="0"/>
        <w:tabs>
          <w:tab w:leader="none" w:pos="21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Adjustments to Conversion Prices for Diluting Issues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2180"/>
        <w:spacing w:after="0"/>
        <w:tabs>
          <w:tab w:leader="none" w:pos="270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8"/>
          <w:szCs w:val="18"/>
          <w:u w:val="single" w:color="auto"/>
          <w:color w:val="auto"/>
        </w:rPr>
        <w:t>Special Definitions</w:t>
      </w:r>
      <w:r>
        <w:rPr>
          <w:rFonts w:ascii="Times New Roman" w:cs="Times New Roman" w:eastAsia="Times New Roman" w:hAnsi="Times New Roman"/>
          <w:sz w:val="18"/>
          <w:szCs w:val="18"/>
          <w:color w:val="auto"/>
        </w:rPr>
        <w:t>. For purposes of this Article Fourth, the following definitions shall apply:</w:t>
      </w:r>
    </w:p>
    <w:p>
      <w:pPr>
        <w:spacing w:after="0" w:line="141" w:lineRule="exact"/>
        <w:rPr>
          <w:sz w:val="20"/>
          <w:szCs w:val="20"/>
          <w:color w:val="auto"/>
        </w:rPr>
      </w:pPr>
    </w:p>
    <w:p>
      <w:pPr>
        <w:ind w:left="3260" w:hanging="543"/>
        <w:spacing w:after="0"/>
        <w:tabs>
          <w:tab w:leader="none" w:pos="32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mean rights, options or warrants to subscribe for, purchase or otherwise acquire Common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Convertible Securities.</w:t>
      </w:r>
    </w:p>
    <w:p>
      <w:pPr>
        <w:spacing w:after="0" w:line="121" w:lineRule="exact"/>
        <w:rPr>
          <w:sz w:val="20"/>
          <w:szCs w:val="20"/>
          <w:color w:val="auto"/>
        </w:rPr>
      </w:pPr>
    </w:p>
    <w:p>
      <w:pPr>
        <w:ind w:left="3260" w:hanging="543"/>
        <w:spacing w:after="0"/>
        <w:tabs>
          <w:tab w:leader="none" w:pos="3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D-1 Original Issue Date</w:t>
      </w:r>
      <w:r>
        <w:rPr>
          <w:rFonts w:ascii="Times New Roman" w:cs="Times New Roman" w:eastAsia="Times New Roman" w:hAnsi="Times New Roman"/>
          <w:sz w:val="18"/>
          <w:szCs w:val="18"/>
          <w:color w:val="auto"/>
        </w:rPr>
        <w:t>” shall mean the date on which the first share of Series D-1 Preferred Stock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issued.</w:t>
      </w:r>
    </w:p>
    <w:p>
      <w:pPr>
        <w:spacing w:after="0" w:line="121" w:lineRule="exact"/>
        <w:rPr>
          <w:sz w:val="20"/>
          <w:szCs w:val="20"/>
          <w:color w:val="auto"/>
        </w:rPr>
      </w:pPr>
    </w:p>
    <w:p>
      <w:pPr>
        <w:ind w:right="320" w:firstLine="2717"/>
        <w:spacing w:after="0" w:line="288" w:lineRule="auto"/>
        <w:tabs>
          <w:tab w:leader="none" w:pos="32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Common Stock, but excluding Options.</w:t>
      </w:r>
    </w:p>
    <w:p>
      <w:pPr>
        <w:spacing w:after="0" w:line="71" w:lineRule="exact"/>
        <w:rPr>
          <w:rFonts w:ascii="Times New Roman" w:cs="Times New Roman" w:eastAsia="Times New Roman" w:hAnsi="Times New Roman"/>
          <w:sz w:val="18"/>
          <w:szCs w:val="18"/>
          <w:color w:val="auto"/>
        </w:rPr>
      </w:pPr>
    </w:p>
    <w:p>
      <w:pPr>
        <w:ind w:right="60" w:firstLine="2717"/>
        <w:spacing w:after="0" w:line="262" w:lineRule="auto"/>
        <w:tabs>
          <w:tab w:leader="none" w:pos="326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(or,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below, deemed to be issued) by the Corporation after the Series D-1 Original Issue Date,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color w:val="auto"/>
        </w:rPr>
        <w:t>Exempted Securities</w:t>
      </w:r>
      <w:r>
        <w:rPr>
          <w:rFonts w:ascii="Times New Roman" w:cs="Times New Roman" w:eastAsia="Times New Roman" w:hAnsi="Times New Roman"/>
          <w:sz w:val="18"/>
          <w:szCs w:val="18"/>
          <w:color w:val="auto"/>
        </w:rPr>
        <w:t>”):</w:t>
      </w:r>
    </w:p>
    <w:p>
      <w:pPr>
        <w:spacing w:after="0" w:line="99" w:lineRule="exact"/>
        <w:rPr>
          <w:rFonts w:ascii="Times New Roman" w:cs="Times New Roman" w:eastAsia="Times New Roman" w:hAnsi="Times New Roman"/>
          <w:sz w:val="18"/>
          <w:szCs w:val="18"/>
          <w:color w:val="auto"/>
        </w:rPr>
      </w:pPr>
    </w:p>
    <w:p>
      <w:pPr>
        <w:ind w:left="3800" w:right="260" w:hanging="538"/>
        <w:spacing w:after="0" w:line="283" w:lineRule="auto"/>
        <w:tabs>
          <w:tab w:leader="none" w:pos="379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as a dividend or distribution on Preferred Stock;</w:t>
      </w:r>
    </w:p>
    <w:p>
      <w:pPr>
        <w:spacing w:after="0" w:line="79" w:lineRule="exact"/>
        <w:rPr>
          <w:rFonts w:ascii="Times New Roman" w:cs="Times New Roman" w:eastAsia="Times New Roman" w:hAnsi="Times New Roman"/>
          <w:sz w:val="18"/>
          <w:szCs w:val="18"/>
          <w:color w:val="auto"/>
        </w:rPr>
      </w:pPr>
    </w:p>
    <w:p>
      <w:pPr>
        <w:ind w:left="3800" w:hanging="538"/>
        <w:spacing w:after="0"/>
        <w:tabs>
          <w:tab w:leader="none" w:pos="38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issued upon conversion of Class B Common Stock;</w:t>
      </w:r>
    </w:p>
    <w:p>
      <w:pPr>
        <w:spacing w:after="0" w:line="145" w:lineRule="exact"/>
        <w:rPr>
          <w:rFonts w:ascii="Times New Roman" w:cs="Times New Roman" w:eastAsia="Times New Roman" w:hAnsi="Times New Roman"/>
          <w:sz w:val="18"/>
          <w:szCs w:val="18"/>
          <w:color w:val="auto"/>
        </w:rPr>
      </w:pPr>
    </w:p>
    <w:p>
      <w:pPr>
        <w:ind w:left="3800" w:right="40" w:hanging="538"/>
        <w:spacing w:after="0" w:line="266" w:lineRule="auto"/>
        <w:tabs>
          <w:tab w:leader="none" w:pos="38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Subsection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3800" w:hanging="538"/>
        <w:spacing w:after="0" w:line="283" w:lineRule="auto"/>
        <w:tabs>
          <w:tab w:leader="none" w:pos="379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Options issued to employees or directors of, or consultants or advisors to, the Corporation or any of its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5540" w:hanging="113"/>
        <w:spacing w:after="0"/>
        <w:tabs>
          <w:tab w:leader="none" w:pos="554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220"/>
          </w:cols>
          <w:pgMar w:left="320" w:top="1400" w:right="359" w:bottom="1440" w:gutter="0" w:footer="0" w:header="0"/>
        </w:sectPr>
      </w:pPr>
    </w:p>
    <w:bookmarkStart w:id="250" w:name="page251"/>
    <w:bookmarkEnd w:id="250"/>
    <w:p>
      <w:pPr>
        <w:ind w:left="2680" w:right="100"/>
        <w:spacing w:after="0" w:line="287" w:lineRule="auto"/>
        <w:rPr>
          <w:sz w:val="20"/>
          <w:szCs w:val="20"/>
          <w:color w:val="auto"/>
        </w:rPr>
      </w:pPr>
      <w:r>
        <w:rPr>
          <w:rFonts w:ascii="Times New Roman" w:cs="Times New Roman" w:eastAsia="Times New Roman" w:hAnsi="Times New Roman"/>
          <w:sz w:val="18"/>
          <w:szCs w:val="18"/>
          <w:color w:val="auto"/>
        </w:rPr>
        <w:t>subsidiaries pursuant to a plan, agreement or arrangement approved by the Board of Directors of the Corporation;</w:t>
      </w:r>
      <w:r>
        <w:rPr>
          <w:rFonts w:ascii="Times New Roman" w:cs="Times New Roman" w:eastAsia="Times New Roman" w:hAnsi="Times New Roman"/>
          <w:sz w:val="23"/>
          <w:szCs w:val="23"/>
          <w:color w:val="auto"/>
          <w:vertAlign w:val="superscript"/>
        </w:rPr>
        <w:t>,</w:t>
      </w:r>
    </w:p>
    <w:p>
      <w:pPr>
        <w:spacing w:after="0" w:line="4" w:lineRule="exact"/>
        <w:rPr>
          <w:sz w:val="20"/>
          <w:szCs w:val="20"/>
          <w:color w:val="auto"/>
        </w:rPr>
      </w:pPr>
    </w:p>
    <w:p>
      <w:pPr>
        <w:ind w:left="2680" w:right="80" w:hanging="538"/>
        <w:spacing w:after="0" w:line="266" w:lineRule="auto"/>
        <w:tabs>
          <w:tab w:leader="none" w:pos="267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or Convertible Securities actually issued upon the exercise of Options or shares of Common Stock actually issued upon the conversion or exchange of Convertible Securities,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issuance is pursuant to the terms of such Option or Convertible Security;</w:t>
      </w:r>
    </w:p>
    <w:p>
      <w:pPr>
        <w:spacing w:after="0" w:line="95" w:lineRule="exact"/>
        <w:rPr>
          <w:rFonts w:ascii="Times New Roman" w:cs="Times New Roman" w:eastAsia="Times New Roman" w:hAnsi="Times New Roman"/>
          <w:sz w:val="18"/>
          <w:szCs w:val="18"/>
          <w:color w:val="auto"/>
        </w:rPr>
      </w:pPr>
    </w:p>
    <w:p>
      <w:pPr>
        <w:ind w:left="2680" w:hanging="538"/>
        <w:spacing w:after="0" w:line="261" w:lineRule="auto"/>
        <w:tabs>
          <w:tab w:leader="none" w:pos="267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that do not exceed 7.5% of the Corporation issued and outstanding share capital;</w:t>
      </w:r>
    </w:p>
    <w:p>
      <w:pPr>
        <w:spacing w:after="0" w:line="99" w:lineRule="exact"/>
        <w:rPr>
          <w:rFonts w:ascii="Times New Roman" w:cs="Times New Roman" w:eastAsia="Times New Roman" w:hAnsi="Times New Roman"/>
          <w:sz w:val="18"/>
          <w:szCs w:val="18"/>
          <w:color w:val="auto"/>
        </w:rPr>
      </w:pPr>
    </w:p>
    <w:p>
      <w:pPr>
        <w:ind w:left="2680" w:right="80" w:hanging="538"/>
        <w:spacing w:after="0" w:line="261" w:lineRule="auto"/>
        <w:tabs>
          <w:tab w:leader="none" w:pos="267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suppliers or third party service providers in connection with the provision of goods or services pursuant to transactions approved by the Board of Directors of the Corporation that do not exceed 7.5% of the Corporation issued and outstanding share capital; or</w:t>
      </w:r>
    </w:p>
    <w:p>
      <w:pPr>
        <w:spacing w:after="0" w:line="99" w:lineRule="exact"/>
        <w:rPr>
          <w:rFonts w:ascii="Times New Roman" w:cs="Times New Roman" w:eastAsia="Times New Roman" w:hAnsi="Times New Roman"/>
          <w:sz w:val="18"/>
          <w:szCs w:val="18"/>
          <w:color w:val="auto"/>
        </w:rPr>
      </w:pPr>
    </w:p>
    <w:p>
      <w:pPr>
        <w:ind w:left="2680" w:right="100" w:hanging="538"/>
        <w:spacing w:after="0" w:line="261" w:lineRule="auto"/>
        <w:tabs>
          <w:tab w:leader="none" w:pos="2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issuances are approved by the Board of Directors of the Corporation;</w:t>
      </w:r>
    </w:p>
    <w:p>
      <w:pPr>
        <w:spacing w:after="0" w:line="99" w:lineRule="exact"/>
        <w:rPr>
          <w:rFonts w:ascii="Times New Roman" w:cs="Times New Roman" w:eastAsia="Times New Roman" w:hAnsi="Times New Roman"/>
          <w:sz w:val="18"/>
          <w:szCs w:val="18"/>
          <w:color w:val="auto"/>
        </w:rPr>
      </w:pPr>
    </w:p>
    <w:p>
      <w:pPr>
        <w:ind w:left="2680" w:right="360" w:hanging="538"/>
        <w:spacing w:after="0" w:line="283" w:lineRule="auto"/>
        <w:tabs>
          <w:tab w:leader="none" w:pos="267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sponsored research, collaboration, technology license, development, OEM,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4420" w:hanging="113"/>
        <w:spacing w:after="0"/>
        <w:tabs>
          <w:tab w:leader="none" w:pos="44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080"/>
          </w:cols>
          <w:pgMar w:left="1440" w:top="1400" w:right="379" w:bottom="1440" w:gutter="0" w:footer="0" w:header="0"/>
        </w:sectPr>
      </w:pPr>
    </w:p>
    <w:bookmarkStart w:id="251" w:name="page252"/>
    <w:bookmarkEnd w:id="251"/>
    <w:p>
      <w:pPr>
        <w:ind w:left="3800" w:right="20"/>
        <w:spacing w:after="0" w:line="283" w:lineRule="auto"/>
        <w:rPr>
          <w:sz w:val="20"/>
          <w:szCs w:val="20"/>
          <w:color w:val="auto"/>
        </w:rPr>
      </w:pPr>
      <w:r>
        <w:rPr>
          <w:rFonts w:ascii="Times New Roman" w:cs="Times New Roman" w:eastAsia="Times New Roman" w:hAnsi="Times New Roman"/>
          <w:sz w:val="18"/>
          <w:szCs w:val="18"/>
          <w:color w:val="auto"/>
        </w:rPr>
        <w:t>marketing or other similar agreements or strategic partnerships approved by the Board of Directors of the Corporation that do not exceed 7.5% of the Corporation issued and outstanding share capital;</w:t>
      </w:r>
    </w:p>
    <w:p>
      <w:pPr>
        <w:spacing w:after="0" w:line="80" w:lineRule="exact"/>
        <w:rPr>
          <w:sz w:val="20"/>
          <w:szCs w:val="20"/>
          <w:color w:val="auto"/>
        </w:rPr>
      </w:pPr>
    </w:p>
    <w:p>
      <w:pPr>
        <w:ind w:left="3800" w:hanging="538"/>
        <w:spacing w:after="0" w:line="256" w:lineRule="auto"/>
        <w:tabs>
          <w:tab w:leader="none" w:pos="379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a firm-commitment underwritten public offering pursuant to an effective registration statement under the Securities Act of 1933, as amended, resulting in at least $50,000,000 of gross proceeds to the Corporation and the listing of shares of the Corporation’s capital stock on a securities exchange registered with the U.S. Securities and Exchange Commission as a national securities exchange pursuant to Section 6(a) of the Exchange Act (a “</w:t>
      </w:r>
      <w:r>
        <w:rPr>
          <w:rFonts w:ascii="Times New Roman" w:cs="Times New Roman" w:eastAsia="Times New Roman" w:hAnsi="Times New Roman"/>
          <w:sz w:val="18"/>
          <w:szCs w:val="18"/>
          <w:b w:val="1"/>
          <w:bCs w:val="1"/>
          <w:color w:val="auto"/>
        </w:rPr>
        <w:t>Qualified Public Offering</w:t>
      </w:r>
      <w:r>
        <w:rPr>
          <w:rFonts w:ascii="Times New Roman" w:cs="Times New Roman" w:eastAsia="Times New Roman" w:hAnsi="Times New Roman"/>
          <w:sz w:val="18"/>
          <w:szCs w:val="18"/>
          <w:color w:val="auto"/>
        </w:rPr>
        <w:t>”); or</w:t>
      </w:r>
    </w:p>
    <w:p>
      <w:pPr>
        <w:spacing w:after="0" w:line="106" w:lineRule="exact"/>
        <w:rPr>
          <w:rFonts w:ascii="Times New Roman" w:cs="Times New Roman" w:eastAsia="Times New Roman" w:hAnsi="Times New Roman"/>
          <w:sz w:val="18"/>
          <w:szCs w:val="18"/>
          <w:color w:val="auto"/>
        </w:rPr>
      </w:pPr>
    </w:p>
    <w:p>
      <w:pPr>
        <w:ind w:left="3800" w:right="140" w:hanging="538"/>
        <w:spacing w:after="0" w:line="266" w:lineRule="auto"/>
        <w:tabs>
          <w:tab w:leader="none" w:pos="379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with the unanimous approval of the Board of Directors and the Board of Directors specifically provides that such shares of Common Stock, Options or Convertible Securities shall be Exempted Securities.</w:t>
      </w:r>
    </w:p>
    <w:p>
      <w:pPr>
        <w:spacing w:after="0" w:line="95" w:lineRule="exact"/>
        <w:rPr>
          <w:sz w:val="20"/>
          <w:szCs w:val="20"/>
          <w:color w:val="auto"/>
        </w:rPr>
      </w:pPr>
    </w:p>
    <w:p>
      <w:pPr>
        <w:ind w:right="40" w:firstLine="2181"/>
        <w:spacing w:after="0" w:line="253"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No Adjustment of Conversion Prices</w:t>
      </w:r>
      <w:r>
        <w:rPr>
          <w:rFonts w:ascii="Times New Roman" w:cs="Times New Roman" w:eastAsia="Times New Roman" w:hAnsi="Times New Roman"/>
          <w:sz w:val="18"/>
          <w:szCs w:val="18"/>
          <w:color w:val="auto"/>
        </w:rPr>
        <w:t>. No adjustment in the Series A Conversion Price shall be made as the result of the issuance or deemed issuance of Additional Shares of Common Stock if the Corporation receives written notice from the holders of at least a majority of the then outstanding shares of Series A Preferred Stock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of at least a majority of the then outstanding shares of Series B Preferred Stock agreeing that no such adjustment shall be made as the result of the issuance or deemed issuance of such Additional Shares of Common Stock. No adjustment in the Series C Conversion Price shall be made as the result of the issuance or deemed issuance of Additional Shares of Common Stock if the Corporation receives written notice from the holders of at least a majority of the then outstanding shares of Series C Preferred Stock agreeing that no such adjustment shall be made as the result of the issuance or deemed issuance of such Additional Shares of Common Stock. No adjustment in the Series D Conversion Price shall be made as the result of the issuance or deemed issuance of Additional Shares of Common Stock if the Corporation receives written notice from the holders of at least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00" w:right="359" w:bottom="1440" w:gutter="0" w:footer="0" w:header="0"/>
        </w:sectPr>
      </w:pPr>
    </w:p>
    <w:bookmarkStart w:id="252" w:name="page253"/>
    <w:bookmarkEnd w:id="252"/>
    <w:p>
      <w:pPr>
        <w:ind w:right="20"/>
        <w:spacing w:after="0" w:line="258" w:lineRule="auto"/>
        <w:rPr>
          <w:sz w:val="20"/>
          <w:szCs w:val="20"/>
          <w:color w:val="auto"/>
        </w:rPr>
      </w:pPr>
      <w:r>
        <w:rPr>
          <w:rFonts w:ascii="Times New Roman" w:cs="Times New Roman" w:eastAsia="Times New Roman" w:hAnsi="Times New Roman"/>
          <w:sz w:val="18"/>
          <w:szCs w:val="18"/>
          <w:color w:val="auto"/>
        </w:rPr>
        <w:t>majority of the then outstanding shares of Series D Preferred Stock agreeing that no such adjustment shall be made as the result of the issuance or deemed issuance of such Additional Shares of Common Stock. No adjustment in the Series D-1 Conversion Price shall be made as the result of the issuance or deemed issuance of Additional Shares of Common Stock if the Corporation receives written notice from the holders of at least a majority of the then outstanding shares of Series D-1 Preferred Stock agreeing that no such adjustment shall be made as the result of the issuance or deemed issuance of such Additional Shares of Common Stock.</w:t>
      </w:r>
    </w:p>
    <w:p>
      <w:pPr>
        <w:spacing w:after="0" w:line="103" w:lineRule="exact"/>
        <w:rPr>
          <w:sz w:val="20"/>
          <w:szCs w:val="20"/>
          <w:color w:val="auto"/>
        </w:rPr>
      </w:pPr>
    </w:p>
    <w:p>
      <w:pPr>
        <w:ind w:left="2180"/>
        <w:spacing w:after="0"/>
        <w:tabs>
          <w:tab w:leader="none" w:pos="270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8"/>
          <w:szCs w:val="18"/>
          <w:u w:val="single" w:color="auto"/>
          <w:color w:val="auto"/>
        </w:rPr>
        <w:t>Deemed Issue of Additional Shares of Common Stock</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80" w:firstLine="2717"/>
        <w:spacing w:after="0" w:line="254" w:lineRule="auto"/>
        <w:tabs>
          <w:tab w:leader="none" w:pos="326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Series D-1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10" w:lineRule="exact"/>
        <w:rPr>
          <w:rFonts w:ascii="Times New Roman" w:cs="Times New Roman" w:eastAsia="Times New Roman" w:hAnsi="Times New Roman"/>
          <w:sz w:val="18"/>
          <w:szCs w:val="18"/>
          <w:color w:val="auto"/>
        </w:rPr>
      </w:pPr>
    </w:p>
    <w:p>
      <w:pPr>
        <w:ind w:firstLine="2717"/>
        <w:spacing w:after="0" w:line="252" w:lineRule="auto"/>
        <w:tabs>
          <w:tab w:leader="none" w:pos="326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Series A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A Conversion Price computed upon the original issue of such Option or Convertible Security (or upon the occurrence of a record date with respect thereto) shall be readjusted to such Series A Conversion Price as would have obtained had such revised terms been in effect upon the original date of issuance of such Option or Convertible Security. Notwithstanding the foregoing, no readjustment pursuant to this clause (b) shall have the effect of increasing the Series A Conversion Price to an amount which exceeds the lower of (i) the Series A Conversion Price in effect immediately prior to the original adjustment made as a result of the issuance of such Option or Convertible Security or (ii) the Series A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B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are revised as a result of an amendment to such terms or any other adjustment pursuant to the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7" w:lineRule="exact"/>
        <w:rPr>
          <w:rFonts w:ascii="Times New Roman" w:cs="Times New Roman" w:eastAsia="Times New Roman" w:hAnsi="Times New Roman"/>
          <w:sz w:val="18"/>
          <w:szCs w:val="18"/>
          <w:color w:val="auto"/>
        </w:rPr>
      </w:pPr>
    </w:p>
    <w:p>
      <w:pPr>
        <w:ind w:left="5540" w:hanging="113"/>
        <w:spacing w:after="0"/>
        <w:tabs>
          <w:tab w:leader="none" w:pos="554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220"/>
          </w:cols>
          <w:pgMar w:left="320" w:top="1400" w:right="359" w:bottom="1440" w:gutter="0" w:footer="0" w:header="0"/>
        </w:sectPr>
      </w:pPr>
    </w:p>
    <w:bookmarkStart w:id="253" w:name="page254"/>
    <w:bookmarkEnd w:id="253"/>
    <w:p>
      <w:pPr>
        <w:ind w:left="9"/>
        <w:spacing w:after="0" w:line="251" w:lineRule="auto"/>
        <w:rPr>
          <w:sz w:val="20"/>
          <w:szCs w:val="20"/>
          <w:color w:val="auto"/>
        </w:rPr>
      </w:pPr>
      <w:r>
        <w:rPr>
          <w:rFonts w:ascii="Times New Roman" w:cs="Times New Roman" w:eastAsia="Times New Roman" w:hAnsi="Times New Roman"/>
          <w:sz w:val="18"/>
          <w:szCs w:val="18"/>
          <w:color w:val="auto"/>
        </w:rPr>
        <w:t xml:space="preserve">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B Conversion Price computed upon the original issue of such Option or Convertible Security (or upon the occurrence of a record date with respect thereto) shall be readjusted to such Series B Conversion Price as would have obtained had such revised terms been in effect upon the original date of issuance of such Option or Convertible Security. Notwithstanding the foregoing, no readjustment pursuant to this clause (b) shall have the effect of increasing the Series B Conversion Price to an amount which exceeds the lower of (i) the Series B Conversion Price in effect immediately prior to the original adjustment made as a result of the issuance of such Option or Convertible Security or (ii) the Series B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C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C Conversion Price computed upon the original issue of such Option or Convertible Security (or upon the occurrence of a record date with respect thereto) shall be readjusted to such Series C Conversion Price as would have obtained had such revised terms been in effect upon the original date of issuance of such Option or Convertible Security. Notwithstanding the foregoing, no readjustment pursuant to this clause (b) shall have the effect of increasing the Series C Conversion Price to an amount which exceeds the lower of (i) the Series C Conversion Price in effect immediately prior to the original adjustment made as a result of the issuance of such Option or Convertible Security or (ii) the Series C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D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w:t>
      </w:r>
    </w:p>
    <w:p>
      <w:pPr>
        <w:spacing w:after="0" w:line="2" w:lineRule="exact"/>
        <w:rPr>
          <w:sz w:val="20"/>
          <w:szCs w:val="20"/>
          <w:color w:val="auto"/>
        </w:rPr>
      </w:pPr>
    </w:p>
    <w:p>
      <w:pPr>
        <w:ind w:left="9" w:right="400" w:hanging="9"/>
        <w:spacing w:after="0" w:line="260" w:lineRule="auto"/>
        <w:tabs>
          <w:tab w:leader="none" w:pos="26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number of shares of Common Stock issuable upon the exercise, conversion and/or exchange of any such Option or Convertible Security or (2) any increase or decrease in the consideration payable to the Corporation upon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3" w:lineRule="exact"/>
        <w:rPr>
          <w:rFonts w:ascii="Times New Roman" w:cs="Times New Roman" w:eastAsia="Times New Roman" w:hAnsi="Times New Roman"/>
          <w:sz w:val="18"/>
          <w:szCs w:val="18"/>
          <w:color w:val="auto"/>
        </w:rPr>
      </w:pPr>
    </w:p>
    <w:p>
      <w:pPr>
        <w:ind w:left="5549" w:hanging="113"/>
        <w:spacing w:after="0"/>
        <w:tabs>
          <w:tab w:leader="none" w:pos="554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269"/>
          </w:cols>
          <w:pgMar w:left="311" w:top="1400" w:right="319" w:bottom="1440" w:gutter="0" w:footer="0" w:header="0"/>
        </w:sectPr>
      </w:pPr>
    </w:p>
    <w:bookmarkStart w:id="254" w:name="page255"/>
    <w:bookmarkEnd w:id="254"/>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such exercise, conversion and/or exchange, then, effective upon such increase or decrease becoming effective, the Series D Conversion Price computed upon the original issue of such Option or Convertible Security (or upon the occurrence of a record date with respect thereto) shall be readjusted to such Series D Conversion Price as would have obtained had such revised terms been in effect upon the original date of issuance of such Option or Convertible Security. Notwithstanding the foregoing, no readjustment pursuant to this clause (b) shall have the effect of increasing the Series D Conversion Price to an amount which exceeds the lower of (i) the Series D Conversion Price in effect immediately prior to the original adjustment made as a result of the issuance of such Option or Convertible Security or (ii) the Series D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D-1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D-1 Conversion Price computed upon the original issue of such Option or Convertible Security (or upon the occurrence of a record date with respect thereto) shall be readjusted to such Series D-1 Conversion Price as would have obtained had such revised terms been in effect upon the original date of issuance of such Option or Convertible Security. Notwithstanding the foregoing, no readjustment pursuant to this clause (b) shall have the effect of increasing the Series D-1 Conversion Price to an amount which exceeds the lower of (i) the Series D-1 Conversion Price in effect immediately prior to the original adjustment made as a result of the issuance of such Option or Convertible Security or (ii) the Series D-1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23" w:lineRule="exact"/>
        <w:rPr>
          <w:sz w:val="20"/>
          <w:szCs w:val="20"/>
          <w:color w:val="auto"/>
        </w:rPr>
      </w:pPr>
    </w:p>
    <w:p>
      <w:pPr>
        <w:ind w:firstLine="2717"/>
        <w:spacing w:after="0" w:line="254" w:lineRule="auto"/>
        <w:tabs>
          <w:tab w:leader="none" w:pos="32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the Series A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an adjustment to the Series B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an adjustment to the Series C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an adjustment to the Series D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or an adjustment to the Series D-1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(either because the consideration per share (determined pursuant to</w:t>
      </w:r>
    </w:p>
    <w:p>
      <w:pPr>
        <w:spacing w:after="0" w:line="3" w:lineRule="exact"/>
        <w:rPr>
          <w:rFonts w:ascii="Times New Roman" w:cs="Times New Roman" w:eastAsia="Times New Roman" w:hAnsi="Times New Roman"/>
          <w:sz w:val="18"/>
          <w:szCs w:val="18"/>
          <w:color w:val="auto"/>
        </w:rPr>
      </w:pPr>
    </w:p>
    <w:p>
      <w:pPr>
        <w:ind w:right="7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Subsection 4.4.5</w:t>
      </w:r>
      <w:r>
        <w:rPr>
          <w:rFonts w:ascii="Times New Roman" w:cs="Times New Roman" w:eastAsia="Times New Roman" w:hAnsi="Times New Roman"/>
          <w:sz w:val="18"/>
          <w:szCs w:val="18"/>
          <w:color w:val="auto"/>
        </w:rPr>
        <w:t>) of the Additional Shares of Common Stock subject thereto was equal to or greater than the Series A Conversion Price, Series B Conversion Price, Series C Conversion Price, Series D Conversion Price or Series D-1 Conversion Price, as applicable, then in effect,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3" w:lineRule="exact"/>
        <w:rPr>
          <w:rFonts w:ascii="Times New Roman" w:cs="Times New Roman" w:eastAsia="Times New Roman" w:hAnsi="Times New Roman"/>
          <w:sz w:val="18"/>
          <w:szCs w:val="18"/>
          <w:color w:val="auto"/>
        </w:rPr>
      </w:pPr>
    </w:p>
    <w:p>
      <w:pPr>
        <w:ind w:left="5540" w:hanging="113"/>
        <w:spacing w:after="0"/>
        <w:tabs>
          <w:tab w:leader="none" w:pos="554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1260"/>
          </w:cols>
          <w:pgMar w:left="320" w:top="1400" w:right="319" w:bottom="1440" w:gutter="0" w:footer="0" w:header="0"/>
        </w:sectPr>
      </w:pPr>
    </w:p>
    <w:bookmarkStart w:id="255" w:name="page256"/>
    <w:bookmarkEnd w:id="255"/>
    <w:p>
      <w:pPr>
        <w:ind w:left="9" w:right="60"/>
        <w:spacing w:after="0" w:line="256" w:lineRule="auto"/>
        <w:rPr>
          <w:sz w:val="20"/>
          <w:szCs w:val="20"/>
          <w:color w:val="auto"/>
        </w:rPr>
      </w:pPr>
      <w:r>
        <w:rPr>
          <w:rFonts w:ascii="Times New Roman" w:cs="Times New Roman" w:eastAsia="Times New Roman" w:hAnsi="Times New Roman"/>
          <w:sz w:val="18"/>
          <w:szCs w:val="18"/>
          <w:color w:val="auto"/>
        </w:rPr>
        <w:t>because such Option or Convertible Security was issued before the Series D-1 Original Issue Date), are revised after the Series D-1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w:t>
      </w:r>
    </w:p>
    <w:p>
      <w:pPr>
        <w:ind w:left="9" w:right="40" w:hanging="9"/>
        <w:spacing w:after="0" w:line="255" w:lineRule="auto"/>
        <w:tabs>
          <w:tab w:leader="none" w:pos="26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Subsection 4.4.3(a))</w:t>
      </w:r>
      <w:r>
        <w:rPr>
          <w:rFonts w:ascii="Times New Roman" w:cs="Times New Roman" w:eastAsia="Times New Roman" w:hAnsi="Times New Roman"/>
          <w:sz w:val="18"/>
          <w:szCs w:val="18"/>
          <w:color w:val="auto"/>
        </w:rPr>
        <w:t xml:space="preserve"> shall be deemed to have been issued effective upon such increase or decrease becoming effective.</w:t>
      </w:r>
    </w:p>
    <w:p>
      <w:pPr>
        <w:spacing w:after="0" w:line="103" w:lineRule="exact"/>
        <w:rPr>
          <w:rFonts w:ascii="Times New Roman" w:cs="Times New Roman" w:eastAsia="Times New Roman" w:hAnsi="Times New Roman"/>
          <w:sz w:val="18"/>
          <w:szCs w:val="18"/>
          <w:color w:val="auto"/>
        </w:rPr>
      </w:pPr>
    </w:p>
    <w:p>
      <w:pPr>
        <w:ind w:left="9" w:right="40" w:firstLine="2717"/>
        <w:spacing w:after="0" w:line="256" w:lineRule="auto"/>
        <w:tabs>
          <w:tab w:leader="none" w:pos="327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Series A Conversion Price, Series B Conversion Price, Series C Conversion Price, Series D Conversion Price or Series D-1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then such conversion price shall be readjusted to such Series A Conversion Price, Series B Conversion Price, Series C Conversion Price, Series D Conversion Price or Series D-1 Conversion Price as would have obtained had such Option or Convertible Security (or portion thereof) never been issued.</w:t>
      </w:r>
    </w:p>
    <w:p>
      <w:pPr>
        <w:spacing w:after="0" w:line="106" w:lineRule="exact"/>
        <w:rPr>
          <w:rFonts w:ascii="Times New Roman" w:cs="Times New Roman" w:eastAsia="Times New Roman" w:hAnsi="Times New Roman"/>
          <w:sz w:val="18"/>
          <w:szCs w:val="18"/>
          <w:color w:val="auto"/>
        </w:rPr>
      </w:pPr>
    </w:p>
    <w:p>
      <w:pPr>
        <w:ind w:left="9" w:firstLine="2717"/>
        <w:spacing w:after="0" w:line="252" w:lineRule="auto"/>
        <w:tabs>
          <w:tab w:leader="none" w:pos="327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Series A Conversion Price, Series B Conversion Price, Series C Conversion Price, Series D Conversion Price or Series D-1 Conversion Price provided for in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Series A Conversion Price, Series B Conversion Price, Series C Conversion Price, Series D Conversion Price or Series D-1 Conversion Price that would result under the terms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Series A Conversion Price, Series B Conversion Price, Series C Conversion Price, Series D Conversion Price or Series D-1 Conversion Price that such issuance or amendment took place at the time such calculation can first be made.</w:t>
      </w:r>
    </w:p>
    <w:p>
      <w:pPr>
        <w:spacing w:after="0" w:line="332" w:lineRule="exact"/>
        <w:rPr>
          <w:sz w:val="20"/>
          <w:szCs w:val="20"/>
          <w:color w:val="auto"/>
        </w:rPr>
      </w:pPr>
    </w:p>
    <w:p>
      <w:pPr>
        <w:ind w:left="9" w:right="840" w:firstLine="2181"/>
        <w:spacing w:after="0" w:line="283"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Prices Upon Issuance of Additional Shares of Common Stock</w:t>
      </w:r>
      <w:r>
        <w:rPr>
          <w:rFonts w:ascii="Times New Roman" w:cs="Times New Roman" w:eastAsia="Times New Roman" w:hAnsi="Times New Roman"/>
          <w:sz w:val="18"/>
          <w:szCs w:val="18"/>
          <w:color w:val="auto"/>
        </w:rPr>
        <w:t>. In the event the Corporation shall at any time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9"/>
          </w:cols>
          <w:pgMar w:left="311" w:top="1400" w:right="339" w:bottom="1440" w:gutter="0" w:footer="0" w:header="0"/>
        </w:sectPr>
      </w:pPr>
    </w:p>
    <w:bookmarkStart w:id="256" w:name="page257"/>
    <w:bookmarkEnd w:id="256"/>
    <w:p>
      <w:pPr>
        <w:spacing w:after="0" w:line="258" w:lineRule="auto"/>
        <w:rPr>
          <w:sz w:val="20"/>
          <w:szCs w:val="20"/>
          <w:color w:val="auto"/>
        </w:rPr>
      </w:pPr>
      <w:r>
        <w:rPr>
          <w:rFonts w:ascii="Times New Roman" w:cs="Times New Roman" w:eastAsia="Times New Roman" w:hAnsi="Times New Roman"/>
          <w:sz w:val="18"/>
          <w:szCs w:val="18"/>
          <w:color w:val="auto"/>
        </w:rPr>
        <w:t xml:space="preserve">Series D-1 Original Issue Date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without consideration or for a consideration per share less than the Series A Conversion Price, Series B Conversion Price, Series C Conversion Price, Series D Conversion Price or Series D-1 Conversion Price in effect immediately prior to such issue, then the Series A Conversion Price, Series B Conversion Price, Series C Conversion Price, Series D Conversion Price or Series D-1 Conversion Price, as applicable, shall be reduced, concurrently with such issue, to a price (calculated to the nearest one-hundredth of a cent) determined in accordance with the following formula:</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(A + B) ÷ (A + 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75" w:lineRule="exact"/>
        <w:rPr>
          <w:sz w:val="20"/>
          <w:szCs w:val="20"/>
          <w:color w:val="auto"/>
        </w:rPr>
      </w:pPr>
    </w:p>
    <w:p>
      <w:pPr>
        <w:ind w:right="260" w:firstLine="2717"/>
        <w:spacing w:after="0" w:line="289" w:lineRule="auto"/>
        <w:tabs>
          <w:tab w:leader="none" w:pos="326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shall mean the Series A Conversion Price, Series B Conversion Price, Series C Conversion Price, Series D Conversion Price or Series D-1 Conversion Price, as applicable, in effect immediately after such issue of Additional Shares of Common Stock</w:t>
      </w:r>
    </w:p>
    <w:p>
      <w:pPr>
        <w:ind w:firstLine="2717"/>
        <w:spacing w:after="0" w:line="298" w:lineRule="auto"/>
        <w:tabs>
          <w:tab w:leader="none" w:pos="326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shall mean the Series A Conversion Price, Series B Conversion Price, Series C Conversion Price, Series D Conversion Price or Series D-1 Conversion Price, as applicable, in effect immediately prior to such issue of Additional Shares of Common Stock;</w:t>
      </w:r>
    </w:p>
    <w:p>
      <w:pPr>
        <w:spacing w:after="0" w:line="52" w:lineRule="exact"/>
        <w:rPr>
          <w:rFonts w:ascii="Times New Roman" w:cs="Times New Roman" w:eastAsia="Times New Roman" w:hAnsi="Times New Roman"/>
          <w:sz w:val="18"/>
          <w:szCs w:val="18"/>
          <w:color w:val="auto"/>
        </w:rPr>
      </w:pPr>
    </w:p>
    <w:p>
      <w:pPr>
        <w:ind w:right="120" w:firstLine="2717"/>
        <w:spacing w:after="0" w:line="261" w:lineRule="auto"/>
        <w:tabs>
          <w:tab w:leader="none" w:pos="326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99" w:lineRule="exact"/>
        <w:rPr>
          <w:rFonts w:ascii="Times New Roman" w:cs="Times New Roman" w:eastAsia="Times New Roman" w:hAnsi="Times New Roman"/>
          <w:sz w:val="18"/>
          <w:szCs w:val="18"/>
          <w:color w:val="auto"/>
        </w:rPr>
      </w:pPr>
    </w:p>
    <w:p>
      <w:pPr>
        <w:ind w:right="500" w:firstLine="2717"/>
        <w:spacing w:after="0" w:line="219" w:lineRule="auto"/>
        <w:tabs>
          <w:tab w:leader="none" w:pos="326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ind w:left="3260" w:hanging="543"/>
        <w:spacing w:after="0"/>
        <w:tabs>
          <w:tab w:leader="none" w:pos="32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145" w:lineRule="exact"/>
        <w:rPr>
          <w:sz w:val="20"/>
          <w:szCs w:val="20"/>
          <w:color w:val="auto"/>
        </w:rPr>
      </w:pPr>
    </w:p>
    <w:p>
      <w:pPr>
        <w:ind w:right="160" w:firstLine="2181"/>
        <w:spacing w:after="0" w:line="283"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80" w:lineRule="exact"/>
        <w:rPr>
          <w:sz w:val="20"/>
          <w:szCs w:val="20"/>
          <w:color w:val="auto"/>
        </w:rPr>
      </w:pPr>
    </w:p>
    <w:p>
      <w:pPr>
        <w:ind w:left="3260" w:hanging="543"/>
        <w:spacing w:after="0"/>
        <w:tabs>
          <w:tab w:leader="none" w:pos="32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45" w:lineRule="exact"/>
        <w:rPr>
          <w:rFonts w:ascii="Times New Roman" w:cs="Times New Roman" w:eastAsia="Times New Roman" w:hAnsi="Times New Roman"/>
          <w:sz w:val="18"/>
          <w:szCs w:val="18"/>
          <w:color w:val="auto"/>
        </w:rPr>
      </w:pPr>
    </w:p>
    <w:p>
      <w:pPr>
        <w:ind w:left="3800" w:hanging="538"/>
        <w:spacing w:after="0"/>
        <w:tabs>
          <w:tab w:leader="none" w:pos="38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540" w:hanging="113"/>
        <w:spacing w:after="0"/>
        <w:tabs>
          <w:tab w:leader="none" w:pos="5540"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260"/>
          </w:cols>
          <w:pgMar w:left="320" w:top="1400" w:right="319" w:bottom="1440" w:gutter="0" w:footer="0" w:header="0"/>
        </w:sectPr>
      </w:pPr>
    </w:p>
    <w:bookmarkStart w:id="257" w:name="page258"/>
    <w:bookmarkEnd w:id="257"/>
    <w:p>
      <w:pPr>
        <w:ind w:left="2680"/>
        <w:spacing w:after="0"/>
        <w:rPr>
          <w:sz w:val="20"/>
          <w:szCs w:val="20"/>
          <w:color w:val="auto"/>
        </w:rPr>
      </w:pPr>
      <w:r>
        <w:rPr>
          <w:rFonts w:ascii="Times New Roman" w:cs="Times New Roman" w:eastAsia="Times New Roman" w:hAnsi="Times New Roman"/>
          <w:sz w:val="18"/>
          <w:szCs w:val="18"/>
          <w:color w:val="auto"/>
        </w:rPr>
        <w:t>the Corporation, excluding amounts paid or payable for accrued interest;</w:t>
      </w:r>
    </w:p>
    <w:p>
      <w:pPr>
        <w:spacing w:after="0" w:line="145" w:lineRule="exact"/>
        <w:rPr>
          <w:sz w:val="20"/>
          <w:szCs w:val="20"/>
          <w:color w:val="auto"/>
        </w:rPr>
      </w:pPr>
    </w:p>
    <w:p>
      <w:pPr>
        <w:ind w:left="2680" w:right="200" w:hanging="538"/>
        <w:spacing w:after="0" w:line="283" w:lineRule="auto"/>
        <w:tabs>
          <w:tab w:leader="none" w:pos="267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79" w:lineRule="exact"/>
        <w:rPr>
          <w:rFonts w:ascii="Times New Roman" w:cs="Times New Roman" w:eastAsia="Times New Roman" w:hAnsi="Times New Roman"/>
          <w:sz w:val="18"/>
          <w:szCs w:val="18"/>
          <w:color w:val="auto"/>
        </w:rPr>
      </w:pPr>
    </w:p>
    <w:p>
      <w:pPr>
        <w:ind w:left="2680" w:right="40" w:hanging="538"/>
        <w:spacing w:after="0" w:line="261" w:lineRule="auto"/>
        <w:tabs>
          <w:tab w:leader="none" w:pos="26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99" w:lineRule="exact"/>
        <w:rPr>
          <w:rFonts w:ascii="Times New Roman" w:cs="Times New Roman" w:eastAsia="Times New Roman" w:hAnsi="Times New Roman"/>
          <w:sz w:val="18"/>
          <w:szCs w:val="18"/>
          <w:color w:val="auto"/>
        </w:rPr>
      </w:pPr>
    </w:p>
    <w:p>
      <w:pPr>
        <w:ind w:left="-1120" w:right="40" w:firstLine="2717"/>
        <w:spacing w:after="0" w:line="266" w:lineRule="auto"/>
        <w:tabs>
          <w:tab w:leader="none" w:pos="214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relating to Options and Convertible Securities, shall be determined by dividing:</w:t>
      </w:r>
    </w:p>
    <w:p>
      <w:pPr>
        <w:spacing w:after="0" w:line="95" w:lineRule="exact"/>
        <w:rPr>
          <w:rFonts w:ascii="Times New Roman" w:cs="Times New Roman" w:eastAsia="Times New Roman" w:hAnsi="Times New Roman"/>
          <w:sz w:val="18"/>
          <w:szCs w:val="18"/>
          <w:color w:val="auto"/>
        </w:rPr>
      </w:pPr>
    </w:p>
    <w:p>
      <w:pPr>
        <w:ind w:left="2680" w:hanging="538"/>
        <w:spacing w:after="0" w:line="255" w:lineRule="auto"/>
        <w:tabs>
          <w:tab w:leader="none" w:pos="267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07" w:lineRule="exact"/>
        <w:rPr>
          <w:rFonts w:ascii="Times New Roman" w:cs="Times New Roman" w:eastAsia="Times New Roman" w:hAnsi="Times New Roman"/>
          <w:sz w:val="18"/>
          <w:szCs w:val="18"/>
          <w:color w:val="auto"/>
        </w:rPr>
      </w:pPr>
    </w:p>
    <w:p>
      <w:pPr>
        <w:ind w:left="2680" w:right="320" w:hanging="538"/>
        <w:spacing w:after="0" w:line="266" w:lineRule="auto"/>
        <w:tabs>
          <w:tab w:leader="none" w:pos="2675"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9" w:lineRule="exact"/>
        <w:rPr>
          <w:rFonts w:ascii="Times New Roman" w:cs="Times New Roman" w:eastAsia="Times New Roman" w:hAnsi="Times New Roman"/>
          <w:sz w:val="18"/>
          <w:szCs w:val="18"/>
          <w:color w:val="auto"/>
        </w:rPr>
      </w:pPr>
    </w:p>
    <w:p>
      <w:pPr>
        <w:ind w:left="4420" w:hanging="113"/>
        <w:spacing w:after="0"/>
        <w:tabs>
          <w:tab w:leader="none" w:pos="442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120"/>
          </w:cols>
          <w:pgMar w:left="1440" w:top="1400" w:right="339" w:bottom="1440" w:gutter="0" w:footer="0" w:header="0"/>
        </w:sectPr>
      </w:pPr>
    </w:p>
    <w:bookmarkStart w:id="258" w:name="page259"/>
    <w:bookmarkEnd w:id="258"/>
    <w:p>
      <w:pPr>
        <w:ind w:left="3800" w:right="80"/>
        <w:spacing w:after="0" w:line="266" w:lineRule="auto"/>
        <w:rPr>
          <w:sz w:val="20"/>
          <w:szCs w:val="20"/>
          <w:color w:val="auto"/>
        </w:rPr>
      </w:pPr>
      <w:r>
        <w:rPr>
          <w:rFonts w:ascii="Times New Roman" w:cs="Times New Roman" w:eastAsia="Times New Roman" w:hAnsi="Times New Roman"/>
          <w:sz w:val="18"/>
          <w:szCs w:val="18"/>
          <w:color w:val="auto"/>
        </w:rPr>
        <w:t>conversion or exchange of such Convertible Securities, or in the case of Options for Convertible Securities, the exercise of such Options for Convertible Securities and the conversion or exchange of such Convertible Securities.</w:t>
      </w:r>
    </w:p>
    <w:p>
      <w:pPr>
        <w:spacing w:after="0" w:line="95" w:lineRule="exact"/>
        <w:rPr>
          <w:sz w:val="20"/>
          <w:szCs w:val="20"/>
          <w:color w:val="auto"/>
        </w:rPr>
      </w:pPr>
    </w:p>
    <w:p>
      <w:pPr>
        <w:ind w:firstLine="2181"/>
        <w:spacing w:after="0" w:line="257" w:lineRule="auto"/>
        <w:rPr>
          <w:sz w:val="20"/>
          <w:szCs w:val="20"/>
          <w:color w:val="auto"/>
        </w:rPr>
      </w:pPr>
      <w:r>
        <w:rPr>
          <w:rFonts w:ascii="Times New Roman" w:cs="Times New Roman" w:eastAsia="Times New Roman" w:hAnsi="Times New Roman"/>
          <w:sz w:val="18"/>
          <w:szCs w:val="18"/>
          <w:color w:val="auto"/>
        </w:rPr>
        <w:t xml:space="preserve">4.4.6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In the event the Corporation shall issue on more than one date Additional Shares of Common Stock that are a part of one transaction or a series of related transactions and that would result in an adjustment to the Series A Conversion Price, Series B Conversion Price, Series C Conversion Price, Series D Conversion Price or Series D-1 Conversion Price pursuant to the terms of</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then, upon the final such issuance, the Series A Conversion Price, Series B Conversion Price, Series C Conversion Price, Series D Conversion Price or Series D-1 Conversion Price, as applicable, shall be readjusted to give effect to all such issuances as if they occurred on the date of the first such issuance (and without giving effect to any additional adjustments as a result of any such subsequent issuances within such period).</w:t>
      </w:r>
    </w:p>
    <w:p>
      <w:pPr>
        <w:spacing w:after="0" w:line="104" w:lineRule="exact"/>
        <w:rPr>
          <w:sz w:val="20"/>
          <w:szCs w:val="20"/>
          <w:color w:val="auto"/>
        </w:rPr>
      </w:pPr>
    </w:p>
    <w:p>
      <w:pPr>
        <w:ind w:firstLine="1635"/>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xml:space="preserve">. If the Corporation shall at any time or from time to time after the Series D-1 Original Issue Date effect a subdivision of the outstanding Common Stock, the Series A Conversion Price, the Series B Conversion Price, the Series C Conversion Price, the Series D Conversion Price and the Series D-1 Conversion Price in effect immediately before that subdivision shall be proportionately decreased so that the number of shares of Class A Common Stock issuable on conversion of each share of such series of Preferred Stock shall be increased in proportion to such increase in the aggregate number of shares of Common Stock outstanding. If the Corporation shall at any time or from time to time after the Series D-1 Original Issue Date combine the outstanding shares of Common Stock, the Series A Conversion Price, the Series B Conversion Price, the Series C Conversion Price, the Series D Conversion Price and the Series D-1 Conversion Price in effect immediately before the combination shall be proportionately increased so that the number of shares of Class A Common Stock issuable on conversion of each share of such series of Preferred Stock shall be decreased in proportion to such decrease in the aggregate number of shares of Common Stock outstanding. Any adjustment under this subsection shall become effective at the close of business on the date the subdivision or combination becomes effective. In no event shall the conversion of shares of Class B Common Stock into shares of Class A Common Stock in accordance with Article Fourth, Section A, Subsection 4 be considered a subdivision or combination of the outstanding shares of Common Stock for purposes of this </w:t>
      </w:r>
      <w:r>
        <w:rPr>
          <w:rFonts w:ascii="Times New Roman" w:cs="Times New Roman" w:eastAsia="Times New Roman" w:hAnsi="Times New Roman"/>
          <w:sz w:val="18"/>
          <w:szCs w:val="18"/>
          <w:u w:val="single" w:color="auto"/>
          <w:color w:val="auto"/>
        </w:rPr>
        <w:t>Subsection 4.5</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right="120" w:firstLine="1635"/>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Series D-1 Original Issue Date shall make or issue, or fix a record date for the determination of holders of Common Stock entitled to receive, a dividend or other distribution payable on the Common Stock in additional shares of Common Stock, then and in each such event the Series A Conversion Price, Series B Conversion Price, Series C Conversion Price, Series D Conversion Price and Series D-1 Conversion Price in effect immediately before such event shall be decreased as of the time of such issuance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00" w:right="359" w:bottom="1440" w:gutter="0" w:footer="0" w:header="0"/>
        </w:sectPr>
      </w:pPr>
    </w:p>
    <w:bookmarkStart w:id="259" w:name="page260"/>
    <w:bookmarkEnd w:id="259"/>
    <w:p>
      <w:pPr>
        <w:ind w:right="360"/>
        <w:spacing w:after="0" w:line="283" w:lineRule="auto"/>
        <w:rPr>
          <w:sz w:val="20"/>
          <w:szCs w:val="20"/>
          <w:color w:val="auto"/>
        </w:rPr>
      </w:pPr>
      <w:r>
        <w:rPr>
          <w:rFonts w:ascii="Times New Roman" w:cs="Times New Roman" w:eastAsia="Times New Roman" w:hAnsi="Times New Roman"/>
          <w:sz w:val="18"/>
          <w:szCs w:val="18"/>
          <w:color w:val="auto"/>
        </w:rPr>
        <w:t>event such a record date shall have been fixed, as of the close of business on such record date, by multiplying the Series A Conversion Price, Series B Conversion Price, Series C Conversion Price, Series D Conversion Price and Series D-1 Conversion Price then in effect by a fraction:</w:t>
      </w:r>
    </w:p>
    <w:p>
      <w:pPr>
        <w:spacing w:after="0" w:line="80" w:lineRule="exact"/>
        <w:rPr>
          <w:sz w:val="20"/>
          <w:szCs w:val="20"/>
          <w:color w:val="auto"/>
        </w:rPr>
      </w:pPr>
    </w:p>
    <w:p>
      <w:pPr>
        <w:ind w:right="260" w:firstLine="2171"/>
        <w:spacing w:after="0" w:line="283" w:lineRule="auto"/>
        <w:tabs>
          <w:tab w:leader="none" w:pos="272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79" w:lineRule="exact"/>
        <w:rPr>
          <w:rFonts w:ascii="Times New Roman" w:cs="Times New Roman" w:eastAsia="Times New Roman" w:hAnsi="Times New Roman"/>
          <w:sz w:val="18"/>
          <w:szCs w:val="18"/>
          <w:color w:val="auto"/>
        </w:rPr>
      </w:pPr>
    </w:p>
    <w:p>
      <w:pPr>
        <w:ind w:right="80" w:firstLine="2171"/>
        <w:spacing w:after="0" w:line="266" w:lineRule="auto"/>
        <w:tabs>
          <w:tab w:leader="none" w:pos="272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9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the foregoing (a) if such record date shall have been fixed and such dividend is not fully paid or if such distribution is not fully made on the date fixed therefor, the Series A Conversion Price, the Series B Conversion Price, the Series C Conversion Price, the Series D Conversion Price and the Series D-1 Conversion Price shall be recomputed accordingly as of the close of business on such record date and thereafter the Series A Conversion Price, the Series B Conversion Price, the Series C Conversion Price, the Series D Conversion Price and the Series D-1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Class A Common Stock as they would have received if all outstanding shares of Preferred Stock had been converted into Class A Common Stock on the date of such event.</w:t>
      </w:r>
    </w:p>
    <w:p>
      <w:pPr>
        <w:spacing w:after="0" w:line="110" w:lineRule="exact"/>
        <w:rPr>
          <w:sz w:val="20"/>
          <w:szCs w:val="20"/>
          <w:color w:val="auto"/>
        </w:rPr>
      </w:pPr>
    </w:p>
    <w:p>
      <w:pPr>
        <w:ind w:right="60" w:firstLine="1635"/>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Series D-1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Class A Common Stock on the date of such event.</w:t>
      </w:r>
    </w:p>
    <w:p>
      <w:pPr>
        <w:spacing w:after="0" w:line="107" w:lineRule="exact"/>
        <w:rPr>
          <w:sz w:val="20"/>
          <w:szCs w:val="20"/>
          <w:color w:val="auto"/>
        </w:rPr>
      </w:pPr>
    </w:p>
    <w:p>
      <w:pPr>
        <w:ind w:firstLine="1635"/>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Subsections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then, following any such reorganization, recapitalization, reclassification, consolidation or merger, each share of Preferred Stock shall thereafter be convertible in lieu of the Class A Common Stock into which it was convertible prior to such event into the kind and amount of securities, cash or other property which a holder of the number of shares of Class A Common Stock of the Corporation issuable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00" w:right="339" w:bottom="1440" w:gutter="0" w:footer="0" w:header="0"/>
        </w:sectPr>
      </w:pPr>
    </w:p>
    <w:bookmarkStart w:id="260" w:name="page261"/>
    <w:bookmarkEnd w:id="260"/>
    <w:p>
      <w:pPr>
        <w:ind w:left="9"/>
        <w:spacing w:after="0" w:line="254" w:lineRule="auto"/>
        <w:rPr>
          <w:sz w:val="20"/>
          <w:szCs w:val="20"/>
          <w:color w:val="auto"/>
        </w:rPr>
      </w:pPr>
      <w:r>
        <w:rPr>
          <w:rFonts w:ascii="Times New Roman" w:cs="Times New Roman" w:eastAsia="Times New Roman" w:hAnsi="Times New Roman"/>
          <w:sz w:val="18"/>
          <w:szCs w:val="18"/>
          <w:color w:val="auto"/>
        </w:rPr>
        <w:t xml:space="preserve">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Series A Conversion Price, the Series B Conversion Price, the Series C Conversion Price, the Series D Conversion Price or the Series D-1 Conversion Price, as applicable) shall thereafter be applicable, as nearly as reasonably may be, in relation to any securities or other property thereafter deliverable upon the conversion of the Preferred Stock. For the avoidance of doubt, nothing in this </w:t>
      </w:r>
      <w:r>
        <w:rPr>
          <w:rFonts w:ascii="Times New Roman" w:cs="Times New Roman" w:eastAsia="Times New Roman" w:hAnsi="Times New Roman"/>
          <w:sz w:val="18"/>
          <w:szCs w:val="18"/>
          <w:u w:val="single" w:color="auto"/>
          <w:color w:val="auto"/>
        </w:rPr>
        <w:t>Subsection 4.8</w:t>
      </w:r>
      <w:r>
        <w:rPr>
          <w:rFonts w:ascii="Times New Roman" w:cs="Times New Roman" w:eastAsia="Times New Roman" w:hAnsi="Times New Roman"/>
          <w:sz w:val="18"/>
          <w:szCs w:val="18"/>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Times New Roman" w:cs="Times New Roman" w:eastAsia="Times New Roman" w:hAnsi="Times New Roman"/>
          <w:sz w:val="18"/>
          <w:szCs w:val="18"/>
          <w:u w:val="single" w:color="auto"/>
          <w:color w:val="auto"/>
        </w:rPr>
        <w:t>Subsection 4.8</w:t>
      </w:r>
      <w:r>
        <w:rPr>
          <w:rFonts w:ascii="Times New Roman" w:cs="Times New Roman" w:eastAsia="Times New Roman" w:hAnsi="Times New Roman"/>
          <w:sz w:val="18"/>
          <w:szCs w:val="18"/>
          <w:color w:val="auto"/>
        </w:rPr>
        <w:t xml:space="preserve"> be deemed conclusive evidence of the fair value of the shares of Preferred Stock in any such appraisal proceeding.</w:t>
      </w:r>
    </w:p>
    <w:p>
      <w:pPr>
        <w:spacing w:after="0" w:line="323" w:lineRule="exact"/>
        <w:rPr>
          <w:sz w:val="20"/>
          <w:szCs w:val="20"/>
          <w:color w:val="auto"/>
        </w:rPr>
      </w:pPr>
    </w:p>
    <w:p>
      <w:pPr>
        <w:ind w:left="9" w:right="40" w:firstLine="1635"/>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Series A Conversion Price, Series B Conversion Price, Series C Conversion Price, Series D Conversion Price or Series D-1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w:t>
      </w:r>
    </w:p>
    <w:p>
      <w:pPr>
        <w:spacing w:after="0" w:line="3" w:lineRule="exact"/>
        <w:rPr>
          <w:sz w:val="20"/>
          <w:szCs w:val="20"/>
          <w:color w:val="auto"/>
        </w:rPr>
      </w:pPr>
    </w:p>
    <w:p>
      <w:pPr>
        <w:ind w:left="9" w:right="40" w:hanging="9"/>
        <w:spacing w:after="0" w:line="255" w:lineRule="auto"/>
        <w:tabs>
          <w:tab w:leader="none" w:pos="22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Conversion Price, Series B Conversion Price, Series C Conversion Price, Series D Conversion Price and Series D-1 Conversion Price then in effect, and (ii) the number of shares of Class A Common Stock and the amount, if any, of other securities, cash or property which then would be received upon the conversion of Preferred Stock.</w:t>
      </w:r>
    </w:p>
    <w:p>
      <w:pPr>
        <w:spacing w:after="0" w:line="104" w:lineRule="exact"/>
        <w:rPr>
          <w:sz w:val="20"/>
          <w:szCs w:val="20"/>
          <w:color w:val="auto"/>
        </w:rPr>
      </w:pPr>
    </w:p>
    <w:p>
      <w:pPr>
        <w:ind w:left="1629"/>
        <w:spacing w:after="0"/>
        <w:tabs>
          <w:tab w:leader="none" w:pos="2169"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w:t>
      </w:r>
    </w:p>
    <w:p>
      <w:pPr>
        <w:spacing w:after="0" w:line="145" w:lineRule="exact"/>
        <w:rPr>
          <w:sz w:val="20"/>
          <w:szCs w:val="20"/>
          <w:color w:val="auto"/>
        </w:rPr>
      </w:pPr>
    </w:p>
    <w:p>
      <w:pPr>
        <w:jc w:val="both"/>
        <w:ind w:left="9" w:right="80" w:firstLine="2717"/>
        <w:spacing w:after="0" w:line="266" w:lineRule="auto"/>
        <w:tabs>
          <w:tab w:leader="none" w:pos="327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95" w:lineRule="exact"/>
        <w:rPr>
          <w:rFonts w:ascii="Times New Roman" w:cs="Times New Roman" w:eastAsia="Times New Roman" w:hAnsi="Times New Roman"/>
          <w:sz w:val="18"/>
          <w:szCs w:val="18"/>
          <w:color w:val="auto"/>
        </w:rPr>
      </w:pPr>
    </w:p>
    <w:p>
      <w:pPr>
        <w:ind w:left="9" w:right="900" w:firstLine="2717"/>
        <w:spacing w:after="0" w:line="283" w:lineRule="auto"/>
        <w:tabs>
          <w:tab w:leader="none" w:pos="327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of the Corporation, or any Deemed Liquidation Event; or</w:t>
      </w:r>
    </w:p>
    <w:p>
      <w:pPr>
        <w:spacing w:after="0" w:line="79" w:lineRule="exact"/>
        <w:rPr>
          <w:rFonts w:ascii="Times New Roman" w:cs="Times New Roman" w:eastAsia="Times New Roman" w:hAnsi="Times New Roman"/>
          <w:sz w:val="18"/>
          <w:szCs w:val="18"/>
          <w:color w:val="auto"/>
        </w:rPr>
      </w:pPr>
    </w:p>
    <w:p>
      <w:pPr>
        <w:ind w:left="3269" w:hanging="543"/>
        <w:spacing w:after="0"/>
        <w:tabs>
          <w:tab w:leader="none" w:pos="326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549" w:hanging="113"/>
        <w:spacing w:after="0"/>
        <w:tabs>
          <w:tab w:leader="none" w:pos="5549"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249"/>
          </w:cols>
          <w:pgMar w:left="311" w:top="1400" w:right="339" w:bottom="1440" w:gutter="0" w:footer="0" w:header="0"/>
        </w:sectPr>
      </w:pPr>
    </w:p>
    <w:bookmarkStart w:id="261" w:name="page262"/>
    <w:bookmarkEnd w:id="261"/>
    <w:p>
      <w:pPr>
        <w:ind w:left="9"/>
        <w:spacing w:after="0"/>
        <w:rPr>
          <w:sz w:val="20"/>
          <w:szCs w:val="20"/>
          <w:color w:val="auto"/>
        </w:rPr>
      </w:pPr>
      <w:r>
        <w:rPr>
          <w:rFonts w:ascii="Times New Roman" w:cs="Times New Roman" w:eastAsia="Times New Roman" w:hAnsi="Times New Roman"/>
          <w:sz w:val="18"/>
          <w:szCs w:val="18"/>
          <w:color w:val="auto"/>
        </w:rPr>
        <w:t>then, and in each such case, the Corporation will send or cause to be sent to the holders of the Preferred Stock a notice specifying, as the case may be,</w:t>
      </w:r>
    </w:p>
    <w:p>
      <w:pPr>
        <w:spacing w:after="0" w:line="29" w:lineRule="exact"/>
        <w:rPr>
          <w:sz w:val="20"/>
          <w:szCs w:val="20"/>
          <w:color w:val="auto"/>
        </w:rPr>
      </w:pPr>
    </w:p>
    <w:p>
      <w:pPr>
        <w:ind w:left="9" w:right="100" w:hanging="9"/>
        <w:spacing w:after="0" w:line="251" w:lineRule="auto"/>
        <w:tabs>
          <w:tab w:leader="none" w:pos="22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Class A Common Stock (or such other capital stock or securities at the time issuable upon the conversion of the Preferred Stock) shall be entitled to exchange their shares of Class A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Class A Common Stock. Such notice shall be sent at least ten (10) days prior to the record date or effective date for the event specified in such notice.</w:t>
      </w:r>
    </w:p>
    <w:p>
      <w:pPr>
        <w:spacing w:after="0" w:line="111" w:lineRule="exact"/>
        <w:rPr>
          <w:rFonts w:ascii="Times New Roman" w:cs="Times New Roman" w:eastAsia="Times New Roman" w:hAnsi="Times New Roman"/>
          <w:sz w:val="18"/>
          <w:szCs w:val="18"/>
          <w:color w:val="auto"/>
        </w:rPr>
      </w:pPr>
    </w:p>
    <w:p>
      <w:pPr>
        <w:ind w:left="1629" w:hanging="539"/>
        <w:spacing w:after="0"/>
        <w:tabs>
          <w:tab w:leader="none" w:pos="162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9" w:right="20" w:firstLine="1635"/>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Upon either (a) a Qualified Public Offering or (b) the date and time, or the occurrence of an event, specified by vote or written consent of the holders of at least a majority of the then outstanding shares of Preferred Stock voting as a single class on an as-converted basis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then (i) all outstanding shares of Preferred Stock shall automatically be converted into shares of Class A Common Stock, at the then effective conversion rate as calculated pursuant to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and (ii) such shares may not be reissued by the Corporation.</w:t>
      </w:r>
    </w:p>
    <w:p>
      <w:pPr>
        <w:spacing w:after="0" w:line="106" w:lineRule="exact"/>
        <w:rPr>
          <w:sz w:val="20"/>
          <w:szCs w:val="20"/>
          <w:color w:val="auto"/>
        </w:rPr>
      </w:pPr>
    </w:p>
    <w:p>
      <w:pPr>
        <w:ind w:left="9" w:firstLine="1635"/>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8"/>
          <w:szCs w:val="18"/>
          <w:u w:val="single" w:color="auto"/>
          <w:color w:val="auto"/>
        </w:rPr>
        <w:t>Subsection 5.1</w:t>
      </w:r>
      <w:r>
        <w:rPr>
          <w:rFonts w:ascii="Times New Roman" w:cs="Times New Roman" w:eastAsia="Times New Roman" w:hAnsi="Times New Roman"/>
          <w:sz w:val="18"/>
          <w:szCs w:val="18"/>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9"/>
          </w:cols>
          <w:pgMar w:left="311" w:top="1400" w:right="359" w:bottom="1440" w:gutter="0" w:footer="0" w:header="0"/>
        </w:sectPr>
      </w:pPr>
    </w:p>
    <w:bookmarkStart w:id="262" w:name="page263"/>
    <w:bookmarkEnd w:id="262"/>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agreement) for Preferred Stock, the Corporation shall (a) issue and deliver to such holder, or to his, her or its nominees, a certificate or certificates for the number of full shares of Class A Common Stock issuable on such conversion in accordance with the provisions hereof and (b) pay cash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Class A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06" w:lineRule="exact"/>
        <w:rPr>
          <w:sz w:val="20"/>
          <w:szCs w:val="20"/>
          <w:color w:val="auto"/>
        </w:rPr>
      </w:pPr>
    </w:p>
    <w:p>
      <w:pPr>
        <w:ind w:firstLine="1081"/>
        <w:spacing w:after="0" w:line="266" w:lineRule="auto"/>
        <w:tabs>
          <w:tab w:leader="none" w:pos="163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Acquired Shares</w:t>
      </w:r>
      <w:r>
        <w:rPr>
          <w:rFonts w:ascii="Times New Roman" w:cs="Times New Roman" w:eastAsia="Times New Roman" w:hAnsi="Times New Roman"/>
          <w:sz w:val="18"/>
          <w:szCs w:val="18"/>
          <w:color w:val="auto"/>
        </w:rPr>
        <w:t>. Any shares of Preferred Stock that are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w:t>
      </w:r>
    </w:p>
    <w:p>
      <w:pPr>
        <w:spacing w:after="0" w:line="95" w:lineRule="exact"/>
        <w:rPr>
          <w:rFonts w:ascii="Times New Roman" w:cs="Times New Roman" w:eastAsia="Times New Roman" w:hAnsi="Times New Roman"/>
          <w:sz w:val="18"/>
          <w:szCs w:val="18"/>
          <w:color w:val="auto"/>
        </w:rPr>
      </w:pPr>
    </w:p>
    <w:p>
      <w:pPr>
        <w:ind w:right="80" w:firstLine="1081"/>
        <w:spacing w:after="0" w:line="261" w:lineRule="auto"/>
        <w:tabs>
          <w:tab w:leader="none" w:pos="163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Except as otherwise provided in this Amended and Restated Certificate of Incorporation (including, without limitation,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4.4.2</w:t>
      </w:r>
      <w:r>
        <w:rPr>
          <w:rFonts w:ascii="Times New Roman" w:cs="Times New Roman" w:eastAsia="Times New Roman" w:hAnsi="Times New Roman"/>
          <w:sz w:val="18"/>
          <w:szCs w:val="18"/>
          <w:color w:val="auto"/>
        </w:rPr>
        <w:t>), any of the rights, powers, preferences and other terms of the Preferred Stock set forth herein may be waived on behalf of all holders of Preferred Stock by the affirmative written consent or vote of the holders of at least a majority of the shares of Preferred Stock then outstanding.</w:t>
      </w:r>
    </w:p>
    <w:p>
      <w:pPr>
        <w:spacing w:after="0" w:line="99" w:lineRule="exact"/>
        <w:rPr>
          <w:rFonts w:ascii="Times New Roman" w:cs="Times New Roman" w:eastAsia="Times New Roman" w:hAnsi="Times New Roman"/>
          <w:sz w:val="18"/>
          <w:szCs w:val="18"/>
          <w:color w:val="auto"/>
        </w:rPr>
      </w:pPr>
    </w:p>
    <w:p>
      <w:pPr>
        <w:ind w:right="240" w:firstLine="1081"/>
        <w:spacing w:after="0" w:line="266" w:lineRule="auto"/>
        <w:tabs>
          <w:tab w:leader="none" w:pos="163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91" w:lineRule="exact"/>
        <w:rPr>
          <w:sz w:val="20"/>
          <w:szCs w:val="20"/>
          <w:color w:val="auto"/>
        </w:rPr>
      </w:pPr>
    </w:p>
    <w:p>
      <w:pPr>
        <w:ind w:right="280" w:firstLine="1090"/>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Subject to any additional vote required by the Certificate of Incorporation or Bylaws, in furtherance and not in limitation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conferred by statute, the Board of Directors is expressly authorized to make, repeal, alter, amend and rescind any or all of the Bylaws of the Corporation.</w:t>
      </w:r>
    </w:p>
    <w:p>
      <w:pPr>
        <w:spacing w:after="0" w:line="88" w:lineRule="exact"/>
        <w:rPr>
          <w:sz w:val="20"/>
          <w:szCs w:val="20"/>
          <w:color w:val="auto"/>
        </w:rPr>
      </w:pPr>
    </w:p>
    <w:p>
      <w:pPr>
        <w:ind w:right="360" w:firstLine="1090"/>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Subject to any additional vote required by the Certificate of Incorporation, the number of directors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the manner set forth in the Bylaws of the Corporation.</w:t>
      </w:r>
    </w:p>
    <w:p>
      <w:pPr>
        <w:spacing w:after="0" w:line="7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45" w:lineRule="exact"/>
        <w:rPr>
          <w:sz w:val="20"/>
          <w:szCs w:val="20"/>
          <w:color w:val="auto"/>
        </w:rPr>
      </w:pPr>
    </w:p>
    <w:p>
      <w:pPr>
        <w:jc w:val="both"/>
        <w:ind w:right="160" w:firstLine="1090"/>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Meetings of stockholders may be held within or without the State of Delaware, as the Bylaws of the Corporation may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88" w:lineRule="exact"/>
        <w:rPr>
          <w:sz w:val="20"/>
          <w:szCs w:val="20"/>
          <w:color w:val="auto"/>
        </w:rPr>
      </w:pPr>
    </w:p>
    <w:p>
      <w:pPr>
        <w:ind w:right="660" w:firstLine="1090"/>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To the fullest extent permitted by law, a director of the Corporation shall not be personally liable to the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for monetary damages for breach of fiduciary duty as a director. If the General Corporation Law or any other law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0"/>
          </w:cols>
          <w:pgMar w:left="320" w:top="1400" w:right="319" w:bottom="1440" w:gutter="0" w:footer="0" w:header="0"/>
        </w:sectPr>
      </w:pPr>
    </w:p>
    <w:bookmarkStart w:id="263" w:name="page264"/>
    <w:bookmarkEnd w:id="263"/>
    <w:p>
      <w:pPr>
        <w:ind w:left="9" w:right="360"/>
        <w:spacing w:after="0" w:line="266" w:lineRule="auto"/>
        <w:rPr>
          <w:sz w:val="20"/>
          <w:szCs w:val="20"/>
          <w:color w:val="auto"/>
        </w:rPr>
      </w:pPr>
      <w:r>
        <w:rPr>
          <w:rFonts w:ascii="Times New Roman" w:cs="Times New Roman" w:eastAsia="Times New Roman" w:hAnsi="Times New Roman"/>
          <w:sz w:val="18"/>
          <w:szCs w:val="18"/>
          <w:color w:val="auto"/>
        </w:rPr>
        <w:t>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95" w:lineRule="exact"/>
        <w:rPr>
          <w:sz w:val="20"/>
          <w:szCs w:val="20"/>
          <w:color w:val="auto"/>
        </w:rPr>
      </w:pPr>
    </w:p>
    <w:p>
      <w:pPr>
        <w:ind w:left="9" w:right="180" w:firstLine="545"/>
        <w:spacing w:after="0" w:line="266"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91" w:lineRule="exact"/>
        <w:rPr>
          <w:sz w:val="20"/>
          <w:szCs w:val="20"/>
          <w:color w:val="auto"/>
        </w:rPr>
      </w:pPr>
    </w:p>
    <w:p>
      <w:pPr>
        <w:ind w:left="9" w:right="140" w:firstLine="109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of the General Corporation Law.</w:t>
      </w:r>
    </w:p>
    <w:p>
      <w:pPr>
        <w:spacing w:after="0" w:line="100" w:lineRule="exact"/>
        <w:rPr>
          <w:sz w:val="20"/>
          <w:szCs w:val="20"/>
          <w:color w:val="auto"/>
        </w:rPr>
      </w:pPr>
    </w:p>
    <w:p>
      <w:pPr>
        <w:ind w:left="9" w:right="180" w:firstLine="1090"/>
        <w:spacing w:after="0" w:line="283"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76" w:lineRule="exact"/>
        <w:rPr>
          <w:sz w:val="20"/>
          <w:szCs w:val="20"/>
          <w:color w:val="auto"/>
        </w:rPr>
      </w:pPr>
    </w:p>
    <w:p>
      <w:pPr>
        <w:ind w:left="9" w:right="140" w:firstLine="109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ELEVENTH: </w:t>
      </w:r>
      <w:r>
        <w:rPr>
          <w:rFonts w:ascii="Times New Roman" w:cs="Times New Roman" w:eastAsia="Times New Roman" w:hAnsi="Times New Roman"/>
          <w:sz w:val="18"/>
          <w:szCs w:val="18"/>
          <w:color w:val="auto"/>
        </w:rPr>
        <w:t>The Corporation renounces, to the fullest extent permitted by law, any interest or expectancy of the Corporation 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offered an opportunity to participate in, any Excluded Opportunity. An “</w:t>
      </w:r>
      <w:r>
        <w:rPr>
          <w:rFonts w:ascii="Times New Roman" w:cs="Times New Roman" w:eastAsia="Times New Roman" w:hAnsi="Times New Roman"/>
          <w:sz w:val="18"/>
          <w:szCs w:val="18"/>
          <w:b w:val="1"/>
          <w:bCs w:val="1"/>
          <w:color w:val="auto"/>
        </w:rPr>
        <w:t>Excluded Opportunity</w:t>
      </w:r>
      <w:r>
        <w:rPr>
          <w:rFonts w:ascii="Times New Roman" w:cs="Times New Roman" w:eastAsia="Times New Roman" w:hAnsi="Times New Roman"/>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01" w:lineRule="exact"/>
        <w:rPr>
          <w:sz w:val="20"/>
          <w:szCs w:val="20"/>
          <w:color w:val="auto"/>
        </w:rPr>
      </w:pPr>
    </w:p>
    <w:p>
      <w:pPr>
        <w:ind w:left="9" w:right="60" w:firstLine="109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TWELFTH: </w:t>
      </w:r>
      <w:r>
        <w:rPr>
          <w:rFonts w:ascii="Times New Roman" w:cs="Times New Roman" w:eastAsia="Times New Roman" w:hAnsi="Times New Roman"/>
          <w:sz w:val="18"/>
          <w:szCs w:val="18"/>
          <w:color w:val="auto"/>
        </w:rPr>
        <w:t>Unless the Corporation consents in writing to the selection of an alternative forum, the Court of Chancery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3" w:lineRule="exact"/>
        <w:rPr>
          <w:sz w:val="20"/>
          <w:szCs w:val="20"/>
          <w:color w:val="auto"/>
        </w:rPr>
      </w:pPr>
    </w:p>
    <w:p>
      <w:pPr>
        <w:ind w:left="9" w:hanging="9"/>
        <w:spacing w:after="0" w:line="255" w:lineRule="auto"/>
        <w:tabs>
          <w:tab w:leader="none" w:pos="31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9" w:hanging="113"/>
        <w:spacing w:after="0"/>
        <w:tabs>
          <w:tab w:leader="none" w:pos="554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1249"/>
          </w:cols>
          <w:pgMar w:left="311" w:top="1400" w:right="339" w:bottom="1440" w:gutter="0" w:footer="0" w:header="0"/>
        </w:sectPr>
      </w:pPr>
    </w:p>
    <w:bookmarkStart w:id="264" w:name="page265"/>
    <w:bookmarkEnd w:id="264"/>
    <w:p>
      <w:pPr>
        <w:ind w:right="40"/>
        <w:spacing w:after="0" w:line="255" w:lineRule="auto"/>
        <w:rPr>
          <w:sz w:val="20"/>
          <w:szCs w:val="20"/>
          <w:color w:val="auto"/>
        </w:rPr>
      </w:pPr>
      <w:r>
        <w:rPr>
          <w:rFonts w:ascii="Times New Roman" w:cs="Times New Roman" w:eastAsia="Times New Roman" w:hAnsi="Times New Roman"/>
          <w:sz w:val="18"/>
          <w:szCs w:val="18"/>
          <w:color w:val="auto"/>
        </w:rPr>
        <w:t>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07" w:lineRule="exact"/>
        <w:rPr>
          <w:sz w:val="20"/>
          <w:szCs w:val="20"/>
          <w:color w:val="auto"/>
        </w:rPr>
      </w:pPr>
    </w:p>
    <w:p>
      <w:pPr>
        <w:ind w:left="4980"/>
        <w:spacing w:after="0"/>
        <w:tabs>
          <w:tab w:leader="none" w:pos="5560" w:val="left"/>
          <w:tab w:leader="none" w:pos="6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60" w:firstLine="1081"/>
        <w:spacing w:after="0" w:line="283" w:lineRule="auto"/>
        <w:tabs>
          <w:tab w:leader="none" w:pos="1635"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General Corporation Law.</w:t>
      </w:r>
    </w:p>
    <w:p>
      <w:pPr>
        <w:spacing w:after="0" w:line="79" w:lineRule="exact"/>
        <w:rPr>
          <w:rFonts w:ascii="Times New Roman" w:cs="Times New Roman" w:eastAsia="Times New Roman" w:hAnsi="Times New Roman"/>
          <w:sz w:val="18"/>
          <w:szCs w:val="18"/>
          <w:b w:val="1"/>
          <w:bCs w:val="1"/>
          <w:color w:val="auto"/>
        </w:rPr>
      </w:pPr>
    </w:p>
    <w:p>
      <w:pPr>
        <w:ind w:firstLine="1081"/>
        <w:spacing w:after="0" w:line="283" w:lineRule="auto"/>
        <w:tabs>
          <w:tab w:leader="none" w:pos="1635"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54" w:lineRule="exact"/>
        <w:rPr>
          <w:rFonts w:ascii="Times New Roman" w:cs="Times New Roman" w:eastAsia="Times New Roman" w:hAnsi="Times New Roman"/>
          <w:sz w:val="18"/>
          <w:szCs w:val="18"/>
          <w:b w:val="1"/>
          <w:bCs w:val="1"/>
          <w:color w:val="auto"/>
        </w:rPr>
      </w:pPr>
    </w:p>
    <w:p>
      <w:pPr>
        <w:ind w:left="5540" w:hanging="113"/>
        <w:spacing w:after="0"/>
        <w:tabs>
          <w:tab w:leader="none" w:pos="55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260"/>
          </w:cols>
          <w:pgMar w:left="320" w:top="1400" w:right="319" w:bottom="1440" w:gutter="0" w:footer="0" w:header="0"/>
        </w:sectPr>
      </w:pPr>
    </w:p>
    <w:bookmarkStart w:id="265" w:name="page266"/>
    <w:bookmarkEnd w:id="265"/>
    <w:p>
      <w:pPr>
        <w:ind w:firstLine="545"/>
        <w:spacing w:after="0" w:line="28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11th day of May, 2020.</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SEER, INC.</w:t>
      </w:r>
    </w:p>
    <w:p>
      <w:pPr>
        <w:spacing w:after="0" w:line="54" w:lineRule="exact"/>
        <w:rPr>
          <w:sz w:val="20"/>
          <w:szCs w:val="20"/>
          <w:color w:val="auto"/>
        </w:rPr>
      </w:pPr>
    </w:p>
    <w:p>
      <w:pPr>
        <w:ind w:left="55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27305</wp:posOffset>
            </wp:positionV>
            <wp:extent cx="23723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72360" cy="6985"/>
                    </a:xfrm>
                    <a:prstGeom prst="rect">
                      <a:avLst/>
                    </a:prstGeom>
                    <a:noFill/>
                  </pic:spPr>
                </pic:pic>
              </a:graphicData>
            </a:graphic>
          </wp:anchor>
        </w:drawing>
      </w:r>
    </w:p>
    <w:p>
      <w:pPr>
        <w:spacing w:after="0" w:line="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Omid Farokhzad, Chief Executive Officer</w:t>
      </w:r>
    </w:p>
    <w:p>
      <w:pPr>
        <w:sectPr>
          <w:pgSz w:w="11900" w:h="16838" w:orient="portrait"/>
          <w:cols w:equalWidth="0" w:num="1">
            <w:col w:w="10660"/>
          </w:cols>
          <w:pgMar w:left="320" w:top="1396" w:right="91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Seer,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45" w:lineRule="exact"/>
        <w:rPr>
          <w:sz w:val="20"/>
          <w:szCs w:val="20"/>
          <w:color w:val="auto"/>
        </w:rPr>
      </w:pPr>
    </w:p>
    <w:p>
      <w:pPr>
        <w:ind w:firstLine="809"/>
        <w:spacing w:after="0" w:line="283" w:lineRule="auto"/>
        <w:tabs>
          <w:tab w:leader="none" w:pos="10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Seer, Inc. The Corporation was originally incorporated pursuant to the General Corporation Law of the State of Delaware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March 16, 2017 under the name Seer Biosciences, Inc.</w:t>
      </w:r>
    </w:p>
    <w:p>
      <w:pPr>
        <w:spacing w:after="0" w:line="79" w:lineRule="exact"/>
        <w:rPr>
          <w:rFonts w:ascii="Times New Roman" w:cs="Times New Roman" w:eastAsia="Times New Roman" w:hAnsi="Times New Roman"/>
          <w:sz w:val="18"/>
          <w:szCs w:val="18"/>
          <w:color w:val="auto"/>
        </w:rPr>
      </w:pPr>
    </w:p>
    <w:p>
      <w:pPr>
        <w:jc w:val="both"/>
        <w:ind w:firstLine="809"/>
        <w:spacing w:after="0" w:line="266" w:lineRule="auto"/>
        <w:tabs>
          <w:tab w:leader="none" w:pos="108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 was duly adopted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in accordance with Sections 242 and 245 of the DGCL, and has been duly approved by the written consent of the stockholders of the Corporation in accordance with Section 228 of the DGCL.</w:t>
      </w:r>
    </w:p>
    <w:p>
      <w:pPr>
        <w:spacing w:after="0" w:line="95" w:lineRule="exact"/>
        <w:rPr>
          <w:rFonts w:ascii="Times New Roman" w:cs="Times New Roman" w:eastAsia="Times New Roman" w:hAnsi="Times New Roman"/>
          <w:sz w:val="18"/>
          <w:szCs w:val="18"/>
          <w:color w:val="auto"/>
        </w:rPr>
      </w:pPr>
    </w:p>
    <w:p>
      <w:pPr>
        <w:ind w:left="1080" w:hanging="271"/>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of Incorporation is hereby amended and restated in its entirety to read as follows:</w:t>
      </w:r>
    </w:p>
    <w:p>
      <w:pPr>
        <w:spacing w:after="0" w:line="141"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I</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name of the Corporation is Seer, Inc.</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49"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9"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Corporation is to engage in any lawful act or activity for which corporations may be organized under the DGCL.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49"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The total number of shares of all classes of stock that the Corporation is authorized to issue is 105,000,000 shares of stock, consisting of (i) 5,000,000 shares of Preferred Stock, par value $0.00001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 [●] shares of Class A Common Stock, par value $0.00001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(iii) [●] shares of Class B Common Stock, par value $0.00001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ectPr>
          <w:pgSz w:w="11900" w:h="16838" w:orient="portrait"/>
          <w:cols w:equalWidth="0" w:num="1">
            <w:col w:w="11260"/>
          </w:cols>
          <w:pgMar w:left="320" w:top="121" w:right="319" w:bottom="1440" w:gutter="0" w:footer="0" w:header="0"/>
        </w:sectPr>
      </w:pPr>
    </w:p>
    <w:bookmarkStart w:id="267" w:name="page268"/>
    <w:bookmarkEnd w:id="267"/>
    <w:p>
      <w:pPr>
        <w:ind w:firstLine="545"/>
        <w:spacing w:after="0" w:line="283"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80" w:lineRule="exact"/>
        <w:rPr>
          <w:sz w:val="20"/>
          <w:szCs w:val="20"/>
          <w:color w:val="auto"/>
        </w:rPr>
      </w:pPr>
    </w:p>
    <w:p>
      <w:pPr>
        <w:ind w:left="1080" w:hanging="54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45"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Status</w:t>
      </w:r>
      <w:r>
        <w:rPr>
          <w:rFonts w:ascii="Times New Roman" w:cs="Times New Roman" w:eastAsia="Times New Roman" w:hAnsi="Times New Roman"/>
          <w:sz w:val="18"/>
          <w:szCs w:val="18"/>
          <w:color w:val="auto"/>
        </w:rPr>
        <w:t>. Except as otherwise provided in this Amended and Restated Certificate of Incorporation or required by applicable law, shares of Class A Common Stock and Class B Common Stock shall have the same rights and powers, rank equally (including, without limitation, as to any dividends and distributions, and upon any liquidation, dissolution or winding up of the Corporation), share ratably and be identical in all respects and as to all matters, including:</w:t>
      </w:r>
    </w:p>
    <w:p>
      <w:pPr>
        <w:spacing w:after="0" w:line="99" w:lineRule="exact"/>
        <w:rPr>
          <w:sz w:val="20"/>
          <w:szCs w:val="20"/>
          <w:color w:val="auto"/>
        </w:rPr>
      </w:pPr>
    </w:p>
    <w:p>
      <w:pPr>
        <w:jc w:val="both"/>
        <w:ind w:firstLine="1635"/>
        <w:spacing w:after="0" w:line="256" w:lineRule="auto"/>
        <w:rPr>
          <w:sz w:val="20"/>
          <w:szCs w:val="20"/>
          <w:color w:val="auto"/>
        </w:rPr>
      </w:pPr>
      <w:r>
        <w:rPr>
          <w:rFonts w:ascii="Times New Roman" w:cs="Times New Roman" w:eastAsia="Times New Roman" w:hAnsi="Times New Roman"/>
          <w:sz w:val="18"/>
          <w:szCs w:val="18"/>
          <w:color w:val="auto"/>
        </w:rPr>
        <w:t>1.1 Subject to the prior rights of holders of all classes and series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on an equal priority, pari passu basis, unless different treatment of the shares of any such class or series is approved by the affirmative vote of the holders of a majority of the voting power of the outstanding shares of such applicable class or series of Common Stock treated adversely, voting separately as a class.</w:t>
      </w:r>
    </w:p>
    <w:p>
      <w:pPr>
        <w:spacing w:after="0" w:line="106" w:lineRule="exact"/>
        <w:rPr>
          <w:sz w:val="20"/>
          <w:szCs w:val="20"/>
          <w:color w:val="auto"/>
        </w:rPr>
      </w:pPr>
    </w:p>
    <w:p>
      <w:pPr>
        <w:jc w:val="both"/>
        <w:ind w:firstLine="1635"/>
        <w:spacing w:after="0" w:line="252" w:lineRule="auto"/>
        <w:rPr>
          <w:sz w:val="20"/>
          <w:szCs w:val="20"/>
          <w:color w:val="auto"/>
        </w:rPr>
      </w:pPr>
      <w:r>
        <w:rPr>
          <w:rFonts w:ascii="Times New Roman" w:cs="Times New Roman" w:eastAsia="Times New Roman" w:hAnsi="Times New Roman"/>
          <w:sz w:val="18"/>
          <w:szCs w:val="18"/>
          <w:color w:val="auto"/>
        </w:rPr>
        <w:t xml:space="preserve">1.2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unless different treatment of the shares of Class A Common Stock or Class B Common Stock, as applicable, is approved by the affirmative vote of the holders of a majority of the outstanding shares of Class A Common Stock and Class B Common Stock, each voting separately as a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is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is declared and paid to the holders of Class A Common Stock at the same rate and with the same record date and payment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20" w:top="1218" w:right="319" w:bottom="1440" w:gutter="0" w:footer="0" w:header="0"/>
        </w:sectPr>
      </w:pPr>
    </w:p>
    <w:bookmarkStart w:id="268" w:name="page269"/>
    <w:bookmarkEnd w:id="268"/>
    <w:p>
      <w:pPr>
        <w:jc w:val="both"/>
        <w:ind w:firstLine="1635"/>
        <w:spacing w:after="0" w:line="261" w:lineRule="auto"/>
        <w:rPr>
          <w:sz w:val="20"/>
          <w:szCs w:val="20"/>
          <w:color w:val="auto"/>
        </w:rPr>
      </w:pPr>
      <w:r>
        <w:rPr>
          <w:rFonts w:ascii="Times New Roman" w:cs="Times New Roman" w:eastAsia="Times New Roman" w:hAnsi="Times New Roman"/>
          <w:sz w:val="18"/>
          <w:szCs w:val="18"/>
          <w:color w:val="auto"/>
        </w:rPr>
        <w:t>1.3 If the Corporation in any manner subdivides or combines the outstanding shares of Class A Common Stock or Class B Common Stock, then the outstanding shares of all Common Stock will be subdivided or combined in the same proportion and manner, unless different treatment of the shares of Class A Common Stock or Class B Common Stock, as applicable, is approved by the affirmative vote of the holders of a majority of the outstanding shares of Class A Common Stock and Class B Common Stock, each voting separately as a class.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foregoing, (i) 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(ii) in the event of (x) any tender or exchange offer to acquire any shares of Common Stock by any third party pursuant to an agreement to which the Corporation is a party or (y) any tender or exchange offer by the Corporation to acquire any shares of Common 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w:t>
      </w:r>
    </w:p>
    <w:p>
      <w:pPr>
        <w:spacing w:after="0" w:line="112" w:lineRule="exact"/>
        <w:rPr>
          <w:sz w:val="20"/>
          <w:szCs w:val="20"/>
          <w:color w:val="auto"/>
        </w:rPr>
      </w:pPr>
    </w:p>
    <w:p>
      <w:pPr>
        <w:jc w:val="both"/>
        <w:ind w:firstLine="1081"/>
        <w:spacing w:after="0" w:line="254" w:lineRule="auto"/>
        <w:tabs>
          <w:tab w:leader="none" w:pos="163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expressly provided by this Amended and Restated Certificate of Incorporation or as required by law, the holders of shares of Class A Common Stock and Class B Common Stock shall (a) at all times vote together as a single class on all matters (including the election of directors) submitted to a vote or for the consent (provided such action by written consent is first recommended or approved by the Board of Directors) of the stockholders of the Corporation, (b) be entitled to notice of any stockholders’ meeting in accordance with the Bylaws of the Corporation and (c) be entitled to vote upon such matters and in such manner as may be provided by applicable law. Except as otherwise expressly provided herein or required by applicable law, on any matter that is submitted to a vote of stockholders of the Corporation,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107"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20" w:top="1219" w:right="319" w:bottom="1440" w:gutter="0" w:footer="0" w:header="0"/>
        </w:sectPr>
      </w:pPr>
    </w:p>
    <w:bookmarkStart w:id="269" w:name="page270"/>
    <w:bookmarkEnd w:id="269"/>
    <w:p>
      <w:pPr>
        <w:ind w:left="1080" w:hanging="539"/>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Section 3, the following terms shall have the following meanings:</w:t>
      </w:r>
    </w:p>
    <w:p>
      <w:pPr>
        <w:spacing w:after="0" w:line="145" w:lineRule="exact"/>
        <w:rPr>
          <w:rFonts w:ascii="Times New Roman" w:cs="Times New Roman" w:eastAsia="Times New Roman" w:hAnsi="Times New Roman"/>
          <w:sz w:val="18"/>
          <w:szCs w:val="18"/>
          <w:color w:val="auto"/>
        </w:rPr>
      </w:pPr>
    </w:p>
    <w:p>
      <w:pPr>
        <w:jc w:val="both"/>
        <w:ind w:left="1640" w:hanging="554"/>
        <w:spacing w:after="0" w:line="256" w:lineRule="auto"/>
        <w:tabs>
          <w:tab w:leader="none" w:pos="163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stockholder of the Corporation, any person, entity or firm which, directly or indirectly, controls, is controlled by or is under common control with such stockholder, including, without limitation, any entity of which the stockholder is a partner or member, any partner, officer, director, member or employee of such stockholder and any venture capital fund now or hereafter existing of which the stockholder is a partner or member which is controlled by or under common control with one or more general partners of such stockholder or shares the same management company with such stockholder.</w:t>
      </w:r>
    </w:p>
    <w:p>
      <w:pPr>
        <w:spacing w:after="0" w:line="106" w:lineRule="exact"/>
        <w:rPr>
          <w:rFonts w:ascii="Times New Roman" w:cs="Times New Roman" w:eastAsia="Times New Roman" w:hAnsi="Times New Roman"/>
          <w:sz w:val="18"/>
          <w:szCs w:val="18"/>
          <w:color w:val="auto"/>
        </w:rPr>
      </w:pPr>
    </w:p>
    <w:p>
      <w:pPr>
        <w:ind w:left="1620" w:hanging="534"/>
        <w:spacing w:after="0"/>
        <w:tabs>
          <w:tab w:leader="none" w:pos="16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Stockholder</w:t>
      </w:r>
      <w:r>
        <w:rPr>
          <w:rFonts w:ascii="Times New Roman" w:cs="Times New Roman" w:eastAsia="Times New Roman" w:hAnsi="Times New Roman"/>
          <w:sz w:val="18"/>
          <w:szCs w:val="18"/>
          <w:color w:val="auto"/>
        </w:rPr>
        <w:t>” shall mean any stockholder that is issued Class B Common Stock by the Corporation.</w:t>
      </w:r>
    </w:p>
    <w:p>
      <w:pPr>
        <w:spacing w:after="0" w:line="145" w:lineRule="exact"/>
        <w:rPr>
          <w:rFonts w:ascii="Times New Roman" w:cs="Times New Roman" w:eastAsia="Times New Roman" w:hAnsi="Times New Roman"/>
          <w:sz w:val="18"/>
          <w:szCs w:val="18"/>
          <w:color w:val="auto"/>
        </w:rPr>
      </w:pPr>
    </w:p>
    <w:p>
      <w:pPr>
        <w:jc w:val="both"/>
        <w:ind w:left="1640" w:hanging="554"/>
        <w:spacing w:after="0" w:line="266" w:lineRule="auto"/>
        <w:tabs>
          <w:tab w:leader="none" w:pos="16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xml:space="preserve">” shall mean, with respect to any Class B Stockholder, any trust, account, plan, corporation, partnership, or limited liability company specified in </w:t>
      </w:r>
      <w:r>
        <w:rPr>
          <w:rFonts w:ascii="Times New Roman" w:cs="Times New Roman" w:eastAsia="Times New Roman" w:hAnsi="Times New Roman"/>
          <w:sz w:val="18"/>
          <w:szCs w:val="18"/>
          <w:u w:val="single" w:color="auto"/>
          <w:color w:val="auto"/>
        </w:rPr>
        <w:t>Subsection 3.3</w:t>
      </w:r>
      <w:r>
        <w:rPr>
          <w:rFonts w:ascii="Times New Roman" w:cs="Times New Roman" w:eastAsia="Times New Roman" w:hAnsi="Times New Roman"/>
          <w:sz w:val="18"/>
          <w:szCs w:val="18"/>
          <w:color w:val="auto"/>
        </w:rPr>
        <w:t xml:space="preserve"> established by or for such Class B Stockholder, so long as such entity meets the requirements set forth in </w:t>
      </w:r>
      <w:r>
        <w:rPr>
          <w:rFonts w:ascii="Times New Roman" w:cs="Times New Roman" w:eastAsia="Times New Roman" w:hAnsi="Times New Roman"/>
          <w:sz w:val="18"/>
          <w:szCs w:val="18"/>
          <w:u w:val="single" w:color="auto"/>
          <w:color w:val="auto"/>
        </w:rPr>
        <w:t>Subsection 3.3</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jc w:val="both"/>
        <w:ind w:left="1640" w:hanging="554"/>
        <w:spacing w:after="0" w:line="256" w:lineRule="auto"/>
        <w:tabs>
          <w:tab w:leader="none" w:pos="163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shall mean,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transfer of, or entering into of a binding agreement with respect to the transfer of, Voting Control (as defined below) over such share by proxy or otherwise in connection with a transaction approved by the Board of Directors, or at the request of the Board of Directors in connection with actions to be taken at an annual or special meeting of stockholders of the Corporation, shall not constitute a Transfer.</w:t>
      </w:r>
    </w:p>
    <w:p>
      <w:pPr>
        <w:spacing w:after="0" w:line="322" w:lineRule="exact"/>
        <w:rPr>
          <w:rFonts w:ascii="Times New Roman" w:cs="Times New Roman" w:eastAsia="Times New Roman" w:hAnsi="Times New Roman"/>
          <w:sz w:val="18"/>
          <w:szCs w:val="18"/>
          <w:color w:val="auto"/>
        </w:rPr>
      </w:pPr>
    </w:p>
    <w:p>
      <w:pPr>
        <w:ind w:left="1640" w:hanging="554"/>
        <w:spacing w:after="0" w:line="283" w:lineRule="auto"/>
        <w:tabs>
          <w:tab w:leader="none" w:pos="163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shall mean, with respect to a share of capital stock, or other security, the power (whether exclusive or shared) to vote or direct the voting of such security by proxy, voting agreement or otherwise.</w:t>
      </w:r>
    </w:p>
    <w:p>
      <w:pPr>
        <w:spacing w:after="0" w:line="80" w:lineRule="exact"/>
        <w:rPr>
          <w:sz w:val="20"/>
          <w:szCs w:val="20"/>
          <w:color w:val="auto"/>
        </w:rPr>
      </w:pPr>
    </w:p>
    <w:p>
      <w:pPr>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Each share of Class B Common Stock shall be convertible into one (1) fully paid and nonassessable share of Class A Common Stock at the option of the holder thereof at any time upon written notice or, if later,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720"/>
          </w:cols>
          <w:pgMar w:left="860" w:top="1218" w:right="31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t>or the happening of a future event specified in such written notice, to the transfer agent of the Corporation.</w:t>
      </w:r>
    </w:p>
    <w:p>
      <w:pPr>
        <w:spacing w:after="0" w:line="145" w:lineRule="exact"/>
        <w:rPr>
          <w:sz w:val="20"/>
          <w:szCs w:val="20"/>
          <w:color w:val="auto"/>
        </w:rPr>
      </w:pPr>
    </w:p>
    <w:p>
      <w:pPr>
        <w:jc w:val="both"/>
        <w:ind w:firstLine="1090"/>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Automatic Conversion upon Transfer</w:t>
      </w:r>
      <w:r>
        <w:rPr>
          <w:rFonts w:ascii="Times New Roman" w:cs="Times New Roman" w:eastAsia="Times New Roman" w:hAnsi="Times New Roman"/>
          <w:sz w:val="18"/>
          <w:szCs w:val="18"/>
          <w:color w:val="auto"/>
        </w:rPr>
        <w:t xml:space="preserve">. Each share of Class B Common Stock shall automatically, without any further action, convert into one (1) fully paid and nonassessable share of Class A Common Stock upon the Transfer of such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 Class B Stockholder that is a single member limited liability company, a Transfer of Class B Common Stock by a Class B Stockholder to the sole member of such Class B Stockholder shall not trigger such automatic conversion;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Transfer by a Class B Stockholder (including a Class B Stockholder that is a transferee of Class B Common Stock by virtue of a permitted transfer from a single member limited liability company to its sole member as contemplated under this </w:t>
      </w:r>
      <w:r>
        <w:rPr>
          <w:rFonts w:ascii="Times New Roman" w:cs="Times New Roman" w:eastAsia="Times New Roman" w:hAnsi="Times New Roman"/>
          <w:sz w:val="18"/>
          <w:szCs w:val="18"/>
          <w:u w:val="single" w:color="auto"/>
          <w:color w:val="auto"/>
        </w:rPr>
        <w:t>Subsection 3.3</w:t>
      </w:r>
      <w:r>
        <w:rPr>
          <w:rFonts w:ascii="Times New Roman" w:cs="Times New Roman" w:eastAsia="Times New Roman" w:hAnsi="Times New Roman"/>
          <w:sz w:val="18"/>
          <w:szCs w:val="18"/>
          <w:color w:val="auto"/>
        </w:rPr>
        <w:t>) to any of the following Permitted Entities, and from any of the following Permitted Entities back to such Class B Stockholder and/or any other Permitted Entity by or for such Class B Stockholder shall not trigger such automatic conversion:</w:t>
      </w:r>
    </w:p>
    <w:p>
      <w:pPr>
        <w:spacing w:after="0" w:line="110" w:lineRule="exact"/>
        <w:rPr>
          <w:sz w:val="20"/>
          <w:szCs w:val="20"/>
          <w:color w:val="auto"/>
        </w:rPr>
      </w:pPr>
    </w:p>
    <w:p>
      <w:pPr>
        <w:ind w:left="1620" w:hanging="534"/>
        <w:spacing w:after="0"/>
        <w:tabs>
          <w:tab w:leader="none" w:pos="1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such Class B Stockholder;</w:t>
      </w:r>
    </w:p>
    <w:p>
      <w:pPr>
        <w:spacing w:after="0" w:line="145" w:lineRule="exact"/>
        <w:rPr>
          <w:rFonts w:ascii="Times New Roman" w:cs="Times New Roman" w:eastAsia="Times New Roman" w:hAnsi="Times New Roman"/>
          <w:sz w:val="18"/>
          <w:szCs w:val="18"/>
          <w:color w:val="auto"/>
        </w:rPr>
      </w:pPr>
    </w:p>
    <w:p>
      <w:pPr>
        <w:ind w:left="1620" w:hanging="534"/>
        <w:spacing w:after="0"/>
        <w:tabs>
          <w:tab w:leader="none" w:pos="1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for the benefit of such Class B Stockholder or such Class B Stockholder’s spouse, parents or children;</w:t>
      </w:r>
    </w:p>
    <w:p>
      <w:pPr>
        <w:spacing w:after="0" w:line="145" w:lineRule="exact"/>
        <w:rPr>
          <w:rFonts w:ascii="Times New Roman" w:cs="Times New Roman" w:eastAsia="Times New Roman" w:hAnsi="Times New Roman"/>
          <w:sz w:val="18"/>
          <w:szCs w:val="18"/>
          <w:color w:val="auto"/>
        </w:rPr>
      </w:pPr>
    </w:p>
    <w:p>
      <w:pPr>
        <w:jc w:val="both"/>
        <w:ind w:left="1640" w:hanging="554"/>
        <w:spacing w:after="0" w:line="258" w:lineRule="auto"/>
        <w:tabs>
          <w:tab w:leader="none" w:pos="16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for the benefit of persons other than those listed in paragraph 3.3(ii) or an Individual Retirement Account, as defined in Section 408(a)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a pension, profit sharing, stock bonus or other type of plan or trust of which such Class B Stockholder is a participant or beneficiary and which satisfies the requirements for qualification under Section 401 of the Code, in each case so long as the Class B Stockholder has sole dispositive power and exclusive Voting Control with respect to the shares of Class B Common Stock held by such trust;</w:t>
      </w:r>
    </w:p>
    <w:p>
      <w:pPr>
        <w:spacing w:after="0" w:line="102" w:lineRule="exact"/>
        <w:rPr>
          <w:rFonts w:ascii="Times New Roman" w:cs="Times New Roman" w:eastAsia="Times New Roman" w:hAnsi="Times New Roman"/>
          <w:sz w:val="18"/>
          <w:szCs w:val="18"/>
          <w:color w:val="auto"/>
        </w:rPr>
      </w:pPr>
    </w:p>
    <w:p>
      <w:pPr>
        <w:jc w:val="both"/>
        <w:ind w:left="1640" w:hanging="554"/>
        <w:spacing w:after="0" w:line="256" w:lineRule="auto"/>
        <w:tabs>
          <w:tab w:leader="none" w:pos="163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liability company in which such Class B Stockholder, together with such Class B Stockholder’s spouse or children, or, in the case of a Class B Stockholder that is a single member limited liability company, the sole member of such Class B Stockholder and such sole member’s spouse or children, directly, or indirectly through one or more Permitted Entities, owns membership interests with sufficient Voting Control in the limited liability company, or otherwise has legally enforceable rights, such that the Class B Stockholder retains sole dispositive power and exclusive Voting Control with respect to the shares of Class B Common Stock held by such limited liability company;</w:t>
      </w:r>
    </w:p>
    <w:p>
      <w:pPr>
        <w:spacing w:after="0" w:line="106" w:lineRule="exact"/>
        <w:rPr>
          <w:rFonts w:ascii="Times New Roman" w:cs="Times New Roman" w:eastAsia="Times New Roman" w:hAnsi="Times New Roman"/>
          <w:sz w:val="18"/>
          <w:szCs w:val="18"/>
          <w:color w:val="auto"/>
        </w:rPr>
      </w:pPr>
    </w:p>
    <w:p>
      <w:pPr>
        <w:ind w:left="1620" w:hanging="534"/>
        <w:spacing w:after="0"/>
        <w:tabs>
          <w:tab w:leader="none" w:pos="1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 which such Class B Stockholder directly, or indirectly through one or more Permitted Entities, owns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720"/>
          </w:cols>
          <w:pgMar w:left="860" w:top="1218" w:right="319" w:bottom="1440" w:gutter="0" w:footer="0" w:header="0"/>
        </w:sectPr>
      </w:pPr>
    </w:p>
    <w:bookmarkStart w:id="271" w:name="page272"/>
    <w:bookmarkEnd w:id="271"/>
    <w:p>
      <w:pPr>
        <w:jc w:val="both"/>
        <w:ind w:left="1640"/>
        <w:spacing w:after="0" w:line="266" w:lineRule="auto"/>
        <w:rPr>
          <w:sz w:val="20"/>
          <w:szCs w:val="20"/>
          <w:color w:val="auto"/>
        </w:rPr>
      </w:pPr>
      <w:r>
        <w:rPr>
          <w:rFonts w:ascii="Times New Roman" w:cs="Times New Roman" w:eastAsia="Times New Roman" w:hAnsi="Times New Roman"/>
          <w:sz w:val="18"/>
          <w:szCs w:val="18"/>
          <w:color w:val="auto"/>
        </w:rPr>
        <w:t>with sufficient Voting Control in the corporation, or otherwise has legally enforceable rights, such that the Class B Stockholder retains sole dispositive power and exclusive Voting Control with respect to the shares of Class B Common Stock held by such corporation; or</w:t>
      </w:r>
    </w:p>
    <w:p>
      <w:pPr>
        <w:spacing w:after="0" w:line="95" w:lineRule="exact"/>
        <w:rPr>
          <w:sz w:val="20"/>
          <w:szCs w:val="20"/>
          <w:color w:val="auto"/>
        </w:rPr>
      </w:pPr>
    </w:p>
    <w:p>
      <w:pPr>
        <w:jc w:val="both"/>
        <w:ind w:left="1640" w:hanging="554"/>
        <w:spacing w:after="0" w:line="261" w:lineRule="auto"/>
        <w:tabs>
          <w:tab w:leader="none" w:pos="163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in which such Class B Stockholder directly, or indirectly through one or more Permitted Entities, owns partnership interests with sufficient Voting Control in the partnership, or otherwise has legally enforceable rights, such that the Class B Stockholder retains sole dispositive power and exclusive Voting Control with respect to the shares of Class B Common Stock held by such partnership.</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such Transfer does not involve any payment of cash, securities, property or other consideration (other than an interest in such trust) to the Class B Stockholder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the requirements of such Permitted Entity as described in paragraphs 3.3(ii)-3.3(iv) above are no longer met, then each share of Class B Common Stock then held by such Permitted Entity shall automatically convert into one (1) fully paid and nonassessable share of Class A Common Stock.</w:t>
      </w:r>
    </w:p>
    <w:p>
      <w:pPr>
        <w:spacing w:after="0" w:line="99"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For the avoidance of doubt, to the extent any shares are deemed to be held by a trustee of a trust described in paragraphs 3.3(ii) or 3.3(iii) above, the Transfer shall not trigger such automatic conversion and the trustee shall be deemed a Permitted Entity so long as the other requirements of 3.3(ii) or 3.3(iii) above, as the case may be, are otherwise satisfied.</w:t>
      </w:r>
    </w:p>
    <w:p>
      <w:pPr>
        <w:spacing w:after="0" w:line="95"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close of business on the first day following any period of 90 consecutive days during which such Class B Stockholder does not directly, or, in the case of a Class B Stockholder that is not a natural person, through a member, nominee or designee, provide services to the Corporation as an employee, consultant or director, (iii) the time, including a time determined by the happening of a future event, specified in a written consent or agreement of holders of at least fifty percent (50%) of the then outstanding shares of Class B Common Stock or (iv) the earlier of (x) the close of business on the first day following the fifth anniversary of the closing of the first firm-commitment underwritten public offering pursuant to an effective registration statement under the Securities Act of 1933, as amended, resulting in the listing of shares of the Corporation’s capital stock on a securities exchange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20"/>
          </w:cols>
          <w:pgMar w:left="860" w:top="1218" w:right="319" w:bottom="1440" w:gutter="0" w:footer="0" w:header="0"/>
        </w:sectPr>
      </w:pPr>
    </w:p>
    <w:bookmarkStart w:id="272" w:name="page273"/>
    <w:bookmarkEnd w:id="272"/>
    <w:p>
      <w:pPr>
        <w:jc w:val="both"/>
        <w:ind w:left="549"/>
        <w:spacing w:after="0" w:line="283" w:lineRule="auto"/>
        <w:rPr>
          <w:sz w:val="20"/>
          <w:szCs w:val="20"/>
          <w:color w:val="auto"/>
        </w:rPr>
      </w:pPr>
      <w:r>
        <w:rPr>
          <w:rFonts w:ascii="Times New Roman" w:cs="Times New Roman" w:eastAsia="Times New Roman" w:hAnsi="Times New Roman"/>
          <w:sz w:val="18"/>
          <w:szCs w:val="18"/>
          <w:color w:val="auto"/>
        </w:rPr>
        <w:t>with the U.S. Securities and Exchange Commission as a national securities exchange pursuant to Section 6(a) of the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(y) the close of business on December 31, 2025.</w:t>
      </w:r>
    </w:p>
    <w:p>
      <w:pPr>
        <w:spacing w:after="0" w:line="80" w:lineRule="exact"/>
        <w:rPr>
          <w:sz w:val="20"/>
          <w:szCs w:val="20"/>
          <w:color w:val="auto"/>
        </w:rPr>
      </w:pPr>
    </w:p>
    <w:p>
      <w:pPr>
        <w:jc w:val="both"/>
        <w:ind w:left="549" w:firstLine="109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In the event of a conversion of shares of Class B Common Stock to shares of Class A Common Stock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such conversion shall be deemed to have been made at the time that the Corporation’s transfer agent receives the written notice required pursuant to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(or, if later, the time or happening of a future event specified in such written notice), the time that the Transfer of such shares occurred or the death or permanent disability of the Class B Stockholder (or its sole member), as applicable or as otherwise provided in Article IV, Part A, Section 3.4. Upon any conversion of Class B Common Stock to Class A Common Stock, all rights of the holder of such shares of Class B Common Stock shall cease and the person or persons in whose names or names the certificate or certificates representing the shares of Class B Common Stock are to be issued, if any, shall be treated for all purposes as having become the record holder or holders of such number of shares of Class A Common Stock into which such Class B Common Stock were convertible. Shares of Class B Common Stock that are converted into shares of Class A Common Stock as provided in this Section 3 shall be retired and shall not be reissued.</w:t>
      </w:r>
    </w:p>
    <w:p>
      <w:pPr>
        <w:spacing w:after="0" w:line="107" w:lineRule="exact"/>
        <w:rPr>
          <w:sz w:val="20"/>
          <w:szCs w:val="20"/>
          <w:color w:val="auto"/>
        </w:rPr>
      </w:pPr>
    </w:p>
    <w:p>
      <w:pPr>
        <w:jc w:val="both"/>
        <w:ind w:left="9" w:firstLine="1081"/>
        <w:spacing w:after="0" w:line="261" w:lineRule="auto"/>
        <w:tabs>
          <w:tab w:leader="none" w:pos="1645"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99" w:lineRule="exact"/>
        <w:rPr>
          <w:rFonts w:ascii="Times New Roman" w:cs="Times New Roman" w:eastAsia="Times New Roman" w:hAnsi="Times New Roman"/>
          <w:sz w:val="18"/>
          <w:szCs w:val="18"/>
          <w:color w:val="auto"/>
        </w:rPr>
      </w:pPr>
    </w:p>
    <w:p>
      <w:pPr>
        <w:jc w:val="both"/>
        <w:ind w:left="9" w:firstLine="1081"/>
        <w:spacing w:after="0" w:line="254" w:lineRule="auto"/>
        <w:tabs>
          <w:tab w:leader="none" w:pos="1645"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Authorized Class A Common Stock and Class B Common Stock</w:t>
      </w:r>
      <w:r>
        <w:rPr>
          <w:rFonts w:ascii="Times New Roman" w:cs="Times New Roman" w:eastAsia="Times New Roman" w:hAnsi="Times New Roman"/>
          <w:sz w:val="18"/>
          <w:szCs w:val="18"/>
          <w:color w:val="auto"/>
        </w:rPr>
        <w:t>. The number of authorized shares of Class A Common Stock may be increased or decreased (but not below the number of shares of Class A Common Stock then outstanding plus the number of shares reserved for issuance pursuant to Section 4 of this Article IV, Part A) by an affirmative vote of the holders of a majority of the outstanding voting power of the Corporation entitled to vote thereon, irrespective of the provisions of Section 242(b)(2) of the DGCL. The number of authorized shares of Class B Common Stock may be increased or decreased (but not below the number of shares of Class B Common Stock then outstanding) by an affirmative vote of the holders of a majority of the outstanding shares of Class B Common Stock, voting as a separate class, irrespective of the provisions of Section 242(b)</w:t>
      </w:r>
    </w:p>
    <w:p>
      <w:pPr>
        <w:ind w:left="249" w:hanging="249"/>
        <w:spacing w:after="0"/>
        <w:tabs>
          <w:tab w:leader="none" w:pos="24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DGCL.</w:t>
      </w:r>
    </w:p>
    <w:p>
      <w:pPr>
        <w:spacing w:after="0" w:line="125" w:lineRule="exact"/>
        <w:rPr>
          <w:rFonts w:ascii="Times New Roman" w:cs="Times New Roman" w:eastAsia="Times New Roman" w:hAnsi="Times New Roman"/>
          <w:sz w:val="18"/>
          <w:szCs w:val="18"/>
          <w:color w:val="auto"/>
        </w:rPr>
      </w:pPr>
    </w:p>
    <w:p>
      <w:pPr>
        <w:jc w:val="both"/>
        <w:ind w:left="9" w:firstLine="1081"/>
        <w:spacing w:after="0" w:line="256" w:lineRule="auto"/>
        <w:tabs>
          <w:tab w:leader="none" w:pos="1645"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into Class A Common Stock and the general administration of this dual-class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Board of Directors made in good faith as to whether or not a Transfer has occurred and results in a conversion to Class A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9"/>
          </w:cols>
          <w:pgMar w:left="311" w:top="1218" w:right="31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color w:val="auto"/>
        </w:rPr>
        <w:t>as to whether or not another conversion contemplated in the foregoing Section 3 of Part A of this Article IV has occurred, shall be conclusive and binding.</w:t>
      </w:r>
    </w:p>
    <w:p>
      <w:pPr>
        <w:spacing w:after="0" w:line="145" w:lineRule="exact"/>
        <w:rPr>
          <w:sz w:val="20"/>
          <w:szCs w:val="20"/>
          <w:color w:val="auto"/>
        </w:rPr>
      </w:pPr>
    </w:p>
    <w:p>
      <w:pPr>
        <w:ind w:left="1080" w:hanging="54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45" w:lineRule="exact"/>
        <w:rPr>
          <w:rFonts w:ascii="Times New Roman" w:cs="Times New Roman" w:eastAsia="Times New Roman" w:hAnsi="Times New Roman"/>
          <w:sz w:val="18"/>
          <w:szCs w:val="18"/>
          <w:color w:val="auto"/>
        </w:rPr>
      </w:pPr>
    </w:p>
    <w:p>
      <w:pPr>
        <w:jc w:val="both"/>
        <w:ind w:firstLine="1081"/>
        <w:spacing w:after="0" w:line="252" w:lineRule="auto"/>
        <w:tabs>
          <w:tab w:leader="none" w:pos="163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subject to the powers, preferences and rights, and the qualifications, limitations and restrictions thereof stated in this Amended and Restated Certificate of Incorporation or the resolution of the Board of Directors originally fixing the number of shares of such series and to applicable law. Except as may be otherwise specified by the terms of any series of Preferred Stock, if the number of shares of any series is so decreased, then the Corporation shall take all such steps as are necessary to cause the shares constituting such decrease to resume the status which they had prior to the adoption of the resolution originally fixing the number of shares of such series. The number of authorized shares of Preferred Stock may be increased or decreased (but not below the number of shares thereof then outstanding) by an affirmative vote of the holders of a majority of the outstanding voting power of the Corporation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49"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the number of directors that constitutes the entire Board of Directors of the Corporation shall be fixed only by resolution of the Board of Directors acting pursuant to a resolution adopted by a majority of the Whole Board. For purposes of this Amended and Restated Certificate of Incorporation,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directorships whether or not there exist any vacancies or other unfilled seats in previously authorized directorships. At each annual meeting of stockholders, directors of the Corporation whose terms are expiring at such meeting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20" w:top="1218" w:right="319" w:bottom="1440" w:gutter="0" w:footer="0" w:header="0"/>
        </w:sectPr>
      </w:pPr>
    </w:p>
    <w:bookmarkStart w:id="274" w:name="page275"/>
    <w:bookmarkEnd w:id="274"/>
    <w:p>
      <w:pPr>
        <w:jc w:val="both"/>
        <w:ind w:firstLine="545"/>
        <w:spacing w:after="0" w:line="253" w:lineRule="auto"/>
        <w:rPr>
          <w:sz w:val="20"/>
          <w:szCs w:val="20"/>
          <w:color w:val="auto"/>
        </w:rPr>
      </w:pPr>
      <w:r>
        <w:rPr>
          <w:rFonts w:ascii="Times New Roman" w:cs="Times New Roman" w:eastAsia="Times New Roman" w:hAnsi="Times New Roman"/>
          <w:sz w:val="18"/>
          <w:szCs w:val="18"/>
          <w:color w:val="auto"/>
        </w:rPr>
        <w:t xml:space="preserve">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decrease in the number of directors constituting the Board of Directors shall shorten the term of any incumbent director.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9"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Corporation entitled to vote in the election of directors.</w:t>
      </w:r>
    </w:p>
    <w:p>
      <w:pPr>
        <w:spacing w:after="0" w:line="99" w:lineRule="exact"/>
        <w:rPr>
          <w:sz w:val="20"/>
          <w:szCs w:val="20"/>
          <w:color w:val="auto"/>
        </w:rPr>
      </w:pPr>
    </w:p>
    <w:p>
      <w:pPr>
        <w:jc w:val="both"/>
        <w:ind w:firstLine="545"/>
        <w:spacing w:after="0" w:line="254" w:lineRule="auto"/>
        <w:rPr>
          <w:sz w:val="20"/>
          <w:szCs w:val="20"/>
          <w:color w:val="auto"/>
        </w:rPr>
      </w:pPr>
      <w:r>
        <w:rPr>
          <w:rFonts w:ascii="Times New Roman" w:cs="Times New Roman" w:eastAsia="Times New Roman" w:hAnsi="Times New Roman"/>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1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9"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color w:val="auto"/>
        </w:rPr>
        <w:t>The Corporation is to have perpetual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20" w:top="1218" w:right="319" w:bottom="1440" w:gutter="0" w:footer="0" w:header="0"/>
        </w:sectPr>
      </w:pPr>
    </w:p>
    <w:bookmarkStart w:id="275" w:name="page276"/>
    <w:bookmarkEnd w:id="275"/>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99"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Corporation. The affirmative vote of at least a majority of the Whole Board then in office shall 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the provisions of the Bylaws relating to amendments to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07"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color w:val="auto"/>
        </w:rPr>
        <w:t>The election of directors need not be by written ballot unless the Bylaws of the Corporation shall so provide.</w:t>
      </w:r>
    </w:p>
    <w:p>
      <w:pPr>
        <w:spacing w:after="0" w:line="145"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color w:val="auto"/>
        </w:rPr>
        <w:t>No stockholder will be permitted to cumulate votes at any election of directors.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49" w:lineRule="exact"/>
        <w:rPr>
          <w:sz w:val="20"/>
          <w:szCs w:val="20"/>
          <w:color w:val="auto"/>
        </w:rPr>
      </w:pPr>
    </w:p>
    <w:p>
      <w:pPr>
        <w:jc w:val="both"/>
        <w:ind w:right="20" w:firstLine="545"/>
        <w:spacing w:after="0" w:line="266" w:lineRule="auto"/>
        <w:rPr>
          <w:sz w:val="20"/>
          <w:szCs w:val="20"/>
          <w:color w:val="auto"/>
        </w:rPr>
      </w:pPr>
      <w:r>
        <w:rPr>
          <w:rFonts w:ascii="Times New Roman" w:cs="Times New Roman" w:eastAsia="Times New Roman" w:hAnsi="Times New Roman"/>
          <w:sz w:val="18"/>
          <w:szCs w:val="18"/>
          <w:color w:val="auto"/>
        </w:rPr>
        <w:t>Section 1. Subject to the terms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95"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Corporation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03"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49"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of the Corporation shall not be 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60"/>
          </w:cols>
          <w:pgMar w:left="320" w:top="1218" w:right="319" w:bottom="1440" w:gutter="0" w:footer="0" w:header="0"/>
        </w:sectPr>
      </w:pPr>
    </w:p>
    <w:bookmarkStart w:id="276" w:name="page277"/>
    <w:bookmarkEnd w:id="276"/>
    <w:p>
      <w:pPr>
        <w:jc w:val="both"/>
        <w:spacing w:after="0" w:line="266" w:lineRule="auto"/>
        <w:rPr>
          <w:sz w:val="20"/>
          <w:szCs w:val="20"/>
          <w:color w:val="auto"/>
        </w:rPr>
      </w:pPr>
      <w:r>
        <w:rPr>
          <w:rFonts w:ascii="Times New Roman" w:cs="Times New Roman" w:eastAsia="Times New Roman" w:hAnsi="Times New Roman"/>
          <w:sz w:val="18"/>
          <w:szCs w:val="18"/>
          <w:color w:val="auto"/>
        </w:rPr>
        <w:t>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95"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 of Directors.</w:t>
      </w:r>
    </w:p>
    <w:p>
      <w:pPr>
        <w:spacing w:after="0" w:line="323"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03"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Section 4. Neither any amendment, repeal nor elimination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elimination or adoption of an inconsistent provision.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49"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may provide. The books of the Corporation may be kept (subject to any provision of applicable law) outside of the State of Delaware at such place or places or in such manner or manners as may be designated from time to time by the Board of Directors or in the Bylaws of the Corporation.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49"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The Corporation reserves the right to amend or repeal any provision contained in this Amended and Restated Certificate of Incorporation in the manner prescribed by the laws of the State of Delaware and all rights conferred upon stockholders are granted subject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20" w:top="1218" w:right="319" w:bottom="1440" w:gutter="0" w:footer="0" w:header="0"/>
        </w:sectPr>
      </w:pPr>
    </w:p>
    <w:bookmarkStart w:id="277" w:name="page278"/>
    <w:bookmarkEnd w:id="277"/>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reservation;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sixty-six and two-thirds percent (66 2/3%) of the voting power of the then outstanding voting securities of the Corporation, voting together as a single class, shall be required for the amendment, repeal or modification of the provisions of Part B of Article IV, Section 2 of Article V, Article VI, Section 5 of Article VII, Article VIII or Article XI of this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60"/>
          </w:cols>
          <w:pgMar w:left="320" w:top="1216" w:right="319" w:bottom="1440" w:gutter="0" w:footer="0" w:header="0"/>
        </w:sectPr>
      </w:pPr>
    </w:p>
    <w:bookmarkStart w:id="278" w:name="page279"/>
    <w:bookmarkEnd w:id="278"/>
    <w:p>
      <w:pPr>
        <w:ind w:left="540"/>
        <w:spacing w:after="0"/>
        <w:rPr>
          <w:sz w:val="20"/>
          <w:szCs w:val="20"/>
          <w:color w:val="auto"/>
        </w:rPr>
      </w:pPr>
      <w:r>
        <w:rPr>
          <w:rFonts w:ascii="Times New Roman" w:cs="Times New Roman" w:eastAsia="Times New Roman" w:hAnsi="Times New Roman"/>
          <w:sz w:val="18"/>
          <w:szCs w:val="18"/>
          <w:color w:val="auto"/>
        </w:rPr>
        <w:t>IN WITNESS WHEREOF, Seer, Inc. has caused this Amended and Restated Certificate of Incorporation to be signed by Omid Farokhzad, a duly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authorized officer of the Corporation, on this [</w:t>
            </w: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day of [</w:t>
            </w:r>
          </w:p>
        </w:tc>
        <w:tc>
          <w:tcPr>
            <w:tcW w:w="1040" w:type="dxa"/>
            <w:vAlign w:val="bottom"/>
          </w:tcPr>
          <w:p>
            <w:pPr>
              <w:jc w:val="right"/>
              <w:ind w:right="209"/>
              <w:spacing w:after="0"/>
              <w:rPr>
                <w:sz w:val="20"/>
                <w:szCs w:val="20"/>
                <w:color w:val="auto"/>
              </w:rPr>
            </w:pPr>
            <w:r>
              <w:rPr>
                <w:rFonts w:ascii="Times New Roman" w:cs="Times New Roman" w:eastAsia="Times New Roman" w:hAnsi="Times New Roman"/>
                <w:sz w:val="18"/>
                <w:szCs w:val="18"/>
                <w:color w:val="auto"/>
              </w:rPr>
              <w:t>], 2020.</w:t>
            </w:r>
          </w:p>
        </w:tc>
        <w:tc>
          <w:tcPr>
            <w:tcW w:w="5640" w:type="dxa"/>
            <w:vAlign w:val="bottom"/>
          </w:tcPr>
          <w:p>
            <w:pPr>
              <w:spacing w:after="0"/>
              <w:rPr>
                <w:sz w:val="20"/>
                <w:szCs w:val="20"/>
                <w:color w:val="auto"/>
              </w:rPr>
            </w:pPr>
          </w:p>
        </w:tc>
      </w:tr>
      <w:tr>
        <w:trPr>
          <w:trHeight w:val="385"/>
        </w:trPr>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r>
      <w:tr>
        <w:trPr>
          <w:trHeight w:val="245"/>
        </w:trPr>
        <w:tc>
          <w:tcPr>
            <w:tcW w:w="3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 M.D.</w:t>
            </w:r>
          </w:p>
        </w:tc>
      </w:tr>
      <w:tr>
        <w:trPr>
          <w:trHeight w:val="261"/>
        </w:trPr>
        <w:tc>
          <w:tcPr>
            <w:tcW w:w="3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60"/>
          </w:cols>
          <w:pgMar w:left="320" w:top="1218" w:right="31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5"/>
          <w:szCs w:val="15"/>
          <w:b w:val="1"/>
          <w:bCs w:val="1"/>
          <w:color w:val="auto"/>
        </w:rPr>
        <w:t>Exhibit 3.3</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Adopted March 16, 2017</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BIOSCIENCES, INC.</w:t>
      </w:r>
    </w:p>
    <w:p>
      <w:pPr>
        <w:spacing w:after="0" w:line="149"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CERTIFICATE OF INCORPORATION AND BY-LAWS</w:t>
      </w:r>
    </w:p>
    <w:p>
      <w:pPr>
        <w:spacing w:after="0" w:line="145" w:lineRule="exact"/>
        <w:rPr>
          <w:sz w:val="20"/>
          <w:szCs w:val="20"/>
          <w:color w:val="auto"/>
        </w:rPr>
      </w:pPr>
    </w:p>
    <w:p>
      <w:pPr>
        <w:ind w:right="960" w:firstLine="545"/>
        <w:spacing w:after="0" w:line="283" w:lineRule="auto"/>
        <w:rPr>
          <w:sz w:val="20"/>
          <w:szCs w:val="20"/>
          <w:color w:val="auto"/>
        </w:rPr>
      </w:pPr>
      <w:r>
        <w:rPr>
          <w:rFonts w:ascii="Times New Roman" w:cs="Times New Roman" w:eastAsia="Times New Roman" w:hAnsi="Times New Roman"/>
          <w:sz w:val="18"/>
          <w:szCs w:val="18"/>
          <w:color w:val="auto"/>
        </w:rPr>
        <w:t>1.1 These by-laws are subject to the certificate of incorporation of the corporation. In these by-laws, references to the certificate of incorporation and by-laws mean the provisions of the certificate of incorporation and the by-laws as are from time to time in effect.</w:t>
      </w:r>
    </w:p>
    <w:p>
      <w:pPr>
        <w:spacing w:after="0" w:line="80"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color w:val="auto"/>
        </w:rPr>
        <w:t>OFFICES</w:t>
      </w:r>
    </w:p>
    <w:p>
      <w:pPr>
        <w:spacing w:after="0" w:line="14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 xml:space="preserve">Registered Office. </w:t>
      </w:r>
      <w:r>
        <w:rPr>
          <w:rFonts w:ascii="Times New Roman" w:cs="Times New Roman" w:eastAsia="Times New Roman" w:hAnsi="Times New Roman"/>
          <w:sz w:val="18"/>
          <w:szCs w:val="18"/>
          <w:color w:val="auto"/>
        </w:rPr>
        <w:t>The registered office shall be in the City of Wilmington, County of New Castle, State of Delaware.</w:t>
      </w:r>
    </w:p>
    <w:p>
      <w:pPr>
        <w:spacing w:after="0" w:line="145" w:lineRule="exact"/>
        <w:rPr>
          <w:sz w:val="20"/>
          <w:szCs w:val="20"/>
          <w:color w:val="auto"/>
        </w:rPr>
      </w:pPr>
    </w:p>
    <w:p>
      <w:pPr>
        <w:ind w:right="320" w:firstLine="545"/>
        <w:spacing w:after="0" w:line="28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80"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color w:val="auto"/>
        </w:rPr>
        <w:t>STOCKHOLDERS</w:t>
      </w:r>
    </w:p>
    <w:p>
      <w:pPr>
        <w:spacing w:after="0" w:line="145" w:lineRule="exact"/>
        <w:rPr>
          <w:sz w:val="20"/>
          <w:szCs w:val="20"/>
          <w:color w:val="auto"/>
        </w:rPr>
      </w:pPr>
    </w:p>
    <w:p>
      <w:pPr>
        <w:ind w:right="20" w:firstLine="545"/>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Location of Meetings.</w:t>
      </w:r>
      <w:r>
        <w:rPr>
          <w:rFonts w:ascii="Times New Roman" w:cs="Times New Roman" w:eastAsia="Times New Roman" w:hAnsi="Times New Roman"/>
          <w:sz w:val="18"/>
          <w:szCs w:val="18"/>
          <w:color w:val="auto"/>
        </w:rPr>
        <w:t xml:space="preserve"> All meetings of the stockholders shall be held at such place either within or without the State of Delaware as shall be designated from time to time by the board of directors, or if not so designated, at the registered office of the corporation. Notwithstanding the foregoing, the board of directors may, in its sole discretion, determine that the meeting shall not be held at any place, but may instead be held solely by means of remote communication as authorized by Section 211(a)(2) of the Delaware General Corporation Law. If so authorized, and subject to such guidelines and procedures as the board of directors may adopt, stockholders and proxyholders not physically present at a meeting of stockholders may, by means of remote communication, participate in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Any adjourned session of any meeting shall be held at the place designated in the vote of adjournment.</w:t>
      </w:r>
    </w:p>
    <w:p>
      <w:pPr>
        <w:spacing w:after="0" w:line="107"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The annual meeting of stockholders shall be held at 10:00 a.m. on the second Wednesday in May in each year, unless that day be a legal holiday at the place where the meeting is to be held, in which case the meeting shall be held at the same hour on the next succeeding day not a legal holiday, or at such other date and time as shall be designated from time to</w:t>
      </w:r>
    </w:p>
    <w:p>
      <w:pPr>
        <w:sectPr>
          <w:pgSz w:w="11900" w:h="16838" w:orient="portrait"/>
          <w:cols w:equalWidth="0" w:num="1">
            <w:col w:w="11260"/>
          </w:cols>
          <w:pgMar w:left="320" w:top="121" w:right="319" w:bottom="1440" w:gutter="0" w:footer="0" w:header="0"/>
        </w:sectPr>
      </w:pPr>
    </w:p>
    <w:bookmarkStart w:id="280" w:name="page281"/>
    <w:bookmarkEnd w:id="280"/>
    <w:p>
      <w:pPr>
        <w:ind w:right="20"/>
        <w:spacing w:after="0" w:line="283" w:lineRule="auto"/>
        <w:rPr>
          <w:sz w:val="20"/>
          <w:szCs w:val="20"/>
          <w:color w:val="auto"/>
        </w:rPr>
      </w:pPr>
      <w:r>
        <w:rPr>
          <w:rFonts w:ascii="Times New Roman" w:cs="Times New Roman" w:eastAsia="Times New Roman" w:hAnsi="Times New Roman"/>
          <w:sz w:val="18"/>
          <w:szCs w:val="18"/>
          <w:color w:val="auto"/>
        </w:rPr>
        <w:t>time by the board of directors, at which they shall elect a board of directors and transact such other business as may be required by law or these by-laws or as may properly come before the meeting.</w:t>
      </w:r>
    </w:p>
    <w:p>
      <w:pPr>
        <w:spacing w:after="0" w:line="80" w:lineRule="exact"/>
        <w:rPr>
          <w:sz w:val="20"/>
          <w:szCs w:val="20"/>
          <w:color w:val="auto"/>
        </w:rPr>
      </w:pPr>
    </w:p>
    <w:p>
      <w:pPr>
        <w:ind w:right="100" w:firstLine="545"/>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Special Meeting in Place of Annual Meeting.</w:t>
      </w:r>
      <w:r>
        <w:rPr>
          <w:rFonts w:ascii="Times New Roman" w:cs="Times New Roman" w:eastAsia="Times New Roman" w:hAnsi="Times New Roman"/>
          <w:sz w:val="18"/>
          <w:szCs w:val="18"/>
          <w:color w:val="auto"/>
        </w:rPr>
        <w:t xml:space="preserve">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3.5.</w:t>
      </w:r>
    </w:p>
    <w:p>
      <w:pPr>
        <w:spacing w:after="0" w:line="106" w:lineRule="exact"/>
        <w:rPr>
          <w:sz w:val="20"/>
          <w:szCs w:val="20"/>
          <w:color w:val="auto"/>
        </w:rPr>
      </w:pPr>
    </w:p>
    <w:p>
      <w:pPr>
        <w:ind w:firstLine="545"/>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Notice of Annual Meeting.</w:t>
      </w:r>
      <w:r>
        <w:rPr>
          <w:rFonts w:ascii="Times New Roman" w:cs="Times New Roman" w:eastAsia="Times New Roman" w:hAnsi="Times New Roman"/>
          <w:sz w:val="18"/>
          <w:szCs w:val="18"/>
          <w:color w:val="auto"/>
        </w:rPr>
        <w:t xml:space="preserve">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in accordance with Section 5.2 by each stockholder entitled to such notice to whom such notice was not given.</w:t>
      </w:r>
    </w:p>
    <w:p>
      <w:pPr>
        <w:spacing w:after="0" w:line="99" w:lineRule="exact"/>
        <w:rPr>
          <w:sz w:val="20"/>
          <w:szCs w:val="20"/>
          <w:color w:val="auto"/>
        </w:rPr>
      </w:pPr>
    </w:p>
    <w:p>
      <w:pPr>
        <w:ind w:right="240" w:firstLine="545"/>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Other Special Meetings.</w:t>
      </w:r>
      <w:r>
        <w:rPr>
          <w:rFonts w:ascii="Times New Roman" w:cs="Times New Roman" w:eastAsia="Times New Roman" w:hAnsi="Times New Roman"/>
          <w:sz w:val="18"/>
          <w:szCs w:val="18"/>
          <w:color w:val="auto"/>
        </w:rPr>
        <w:t xml:space="preserve"> Special meetings of the stockholders, for any purpose or purposes, unless otherwise prescribed by law or by the certificate of incorporation, may be called by the president and shall be called by the president or secretary at the request in writing of a majority of the board of directors, or at the request in writing of the holders of at least ten percent of all capital stock of the corporation issued and outstanding and entitled to vote at such meeting. Such request shall state the purpose or purposes of the proposed meeting and business to be transacted at any special meeting of the stockholders.</w:t>
      </w:r>
    </w:p>
    <w:p>
      <w:pPr>
        <w:spacing w:after="0" w:line="103" w:lineRule="exact"/>
        <w:rPr>
          <w:sz w:val="20"/>
          <w:szCs w:val="20"/>
          <w:color w:val="auto"/>
        </w:rPr>
      </w:pPr>
    </w:p>
    <w:p>
      <w:pPr>
        <w:ind w:right="120" w:firstLine="545"/>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Notice of Special Meeting.</w:t>
      </w:r>
      <w:r>
        <w:rPr>
          <w:rFonts w:ascii="Times New Roman" w:cs="Times New Roman" w:eastAsia="Times New Roman" w:hAnsi="Times New Roman"/>
          <w:sz w:val="18"/>
          <w:szCs w:val="18"/>
          <w:color w:val="auto"/>
        </w:rPr>
        <w:t xml:space="preserve"> Written notice of a special meeting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in accordance with Section 5.2 by each stockholder entitled to such notice to whom such notice was not given.</w:t>
      </w:r>
    </w:p>
    <w:p>
      <w:pPr>
        <w:spacing w:after="0" w:line="99" w:lineRule="exact"/>
        <w:rPr>
          <w:sz w:val="20"/>
          <w:szCs w:val="20"/>
          <w:color w:val="auto"/>
        </w:rPr>
      </w:pPr>
    </w:p>
    <w:p>
      <w:pPr>
        <w:ind w:firstLine="545"/>
        <w:spacing w:after="0" w:line="25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Stockholder List.</w:t>
      </w:r>
      <w:r>
        <w:rPr>
          <w:rFonts w:ascii="Times New Roman" w:cs="Times New Roman" w:eastAsia="Times New Roman" w:hAnsi="Times New Roman"/>
          <w:sz w:val="18"/>
          <w:szCs w:val="18"/>
          <w:color w:val="auto"/>
        </w:rPr>
        <w:t xml:space="preserve">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either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8" w:right="339" w:bottom="1440" w:gutter="0" w:footer="0" w:header="0"/>
        </w:sectPr>
      </w:pPr>
    </w:p>
    <w:bookmarkStart w:id="281" w:name="page282"/>
    <w:bookmarkEnd w:id="281"/>
    <w:p>
      <w:pPr>
        <w:ind w:right="220"/>
        <w:spacing w:after="0" w:line="266" w:lineRule="auto"/>
        <w:rPr>
          <w:sz w:val="20"/>
          <w:szCs w:val="20"/>
          <w:color w:val="auto"/>
        </w:rPr>
      </w:pPr>
      <w:r>
        <w:rPr>
          <w:rFonts w:ascii="Times New Roman" w:cs="Times New Roman" w:eastAsia="Times New Roman" w:hAnsi="Times New Roman"/>
          <w:sz w:val="18"/>
          <w:szCs w:val="18"/>
          <w:color w:val="auto"/>
        </w:rPr>
        <w:t>produced and kept at the time and place of the meeting during the whole time thereof, and may be inspected by any stockholder who is present. If the meeting is to be held solely by means of remote communication, then the list shall also be open to examination of any stockholder during the entire meeting on a reasonably accessible electronic network, and the information required to access such list shall be provided with the notice of the meeting.</w:t>
      </w:r>
    </w:p>
    <w:p>
      <w:pPr>
        <w:spacing w:after="0" w:line="95" w:lineRule="exact"/>
        <w:rPr>
          <w:sz w:val="20"/>
          <w:szCs w:val="20"/>
          <w:color w:val="auto"/>
        </w:rPr>
      </w:pPr>
    </w:p>
    <w:p>
      <w:pPr>
        <w:ind w:right="140" w:firstLine="545"/>
        <w:spacing w:after="0" w:line="261"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Quorum of Stockholders.</w:t>
      </w:r>
      <w:r>
        <w:rPr>
          <w:rFonts w:ascii="Times New Roman" w:cs="Times New Roman" w:eastAsia="Times New Roman" w:hAnsi="Times New Roman"/>
          <w:sz w:val="18"/>
          <w:szCs w:val="18"/>
          <w:color w:val="auto"/>
        </w:rPr>
        <w:t xml:space="preserve"> The holders of a majority of the stock issued and outstanding and entitled to vote thereat, present in person or represented by proxy, shall constitute a quorum at all meetings of the stockholders for the transaction of business except as otherwise required by law, by the certificate of incorporation or by these by-laws. Except as otherwise provided by law, no stockholder present at a meeting may withhold his shares from the quorum count by declaring his shares absent from the meeting.</w:t>
      </w:r>
    </w:p>
    <w:p>
      <w:pPr>
        <w:spacing w:after="0" w:line="99"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xml:space="preserve">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or, if no stockholder is present or represented by proxy, by any officer entitled to preside at or to act as secretary of such meeting.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06" w:lineRule="exact"/>
        <w:rPr>
          <w:sz w:val="20"/>
          <w:szCs w:val="20"/>
          <w:color w:val="auto"/>
        </w:rPr>
      </w:pPr>
    </w:p>
    <w:p>
      <w:pPr>
        <w:ind w:firstLine="545"/>
        <w:spacing w:after="0" w:line="25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Proxy Representation.</w:t>
      </w:r>
      <w:r>
        <w:rPr>
          <w:rFonts w:ascii="Times New Roman" w:cs="Times New Roman" w:eastAsia="Times New Roman" w:hAnsi="Times New Roman"/>
          <w:sz w:val="18"/>
          <w:szCs w:val="18"/>
          <w:color w:val="auto"/>
        </w:rPr>
        <w:t xml:space="preserve">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provided by law, a revocable proxy shall be deemed revoked if the stockholder is present at the meeting for which the proxy was given.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07" w:lineRule="exact"/>
        <w:rPr>
          <w:sz w:val="20"/>
          <w:szCs w:val="20"/>
          <w:color w:val="auto"/>
        </w:rPr>
      </w:pPr>
    </w:p>
    <w:p>
      <w:pPr>
        <w:ind w:right="20" w:firstLine="545"/>
        <w:spacing w:after="0" w:line="25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xml:space="preserve"> The directors or the person presiding at the meeting may, but need not unless required by law,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8" w:right="339" w:bottom="1440" w:gutter="0" w:footer="0" w:header="0"/>
        </w:sectPr>
      </w:pPr>
    </w:p>
    <w:bookmarkStart w:id="282" w:name="page283"/>
    <w:bookmarkEnd w:id="282"/>
    <w:p>
      <w:pPr>
        <w:ind w:left="9" w:right="300"/>
        <w:spacing w:after="0" w:line="266" w:lineRule="auto"/>
        <w:rPr>
          <w:sz w:val="20"/>
          <w:szCs w:val="20"/>
          <w:color w:val="auto"/>
        </w:rPr>
      </w:pPr>
      <w:r>
        <w:rPr>
          <w:rFonts w:ascii="Times New Roman" w:cs="Times New Roman" w:eastAsia="Times New Roman" w:hAnsi="Times New Roman"/>
          <w:sz w:val="18"/>
          <w:szCs w:val="18"/>
          <w:color w:val="auto"/>
        </w:rPr>
        <w:t>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95" w:lineRule="exact"/>
        <w:rPr>
          <w:sz w:val="20"/>
          <w:szCs w:val="20"/>
          <w:color w:val="auto"/>
        </w:rPr>
      </w:pPr>
    </w:p>
    <w:p>
      <w:pPr>
        <w:ind w:left="9" w:right="60" w:firstLine="545"/>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Action by Vote.</w:t>
      </w:r>
      <w:r>
        <w:rPr>
          <w:rFonts w:ascii="Times New Roman" w:cs="Times New Roman" w:eastAsia="Times New Roman" w:hAnsi="Times New Roman"/>
          <w:sz w:val="18"/>
          <w:szCs w:val="18"/>
          <w:color w:val="auto"/>
        </w:rPr>
        <w:t xml:space="preserve">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99" w:lineRule="exact"/>
        <w:rPr>
          <w:sz w:val="20"/>
          <w:szCs w:val="20"/>
          <w:color w:val="auto"/>
        </w:rPr>
      </w:pPr>
    </w:p>
    <w:p>
      <w:pPr>
        <w:ind w:left="9" w:right="80" w:firstLine="545"/>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Action Without Meetings.</w:t>
      </w:r>
      <w:r>
        <w:rPr>
          <w:rFonts w:ascii="Times New Roman" w:cs="Times New Roman" w:eastAsia="Times New Roman" w:hAnsi="Times New Roman"/>
          <w:sz w:val="18"/>
          <w:szCs w:val="18"/>
          <w:color w:val="auto"/>
        </w:rPr>
        <w:t xml:space="preserve">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Consent may be given by electronic transmission to the extent permitted by the Delaware General Corporation Law.</w:t>
      </w:r>
    </w:p>
    <w:p>
      <w:pPr>
        <w:spacing w:after="0" w:line="107" w:lineRule="exact"/>
        <w:rPr>
          <w:sz w:val="20"/>
          <w:szCs w:val="20"/>
          <w:color w:val="auto"/>
        </w:rPr>
      </w:pPr>
    </w:p>
    <w:p>
      <w:pPr>
        <w:ind w:left="9" w:right="40" w:firstLine="545"/>
        <w:spacing w:after="0" w:line="258"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Meetings of stockholders shall be presided over by the chairperson of the board of directors, if any, or in his absence by the president, or in his absence by a vice president, or in the absence of the foregoing persons by a chairperson chosen at the meeting by the board. The secretary shall act as secretary of the meeting, but in his absence the chairperson of the meeting may appoint any person to act as secretary of the meeting. The chairperson of the meeting shall announce at the meeting of stockholders the date and time of the opening and the closing of the polls for each matter upon which the stockholders will vote.</w:t>
      </w:r>
    </w:p>
    <w:p>
      <w:pPr>
        <w:spacing w:after="0" w:line="103" w:lineRule="exact"/>
        <w:rPr>
          <w:sz w:val="20"/>
          <w:szCs w:val="20"/>
          <w:color w:val="auto"/>
        </w:rPr>
      </w:pPr>
    </w:p>
    <w:p>
      <w:pPr>
        <w:ind w:left="9" w:firstLine="545"/>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xml:space="preserve"> The board of directors of the corporation may adopt by resolution such rules and regulations for the conduct of the meeting of stockholders as it shall deem appropriate. Except to the extent inconsistent with such rules and regulations as adopted by the board of directors, the chairperson of any meeting of stockholders shall have the right and authority to prescribe such rules, regulations and procedures and to do all such acts as, in the judgment of such chairperson, are appropriate for the proper conduct of the meeting. Such rules, regulations or procedures, whether adopted by the board of directors or prescribed by the chairperson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chairperson of the meeting shall determine; (iv) restrictions on entry to the meeting after the time fixed for the commencement thereof; and</w:t>
      </w:r>
    </w:p>
    <w:p>
      <w:pPr>
        <w:spacing w:after="0" w:line="1" w:lineRule="exact"/>
        <w:rPr>
          <w:sz w:val="20"/>
          <w:szCs w:val="20"/>
          <w:color w:val="auto"/>
        </w:rPr>
      </w:pPr>
    </w:p>
    <w:p>
      <w:pPr>
        <w:ind w:left="249" w:hanging="249"/>
        <w:spacing w:after="0"/>
        <w:tabs>
          <w:tab w:leader="none" w:pos="24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time allotted to questions or comments by participants. Unless and to the extent determined by the board of directors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5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1249"/>
          </w:cols>
          <w:pgMar w:left="311" w:top="1218"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color w:val="auto"/>
        </w:rPr>
        <w:t>or the chairperson of the meeting, meetings of stockholders shall not be required to be held in accordance with the rules of parliamentary procedure.</w:t>
      </w:r>
    </w:p>
    <w:p>
      <w:pPr>
        <w:spacing w:after="0" w:line="145"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color w:val="auto"/>
        </w:rPr>
        <w:t>DIRECTORS</w:t>
      </w:r>
    </w:p>
    <w:p>
      <w:pPr>
        <w:spacing w:after="0" w:line="145" w:lineRule="exact"/>
        <w:rPr>
          <w:sz w:val="20"/>
          <w:szCs w:val="20"/>
          <w:color w:val="auto"/>
        </w:rPr>
      </w:pPr>
    </w:p>
    <w:p>
      <w:pPr>
        <w:ind w:right="20" w:firstLine="545"/>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xml:space="preserve"> The number of directors which shall constitute the whole board shall not be less than one. The first board shall consist of one (1) director. Thereafter, the stockholders at the annual meeting shall determine the number of directors, and the number of directors may be increased or decreased at any time or from time to time by the stockholders or by the directors by vote of a majority of directors then in office, except that any such decrease by vote of the directors shall only be made to eliminate vacancies existing by reason of the death, resignation or removal of one or more directors. The directors shall be elected at the annual meeting of the stockholders, except as provided in these by-laws. Directors need not be stockholders.</w:t>
      </w:r>
    </w:p>
    <w:p>
      <w:pPr>
        <w:spacing w:after="0" w:line="103" w:lineRule="exact"/>
        <w:rPr>
          <w:sz w:val="20"/>
          <w:szCs w:val="20"/>
          <w:color w:val="auto"/>
        </w:rPr>
      </w:pPr>
    </w:p>
    <w:p>
      <w:pPr>
        <w:ind w:firstLine="545"/>
        <w:spacing w:after="0" w:line="28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xml:space="preserve">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80" w:lineRule="exact"/>
        <w:rPr>
          <w:sz w:val="20"/>
          <w:szCs w:val="20"/>
          <w:color w:val="auto"/>
        </w:rPr>
      </w:pPr>
    </w:p>
    <w:p>
      <w:pPr>
        <w:ind w:right="20" w:firstLine="545"/>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xml:space="preserve">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95" w:lineRule="exact"/>
        <w:rPr>
          <w:sz w:val="20"/>
          <w:szCs w:val="20"/>
          <w:color w:val="auto"/>
        </w:rPr>
      </w:pPr>
    </w:p>
    <w:p>
      <w:pPr>
        <w:ind w:right="20" w:firstLine="545"/>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in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07" w:lineRule="exact"/>
        <w:rPr>
          <w:sz w:val="20"/>
          <w:szCs w:val="20"/>
          <w:color w:val="auto"/>
        </w:rPr>
      </w:pPr>
    </w:p>
    <w:p>
      <w:pPr>
        <w:ind w:right="140" w:firstLine="545"/>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xml:space="preserve">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8" w:right="339" w:bottom="1440" w:gutter="0" w:footer="0" w:header="0"/>
        </w:sectPr>
      </w:pPr>
    </w:p>
    <w:bookmarkStart w:id="284" w:name="page285"/>
    <w:bookmarkEnd w:id="284"/>
    <w:p>
      <w:pPr>
        <w:spacing w:after="0" w:line="261" w:lineRule="auto"/>
        <w:rPr>
          <w:sz w:val="20"/>
          <w:szCs w:val="20"/>
          <w:color w:val="auto"/>
        </w:rPr>
      </w:pPr>
      <w:r>
        <w:rPr>
          <w:rFonts w:ascii="Times New Roman" w:cs="Times New Roman" w:eastAsia="Times New Roman" w:hAnsi="Times New Roman"/>
          <w:sz w:val="18"/>
          <w:szCs w:val="18"/>
          <w:color w:val="auto"/>
        </w:rPr>
        <w:t>the place of any such absent or disqualified member. Except as the board of directors may otherwise determine, any committee may make, alter and repeal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99" w:lineRule="exact"/>
        <w:rPr>
          <w:sz w:val="20"/>
          <w:szCs w:val="20"/>
          <w:color w:val="auto"/>
        </w:rPr>
      </w:pPr>
    </w:p>
    <w:p>
      <w:pPr>
        <w:ind w:right="60" w:firstLine="545"/>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Regular Meeting.</w:t>
      </w:r>
      <w:r>
        <w:rPr>
          <w:rFonts w:ascii="Times New Roman" w:cs="Times New Roman" w:eastAsia="Times New Roman" w:hAnsi="Times New Roman"/>
          <w:sz w:val="18"/>
          <w:szCs w:val="18"/>
          <w:color w:val="auto"/>
        </w:rPr>
        <w:t xml:space="preserve">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99" w:lineRule="exact"/>
        <w:rPr>
          <w:sz w:val="20"/>
          <w:szCs w:val="20"/>
          <w:color w:val="auto"/>
        </w:rPr>
      </w:pPr>
    </w:p>
    <w:p>
      <w:pPr>
        <w:ind w:right="140" w:firstLine="545"/>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Special meetings of the board of directors may be held at any time and at any place within or without the State of Delaware designated in the notice of the meeting, when called by the president, or by any director, reasonable notice thereof being given to each director by the secretary or by the president or by any one of the directors calling the meeting.</w:t>
      </w:r>
    </w:p>
    <w:p>
      <w:pPr>
        <w:spacing w:after="0" w:line="95" w:lineRule="exact"/>
        <w:rPr>
          <w:sz w:val="20"/>
          <w:szCs w:val="20"/>
          <w:color w:val="auto"/>
        </w:rPr>
      </w:pPr>
    </w:p>
    <w:p>
      <w:pPr>
        <w:ind w:right="140" w:firstLine="545"/>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It shall be reasonable and sufficient notice to a director to send notice by mail at least forty-eight hours or by telegram or telecopy or other form of electronic transmission at least twenty-four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06" w:lineRule="exact"/>
        <w:rPr>
          <w:sz w:val="20"/>
          <w:szCs w:val="20"/>
          <w:color w:val="auto"/>
        </w:rPr>
      </w:pPr>
    </w:p>
    <w:p>
      <w:pPr>
        <w:ind w:right="40" w:firstLine="545"/>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Except as may be otherwise provided by law, by the certificate of incorporation or by these by-laws, at any meeting of the directors a majority of the directors then in office shall constitute a quorum. A quorum shall not in any case be less than a majority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99" w:lineRule="exact"/>
        <w:rPr>
          <w:sz w:val="20"/>
          <w:szCs w:val="20"/>
          <w:color w:val="auto"/>
        </w:rPr>
      </w:pPr>
    </w:p>
    <w:p>
      <w:pPr>
        <w:ind w:right="320" w:firstLine="545"/>
        <w:spacing w:after="0" w:line="28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Action by Vote.</w:t>
      </w:r>
      <w:r>
        <w:rPr>
          <w:rFonts w:ascii="Times New Roman" w:cs="Times New Roman" w:eastAsia="Times New Roman" w:hAnsi="Times New Roman"/>
          <w:sz w:val="18"/>
          <w:szCs w:val="18"/>
          <w:color w:val="auto"/>
        </w:rPr>
        <w:t xml:space="preserve"> Except as may be otherwise provided by law, by the certificate of incorporation or by these by-laws, when a quorum is present at any meeting the vote of a majority of the directors present shall be the act of the board of directors.</w:t>
      </w:r>
    </w:p>
    <w:p>
      <w:pPr>
        <w:spacing w:after="0" w:line="80" w:lineRule="exact"/>
        <w:rPr>
          <w:sz w:val="20"/>
          <w:szCs w:val="20"/>
          <w:color w:val="auto"/>
        </w:rPr>
      </w:pPr>
    </w:p>
    <w:p>
      <w:pPr>
        <w:ind w:right="20" w:firstLine="545"/>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xml:space="preserve"> Unless otherwise restricted by the certificate of incorporation or these by-laws, any action required or permitted to be taken at any meeting of the board of directors or of any committee thereof may be taken without a meeting if all the members of the board or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219" w:right="3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color w:val="auto"/>
        </w:rPr>
        <w:t>electronic form. Such consent shall be treated for all purposes as the act of the board or of such committee, as the case may be.</w:t>
      </w:r>
    </w:p>
    <w:p>
      <w:pPr>
        <w:spacing w:after="0" w:line="145" w:lineRule="exact"/>
        <w:rPr>
          <w:sz w:val="20"/>
          <w:szCs w:val="20"/>
          <w:color w:val="auto"/>
        </w:rPr>
      </w:pPr>
    </w:p>
    <w:p>
      <w:pPr>
        <w:ind w:right="20" w:firstLine="545"/>
        <w:spacing w:after="0" w:line="261"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Participation in Meetings by Conference Telephone.</w:t>
      </w:r>
      <w:r>
        <w:rPr>
          <w:rFonts w:ascii="Times New Roman" w:cs="Times New Roman" w:eastAsia="Times New Roman" w:hAnsi="Times New Roman"/>
          <w:sz w:val="18"/>
          <w:szCs w:val="18"/>
          <w:color w:val="auto"/>
        </w:rPr>
        <w:t xml:space="preserve"> Unless otherwise restricted by the certificate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99" w:lineRule="exact"/>
        <w:rPr>
          <w:sz w:val="20"/>
          <w:szCs w:val="20"/>
          <w:color w:val="auto"/>
        </w:rPr>
      </w:pPr>
    </w:p>
    <w:p>
      <w:pPr>
        <w:ind w:right="260" w:firstLine="545"/>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0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u w:val="single" w:color="auto"/>
          <w:color w:val="auto"/>
        </w:rPr>
        <w:t>Interested Directors and Officers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40" w:firstLine="1081"/>
        <w:spacing w:after="0" w:line="261" w:lineRule="auto"/>
        <w:tabs>
          <w:tab w:leader="none" w:pos="163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99" w:lineRule="exact"/>
        <w:rPr>
          <w:rFonts w:ascii="Times New Roman" w:cs="Times New Roman" w:eastAsia="Times New Roman" w:hAnsi="Times New Roman"/>
          <w:sz w:val="18"/>
          <w:szCs w:val="18"/>
          <w:color w:val="auto"/>
        </w:rPr>
      </w:pPr>
    </w:p>
    <w:p>
      <w:pPr>
        <w:ind w:right="140" w:firstLine="1626"/>
        <w:spacing w:after="0" w:line="266" w:lineRule="auto"/>
        <w:tabs>
          <w:tab w:leader="none" w:pos="2177"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95" w:lineRule="exact"/>
        <w:rPr>
          <w:rFonts w:ascii="Times New Roman" w:cs="Times New Roman" w:eastAsia="Times New Roman" w:hAnsi="Times New Roman"/>
          <w:sz w:val="18"/>
          <w:szCs w:val="18"/>
          <w:color w:val="auto"/>
        </w:rPr>
      </w:pPr>
    </w:p>
    <w:p>
      <w:pPr>
        <w:ind w:right="360" w:firstLine="1626"/>
        <w:spacing w:after="0" w:line="283" w:lineRule="auto"/>
        <w:tabs>
          <w:tab w:leader="none" w:pos="2177"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79" w:lineRule="exact"/>
        <w:rPr>
          <w:rFonts w:ascii="Times New Roman" w:cs="Times New Roman" w:eastAsia="Times New Roman" w:hAnsi="Times New Roman"/>
          <w:sz w:val="18"/>
          <w:szCs w:val="18"/>
          <w:color w:val="auto"/>
        </w:rPr>
      </w:pPr>
    </w:p>
    <w:p>
      <w:pPr>
        <w:ind w:right="280" w:firstLine="1626"/>
        <w:spacing w:after="0" w:line="283" w:lineRule="auto"/>
        <w:tabs>
          <w:tab w:leader="none" w:pos="2177"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as to the corporation as of the time it is authorized, approved or ratified by the board of directors, a committee thereof, or the stockholders.</w:t>
      </w:r>
    </w:p>
    <w:p>
      <w:pPr>
        <w:spacing w:after="0" w:line="79" w:lineRule="exact"/>
        <w:rPr>
          <w:rFonts w:ascii="Times New Roman" w:cs="Times New Roman" w:eastAsia="Times New Roman" w:hAnsi="Times New Roman"/>
          <w:sz w:val="18"/>
          <w:szCs w:val="18"/>
          <w:color w:val="auto"/>
        </w:rPr>
      </w:pPr>
    </w:p>
    <w:p>
      <w:pPr>
        <w:ind w:firstLine="1081"/>
        <w:spacing w:after="0" w:line="283" w:lineRule="auto"/>
        <w:tabs>
          <w:tab w:leader="none" w:pos="163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or interested directors may be counted in determining the presence of a quorum at a meeting of the board of directors or of a committee which authorizes the contract or transaction.</w:t>
      </w:r>
    </w:p>
    <w:p>
      <w:pPr>
        <w:spacing w:after="0" w:line="80" w:lineRule="exact"/>
        <w:rPr>
          <w:sz w:val="20"/>
          <w:szCs w:val="20"/>
          <w:color w:val="auto"/>
        </w:rPr>
      </w:pPr>
    </w:p>
    <w:p>
      <w:pPr>
        <w:ind w:right="320" w:firstLine="545"/>
        <w:spacing w:after="0" w:line="283"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Resignation or Removal of Directors.</w:t>
      </w:r>
      <w:r>
        <w:rPr>
          <w:rFonts w:ascii="Times New Roman" w:cs="Times New Roman" w:eastAsia="Times New Roman" w:hAnsi="Times New Roman"/>
          <w:sz w:val="18"/>
          <w:szCs w:val="18"/>
          <w:color w:val="auto"/>
        </w:rPr>
        <w:t xml:space="preserve"> Unless otherwise restricted by the certificate of incorporation or by law, any director or the entire board of directors may be removed,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8" w:right="339" w:bottom="1440" w:gutter="0" w:footer="0" w:header="0"/>
        </w:sectPr>
      </w:pPr>
    </w:p>
    <w:bookmarkStart w:id="286" w:name="page287"/>
    <w:bookmarkEnd w:id="286"/>
    <w:p>
      <w:pPr>
        <w:ind w:right="160"/>
        <w:spacing w:after="0" w:line="254" w:lineRule="auto"/>
        <w:rPr>
          <w:sz w:val="20"/>
          <w:szCs w:val="20"/>
          <w:color w:val="auto"/>
        </w:rPr>
      </w:pPr>
      <w:r>
        <w:rPr>
          <w:rFonts w:ascii="Times New Roman" w:cs="Times New Roman" w:eastAsia="Times New Roman" w:hAnsi="Times New Roman"/>
          <w:sz w:val="18"/>
          <w:szCs w:val="18"/>
          <w:color w:val="auto"/>
        </w:rPr>
        <w:t>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no director removed shall have any right to receive compensation as such director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10"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color w:val="auto"/>
        </w:rPr>
        <w:t>NOTICES</w:t>
      </w:r>
    </w:p>
    <w:p>
      <w:pPr>
        <w:spacing w:after="0" w:line="145" w:lineRule="exact"/>
        <w:rPr>
          <w:sz w:val="20"/>
          <w:szCs w:val="20"/>
          <w:color w:val="auto"/>
        </w:rPr>
      </w:pPr>
    </w:p>
    <w:p>
      <w:pPr>
        <w:ind w:firstLine="545"/>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Form of Notice.</w:t>
      </w:r>
      <w:r>
        <w:rPr>
          <w:rFonts w:ascii="Times New Roman" w:cs="Times New Roman" w:eastAsia="Times New Roman" w:hAnsi="Times New Roman"/>
          <w:sz w:val="18"/>
          <w:szCs w:val="18"/>
          <w:color w:val="auto"/>
        </w:rPr>
        <w:t xml:space="preserve"> Whenever, under the provisions of law, of the certificate of incorporation or of these by-laws, notice is required to be given 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Notice may also be given to any stockholder and to any director by any form of electronic transmission, to the same extent that Section 232 of the Delaware General Corporation Law permits notice in such form to be given to stockholders, and will be deemed given at the time provided therein. Oral notice or other in-hand delivery (in person or by telephone) shall be deemed given at the time it is actually given.</w:t>
      </w:r>
    </w:p>
    <w:p>
      <w:pPr>
        <w:spacing w:after="0" w:line="112" w:lineRule="exact"/>
        <w:rPr>
          <w:sz w:val="20"/>
          <w:szCs w:val="20"/>
          <w:color w:val="auto"/>
        </w:rPr>
      </w:pPr>
    </w:p>
    <w:p>
      <w:pPr>
        <w:ind w:right="80" w:firstLine="545"/>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xml:space="preserve"> Whenever notice is required to be given under the provisions of law, the certificate of incorporation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06"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color w:val="auto"/>
        </w:rPr>
        <w:t>OFFICERS AND AGENTS</w:t>
      </w:r>
    </w:p>
    <w:p>
      <w:pPr>
        <w:spacing w:after="0" w:line="145" w:lineRule="exact"/>
        <w:rPr>
          <w:sz w:val="20"/>
          <w:szCs w:val="20"/>
          <w:color w:val="auto"/>
        </w:rPr>
      </w:pPr>
    </w:p>
    <w:p>
      <w:pPr>
        <w:ind w:right="140" w:firstLine="545"/>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Enumeration; Qualification.</w:t>
      </w:r>
      <w:r>
        <w:rPr>
          <w:rFonts w:ascii="Times New Roman" w:cs="Times New Roman" w:eastAsia="Times New Roman" w:hAnsi="Times New Roman"/>
          <w:sz w:val="18"/>
          <w:szCs w:val="18"/>
          <w:color w:val="auto"/>
        </w:rPr>
        <w:t xml:space="preserve"> The officers of the corporation shall be a president, a treasurer, a secretary and such other officers, if any, as the board of directors from time to time may in its discretion elect or appoint including without limitation a chairperson of the board of directors and one or more vice presidents. Any officer may be, but none need be, a director or stockholder. Any two or more offices may be held by the same person. Any officer may be required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9" w:right="339" w:bottom="1440" w:gutter="0" w:footer="0" w:header="0"/>
        </w:sectPr>
      </w:pPr>
    </w:p>
    <w:bookmarkStart w:id="287" w:name="page288"/>
    <w:bookmarkEnd w:id="287"/>
    <w:p>
      <w:pPr>
        <w:spacing w:after="0" w:line="283" w:lineRule="auto"/>
        <w:rPr>
          <w:sz w:val="20"/>
          <w:szCs w:val="20"/>
          <w:color w:val="auto"/>
        </w:rPr>
      </w:pPr>
      <w:r>
        <w:rPr>
          <w:rFonts w:ascii="Times New Roman" w:cs="Times New Roman" w:eastAsia="Times New Roman" w:hAnsi="Times New Roman"/>
          <w:sz w:val="18"/>
          <w:szCs w:val="18"/>
          <w:color w:val="auto"/>
        </w:rPr>
        <w:t>of directors to secure the faithful performance of his duties to the corporation by giving bond in such amount and with sureties or otherwise as the board of directors may determine.</w:t>
      </w:r>
    </w:p>
    <w:p>
      <w:pPr>
        <w:spacing w:after="0" w:line="80" w:lineRule="exact"/>
        <w:rPr>
          <w:sz w:val="20"/>
          <w:szCs w:val="20"/>
          <w:color w:val="auto"/>
        </w:rPr>
      </w:pPr>
    </w:p>
    <w:p>
      <w:pPr>
        <w:ind w:right="20" w:firstLine="545"/>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xml:space="preserve">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95" w:lineRule="exact"/>
        <w:rPr>
          <w:sz w:val="20"/>
          <w:szCs w:val="20"/>
          <w:color w:val="auto"/>
        </w:rPr>
      </w:pPr>
    </w:p>
    <w:p>
      <w:pPr>
        <w:ind w:right="100" w:firstLine="545"/>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The board of directors at its first meeting after each annual meeting of stockholders shall choose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95" w:lineRule="exact"/>
        <w:rPr>
          <w:sz w:val="20"/>
          <w:szCs w:val="20"/>
          <w:color w:val="auto"/>
        </w:rPr>
      </w:pPr>
    </w:p>
    <w:p>
      <w:pPr>
        <w:ind w:right="40" w:firstLine="545"/>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xml:space="preserve">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99" w:lineRule="exact"/>
        <w:rPr>
          <w:sz w:val="20"/>
          <w:szCs w:val="20"/>
          <w:color w:val="auto"/>
        </w:rPr>
      </w:pPr>
    </w:p>
    <w:p>
      <w:pPr>
        <w:ind w:right="60" w:firstLine="545"/>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Chairperson of the Board of Directors.</w:t>
      </w:r>
      <w:r>
        <w:rPr>
          <w:rFonts w:ascii="Times New Roman" w:cs="Times New Roman" w:eastAsia="Times New Roman" w:hAnsi="Times New Roman"/>
          <w:sz w:val="18"/>
          <w:szCs w:val="18"/>
          <w:color w:val="auto"/>
        </w:rPr>
        <w:t xml:space="preserve"> The chairperson of the board of directors, if any, shall have such duties and powers as shall be designated from time to time by the board of directors. Unless the board of directors otherwise specifies, the chairperson of the board, or if there is none the president, shall preside, or designate the person who shall preside, at all meetings of the stockholders and of the board of directors. References in these by-laws to a chairperson shall include references to persons designated by the board of directors with the title chairman, chairwoman or chair or any similar title.</w:t>
      </w:r>
    </w:p>
    <w:p>
      <w:pPr>
        <w:spacing w:after="0" w:line="103" w:lineRule="exact"/>
        <w:rPr>
          <w:sz w:val="20"/>
          <w:szCs w:val="20"/>
          <w:color w:val="auto"/>
        </w:rPr>
      </w:pPr>
    </w:p>
    <w:p>
      <w:pPr>
        <w:ind w:right="120" w:firstLine="545"/>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President and Vice Presidents.</w:t>
      </w:r>
      <w:r>
        <w:rPr>
          <w:rFonts w:ascii="Times New Roman" w:cs="Times New Roman" w:eastAsia="Times New Roman" w:hAnsi="Times New Roman"/>
          <w:sz w:val="18"/>
          <w:szCs w:val="18"/>
          <w:color w:val="auto"/>
        </w:rPr>
        <w:t xml:space="preserve"> Unless a chief executive officer has been elected by the board of directors, the president shall be the chief executive officer and shall have direct and active charge of all business operations of the corporation and shall have general supervision of the entire business of the corporation, subject to the control of the board of directors. As provided in Section 6.5, in the absence of the chairperson of the board of directors, the president shall preside at all meetings of the stockholders and of the board of directors at which the president is present, except as otherwise voted by the board of directors.</w:t>
      </w:r>
    </w:p>
    <w:p>
      <w:pPr>
        <w:spacing w:after="0" w:line="103" w:lineRule="exact"/>
        <w:rPr>
          <w:sz w:val="20"/>
          <w:szCs w:val="20"/>
          <w:color w:val="auto"/>
        </w:rPr>
      </w:pPr>
    </w:p>
    <w:p>
      <w:pPr>
        <w:ind w:right="160" w:firstLine="545"/>
        <w:spacing w:after="0" w:line="266" w:lineRule="auto"/>
        <w:rPr>
          <w:sz w:val="20"/>
          <w:szCs w:val="20"/>
          <w:color w:val="auto"/>
        </w:rPr>
      </w:pPr>
      <w:r>
        <w:rPr>
          <w:rFonts w:ascii="Times New Roman" w:cs="Times New Roman" w:eastAsia="Times New Roman" w:hAnsi="Times New Roman"/>
          <w:sz w:val="18"/>
          <w:szCs w:val="18"/>
          <w:color w:val="auto"/>
        </w:rPr>
        <w:t>The president or treasurer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vice presidents shall have such duties and powers as shall be designated from time to time by the board of directors or by the president.</w:t>
      </w:r>
    </w:p>
    <w:p>
      <w:pPr>
        <w:spacing w:after="0" w:line="145" w:lineRule="exact"/>
        <w:rPr>
          <w:sz w:val="20"/>
          <w:szCs w:val="20"/>
          <w:color w:val="auto"/>
        </w:rPr>
      </w:pPr>
    </w:p>
    <w:p>
      <w:pPr>
        <w:ind w:right="280" w:firstLine="545"/>
        <w:spacing w:after="0" w:line="28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xml:space="preserve"> The treasurer shall be the chief financial officer of the corporation and shall be in charge of its funds and valuable papers, and shall have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1218" w:right="3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color w:val="auto"/>
        </w:rPr>
        <w:t>duties and powers as may be assigned to him from time to time by the board of directors or by the president.</w:t>
      </w:r>
    </w:p>
    <w:p>
      <w:pPr>
        <w:spacing w:after="0" w:line="145" w:lineRule="exact"/>
        <w:rPr>
          <w:sz w:val="20"/>
          <w:szCs w:val="20"/>
          <w:color w:val="auto"/>
        </w:rPr>
      </w:pPr>
    </w:p>
    <w:p>
      <w:pPr>
        <w:ind w:right="200" w:firstLine="545"/>
        <w:spacing w:after="0" w:line="283" w:lineRule="auto"/>
        <w:rPr>
          <w:sz w:val="20"/>
          <w:szCs w:val="20"/>
          <w:color w:val="auto"/>
        </w:rPr>
      </w:pPr>
      <w:r>
        <w:rPr>
          <w:rFonts w:ascii="Times New Roman" w:cs="Times New Roman" w:eastAsia="Times New Roman" w:hAnsi="Times New Roman"/>
          <w:sz w:val="18"/>
          <w:szCs w:val="18"/>
          <w:color w:val="auto"/>
        </w:rPr>
        <w:t>Any assistant treasurers shall have such duties and powers as shall be designated from time to time by the board of directors, the president or the treasurer.</w:t>
      </w:r>
    </w:p>
    <w:p>
      <w:pPr>
        <w:spacing w:after="0" w:line="80" w:lineRule="exact"/>
        <w:rPr>
          <w:sz w:val="20"/>
          <w:szCs w:val="20"/>
          <w:color w:val="auto"/>
        </w:rPr>
      </w:pPr>
    </w:p>
    <w:p>
      <w:pPr>
        <w:ind w:right="100" w:firstLine="545"/>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xml:space="preserve"> The secretary shall record all proceedings of the stockholders, of the board of directors and of committees of the board of directors in a book or series of books to be kept therefor and shall file therein all writings of, or related to, action by stockholder or director consent. In the absence of the secretary from any meeting, an assistant secretary, or if there is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The secretary shall have such other duties and powers as may from time to time be designated by the board of directors or the president.</w:t>
      </w:r>
    </w:p>
    <w:p>
      <w:pPr>
        <w:spacing w:after="0" w:line="107" w:lineRule="exact"/>
        <w:rPr>
          <w:sz w:val="20"/>
          <w:szCs w:val="20"/>
          <w:color w:val="auto"/>
        </w:rPr>
      </w:pPr>
    </w:p>
    <w:p>
      <w:pPr>
        <w:ind w:right="140" w:firstLine="545"/>
        <w:spacing w:after="0" w:line="283" w:lineRule="auto"/>
        <w:rPr>
          <w:sz w:val="20"/>
          <w:szCs w:val="20"/>
          <w:color w:val="auto"/>
        </w:rPr>
      </w:pPr>
      <w:r>
        <w:rPr>
          <w:rFonts w:ascii="Times New Roman" w:cs="Times New Roman" w:eastAsia="Times New Roman" w:hAnsi="Times New Roman"/>
          <w:sz w:val="18"/>
          <w:szCs w:val="18"/>
          <w:color w:val="auto"/>
        </w:rPr>
        <w:t>Any assistant secretaries shall have such duties and powers as shall be designated from time to time by the board of directors, the president or the secretary.</w:t>
      </w:r>
    </w:p>
    <w:p>
      <w:pPr>
        <w:spacing w:after="0" w:line="80" w:lineRule="exact"/>
        <w:rPr>
          <w:sz w:val="20"/>
          <w:szCs w:val="20"/>
          <w:color w:val="auto"/>
        </w:rPr>
      </w:pPr>
    </w:p>
    <w:p>
      <w:pPr>
        <w:ind w:right="20" w:firstLine="545"/>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xml:space="preserve">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no officer removed shall have any right to any compensation as such officer for any period following his resignation or removal, except where a right to receive compensation shall be expressly provided in a duly authorized written agreement with the corporation,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10" w:lineRule="exact"/>
        <w:rPr>
          <w:sz w:val="20"/>
          <w:szCs w:val="20"/>
          <w:color w:val="auto"/>
        </w:rPr>
      </w:pPr>
    </w:p>
    <w:p>
      <w:pPr>
        <w:ind w:firstLine="545"/>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president, the treasurer and the secretary until his successor is chosen and qualified, or in each case until he sooner dies, resigns, is removed or becomes disqualified.</w:t>
      </w:r>
    </w:p>
    <w:p>
      <w:pPr>
        <w:spacing w:after="0" w:line="99"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color w:val="auto"/>
        </w:rPr>
        <w:t>CAPITAL STOCK</w:t>
      </w:r>
    </w:p>
    <w:p>
      <w:pPr>
        <w:spacing w:after="0" w:line="145" w:lineRule="exact"/>
        <w:rPr>
          <w:sz w:val="20"/>
          <w:szCs w:val="20"/>
          <w:color w:val="auto"/>
        </w:rPr>
      </w:pPr>
    </w:p>
    <w:p>
      <w:pPr>
        <w:ind w:right="20" w:firstLine="545"/>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xml:space="preserve">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(i) the chairperson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9" w:right="339" w:bottom="1440" w:gutter="0" w:footer="0" w:header="0"/>
        </w:sectPr>
      </w:pPr>
    </w:p>
    <w:bookmarkStart w:id="289" w:name="page290"/>
    <w:bookmarkEnd w:id="289"/>
    <w:p>
      <w:pPr>
        <w:ind w:right="180"/>
        <w:spacing w:after="0" w:line="261" w:lineRule="auto"/>
        <w:rPr>
          <w:sz w:val="20"/>
          <w:szCs w:val="20"/>
          <w:color w:val="auto"/>
        </w:rPr>
      </w:pPr>
      <w:r>
        <w:rPr>
          <w:rFonts w:ascii="Times New Roman" w:cs="Times New Roman" w:eastAsia="Times New Roman" w:hAnsi="Times New Roman"/>
          <w:sz w:val="18"/>
          <w:szCs w:val="18"/>
          <w:color w:val="auto"/>
        </w:rPr>
        <w:t>board of directors or the president or a vice-president and (ii) the treasurer or an assistant treasurer or the secretary or an assistant secretary. Any or all of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99" w:lineRule="exact"/>
        <w:rPr>
          <w:sz w:val="20"/>
          <w:szCs w:val="20"/>
          <w:color w:val="auto"/>
        </w:rPr>
      </w:pPr>
    </w:p>
    <w:p>
      <w:pPr>
        <w:ind w:right="80" w:firstLine="545"/>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06"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color w:val="auto"/>
        </w:rPr>
        <w:t>TRANSFER OF SHARES OF STOCK</w:t>
      </w:r>
    </w:p>
    <w:p>
      <w:pPr>
        <w:spacing w:after="0" w:line="145" w:lineRule="exact"/>
        <w:rPr>
          <w:sz w:val="20"/>
          <w:szCs w:val="20"/>
          <w:color w:val="auto"/>
        </w:rPr>
      </w:pPr>
    </w:p>
    <w:p>
      <w:pPr>
        <w:ind w:right="20" w:firstLine="545"/>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Transfer on Books.</w:t>
      </w:r>
      <w:r>
        <w:rPr>
          <w:rFonts w:ascii="Times New Roman" w:cs="Times New Roman" w:eastAsia="Times New Roman" w:hAnsi="Times New Roman"/>
          <w:sz w:val="18"/>
          <w:szCs w:val="18"/>
          <w:color w:val="auto"/>
        </w:rPr>
        <w:t xml:space="preserve">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It shall be the duty of each stockholder to notify the corporation of his post office address.</w:t>
      </w:r>
    </w:p>
    <w:p>
      <w:pPr>
        <w:spacing w:after="0" w:line="145"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8"/>
          <w:szCs w:val="18"/>
          <w:color w:val="auto"/>
        </w:rPr>
        <w:t>GENERAL PROVISIONS</w:t>
      </w:r>
    </w:p>
    <w:p>
      <w:pPr>
        <w:spacing w:after="0" w:line="145"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219" w:right="319" w:bottom="1440" w:gutter="0" w:footer="0" w:header="0"/>
        </w:sectPr>
      </w:pPr>
    </w:p>
    <w:bookmarkStart w:id="290" w:name="page291"/>
    <w:bookmarkEnd w:id="290"/>
    <w:p>
      <w:pPr>
        <w:ind w:right="180" w:firstLine="1081"/>
        <w:spacing w:after="0" w:line="266" w:lineRule="auto"/>
        <w:tabs>
          <w:tab w:leader="none" w:pos="163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95" w:lineRule="exact"/>
        <w:rPr>
          <w:rFonts w:ascii="Times New Roman" w:cs="Times New Roman" w:eastAsia="Times New Roman" w:hAnsi="Times New Roman"/>
          <w:sz w:val="18"/>
          <w:szCs w:val="18"/>
          <w:color w:val="auto"/>
        </w:rPr>
      </w:pPr>
    </w:p>
    <w:p>
      <w:pPr>
        <w:ind w:right="140" w:firstLine="1081"/>
        <w:spacing w:after="0" w:line="283" w:lineRule="auto"/>
        <w:tabs>
          <w:tab w:leader="none" w:pos="163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79" w:lineRule="exact"/>
        <w:rPr>
          <w:rFonts w:ascii="Times New Roman" w:cs="Times New Roman" w:eastAsia="Times New Roman" w:hAnsi="Times New Roman"/>
          <w:sz w:val="18"/>
          <w:szCs w:val="18"/>
          <w:color w:val="auto"/>
        </w:rPr>
      </w:pPr>
    </w:p>
    <w:p>
      <w:pPr>
        <w:ind w:right="180" w:firstLine="1081"/>
        <w:spacing w:after="0" w:line="283" w:lineRule="auto"/>
        <w:tabs>
          <w:tab w:leader="none" w:pos="163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of directors adopts the resolution relating to such purpose.</w:t>
      </w:r>
    </w:p>
    <w:p>
      <w:pPr>
        <w:spacing w:after="0" w:line="80" w:lineRule="exact"/>
        <w:rPr>
          <w:sz w:val="20"/>
          <w:szCs w:val="20"/>
          <w:color w:val="auto"/>
        </w:rPr>
      </w:pPr>
    </w:p>
    <w:p>
      <w:pPr>
        <w:ind w:right="120" w:firstLine="545"/>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95" w:lineRule="exact"/>
        <w:rPr>
          <w:sz w:val="20"/>
          <w:szCs w:val="20"/>
          <w:color w:val="auto"/>
        </w:rPr>
      </w:pPr>
    </w:p>
    <w:p>
      <w:pPr>
        <w:ind w:right="20" w:firstLine="545"/>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Payment of Dividends.</w:t>
      </w:r>
      <w:r>
        <w:rPr>
          <w:rFonts w:ascii="Times New Roman" w:cs="Times New Roman" w:eastAsia="Times New Roman" w:hAnsi="Times New Roman"/>
          <w:sz w:val="18"/>
          <w:szCs w:val="18"/>
          <w:color w:val="auto"/>
        </w:rPr>
        <w:t xml:space="preserve">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99" w:lineRule="exact"/>
        <w:rPr>
          <w:sz w:val="20"/>
          <w:szCs w:val="20"/>
          <w:color w:val="auto"/>
        </w:rPr>
      </w:pPr>
    </w:p>
    <w:p>
      <w:pPr>
        <w:ind w:right="240" w:firstLine="545"/>
        <w:spacing w:after="0" w:line="28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Checks.</w:t>
      </w:r>
      <w:r>
        <w:rPr>
          <w:rFonts w:ascii="Times New Roman" w:cs="Times New Roman" w:eastAsia="Times New Roman" w:hAnsi="Times New Roman"/>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80" w:lineRule="exact"/>
        <w:rPr>
          <w:sz w:val="20"/>
          <w:szCs w:val="20"/>
          <w:color w:val="auto"/>
        </w:rPr>
      </w:pPr>
    </w:p>
    <w:p>
      <w:pPr>
        <w:ind w:firstLine="545"/>
        <w:spacing w:after="0" w:line="283"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The fiscal year of the corporation shall begin on the first of January in each year and shall end on the last day of December next following, unless otherwise determined by the board of directors.</w:t>
      </w:r>
    </w:p>
    <w:p>
      <w:pPr>
        <w:spacing w:after="0" w:line="80" w:lineRule="exact"/>
        <w:rPr>
          <w:sz w:val="20"/>
          <w:szCs w:val="20"/>
          <w:color w:val="auto"/>
        </w:rPr>
      </w:pPr>
    </w:p>
    <w:p>
      <w:pPr>
        <w:ind w:right="140" w:firstLine="545"/>
        <w:spacing w:after="0" w:line="266" w:lineRule="auto"/>
        <w:rPr>
          <w:sz w:val="20"/>
          <w:szCs w:val="20"/>
          <w:color w:val="auto"/>
        </w:rPr>
      </w:pPr>
      <w:r>
        <w:rPr>
          <w:rFonts w:ascii="Times New Roman" w:cs="Times New Roman" w:eastAsia="Times New Roman" w:hAnsi="Times New Roman"/>
          <w:sz w:val="18"/>
          <w:szCs w:val="18"/>
          <w:color w:val="auto"/>
        </w:rPr>
        <w:t>9.6 Seal.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95"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8"/>
          <w:szCs w:val="18"/>
          <w:color w:val="auto"/>
        </w:rPr>
        <w:t>INDEMNIFICATION</w:t>
      </w:r>
    </w:p>
    <w:p>
      <w:pPr>
        <w:spacing w:after="0" w:line="145" w:lineRule="exact"/>
        <w:rPr>
          <w:sz w:val="20"/>
          <w:szCs w:val="20"/>
          <w:color w:val="auto"/>
        </w:rPr>
      </w:pPr>
    </w:p>
    <w:p>
      <w:pPr>
        <w:ind w:right="20" w:firstLine="545"/>
        <w:spacing w:after="0" w:line="258" w:lineRule="auto"/>
        <w:rPr>
          <w:sz w:val="20"/>
          <w:szCs w:val="20"/>
          <w:color w:val="auto"/>
        </w:rPr>
      </w:pPr>
      <w:r>
        <w:rPr>
          <w:rFonts w:ascii="Times New Roman" w:cs="Times New Roman" w:eastAsia="Times New Roman" w:hAnsi="Times New Roman"/>
          <w:sz w:val="18"/>
          <w:szCs w:val="18"/>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Delaware General Corporation Law. In furtherance of and not in limitation of the foregoing, the corporation shall advance expenses, including attorneys’ fees,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218" w:right="319" w:bottom="1440" w:gutter="0" w:footer="0" w:header="0"/>
        </w:sectPr>
      </w:pPr>
    </w:p>
    <w:bookmarkStart w:id="291" w:name="page292"/>
    <w:bookmarkEnd w:id="291"/>
    <w:p>
      <w:pPr>
        <w:spacing w:after="0" w:line="255" w:lineRule="auto"/>
        <w:rPr>
          <w:sz w:val="20"/>
          <w:szCs w:val="20"/>
          <w:color w:val="auto"/>
        </w:rPr>
      </w:pPr>
      <w:r>
        <w:rPr>
          <w:rFonts w:ascii="Times New Roman" w:cs="Times New Roman" w:eastAsia="Times New Roman" w:hAnsi="Times New Roman"/>
          <w:sz w:val="18"/>
          <w:szCs w:val="18"/>
          <w:color w:val="auto"/>
        </w:rPr>
        <w:t>officer to repay such advances if it shall ultimately be determined that he is not entitled to be indemnified by the corporation. The corporation shall have the power to purchase and maintain insurance on behalf of any person who is or was a director, officer, employee or 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has the power to indemnify such person under the Delaware General Corporation Law. Notwithstanding the foregoing, the Corporation shall not be required to indemnify or advance expenses to any person in connection with any action, suit, proceeding, claim or counterclaim initiated by or on behalf of such person.</w:t>
      </w:r>
    </w:p>
    <w:p>
      <w:pPr>
        <w:spacing w:after="0" w:line="107"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color w:val="auto"/>
        </w:rPr>
        <w:t>AMENDMENTS</w:t>
      </w:r>
    </w:p>
    <w:p>
      <w:pPr>
        <w:spacing w:after="0" w:line="145" w:lineRule="exact"/>
        <w:rPr>
          <w:sz w:val="20"/>
          <w:szCs w:val="20"/>
          <w:color w:val="auto"/>
        </w:rPr>
      </w:pPr>
    </w:p>
    <w:p>
      <w:pPr>
        <w:ind w:right="40" w:firstLine="545"/>
        <w:spacing w:after="0" w:line="261" w:lineRule="auto"/>
        <w:rPr>
          <w:sz w:val="20"/>
          <w:szCs w:val="20"/>
          <w:color w:val="auto"/>
        </w:rPr>
      </w:pPr>
      <w:r>
        <w:rPr>
          <w:rFonts w:ascii="Times New Roman" w:cs="Times New Roman" w:eastAsia="Times New Roman" w:hAnsi="Times New Roman"/>
          <w:sz w:val="18"/>
          <w:szCs w:val="18"/>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20" w:top="1218" w:right="39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5"/>
          <w:szCs w:val="15"/>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2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SEER, INC.</w:t>
      </w:r>
    </w:p>
    <w:p>
      <w:pPr>
        <w:spacing w:after="0" w:line="19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(initially adopted on [_______], 2020)</w:t>
      </w:r>
    </w:p>
    <w:p>
      <w:pPr>
        <w:spacing w:after="0" w:line="1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(as amended on [_______], 2020 and effective as of the</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closing of the corporation’s initial public offering)</w:t>
      </w:r>
    </w:p>
    <w:p>
      <w:pPr>
        <w:sectPr>
          <w:pgSz w:w="11900" w:h="16838" w:orient="portrait"/>
          <w:cols w:equalWidth="0" w:num="1">
            <w:col w:w="10140"/>
          </w:cols>
          <w:pgMar w:left="1440" w:top="121" w:right="31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19"/>
                <w:szCs w:val="19"/>
                <w:color w:val="auto"/>
              </w:rPr>
            </w:pPr>
          </w:p>
        </w:tc>
        <w:tc>
          <w:tcPr>
            <w:tcW w:w="7820" w:type="dxa"/>
            <w:vAlign w:val="bottom"/>
          </w:tcPr>
          <w:p>
            <w:pPr>
              <w:ind w:left="38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520" w:type="dxa"/>
            <w:vAlign w:val="bottom"/>
          </w:tcPr>
          <w:p>
            <w:pPr>
              <w:spacing w:after="0"/>
              <w:rPr>
                <w:sz w:val="19"/>
                <w:szCs w:val="19"/>
                <w:color w:val="auto"/>
              </w:rPr>
            </w:pPr>
          </w:p>
        </w:tc>
      </w:tr>
      <w:tr>
        <w:trPr>
          <w:trHeight w:val="405"/>
        </w:trPr>
        <w:tc>
          <w:tcPr>
            <w:tcW w:w="8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Page</w:t>
            </w:r>
          </w:p>
        </w:tc>
      </w:tr>
      <w:tr>
        <w:trPr>
          <w:trHeight w:val="470"/>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 - CORPORATE OFFICES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84"/>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1.1</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REGISTERED OFFICE</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9"/>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1.2</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OFFICES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84"/>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 MEETINGS OF STOCKHOLDERS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84"/>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2.1</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PLACE OF MEETINGS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2.2</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ANNUAL MEETING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2.3</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SPECIAL MEETING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9"/>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2.4</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ADVANCE NOTICE PROCEDURES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2.5</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NOTICE OF STOCKHOLDERS’ MEETINGS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2.6</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QUORUM</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2.7</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ADJOURNED MEETING;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2.8</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CONDUCT OF BUSINESS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2.9</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VOTING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9"/>
        </w:trPr>
        <w:tc>
          <w:tcPr>
            <w:tcW w:w="8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2.10 STOCKHOLDER ACTION BY WRITTEN CONSENT WITHOUT A MEETING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8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2.11 RECORD DATES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8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2.12 PROXIES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8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2.13 LIST OF STOCKHOLDERS ENTITLED TO VOTE</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8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2.14 INSPECTORS OF ELECTION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84"/>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84"/>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3.1</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POWERS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3.2</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NUMBER OF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ELECTION, QUALIFICATION AND TERM OF OFFICE OF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9"/>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3.4</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RESIGNATION AND VACANCIES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3.5</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PLACE OF MEETINGS; MEETINGS BY TELEPHONE</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3.6</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REGULAR MEETINGS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9"/>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3.7</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SPECIAL MEETINGS;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3.8</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QUORUM; VOTING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3.9</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BOARD ACTION BY WRITTEN CONSENT WITHOUT A MEETING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8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3.10 FEES AND COMPENSATION OF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8"/>
        </w:trPr>
        <w:tc>
          <w:tcPr>
            <w:tcW w:w="8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3.11 REMOVAL OF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84"/>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 COMMITTEES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84"/>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4.1</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COMMITTEES OF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4.2</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COMMITTEE MINUTES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9"/>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4.3</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MEETINGS AND ACTION OF COMMITTEES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4.4</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SUBCOMMITTEES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84"/>
        </w:trPr>
        <w:tc>
          <w:tcPr>
            <w:tcW w:w="8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 OFFICERS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84"/>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5.1</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OFFICERS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8"/>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5.2</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APPOINTMENT OF OFFICERS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9"/>
        </w:trPr>
        <w:tc>
          <w:tcPr>
            <w:tcW w:w="8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5.3</w:t>
            </w:r>
          </w:p>
        </w:tc>
        <w:tc>
          <w:tcPr>
            <w:tcW w:w="7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SUBORDINATE OFFICERS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20"/>
          </w:cols>
          <w:pgMar w:left="340" w:top="1207" w:right="339" w:bottom="1440" w:gutter="0" w:footer="0" w:header="0"/>
        </w:sectPr>
      </w:pPr>
    </w:p>
    <w:bookmarkStart w:id="294" w:name="page295"/>
    <w:bookmarkEnd w:id="29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(continued)</w:t>
      </w: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Page</w:t>
            </w:r>
          </w:p>
        </w:tc>
      </w:tr>
      <w:tr>
        <w:trPr>
          <w:trHeight w:val="909"/>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5.4</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REMOVAL AND RESIGNATION OF OFFICERS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5.5</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VACANCIES IN OFFICES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5.6</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REPRESENTATION OF SHARES OF OTHER CORPORATIONS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AUTHORITY AND DUTIES OF OFFICERS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84"/>
        </w:trPr>
        <w:tc>
          <w:tcPr>
            <w:tcW w:w="10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84"/>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6.1</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CERTIFICATES; PARTLY PAID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6.2</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SPECIAL DESIGNATION ON CERTIFICATES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6.3</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LOST CERTIFICATES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6.4</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9"/>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6.5</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 OF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6.6</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TRANSFER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6.7</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REGISTERED STOCKHOLDERS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84"/>
        </w:trPr>
        <w:tc>
          <w:tcPr>
            <w:tcW w:w="10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 MANNER OF GIVING NOTICE AND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84"/>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7.1</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 OF STOCKHOLDERS’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9"/>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7.2</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 BY ELECTRONIC TRANSMISSION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7.3</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 TO STOCKHOLDERS SHARING AN ADDRESS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7.4</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NOTICE TO PERSON WITH WHOM COMMUNICATION IS UNLAWFUL</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7.5</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WAIVER OF NOTICE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84"/>
        </w:trPr>
        <w:tc>
          <w:tcPr>
            <w:tcW w:w="10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 INDEMNIFICATION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84"/>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8.1</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OF DIRECTORS AND OFFICERS IN THIRD PARTY PROCEEDINGS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8.2</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OF DIRECTORS AND OFFICERS IN ACTIONS BY OR IN THE RIGHT OF THE CORPORATION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8.3</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SUCCESSFUL DEFENSE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8.4</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OF OTHERS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9"/>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8.5</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ADVANCED PAYMENT OF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8.6</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LIMITATION ON INDEMNIFICATION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8.7</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DETERMINATION; CLAIM</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9"/>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8.8</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NON-EXCLUSIVITY OF RIGHTS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8.9</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3"/>
              </w:rPr>
              <w:t>8.10</w:t>
            </w:r>
          </w:p>
        </w:tc>
        <w:tc>
          <w:tcPr>
            <w:tcW w:w="9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SURVIVAL</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9"/>
        </w:trPr>
        <w:tc>
          <w:tcPr>
            <w:tcW w:w="101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8.11  EFFECT OF REPEAL OR MODIFICATION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3"/>
              </w:rPr>
              <w:t>8.12</w:t>
            </w:r>
          </w:p>
        </w:tc>
        <w:tc>
          <w:tcPr>
            <w:tcW w:w="9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CERTAIN 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84"/>
        </w:trPr>
        <w:tc>
          <w:tcPr>
            <w:tcW w:w="10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 GENERAL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84"/>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9.1</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EXECUTION OF CORPORATE CONTRACTS AND INSTRUMENTS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9.2</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9"/>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9.3</w:t>
            </w:r>
          </w:p>
        </w:tc>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SEAL</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8"/>
        </w:trPr>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9.4</w:t>
            </w:r>
          </w:p>
        </w:tc>
        <w:tc>
          <w:tcPr>
            <w:tcW w:w="9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CONSTRUCTION; 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84"/>
        </w:trPr>
        <w:tc>
          <w:tcPr>
            <w:tcW w:w="10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 - AMENDMENTS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84"/>
        </w:trPr>
        <w:tc>
          <w:tcPr>
            <w:tcW w:w="10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 - EXCLUSIVE FORUM</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40"/>
          </w:cols>
          <w:pgMar w:left="340" w:top="118" w:right="319" w:bottom="1440" w:gutter="0" w:footer="0" w:header="0"/>
        </w:sectPr>
      </w:pPr>
    </w:p>
    <w:bookmarkStart w:id="295" w:name="page296"/>
    <w:bookmarkEnd w:id="295"/>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BYLAWS OF 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159385</wp:posOffset>
            </wp:positionV>
            <wp:extent cx="218503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85035" cy="698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181610</wp:posOffset>
            </wp:positionV>
            <wp:extent cx="218503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85035"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268"/>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95" w:lineRule="exact"/>
        <w:rPr>
          <w:sz w:val="20"/>
          <w:szCs w:val="20"/>
          <w:color w:val="auto"/>
        </w:rPr>
      </w:pPr>
    </w:p>
    <w:p>
      <w:pPr>
        <w:ind w:left="549"/>
        <w:spacing w:after="0"/>
        <w:tabs>
          <w:tab w:leader="none" w:pos="1069"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REGISTERED OFFICE</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The registered office of Seer, Inc. shall be fixed in the corporation’s certificate of incorporation, as the same may be amended from time to time.</w:t>
      </w:r>
    </w:p>
    <w:p>
      <w:pPr>
        <w:spacing w:after="0" w:line="191" w:lineRule="exact"/>
        <w:rPr>
          <w:sz w:val="20"/>
          <w:szCs w:val="20"/>
          <w:color w:val="auto"/>
        </w:rPr>
      </w:pPr>
    </w:p>
    <w:p>
      <w:pPr>
        <w:ind w:left="549"/>
        <w:spacing w:after="0"/>
        <w:tabs>
          <w:tab w:leader="none" w:pos="1069"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OTHER OFFICES</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The corporation’s board of directors may at any time establish other offices at any place or places where the corporation is qualified to do business.</w:t>
      </w:r>
    </w:p>
    <w:p>
      <w:pPr>
        <w:spacing w:after="0" w:line="187" w:lineRule="exact"/>
        <w:rPr>
          <w:sz w:val="20"/>
          <w:szCs w:val="20"/>
          <w:color w:val="auto"/>
        </w:rPr>
      </w:pPr>
    </w:p>
    <w:p>
      <w:pPr>
        <w:ind w:left="376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195" w:lineRule="exact"/>
        <w:rPr>
          <w:sz w:val="20"/>
          <w:szCs w:val="20"/>
          <w:color w:val="auto"/>
        </w:rPr>
      </w:pPr>
    </w:p>
    <w:p>
      <w:pPr>
        <w:ind w:left="549"/>
        <w:spacing w:after="0"/>
        <w:tabs>
          <w:tab w:leader="none" w:pos="1069"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PLACE OF MEETINGS</w:t>
      </w:r>
    </w:p>
    <w:p>
      <w:pPr>
        <w:spacing w:after="0" w:line="191" w:lineRule="exact"/>
        <w:rPr>
          <w:sz w:val="20"/>
          <w:szCs w:val="20"/>
          <w:color w:val="auto"/>
        </w:rPr>
      </w:pPr>
    </w:p>
    <w:p>
      <w:pPr>
        <w:jc w:val="both"/>
        <w:ind w:left="9" w:firstLine="545"/>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determined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44" w:lineRule="exact"/>
        <w:rPr>
          <w:sz w:val="20"/>
          <w:szCs w:val="20"/>
          <w:color w:val="auto"/>
        </w:rPr>
      </w:pPr>
    </w:p>
    <w:p>
      <w:pPr>
        <w:ind w:left="549"/>
        <w:spacing w:after="0"/>
        <w:tabs>
          <w:tab w:leader="none" w:pos="1069"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ANNUAL MEETING</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The annual meeting of stockholders shall be held at such place, on such day and at such time as may be fixed by the board of directors each year.</w:t>
      </w:r>
    </w:p>
    <w:p>
      <w:pPr>
        <w:spacing w:after="0" w:line="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At the annual meeting, directors shall be elected and any other proper business may be transacted.</w:t>
      </w:r>
    </w:p>
    <w:p>
      <w:pPr>
        <w:spacing w:after="0" w:line="171" w:lineRule="exact"/>
        <w:rPr>
          <w:sz w:val="20"/>
          <w:szCs w:val="20"/>
          <w:color w:val="auto"/>
        </w:rPr>
      </w:pPr>
    </w:p>
    <w:p>
      <w:pPr>
        <w:ind w:left="549"/>
        <w:spacing w:after="0"/>
        <w:tabs>
          <w:tab w:leader="none" w:pos="1069"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SPECIAL MEETING</w:t>
      </w:r>
    </w:p>
    <w:p>
      <w:pPr>
        <w:spacing w:after="0" w:line="191" w:lineRule="exact"/>
        <w:rPr>
          <w:sz w:val="20"/>
          <w:szCs w:val="20"/>
          <w:color w:val="auto"/>
        </w:rPr>
      </w:pPr>
    </w:p>
    <w:p>
      <w:pPr>
        <w:ind w:left="1629" w:hanging="539"/>
        <w:spacing w:after="0"/>
        <w:tabs>
          <w:tab w:leader="none" w:pos="162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the stockholders, other than those required by statute, may be called at any time by (A) the board of directors,</w:t>
      </w:r>
    </w:p>
    <w:p>
      <w:pPr>
        <w:spacing w:after="0" w:line="28" w:lineRule="exact"/>
        <w:rPr>
          <w:rFonts w:ascii="Times New Roman" w:cs="Times New Roman" w:eastAsia="Times New Roman" w:hAnsi="Times New Roman"/>
          <w:sz w:val="18"/>
          <w:szCs w:val="18"/>
          <w:color w:val="auto"/>
        </w:rPr>
      </w:pPr>
    </w:p>
    <w:p>
      <w:pPr>
        <w:jc w:val="both"/>
        <w:ind w:left="9" w:hanging="9"/>
        <w:spacing w:after="0" w:line="255" w:lineRule="auto"/>
        <w:tabs>
          <w:tab w:leader="none" w:pos="30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(C) the chief executive officer or (D) the president (in the absence of a chief executive officer), but a special meeting may not be called by any other person or persons. The board of directors may cancel, postpone or reschedule any previously scheduled special meeting at any time, before or after the notice for such meeting has been sent to the stockholders.</w:t>
      </w:r>
    </w:p>
    <w:p>
      <w:pPr>
        <w:spacing w:after="0" w:line="149" w:lineRule="exact"/>
        <w:rPr>
          <w:rFonts w:ascii="Times New Roman" w:cs="Times New Roman" w:eastAsia="Times New Roman" w:hAnsi="Times New Roman"/>
          <w:sz w:val="18"/>
          <w:szCs w:val="18"/>
          <w:color w:val="auto"/>
        </w:rPr>
      </w:pPr>
    </w:p>
    <w:p>
      <w:pPr>
        <w:jc w:val="both"/>
        <w:ind w:left="9" w:firstLine="1081"/>
        <w:spacing w:after="0" w:line="261" w:lineRule="auto"/>
        <w:tabs>
          <w:tab w:leader="none" w:pos="16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 officer). Nothing contained in this Section 2.3(ii) shall be construed as limiting,</w:t>
      </w:r>
    </w:p>
    <w:p>
      <w:pPr>
        <w:sectPr>
          <w:pgSz w:w="11900" w:h="16838" w:orient="portrait"/>
          <w:cols w:equalWidth="0" w:num="1">
            <w:col w:w="11269"/>
          </w:cols>
          <w:pgMar w:left="311" w:top="1259" w:right="3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t>fixing or affecting the time when a meeting of stockholders called by action of the board of directors may be held.</w:t>
      </w:r>
    </w:p>
    <w:p>
      <w:pPr>
        <w:spacing w:after="0" w:line="19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ADVANCE NOTICE PROCEDURES</w:t>
      </w:r>
    </w:p>
    <w:p>
      <w:pPr>
        <w:spacing w:after="0" w:line="189" w:lineRule="exact"/>
        <w:rPr>
          <w:sz w:val="20"/>
          <w:szCs w:val="20"/>
          <w:color w:val="auto"/>
        </w:rPr>
      </w:pPr>
    </w:p>
    <w:p>
      <w:pPr>
        <w:jc w:val="both"/>
        <w:ind w:firstLine="1081"/>
        <w:spacing w:after="0" w:line="254" w:lineRule="auto"/>
        <w:tabs>
          <w:tab w:leader="none" w:pos="162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of Stockholder Business. </w:t>
      </w:r>
      <w:r>
        <w:rPr>
          <w:rFonts w:ascii="Times New Roman" w:cs="Times New Roman" w:eastAsia="Times New Roman" w:hAnsi="Times New Roman"/>
          <w:sz w:val="18"/>
          <w:szCs w:val="18"/>
          <w:color w:val="auto"/>
        </w:rPr>
        <w:t>At an annual meeting of the stockholders, only such business shall be conducted as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the rules and regulations thereunder (as so amended and inclusive of such rules and regulations), and included in the notice of meeting given by or at the direction of the board of directors, for the avoidance of doubt, clause (C) above shall be the exclusive means for a stockholder to bring business before an annual meeting of stockholders.</w:t>
      </w:r>
    </w:p>
    <w:p>
      <w:pPr>
        <w:spacing w:after="0" w:line="150" w:lineRule="exact"/>
        <w:rPr>
          <w:rFonts w:ascii="Times New Roman" w:cs="Times New Roman" w:eastAsia="Times New Roman" w:hAnsi="Times New Roman"/>
          <w:sz w:val="18"/>
          <w:szCs w:val="18"/>
          <w:color w:val="auto"/>
        </w:rPr>
      </w:pPr>
    </w:p>
    <w:p>
      <w:pPr>
        <w:jc w:val="both"/>
        <w:ind w:firstLine="1626"/>
        <w:spacing w:after="0" w:line="253" w:lineRule="auto"/>
        <w:tabs>
          <w:tab w:leader="none" w:pos="217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event that no annual meeting was held in the previous year or if the date of the annual meeting is advanced by more than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2.4(i)(a).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Exchange Commission pursuant to Section 13, 14 or 15(d) of the 1934 Act.</w:t>
      </w:r>
    </w:p>
    <w:p>
      <w:pPr>
        <w:spacing w:after="0" w:line="152" w:lineRule="exact"/>
        <w:rPr>
          <w:rFonts w:ascii="Times New Roman" w:cs="Times New Roman" w:eastAsia="Times New Roman" w:hAnsi="Times New Roman"/>
          <w:sz w:val="18"/>
          <w:szCs w:val="18"/>
          <w:color w:val="auto"/>
        </w:rPr>
      </w:pPr>
    </w:p>
    <w:p>
      <w:pPr>
        <w:ind w:firstLine="1626"/>
        <w:spacing w:after="0" w:line="283" w:lineRule="auto"/>
        <w:tabs>
          <w:tab w:leader="none" w:pos="217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must set forth as to each matter of business the stockholder intends to bring before the annual meeting: (1) a brief description of the business intended to be brought before the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20" w:top="1219" w:right="319" w:bottom="1440" w:gutter="0" w:footer="0" w:header="0"/>
        </w:sectPr>
      </w:pPr>
    </w:p>
    <w:bookmarkStart w:id="297" w:name="page298"/>
    <w:bookmarkEnd w:id="297"/>
    <w:p>
      <w:pPr>
        <w:jc w:val="both"/>
        <w:spacing w:after="0" w:line="252" w:lineRule="auto"/>
        <w:rPr>
          <w:sz w:val="20"/>
          <w:szCs w:val="20"/>
          <w:color w:val="auto"/>
        </w:rPr>
      </w:pPr>
      <w:r>
        <w:rPr>
          <w:rFonts w:ascii="Times New Roman" w:cs="Times New Roman" w:eastAsia="Times New Roman" w:hAnsi="Times New Roman"/>
          <w:sz w:val="18"/>
          <w:szCs w:val="18"/>
          <w:color w:val="auto"/>
        </w:rPr>
        <w:t>meeting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Times New Roman" w:cs="Times New Roman" w:eastAsia="Times New Roman" w:hAnsi="Times New Roman"/>
          <w:sz w:val="18"/>
          <w:szCs w:val="18"/>
          <w:b w:val="1"/>
          <w:bCs w:val="1"/>
          <w:color w:val="auto"/>
        </w:rPr>
        <w:t>Business Solicitation Statement</w:t>
      </w:r>
      <w:r>
        <w:rPr>
          <w:rFonts w:ascii="Times New Roman" w:cs="Times New Roman" w:eastAsia="Times New Roman" w:hAnsi="Times New Roman"/>
          <w:sz w:val="18"/>
          <w:szCs w:val="18"/>
          <w:color w:val="auto"/>
        </w:rPr>
        <w:t>”). In addition, to be in proper written form, a stockholder’s notice to the secretary must be supplemented not later than ten days following the record date for notice of the meeting to disclose the information contained in clauses (3) and (4) above as of the record date for notice of the meeting. For purposes of this Section 2.4, a “</w:t>
      </w:r>
      <w:r>
        <w:rPr>
          <w:rFonts w:ascii="Times New Roman" w:cs="Times New Roman" w:eastAsia="Times New Roman" w:hAnsi="Times New Roman"/>
          <w:sz w:val="18"/>
          <w:szCs w:val="18"/>
          <w:b w:val="1"/>
          <w:bCs w:val="1"/>
          <w:color w:val="auto"/>
        </w:rPr>
        <w:t>Stockholder Associated Person</w:t>
      </w:r>
      <w:r>
        <w:rPr>
          <w:rFonts w:ascii="Times New Roman" w:cs="Times New Roman" w:eastAsia="Times New Roman" w:hAnsi="Times New Roman"/>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55" w:lineRule="exact"/>
        <w:rPr>
          <w:sz w:val="20"/>
          <w:szCs w:val="20"/>
          <w:color w:val="auto"/>
        </w:rPr>
      </w:pPr>
    </w:p>
    <w:p>
      <w:pPr>
        <w:jc w:val="both"/>
        <w:ind w:firstLine="1626"/>
        <w:spacing w:after="0" w:line="254" w:lineRule="auto"/>
        <w:tabs>
          <w:tab w:leader="none" w:pos="217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153" w:lineRule="exact"/>
        <w:rPr>
          <w:rFonts w:ascii="Times New Roman" w:cs="Times New Roman" w:eastAsia="Times New Roman" w:hAnsi="Times New Roman"/>
          <w:sz w:val="18"/>
          <w:szCs w:val="18"/>
          <w:color w:val="auto"/>
        </w:rPr>
      </w:pPr>
    </w:p>
    <w:p>
      <w:pPr>
        <w:jc w:val="both"/>
        <w:ind w:firstLine="1081"/>
        <w:spacing w:after="0" w:line="268" w:lineRule="auto"/>
        <w:tabs>
          <w:tab w:leader="none" w:pos="163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of Director Nominations at Annual Meetings. </w:t>
      </w:r>
      <w:r>
        <w:rPr>
          <w:rFonts w:ascii="Times New Roman" w:cs="Times New Roman" w:eastAsia="Times New Roman" w:hAnsi="Times New Roman"/>
          <w:sz w:val="18"/>
          <w:szCs w:val="18"/>
          <w:color w:val="auto"/>
        </w:rPr>
        <w:t>Notwithstanding anything in these bylaws to the contrary,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are nominated in accordance with the procedures set forth in this Section 2.4(ii) shall be eligible for election or re-election as directors at an annual meeting of stockholders. Nominations of persons for election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20" w:top="1219" w:right="319" w:bottom="1440" w:gutter="0" w:footer="0" w:header="0"/>
        </w:sectPr>
      </w:pPr>
    </w:p>
    <w:bookmarkStart w:id="298" w:name="page299"/>
    <w:bookmarkEnd w:id="298"/>
    <w:p>
      <w:pPr>
        <w:ind w:left="9"/>
        <w:spacing w:after="0"/>
        <w:rPr>
          <w:sz w:val="20"/>
          <w:szCs w:val="20"/>
          <w:color w:val="auto"/>
        </w:rPr>
      </w:pPr>
      <w:r>
        <w:rPr>
          <w:rFonts w:ascii="Times New Roman" w:cs="Times New Roman" w:eastAsia="Times New Roman" w:hAnsi="Times New Roman"/>
          <w:sz w:val="18"/>
          <w:szCs w:val="18"/>
          <w:color w:val="auto"/>
        </w:rPr>
        <w:t>the board of directors of the corporation shall be made at an annual meeting of stockholders only (A) by or at the direction of the board of directors or</w:t>
      </w:r>
    </w:p>
    <w:p>
      <w:pPr>
        <w:spacing w:after="0" w:line="29" w:lineRule="exact"/>
        <w:rPr>
          <w:sz w:val="20"/>
          <w:szCs w:val="20"/>
          <w:color w:val="auto"/>
        </w:rPr>
      </w:pPr>
    </w:p>
    <w:p>
      <w:pPr>
        <w:jc w:val="both"/>
        <w:ind w:left="9" w:hanging="9"/>
        <w:spacing w:after="0" w:line="252" w:lineRule="auto"/>
        <w:tabs>
          <w:tab w:leader="none" w:pos="30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of the corporation who (1) was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53" w:lineRule="exact"/>
        <w:rPr>
          <w:rFonts w:ascii="Times New Roman" w:cs="Times New Roman" w:eastAsia="Times New Roman" w:hAnsi="Times New Roman"/>
          <w:sz w:val="18"/>
          <w:szCs w:val="18"/>
          <w:color w:val="auto"/>
        </w:rPr>
      </w:pPr>
    </w:p>
    <w:p>
      <w:pPr>
        <w:jc w:val="both"/>
        <w:ind w:left="9" w:firstLine="1626"/>
        <w:spacing w:after="0" w:line="266" w:lineRule="auto"/>
        <w:tabs>
          <w:tab w:leader="none" w:pos="2187"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w:t>
      </w:r>
    </w:p>
    <w:p>
      <w:pPr>
        <w:spacing w:after="0" w:line="140" w:lineRule="exact"/>
        <w:rPr>
          <w:rFonts w:ascii="Times New Roman" w:cs="Times New Roman" w:eastAsia="Times New Roman" w:hAnsi="Times New Roman"/>
          <w:sz w:val="18"/>
          <w:szCs w:val="18"/>
          <w:color w:val="auto"/>
        </w:rPr>
      </w:pPr>
    </w:p>
    <w:p>
      <w:pPr>
        <w:ind w:left="2169" w:hanging="534"/>
        <w:spacing w:after="0"/>
        <w:tabs>
          <w:tab w:leader="none" w:pos="216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such stockholder’s notice to the secretary must set forth:</w:t>
      </w:r>
    </w:p>
    <w:p>
      <w:pPr>
        <w:spacing w:after="0" w:line="186" w:lineRule="exact"/>
        <w:rPr>
          <w:rFonts w:ascii="Times New Roman" w:cs="Times New Roman" w:eastAsia="Times New Roman" w:hAnsi="Times New Roman"/>
          <w:sz w:val="18"/>
          <w:szCs w:val="18"/>
          <w:color w:val="auto"/>
        </w:rPr>
      </w:pPr>
    </w:p>
    <w:p>
      <w:pPr>
        <w:ind w:left="2729" w:hanging="549"/>
        <w:spacing w:after="0"/>
        <w:tabs>
          <w:tab w:leader="none" w:pos="2729"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whom the stockholder proposes to nominate for election or re-election as a director:</w:t>
      </w:r>
    </w:p>
    <w:p>
      <w:pPr>
        <w:spacing w:after="0" w:line="32"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31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the stockholder and each nominee and any other person or persons (naming such person or persons) pursuant to which the nominations are to be made by the stockholder,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153" w:lineRule="exact"/>
        <w:rPr>
          <w:rFonts w:ascii="Times New Roman" w:cs="Times New Roman" w:eastAsia="Times New Roman" w:hAnsi="Times New Roman"/>
          <w:sz w:val="18"/>
          <w:szCs w:val="18"/>
          <w:color w:val="auto"/>
        </w:rPr>
      </w:pPr>
    </w:p>
    <w:p>
      <w:pPr>
        <w:jc w:val="both"/>
        <w:ind w:left="9" w:firstLine="2171"/>
        <w:spacing w:after="0" w:line="266" w:lineRule="auto"/>
        <w:tabs>
          <w:tab w:leader="none" w:pos="2731"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9"/>
          </w:cols>
          <w:pgMar w:left="311" w:top="1219" w:right="319" w:bottom="1440" w:gutter="0" w:footer="0" w:header="0"/>
        </w:sectPr>
      </w:pPr>
    </w:p>
    <w:bookmarkStart w:id="299" w:name="page300"/>
    <w:bookmarkEnd w:id="299"/>
    <w:p>
      <w:pPr>
        <w:jc w:val="both"/>
        <w:ind w:left="9"/>
        <w:spacing w:after="0" w:line="261" w:lineRule="auto"/>
        <w:rPr>
          <w:sz w:val="20"/>
          <w:szCs w:val="20"/>
          <w:color w:val="auto"/>
        </w:rPr>
      </w:pPr>
      <w:r>
        <w:rPr>
          <w:rFonts w:ascii="Times New Roman" w:cs="Times New Roman" w:eastAsia="Times New Roman" w:hAnsi="Times New Roman"/>
          <w:sz w:val="18"/>
          <w:szCs w:val="18"/>
          <w:color w:val="auto"/>
        </w:rPr>
        <w:t>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Times New Roman" w:cs="Times New Roman" w:eastAsia="Times New Roman" w:hAnsi="Times New Roman"/>
          <w:sz w:val="18"/>
          <w:szCs w:val="18"/>
          <w:b w:val="1"/>
          <w:bCs w:val="1"/>
          <w:color w:val="auto"/>
        </w:rPr>
        <w:t>Nominee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9" w:firstLine="1626"/>
        <w:spacing w:after="0" w:line="256" w:lineRule="auto"/>
        <w:tabs>
          <w:tab w:leader="none" w:pos="2187"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151" w:lineRule="exact"/>
        <w:rPr>
          <w:rFonts w:ascii="Times New Roman" w:cs="Times New Roman" w:eastAsia="Times New Roman" w:hAnsi="Times New Roman"/>
          <w:sz w:val="18"/>
          <w:szCs w:val="18"/>
          <w:color w:val="auto"/>
        </w:rPr>
      </w:pPr>
    </w:p>
    <w:p>
      <w:pPr>
        <w:jc w:val="both"/>
        <w:ind w:left="9" w:firstLine="1626"/>
        <w:spacing w:after="0" w:line="255" w:lineRule="auto"/>
        <w:tabs>
          <w:tab w:leader="none" w:pos="2186"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50" w:lineRule="exact"/>
        <w:rPr>
          <w:rFonts w:ascii="Times New Roman" w:cs="Times New Roman" w:eastAsia="Times New Roman" w:hAnsi="Times New Roman"/>
          <w:sz w:val="18"/>
          <w:szCs w:val="18"/>
          <w:color w:val="auto"/>
        </w:rPr>
      </w:pPr>
    </w:p>
    <w:p>
      <w:pPr>
        <w:ind w:left="1629" w:hanging="539"/>
        <w:spacing w:after="0"/>
        <w:tabs>
          <w:tab w:leader="none" w:pos="162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of Director Nominations for Special Meetings.</w:t>
      </w:r>
    </w:p>
    <w:p>
      <w:pPr>
        <w:spacing w:after="0" w:line="192" w:lineRule="exact"/>
        <w:rPr>
          <w:rFonts w:ascii="Times New Roman" w:cs="Times New Roman" w:eastAsia="Times New Roman" w:hAnsi="Times New Roman"/>
          <w:sz w:val="18"/>
          <w:szCs w:val="18"/>
          <w:color w:val="auto"/>
        </w:rPr>
      </w:pPr>
    </w:p>
    <w:p>
      <w:pPr>
        <w:jc w:val="both"/>
        <w:ind w:left="9" w:firstLine="1626"/>
        <w:spacing w:after="0" w:line="261" w:lineRule="auto"/>
        <w:tabs>
          <w:tab w:leader="none" w:pos="2187"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w:t>
      </w:r>
    </w:p>
    <w:p>
      <w:pPr>
        <w:spacing w:after="0" w:line="1"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A person shall not be eligible for election or re-election as a director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9"/>
          </w:cols>
          <w:pgMar w:left="311" w:top="1218" w:right="319" w:bottom="1440" w:gutter="0" w:footer="0" w:header="0"/>
        </w:sectPr>
      </w:pPr>
    </w:p>
    <w:bookmarkStart w:id="300" w:name="page301"/>
    <w:bookmarkEnd w:id="300"/>
    <w:p>
      <w:pPr>
        <w:jc w:val="both"/>
        <w:spacing w:after="0" w:line="258" w:lineRule="auto"/>
        <w:rPr>
          <w:sz w:val="20"/>
          <w:szCs w:val="20"/>
          <w:color w:val="auto"/>
        </w:rPr>
      </w:pPr>
      <w:r>
        <w:rPr>
          <w:rFonts w:ascii="Times New Roman" w:cs="Times New Roman" w:eastAsia="Times New Roman" w:hAnsi="Times New Roman"/>
          <w:sz w:val="18"/>
          <w:szCs w:val="18"/>
          <w:color w:val="auto"/>
        </w:rPr>
        <w:t>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48" w:lineRule="exact"/>
        <w:rPr>
          <w:sz w:val="20"/>
          <w:szCs w:val="20"/>
          <w:color w:val="auto"/>
        </w:rPr>
      </w:pPr>
    </w:p>
    <w:p>
      <w:pPr>
        <w:jc w:val="both"/>
        <w:ind w:firstLine="1626"/>
        <w:spacing w:after="0" w:line="266" w:lineRule="auto"/>
        <w:tabs>
          <w:tab w:leader="none" w:pos="2177"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38" w:lineRule="exact"/>
        <w:rPr>
          <w:rFonts w:ascii="Times New Roman" w:cs="Times New Roman" w:eastAsia="Times New Roman" w:hAnsi="Times New Roman"/>
          <w:sz w:val="18"/>
          <w:szCs w:val="18"/>
          <w:color w:val="auto"/>
        </w:rPr>
      </w:pPr>
    </w:p>
    <w:p>
      <w:pPr>
        <w:jc w:val="both"/>
        <w:ind w:firstLine="1081"/>
        <w:spacing w:after="0" w:line="257" w:lineRule="auto"/>
        <w:tabs>
          <w:tab w:leader="none" w:pos="162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Requirements and Rights. </w:t>
      </w:r>
      <w:r>
        <w:rPr>
          <w:rFonts w:ascii="Times New Roman" w:cs="Times New Roman" w:eastAsia="Times New Roman" w:hAnsi="Times New Roman"/>
          <w:sz w:val="18"/>
          <w:szCs w:val="18"/>
          <w:color w:val="auto"/>
        </w:rPr>
        <w:t>In addition to the foregoing provisions of this Section 2.4, a stockholder must also comply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NOTICE OF STOCKHOLDERS’ MEETINGS</w:t>
      </w:r>
    </w:p>
    <w:p>
      <w:pPr>
        <w:spacing w:after="0" w:line="191"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QUORUM</w:t>
      </w:r>
    </w:p>
    <w:p>
      <w:pPr>
        <w:spacing w:after="0" w:line="191"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The holders of a majority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0"/>
          </w:cols>
          <w:pgMar w:left="320" w:top="1218" w:right="319" w:bottom="1440" w:gutter="0" w:footer="0" w:header="0"/>
        </w:sectPr>
      </w:pPr>
    </w:p>
    <w:bookmarkStart w:id="301" w:name="page302"/>
    <w:bookmarkEnd w:id="301"/>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4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ADJOURNED MEETING; NOTICE</w:t>
      </w:r>
    </w:p>
    <w:p>
      <w:pPr>
        <w:spacing w:after="0" w:line="191" w:lineRule="exact"/>
        <w:rPr>
          <w:sz w:val="20"/>
          <w:szCs w:val="20"/>
          <w:color w:val="auto"/>
        </w:rPr>
      </w:pPr>
    </w:p>
    <w:p>
      <w:pPr>
        <w:jc w:val="both"/>
        <w:ind w:firstLine="545"/>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CONDUCT OF BUSINESS</w:t>
      </w:r>
    </w:p>
    <w:p>
      <w:pPr>
        <w:spacing w:after="0" w:line="191"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president (in the absence of the chairperson of the board and the chief executive officer), or in their absence any other executive officer of the corporation, shall serve as chairperson of the stockholder meeting.</w:t>
      </w:r>
    </w:p>
    <w:p>
      <w:pPr>
        <w:spacing w:after="0" w:line="14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VOTING</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4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or these bylaws, each stockholder shall be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20" w:top="1218" w:right="319" w:bottom="1440" w:gutter="0" w:footer="0" w:header="0"/>
        </w:sectPr>
      </w:pPr>
    </w:p>
    <w:bookmarkStart w:id="302" w:name="page303"/>
    <w:bookmarkEnd w:id="302"/>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5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2.10</w:t>
        <w:tab/>
        <w:t>STOCKHOLDER ACTION BY WRITTEN CONSENT WITHOUT A MEETING</w:t>
      </w:r>
    </w:p>
    <w:p>
      <w:pPr>
        <w:spacing w:after="0" w:line="191"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8"/>
          <w:szCs w:val="18"/>
          <w:color w:val="auto"/>
        </w:rPr>
        <w:t>Subject to the rights of the holders of the shares of any series of preferred stock or any other class of stock or series thereof having a preference over the common stock as dividend or upon liquidation,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36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RECORD DATES</w:t>
      </w:r>
    </w:p>
    <w:p>
      <w:pPr>
        <w:spacing w:after="0" w:line="191"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48"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41" w:lineRule="exact"/>
        <w:rPr>
          <w:sz w:val="20"/>
          <w:szCs w:val="20"/>
          <w:color w:val="auto"/>
        </w:rPr>
      </w:pPr>
    </w:p>
    <w:p>
      <w:pPr>
        <w:jc w:val="both"/>
        <w:ind w:firstLine="545"/>
        <w:spacing w:after="0" w:line="259"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20" w:top="1218" w:right="319" w:bottom="1440" w:gutter="0" w:footer="0" w:header="0"/>
        </w:sectPr>
      </w:pPr>
    </w:p>
    <w:bookmarkStart w:id="303" w:name="page304"/>
    <w:bookmarkEnd w:id="303"/>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4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2.12</w:t>
        <w:tab/>
        <w:t>PROXIES</w:t>
      </w:r>
    </w:p>
    <w:p>
      <w:pPr>
        <w:spacing w:after="0" w:line="191" w:lineRule="exact"/>
        <w:rPr>
          <w:sz w:val="20"/>
          <w:szCs w:val="20"/>
          <w:color w:val="auto"/>
        </w:rPr>
      </w:pPr>
    </w:p>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w:t>
      </w:r>
    </w:p>
    <w:p>
      <w:pPr>
        <w:spacing w:after="0" w:line="15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2.13</w:t>
        <w:tab/>
        <w:t>LIST OF STOCKHOLDERS ENTITLED TO VOTE</w:t>
      </w:r>
    </w:p>
    <w:p>
      <w:pPr>
        <w:spacing w:after="0" w:line="191" w:lineRule="exact"/>
        <w:rPr>
          <w:sz w:val="20"/>
          <w:szCs w:val="20"/>
          <w:color w:val="auto"/>
        </w:rPr>
      </w:pPr>
    </w:p>
    <w:p>
      <w:pPr>
        <w:jc w:val="both"/>
        <w:ind w:firstLine="545"/>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shall prepare, at least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20" w:top="1218" w:right="319" w:bottom="1440" w:gutter="0" w:footer="0" w:header="0"/>
        </w:sectPr>
      </w:pPr>
    </w:p>
    <w:bookmarkStart w:id="304" w:name="page305"/>
    <w:bookmarkEnd w:id="304"/>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2.14</w:t>
        <w:tab/>
        <w:t>INSPECTORS OF ELECTION</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191" w:lineRule="exact"/>
        <w:rPr>
          <w:sz w:val="20"/>
          <w:szCs w:val="20"/>
          <w:color w:val="auto"/>
        </w:rPr>
      </w:pPr>
    </w:p>
    <w:p>
      <w:pPr>
        <w:ind w:left="1620" w:hanging="539"/>
        <w:spacing w:after="0"/>
        <w:tabs>
          <w:tab w:leader="none" w:pos="1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outstanding and the voting power of each;</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shares represented at the meeting and the validity of proxies and ballots;</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17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their determination of the number of shares represented at the meeting, and their count of all votes and ballots.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three (3)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19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POWERS</w:t>
      </w:r>
    </w:p>
    <w:p>
      <w:pPr>
        <w:spacing w:after="0" w:line="191" w:lineRule="exact"/>
        <w:rPr>
          <w:sz w:val="20"/>
          <w:szCs w:val="20"/>
          <w:color w:val="auto"/>
        </w:rPr>
      </w:pPr>
    </w:p>
    <w:p>
      <w:pPr>
        <w:jc w:val="both"/>
        <w:ind w:right="20" w:firstLine="545"/>
        <w:spacing w:after="0" w:line="283"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NUMBER OF DIRECTORS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the number of directors shall be determined from time to time by resolution of the board of directors. No reduction of the authorized number of directors shall have the effect of removing any director before that director’s term of office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60"/>
          </w:cols>
          <w:pgMar w:left="320" w:top="1218" w:right="319" w:bottom="1440" w:gutter="0" w:footer="0" w:header="0"/>
        </w:sectPr>
      </w:pPr>
    </w:p>
    <w:bookmarkStart w:id="305" w:name="page306"/>
    <w:bookmarkEnd w:id="305"/>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ELECTION, QUALIFICATION AND TERM OF OFFICE OF DIRECTORS</w:t>
      </w:r>
    </w:p>
    <w:p>
      <w:pPr>
        <w:spacing w:after="0" w:line="191"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corporation shall be divided into three classes.</w:t>
      </w:r>
    </w:p>
    <w:p>
      <w:pPr>
        <w:spacing w:after="0" w:line="19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RESIGNATION AND VACANCIES</w:t>
      </w:r>
    </w:p>
    <w:p>
      <w:pPr>
        <w:spacing w:after="0" w:line="191" w:lineRule="exact"/>
        <w:rPr>
          <w:sz w:val="20"/>
          <w:szCs w:val="20"/>
          <w:color w:val="auto"/>
        </w:rPr>
      </w:pPr>
    </w:p>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52"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48"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44"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20" w:top="1218" w:right="319" w:bottom="1440" w:gutter="0" w:footer="0" w:header="0"/>
        </w:sectPr>
      </w:pPr>
    </w:p>
    <w:bookmarkStart w:id="306" w:name="page307"/>
    <w:bookmarkEnd w:id="306"/>
    <w:p>
      <w:pPr>
        <w:jc w:val="both"/>
        <w:spacing w:after="0" w:line="283" w:lineRule="auto"/>
        <w:rPr>
          <w:sz w:val="20"/>
          <w:szCs w:val="20"/>
          <w:color w:val="auto"/>
        </w:rPr>
      </w:pPr>
      <w:r>
        <w:rPr>
          <w:rFonts w:ascii="Times New Roman" w:cs="Times New Roman" w:eastAsia="Times New Roman" w:hAnsi="Times New Roman"/>
          <w:sz w:val="18"/>
          <w:szCs w:val="18"/>
          <w:color w:val="auto"/>
        </w:rPr>
        <w:t>vacancies or newly created directorships, or to replace the directors chosen by the directors then in office as aforesaid, which election shall be governed by the provisions of Section 211 of the DGCL as far as applicable.</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PLACE OF MEETINGS; MEETINGS BY TELEPHONE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191"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or any committee designated by the board of directors or any subcommittee, may participate in a meeting of the board of directors,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4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REGULAR MEETINGS</w:t>
      </w:r>
    </w:p>
    <w:p>
      <w:pPr>
        <w:spacing w:after="0" w:line="191" w:lineRule="exact"/>
        <w:rPr>
          <w:sz w:val="20"/>
          <w:szCs w:val="20"/>
          <w:color w:val="auto"/>
        </w:rPr>
      </w:pPr>
    </w:p>
    <w:p>
      <w:pPr>
        <w:jc w:val="both"/>
        <w:ind w:right="20" w:firstLine="545"/>
        <w:spacing w:after="0" w:line="283"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SPECIAL MEETINGS; NOTICE</w:t>
      </w:r>
    </w:p>
    <w:p>
      <w:pPr>
        <w:spacing w:after="0" w:line="19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authorized number of directors.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91" w:lineRule="exact"/>
        <w:rPr>
          <w:sz w:val="20"/>
          <w:szCs w:val="20"/>
          <w:color w:val="auto"/>
        </w:rPr>
      </w:pPr>
    </w:p>
    <w:p>
      <w:pPr>
        <w:ind w:left="1620" w:hanging="539"/>
        <w:spacing w:after="0"/>
        <w:tabs>
          <w:tab w:leader="none" w:pos="1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given by electronic transmission (as defined in Section 7.2),</w:t>
      </w:r>
    </w:p>
    <w:p>
      <w:pPr>
        <w:spacing w:after="0" w:line="19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25" w:lineRule="exact"/>
        <w:rPr>
          <w:sz w:val="20"/>
          <w:szCs w:val="20"/>
          <w:color w:val="auto"/>
        </w:rPr>
      </w:pPr>
    </w:p>
    <w:p>
      <w:pPr>
        <w:jc w:val="both"/>
        <w:ind w:right="20" w:firstLine="545"/>
        <w:spacing w:after="0" w:line="266"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60"/>
          </w:cols>
          <w:pgMar w:left="320" w:top="1218" w:right="319" w:bottom="1440" w:gutter="0" w:footer="0" w:header="0"/>
        </w:sectPr>
      </w:pPr>
    </w:p>
    <w:bookmarkStart w:id="307" w:name="page308"/>
    <w:bookmarkEnd w:id="307"/>
    <w:p>
      <w:pPr>
        <w:jc w:val="both"/>
        <w:spacing w:after="0" w:line="266" w:lineRule="auto"/>
        <w:rPr>
          <w:sz w:val="20"/>
          <w:szCs w:val="20"/>
          <w:color w:val="auto"/>
        </w:rPr>
      </w:pPr>
      <w:r>
        <w:rPr>
          <w:rFonts w:ascii="Times New Roman" w:cs="Times New Roman" w:eastAsia="Times New Roman" w:hAnsi="Times New Roman"/>
          <w:sz w:val="18"/>
          <w:szCs w:val="18"/>
          <w:color w:val="auto"/>
        </w:rPr>
        <w:t>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4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QUORUM; VOTING</w:t>
      </w:r>
    </w:p>
    <w:p>
      <w:pPr>
        <w:spacing w:after="0" w:line="191" w:lineRule="exact"/>
        <w:rPr>
          <w:sz w:val="20"/>
          <w:szCs w:val="20"/>
          <w:color w:val="auto"/>
        </w:rPr>
      </w:pPr>
    </w:p>
    <w:p>
      <w:pPr>
        <w:jc w:val="both"/>
        <w:ind w:firstLine="545"/>
        <w:spacing w:after="0" w:line="259"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367"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25"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BOARD ACTION BY WRITTEN CONSENT WITHOUT A MEETING</w:t>
      </w:r>
    </w:p>
    <w:p>
      <w:pPr>
        <w:spacing w:after="0" w:line="191" w:lineRule="exact"/>
        <w:rPr>
          <w:sz w:val="20"/>
          <w:szCs w:val="20"/>
          <w:color w:val="auto"/>
        </w:rPr>
      </w:pPr>
    </w:p>
    <w:p>
      <w:pPr>
        <w:jc w:val="both"/>
        <w:ind w:firstLine="545"/>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or subcommittee thereof, may be taken without a meeting if all members of the board of directors or committee or subcommittee, as the case may be, consent thereto in writing or by electronic transmission and the writing or writings or electronic transmission or transmissions are filed with the minutes of proceedings of the board of directors or committee or subcommittee.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5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3.10</w:t>
        <w:tab/>
        <w:t>FEES AND COMPENSATION OF DIRECTORS</w:t>
      </w:r>
    </w:p>
    <w:p>
      <w:pPr>
        <w:spacing w:after="0" w:line="19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60"/>
          </w:cols>
          <w:pgMar w:left="320" w:top="1218" w:right="319" w:bottom="1440" w:gutter="0" w:footer="0" w:header="0"/>
        </w:sectPr>
      </w:pPr>
    </w:p>
    <w:bookmarkStart w:id="308" w:name="page309"/>
    <w:bookmarkEnd w:id="308"/>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REMOVAL OF DIRECTORS</w:t>
      </w:r>
    </w:p>
    <w:p>
      <w:pPr>
        <w:spacing w:after="0" w:line="191" w:lineRule="exact"/>
        <w:rPr>
          <w:sz w:val="20"/>
          <w:szCs w:val="20"/>
          <w:color w:val="auto"/>
        </w:rPr>
      </w:pPr>
    </w:p>
    <w:p>
      <w:pPr>
        <w:jc w:val="both"/>
        <w:ind w:right="20" w:firstLine="545"/>
        <w:spacing w:after="0" w:line="283" w:lineRule="auto"/>
        <w:rPr>
          <w:sz w:val="20"/>
          <w:szCs w:val="20"/>
          <w:color w:val="auto"/>
        </w:rPr>
      </w:pPr>
      <w:r>
        <w:rPr>
          <w:rFonts w:ascii="Times New Roman" w:cs="Times New Roman" w:eastAsia="Times New Roman" w:hAnsi="Times New Roman"/>
          <w:sz w:val="18"/>
          <w:szCs w:val="18"/>
          <w:color w:val="auto"/>
        </w:rPr>
        <w:t>Consistent with Section 141(k) of the DGCL, so long as the board of directors remains classified as provided in Section 141(d) of the DGCL, any director may be removed from office by the stockholders of the corporation only for cause.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 term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COMMITTEES</w:t>
      </w:r>
    </w:p>
    <w:p>
      <w:pPr>
        <w:spacing w:after="0" w:line="19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COMMITTEES OF DIRECTORS</w:t>
      </w:r>
    </w:p>
    <w:p>
      <w:pPr>
        <w:spacing w:after="0" w:line="191" w:lineRule="exact"/>
        <w:rPr>
          <w:sz w:val="20"/>
          <w:szCs w:val="20"/>
          <w:color w:val="auto"/>
        </w:rPr>
      </w:pPr>
    </w:p>
    <w:p>
      <w:pPr>
        <w:jc w:val="both"/>
        <w:ind w:firstLine="545"/>
        <w:spacing w:after="0" w:line="254" w:lineRule="auto"/>
        <w:rPr>
          <w:sz w:val="20"/>
          <w:szCs w:val="20"/>
          <w:color w:val="auto"/>
        </w:rPr>
      </w:pPr>
      <w:r>
        <w:rPr>
          <w:rFonts w:ascii="Times New Roman" w:cs="Times New Roman" w:eastAsia="Times New Roman" w:hAnsi="Times New Roman"/>
          <w:sz w:val="18"/>
          <w:szCs w:val="18"/>
          <w:color w:val="auto"/>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5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COMMITTEE MINUTES</w:t>
      </w:r>
    </w:p>
    <w:p>
      <w:pPr>
        <w:spacing w:after="0" w:line="19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Each committee and subcommittee shall keep regular minutes of its meetings and report the same to the board of directors, or the committee, when required.</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MEETINGS AND ACTION OF COMMITTEES</w:t>
      </w:r>
    </w:p>
    <w:p>
      <w:pPr>
        <w:spacing w:after="0" w:line="191" w:lineRule="exact"/>
        <w:rPr>
          <w:sz w:val="20"/>
          <w:szCs w:val="20"/>
          <w:color w:val="auto"/>
        </w:rPr>
      </w:pPr>
    </w:p>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 xml:space="preserve">A majority of the directors then serving on a committee or subcommittee shall constitute a quorum for the transaction of business by the committee or subcommittee, unless the certificate of incorporation, these bylaws, a resolution of the board of directors or a resolution of a committee that created the subcommittee requires a greater or lesser number,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 Meetings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60"/>
          </w:cols>
          <w:pgMar w:left="320" w:top="1218" w:right="3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color w:val="auto"/>
        </w:rPr>
        <w:t>actions of committees and subcommittees shall otherwise be governed by, and held and taken in accordance with, the provisions of:</w:t>
      </w:r>
    </w:p>
    <w:p>
      <w:pPr>
        <w:spacing w:after="0" w:line="191" w:lineRule="exact"/>
        <w:rPr>
          <w:sz w:val="20"/>
          <w:szCs w:val="20"/>
          <w:color w:val="auto"/>
        </w:rPr>
      </w:pPr>
    </w:p>
    <w:p>
      <w:pPr>
        <w:ind w:left="1620" w:hanging="539"/>
        <w:spacing w:after="0"/>
        <w:tabs>
          <w:tab w:leader="none" w:pos="1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(quorum; voting);</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7.5 (waiver of notice); and</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w:t>
      </w:r>
    </w:p>
    <w:p>
      <w:pPr>
        <w:spacing w:after="0" w:line="19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20" w:firstLine="1081"/>
        <w:spacing w:after="0" w:line="283" w:lineRule="auto"/>
        <w:tabs>
          <w:tab w:leader="none" w:pos="162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place of regular meetings of committees and subcommittees may be determined either by resolution of the board of directors or by resolution of the committee or subcommittee;</w:t>
      </w:r>
    </w:p>
    <w:p>
      <w:pPr>
        <w:spacing w:after="0" w:line="125"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and subcommittees may also be called by resolution of the board of directors or the committee or</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subcommittee; and</w:t>
      </w:r>
    </w:p>
    <w:p>
      <w:pPr>
        <w:spacing w:after="0" w:line="170"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special meetings of committees and subcommittees shall also be given to all alternate members, as applicable, who shall have the right to attend all meetings of the committee or subcommittee. The board of directors, or, in the absence of any such action by the board of directors, the committee or subcommittee, may adopt rules for the government of any committee or subcommittee not inconsistent with the provisions of these bylaws.</w:t>
      </w:r>
    </w:p>
    <w:p>
      <w:pPr>
        <w:spacing w:after="0" w:line="144" w:lineRule="exact"/>
        <w:rPr>
          <w:sz w:val="20"/>
          <w:szCs w:val="20"/>
          <w:color w:val="auto"/>
        </w:rPr>
      </w:pPr>
    </w:p>
    <w:p>
      <w:pPr>
        <w:jc w:val="both"/>
        <w:ind w:right="20" w:firstLine="545"/>
        <w:spacing w:after="0" w:line="283" w:lineRule="auto"/>
        <w:rPr>
          <w:sz w:val="20"/>
          <w:szCs w:val="20"/>
          <w:color w:val="auto"/>
        </w:rPr>
      </w:pPr>
      <w:r>
        <w:rPr>
          <w:rFonts w:ascii="Times New Roman" w:cs="Times New Roman" w:eastAsia="Times New Roman" w:hAnsi="Times New Roman"/>
          <w:sz w:val="18"/>
          <w:szCs w:val="18"/>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SUBCOMMITTEES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60"/>
          </w:cols>
          <w:pgMar w:left="320" w:top="1218" w:right="319" w:bottom="1440" w:gutter="0" w:footer="0" w:header="0"/>
        </w:sectPr>
      </w:pPr>
    </w:p>
    <w:bookmarkStart w:id="310" w:name="page311"/>
    <w:bookmarkEnd w:id="31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19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OFFICERS</w:t>
      </w:r>
    </w:p>
    <w:p>
      <w:pPr>
        <w:spacing w:after="0" w:line="191"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4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APPOINTMENT OF OFFICERS</w:t>
      </w:r>
    </w:p>
    <w:p>
      <w:pPr>
        <w:spacing w:after="0" w:line="19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SUBORDINATE OFFICERS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4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REMOVAL AND RESIGNATION OF OFFICERS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41"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36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VACANCIES IN OFFICES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of directors or as provided in Section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60"/>
          </w:cols>
          <w:pgMar w:left="320" w:top="1214" w:right="319" w:bottom="1440" w:gutter="0" w:footer="0" w:header="0"/>
        </w:sectPr>
      </w:pPr>
    </w:p>
    <w:bookmarkStart w:id="311" w:name="page312"/>
    <w:bookmarkEnd w:id="311"/>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REPRESENTATION OF SHARES OF OTHER CORPORATIONS</w:t>
      </w:r>
    </w:p>
    <w:p>
      <w:pPr>
        <w:spacing w:after="0" w:line="191"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4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AUTHORITY AND DUTIES OF OFFICERS</w:t>
      </w:r>
    </w:p>
    <w:p>
      <w:pPr>
        <w:spacing w:after="0" w:line="191" w:lineRule="exact"/>
        <w:rPr>
          <w:sz w:val="20"/>
          <w:szCs w:val="20"/>
          <w:color w:val="auto"/>
        </w:rPr>
      </w:pPr>
    </w:p>
    <w:p>
      <w:pPr>
        <w:jc w:val="both"/>
        <w:ind w:right="20" w:firstLine="545"/>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13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19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STOCK CERTIFICATES; PARTLY PAID SHARES</w:t>
      </w:r>
    </w:p>
    <w:p>
      <w:pPr>
        <w:spacing w:after="0" w:line="191" w:lineRule="exact"/>
        <w:rPr>
          <w:sz w:val="20"/>
          <w:szCs w:val="20"/>
          <w:color w:val="auto"/>
        </w:rPr>
      </w:pPr>
    </w:p>
    <w:p>
      <w:pPr>
        <w:jc w:val="both"/>
        <w:ind w:firstLine="545"/>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56"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60"/>
          </w:cols>
          <w:pgMar w:left="320" w:top="1218" w:right="319" w:bottom="1440" w:gutter="0" w:footer="0" w:header="0"/>
        </w:sectPr>
      </w:pPr>
    </w:p>
    <w:bookmarkStart w:id="312" w:name="page313"/>
    <w:bookmarkEnd w:id="312"/>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SPECIAL DESIGNATION ON CERTIFICATES</w:t>
      </w:r>
    </w:p>
    <w:p>
      <w:pPr>
        <w:spacing w:after="0" w:line="191" w:lineRule="exact"/>
        <w:rPr>
          <w:sz w:val="20"/>
          <w:szCs w:val="20"/>
          <w:color w:val="auto"/>
        </w:rPr>
      </w:pPr>
    </w:p>
    <w:p>
      <w:pPr>
        <w:jc w:val="both"/>
        <w:ind w:firstLine="545"/>
        <w:spacing w:after="0" w:line="253"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5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LOST CERTIFICATES</w:t>
      </w:r>
    </w:p>
    <w:p>
      <w:pPr>
        <w:spacing w:after="0" w:line="191"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4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DIVIDENDS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4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The board of directors may set apart out of any of the funds of the corporation available for dividends a reserve or reserves for any proper purpose and may abolish any such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60"/>
          </w:cols>
          <w:pgMar w:left="320" w:top="1218" w:right="319" w:bottom="1440" w:gutter="0" w:footer="0" w:header="0"/>
        </w:sectPr>
      </w:pPr>
    </w:p>
    <w:bookmarkStart w:id="313" w:name="page314"/>
    <w:bookmarkEnd w:id="313"/>
    <w:p>
      <w:pPr>
        <w:jc w:val="both"/>
        <w:spacing w:after="0" w:line="261" w:lineRule="auto"/>
        <w:rPr>
          <w:sz w:val="20"/>
          <w:szCs w:val="20"/>
          <w:color w:val="auto"/>
        </w:rPr>
      </w:pPr>
      <w:r>
        <w:rPr>
          <w:rFonts w:ascii="Times New Roman" w:cs="Times New Roman" w:eastAsia="Times New Roman" w:hAnsi="Times New Roman"/>
          <w:sz w:val="18"/>
          <w:szCs w:val="18"/>
          <w:color w:val="auto"/>
        </w:rPr>
        <w:t>Such purposes shall include but not be limited to equalizing dividends, repairing or maintaining any property of the corporation, and meeting contingencies.</w:t>
      </w:r>
    </w:p>
    <w:p>
      <w:pPr>
        <w:spacing w:after="0" w:line="38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TRANSFER OF STOCK</w:t>
      </w:r>
    </w:p>
    <w:p>
      <w:pPr>
        <w:spacing w:after="0" w:line="191" w:lineRule="exact"/>
        <w:rPr>
          <w:sz w:val="20"/>
          <w:szCs w:val="20"/>
          <w:color w:val="auto"/>
        </w:rPr>
      </w:pPr>
    </w:p>
    <w:p>
      <w:pPr>
        <w:jc w:val="both"/>
        <w:ind w:right="20" w:firstLine="545"/>
        <w:spacing w:after="0" w:line="266" w:lineRule="auto"/>
        <w:rPr>
          <w:sz w:val="20"/>
          <w:szCs w:val="20"/>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4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STOCK TRANSFER AGREEMENTS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4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REGISTERED STOCKHOLDERS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91" w:lineRule="exact"/>
        <w:rPr>
          <w:sz w:val="20"/>
          <w:szCs w:val="20"/>
          <w:color w:val="auto"/>
        </w:rPr>
      </w:pPr>
    </w:p>
    <w:p>
      <w:pPr>
        <w:ind w:right="20" w:firstLine="1081"/>
        <w:spacing w:after="0" w:line="283" w:lineRule="auto"/>
        <w:tabs>
          <w:tab w:leader="none" w:pos="162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spacing w:after="0" w:line="125" w:lineRule="exact"/>
        <w:rPr>
          <w:rFonts w:ascii="Times New Roman" w:cs="Times New Roman" w:eastAsia="Times New Roman" w:hAnsi="Times New Roman"/>
          <w:sz w:val="18"/>
          <w:szCs w:val="18"/>
          <w:color w:val="auto"/>
        </w:rPr>
      </w:pPr>
    </w:p>
    <w:p>
      <w:pPr>
        <w:ind w:firstLine="1081"/>
        <w:spacing w:after="0" w:line="283" w:lineRule="auto"/>
        <w:tabs>
          <w:tab w:leader="none" w:pos="163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21" w:lineRule="exact"/>
        <w:rPr>
          <w:sz w:val="20"/>
          <w:szCs w:val="20"/>
          <w:color w:val="auto"/>
        </w:rPr>
      </w:pPr>
    </w:p>
    <w:p>
      <w:pPr>
        <w:ind w:left="540" w:right="2940" w:firstLine="2658"/>
        <w:spacing w:after="0" w:line="463" w:lineRule="auto"/>
        <w:rPr>
          <w:sz w:val="20"/>
          <w:szCs w:val="20"/>
          <w:color w:val="auto"/>
        </w:rPr>
      </w:pPr>
      <w:r>
        <w:rPr>
          <w:rFonts w:ascii="Times New Roman" w:cs="Times New Roman" w:eastAsia="Times New Roman" w:hAnsi="Times New Roman"/>
          <w:sz w:val="18"/>
          <w:szCs w:val="18"/>
          <w:b w:val="1"/>
          <w:bCs w:val="1"/>
          <w:color w:val="auto"/>
        </w:rPr>
        <w:t xml:space="preserve">ARTICLE VII - MANNER OF GIVING NOTICE AND WAIVER </w:t>
      </w:r>
      <w:r>
        <w:rPr>
          <w:rFonts w:ascii="Times New Roman" w:cs="Times New Roman" w:eastAsia="Times New Roman" w:hAnsi="Times New Roman"/>
          <w:sz w:val="18"/>
          <w:szCs w:val="18"/>
          <w:color w:val="auto"/>
        </w:rPr>
        <w:t>7.1 NOTICE OF STOCKHOLDERS’ MEETINGS</w:t>
      </w: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4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NOTICE BY ELECTRONIC TRANSMISSION</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60"/>
          </w:cols>
          <w:pgMar w:left="320" w:top="1218" w:right="3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color w:val="auto"/>
        </w:rPr>
        <w:t>consented to by the stockholder to whom the notice is given. Any such consent shall be revocable by the stockholder by written notice to the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consent shall be deemed revoked if:</w:t>
      </w:r>
    </w:p>
    <w:p>
      <w:pPr>
        <w:spacing w:after="0" w:line="171" w:lineRule="exact"/>
        <w:rPr>
          <w:sz w:val="20"/>
          <w:szCs w:val="20"/>
          <w:color w:val="auto"/>
        </w:rPr>
      </w:pPr>
    </w:p>
    <w:p>
      <w:pPr>
        <w:ind w:left="1620" w:hanging="539"/>
        <w:spacing w:after="0"/>
        <w:tabs>
          <w:tab w:leader="none" w:pos="1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unable to deliver by electronic transmission two consecutive notices given by the corporation in accordance with</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 and</w:t>
      </w:r>
    </w:p>
    <w:p>
      <w:pPr>
        <w:spacing w:after="0" w:line="170" w:lineRule="exact"/>
        <w:rPr>
          <w:rFonts w:ascii="Times New Roman" w:cs="Times New Roman" w:eastAsia="Times New Roman" w:hAnsi="Times New Roman"/>
          <w:sz w:val="18"/>
          <w:szCs w:val="18"/>
          <w:color w:val="auto"/>
        </w:rPr>
      </w:pPr>
    </w:p>
    <w:p>
      <w:pPr>
        <w:ind w:right="20" w:firstLine="1081"/>
        <w:spacing w:after="0" w:line="283" w:lineRule="auto"/>
        <w:tabs>
          <w:tab w:leader="none" w:pos="163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corporation or to the transfer agent, or other person responsible for the giving of notice.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inadvertent failure to treat such inability as a revocation shall not invalidate any meeting or other action.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91" w:lineRule="exact"/>
        <w:rPr>
          <w:sz w:val="20"/>
          <w:szCs w:val="20"/>
          <w:color w:val="auto"/>
        </w:rPr>
      </w:pPr>
    </w:p>
    <w:p>
      <w:pPr>
        <w:ind w:left="1620" w:hanging="539"/>
        <w:spacing w:after="0"/>
        <w:tabs>
          <w:tab w:leader="none" w:pos="1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electronic mail, when directed to an electronic mail address at which the stockholder has consented to receive notice;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8" w:lineRule="exact"/>
        <w:rPr>
          <w:rFonts w:ascii="Times New Roman" w:cs="Times New Roman" w:eastAsia="Times New Roman" w:hAnsi="Times New Roman"/>
          <w:sz w:val="18"/>
          <w:szCs w:val="18"/>
          <w:color w:val="auto"/>
        </w:rPr>
      </w:pPr>
    </w:p>
    <w:p>
      <w:pPr>
        <w:ind w:left="1920" w:hanging="294"/>
        <w:spacing w:after="0"/>
        <w:tabs>
          <w:tab w:leader="none" w:pos="19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posting and (B) the giving of such separate notice; and</w:t>
      </w:r>
    </w:p>
    <w:p>
      <w:pPr>
        <w:spacing w:after="0" w:line="17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19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21"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Notice by a form of electronic transmission shall not apply to Sections 164, 296, 311, 312 or 324 of the DGCL.</w:t>
      </w:r>
    </w:p>
    <w:p>
      <w:pPr>
        <w:spacing w:after="0" w:line="19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NOTICE TO STOCKHOLDERS SHARING AN ADDRESS</w:t>
      </w:r>
    </w:p>
    <w:p>
      <w:pPr>
        <w:spacing w:after="0" w:line="19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60"/>
          </w:cols>
          <w:pgMar w:left="320" w:top="1218" w:right="319" w:bottom="1440" w:gutter="0" w:footer="0" w:header="0"/>
        </w:sectPr>
      </w:pPr>
    </w:p>
    <w:bookmarkStart w:id="315" w:name="page316"/>
    <w:bookmarkEnd w:id="315"/>
    <w:p>
      <w:pPr>
        <w:jc w:val="both"/>
        <w:spacing w:after="0" w:line="261" w:lineRule="auto"/>
        <w:rPr>
          <w:sz w:val="20"/>
          <w:szCs w:val="20"/>
          <w:color w:val="auto"/>
        </w:rPr>
      </w:pPr>
      <w:r>
        <w:rPr>
          <w:rFonts w:ascii="Times New Roman" w:cs="Times New Roman" w:eastAsia="Times New Roman" w:hAnsi="Times New Roman"/>
          <w:sz w:val="18"/>
          <w:szCs w:val="18"/>
          <w:color w:val="auto"/>
        </w:rPr>
        <w:t>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4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NOTICE TO PERSON WITH WHOM COMMUNICATION IS UNLAWFUL</w:t>
      </w:r>
    </w:p>
    <w:p>
      <w:pPr>
        <w:spacing w:after="0" w:line="191" w:lineRule="exact"/>
        <w:rPr>
          <w:sz w:val="20"/>
          <w:szCs w:val="20"/>
          <w:color w:val="auto"/>
        </w:rPr>
      </w:pPr>
    </w:p>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5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WAIVER OF NOTICE</w:t>
      </w:r>
    </w:p>
    <w:p>
      <w:pPr>
        <w:spacing w:after="0" w:line="191"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4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19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INDEMNIFICATION OF DIRECTORS AND OFFICERS IN THIRD PARTY PROCEEDINGS</w:t>
      </w:r>
    </w:p>
    <w:p>
      <w:pPr>
        <w:spacing w:after="0" w:line="191" w:lineRule="exact"/>
        <w:rPr>
          <w:sz w:val="20"/>
          <w:szCs w:val="20"/>
          <w:color w:val="auto"/>
        </w:rPr>
      </w:pPr>
    </w:p>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60"/>
          </w:cols>
          <w:pgMar w:left="320" w:top="1218" w:right="319" w:bottom="1440" w:gutter="0" w:footer="0" w:header="0"/>
        </w:sectPr>
      </w:pPr>
    </w:p>
    <w:bookmarkStart w:id="316" w:name="page317"/>
    <w:bookmarkEnd w:id="31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5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INDEMNIFICATION OF DIRECTORS AND OFFICERS IN ACTIONS BY OR IN THE RIGHT OF THE CORPORATION</w:t>
      </w:r>
    </w:p>
    <w:p>
      <w:pPr>
        <w:spacing w:after="0" w:line="191" w:lineRule="exact"/>
        <w:rPr>
          <w:sz w:val="20"/>
          <w:szCs w:val="20"/>
          <w:color w:val="auto"/>
        </w:rPr>
      </w:pPr>
    </w:p>
    <w:p>
      <w:pPr>
        <w:jc w:val="both"/>
        <w:ind w:firstLine="545"/>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5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SUCCESSFUL DEFENSE</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4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INDEMNIFICATION OF OTHERS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corporation shall have power to indemnify its employees and agents to the extent not prohibited by the DGCL or other applicable law. The board of directors shall have the power to delegate to such person or persons the determination of whether employees or agents shall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60"/>
          </w:cols>
          <w:pgMar w:left="320" w:top="1218" w:right="319" w:bottom="1440" w:gutter="0" w:footer="0" w:header="0"/>
        </w:sectPr>
      </w:pPr>
    </w:p>
    <w:bookmarkStart w:id="317" w:name="page318"/>
    <w:bookmarkEnd w:id="317"/>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ADVANCED PAYMENT OF EXPENSES</w:t>
      </w:r>
    </w:p>
    <w:p>
      <w:pPr>
        <w:spacing w:after="0" w:line="191" w:lineRule="exact"/>
        <w:rPr>
          <w:sz w:val="20"/>
          <w:szCs w:val="20"/>
          <w:color w:val="auto"/>
        </w:rPr>
      </w:pPr>
    </w:p>
    <w:p>
      <w:pPr>
        <w:jc w:val="both"/>
        <w:ind w:firstLine="545"/>
        <w:spacing w:after="0" w:line="254"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5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LIMITATION ON INDEMNIFICATION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the requirements in Section 8.3 and the DGCL, the corporation shall not be obligated to indemnify any person pursuant to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 in connection with any Proceeding (or any part of any Proceeding):</w:t>
      </w:r>
    </w:p>
    <w:p>
      <w:pPr>
        <w:spacing w:after="0" w:line="171" w:lineRule="exact"/>
        <w:rPr>
          <w:sz w:val="20"/>
          <w:szCs w:val="20"/>
          <w:color w:val="auto"/>
        </w:rPr>
      </w:pPr>
    </w:p>
    <w:p>
      <w:pPr>
        <w:ind w:firstLine="1081"/>
        <w:spacing w:after="0" w:line="283" w:lineRule="auto"/>
        <w:tabs>
          <w:tab w:leader="none" w:pos="162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25" w:lineRule="exact"/>
        <w:rPr>
          <w:rFonts w:ascii="Times New Roman" w:cs="Times New Roman" w:eastAsia="Times New Roman" w:hAnsi="Times New Roman"/>
          <w:sz w:val="18"/>
          <w:szCs w:val="18"/>
          <w:color w:val="auto"/>
        </w:rPr>
      </w:pPr>
    </w:p>
    <w:p>
      <w:pPr>
        <w:ind w:firstLine="1081"/>
        <w:spacing w:after="0" w:line="283" w:lineRule="auto"/>
        <w:tabs>
          <w:tab w:leader="none" w:pos="163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25" w:lineRule="exact"/>
        <w:rPr>
          <w:rFonts w:ascii="Times New Roman" w:cs="Times New Roman" w:eastAsia="Times New Roman" w:hAnsi="Times New Roman"/>
          <w:sz w:val="18"/>
          <w:szCs w:val="18"/>
          <w:color w:val="auto"/>
        </w:rPr>
      </w:pPr>
    </w:p>
    <w:p>
      <w:pPr>
        <w:jc w:val="both"/>
        <w:ind w:firstLine="1081"/>
        <w:spacing w:after="0" w:line="258" w:lineRule="auto"/>
        <w:tabs>
          <w:tab w:leader="none" w:pos="163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Sarbanes-Oxley Act), if such person is held liable therefor (including pursuant to any settlement arrangements);</w:t>
      </w:r>
    </w:p>
    <w:p>
      <w:pPr>
        <w:spacing w:after="0" w:line="148"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2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60"/>
          </w:cols>
          <w:pgMar w:left="320" w:top="1218" w:right="3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color w:val="auto"/>
        </w:rPr>
        <w:t>applicable law, (c) otherwise required to be made under Section 8.7 or (d) otherwise required by applicable law; or</w:t>
      </w:r>
    </w:p>
    <w:p>
      <w:pPr>
        <w:spacing w:after="0" w:line="191" w:lineRule="exact"/>
        <w:rPr>
          <w:sz w:val="20"/>
          <w:szCs w:val="20"/>
          <w:color w:val="auto"/>
        </w:rPr>
      </w:pPr>
    </w:p>
    <w:p>
      <w:pPr>
        <w:ind w:left="1620" w:hanging="539"/>
        <w:spacing w:after="0"/>
        <w:tabs>
          <w:tab w:leader="none" w:pos="1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19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DETERMINATION; CLAIM</w:t>
      </w:r>
    </w:p>
    <w:p>
      <w:pPr>
        <w:spacing w:after="0" w:line="191" w:lineRule="exact"/>
        <w:rPr>
          <w:sz w:val="20"/>
          <w:szCs w:val="20"/>
          <w:color w:val="auto"/>
        </w:rPr>
      </w:pPr>
    </w:p>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5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NON-EXCLUSIVITY OF RIGHTS</w:t>
      </w:r>
    </w:p>
    <w:p>
      <w:pPr>
        <w:spacing w:after="0" w:line="191"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48"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INSURANCE</w:t>
      </w:r>
    </w:p>
    <w:p>
      <w:pPr>
        <w:spacing w:after="0" w:line="191" w:lineRule="exact"/>
        <w:rPr>
          <w:sz w:val="20"/>
          <w:szCs w:val="20"/>
          <w:color w:val="auto"/>
        </w:rPr>
      </w:pPr>
    </w:p>
    <w:p>
      <w:pPr>
        <w:jc w:val="both"/>
        <w:ind w:firstLine="545"/>
        <w:spacing w:after="0" w:line="259"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36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7"/>
          <w:szCs w:val="17"/>
          <w:color w:val="auto"/>
        </w:rPr>
        <w:t>SURVIVAL</w:t>
      </w:r>
    </w:p>
    <w:p>
      <w:pPr>
        <w:spacing w:after="0" w:line="191"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60"/>
          </w:cols>
          <w:pgMar w:left="320" w:top="1218" w:right="319" w:bottom="1440" w:gutter="0" w:footer="0" w:header="0"/>
        </w:sectPr>
      </w:pPr>
    </w:p>
    <w:bookmarkStart w:id="319" w:name="page320"/>
    <w:bookmarkEnd w:id="319"/>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8.11</w:t>
        <w:tab/>
        <w:t>EFFECT OF REPEAL OR MODIFICATION</w:t>
      </w:r>
    </w:p>
    <w:p>
      <w:pPr>
        <w:spacing w:after="0" w:line="191"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4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7"/>
          <w:szCs w:val="17"/>
          <w:color w:val="auto"/>
        </w:rPr>
        <w:t>CERTAIN DEFINITIONS</w:t>
      </w:r>
    </w:p>
    <w:p>
      <w:pPr>
        <w:spacing w:after="0" w:line="187" w:lineRule="exact"/>
        <w:rPr>
          <w:sz w:val="20"/>
          <w:szCs w:val="20"/>
          <w:color w:val="auto"/>
        </w:rPr>
      </w:pPr>
    </w:p>
    <w:p>
      <w:pPr>
        <w:jc w:val="both"/>
        <w:ind w:firstLine="545"/>
        <w:spacing w:after="0" w:line="253"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corporation</w:t>
      </w:r>
      <w:r>
        <w:rPr>
          <w:rFonts w:ascii="Times New Roman" w:cs="Times New Roman" w:eastAsia="Times New Roman" w:hAnsi="Times New Roman"/>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corporation</w:t>
      </w:r>
      <w:r>
        <w:rPr>
          <w:rFonts w:ascii="Times New Roman" w:cs="Times New Roman" w:eastAsia="Times New Roman" w:hAnsi="Times New Roman"/>
          <w:sz w:val="18"/>
          <w:szCs w:val="18"/>
          <w:color w:val="auto"/>
        </w:rPr>
        <w:t>” as referred to in this Article VIII.</w:t>
      </w:r>
    </w:p>
    <w:p>
      <w:pPr>
        <w:spacing w:after="0" w:line="15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19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EXECUTION OF CORPORATE CONTRACTS AND INSTRUMENTS</w:t>
      </w:r>
    </w:p>
    <w:p>
      <w:pPr>
        <w:spacing w:after="0" w:line="191" w:lineRule="exact"/>
        <w:rPr>
          <w:sz w:val="20"/>
          <w:szCs w:val="20"/>
          <w:color w:val="auto"/>
        </w:rPr>
      </w:pPr>
    </w:p>
    <w:p>
      <w:pPr>
        <w:jc w:val="both"/>
        <w:ind w:firstLine="545"/>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60"/>
          </w:cols>
          <w:pgMar w:left="320" w:top="1218" w:right="319" w:bottom="1440" w:gutter="0" w:footer="0" w:header="0"/>
        </w:sectPr>
      </w:pPr>
    </w:p>
    <w:bookmarkStart w:id="320" w:name="page321"/>
    <w:bookmarkEnd w:id="320"/>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FISCAL YEAR</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191"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SEAL</w:t>
      </w:r>
    </w:p>
    <w:p>
      <w:pPr>
        <w:spacing w:after="0" w:line="191" w:lineRule="exact"/>
        <w:rPr>
          <w:sz w:val="20"/>
          <w:szCs w:val="20"/>
          <w:color w:val="auto"/>
        </w:rPr>
      </w:pPr>
    </w:p>
    <w:p>
      <w:pPr>
        <w:jc w:val="both"/>
        <w:ind w:right="20" w:firstLine="545"/>
        <w:spacing w:after="0" w:line="283"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2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CONSTRUCTION; DEFINITIONS</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both a corporation and a natural person.</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ARTICLE X -AMENDMENTS</w:t>
      </w:r>
    </w:p>
    <w:p>
      <w:pPr>
        <w:spacing w:after="0" w:line="195"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ARTICLE XI - EXCLUSIVE FORUM</w:t>
      </w:r>
    </w:p>
    <w:p>
      <w:pPr>
        <w:spacing w:after="0" w:line="195" w:lineRule="exact"/>
        <w:rPr>
          <w:sz w:val="20"/>
          <w:szCs w:val="20"/>
          <w:color w:val="auto"/>
        </w:rPr>
      </w:pPr>
    </w:p>
    <w:p>
      <w:pPr>
        <w:jc w:val="both"/>
        <w:ind w:firstLine="545"/>
        <w:spacing w:after="0" w:line="254"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under Delaware statutory or common law brought on behalf of the corporation, (ii) any action asserting a claim of breach of a fiduciary duty owed by any director, officer or other employee of the corporation to the corporation or the corporation’s stockholders, (iii) any action arising pursuant to any provision of the DGCL or the corporation’s certificate of incorporation or these bylaws (as either may be amended from time to time), or (iv) any action asserting a claim governed by the internal affairs doctrine, except for, as to each of (i) through (iv) above, any claim (A) as to which such court determines that there is an indispensable party not subject to the jurisdiction of such court (and the indispensable party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60"/>
          </w:cols>
          <w:pgMar w:left="320" w:top="1218" w:right="319" w:bottom="1440" w:gutter="0" w:footer="0" w:header="0"/>
        </w:sectPr>
      </w:pPr>
    </w:p>
    <w:bookmarkStart w:id="321" w:name="page322"/>
    <w:bookmarkEnd w:id="321"/>
    <w:p>
      <w:pPr>
        <w:jc w:val="both"/>
        <w:spacing w:after="0" w:line="261" w:lineRule="auto"/>
        <w:rPr>
          <w:sz w:val="20"/>
          <w:szCs w:val="20"/>
          <w:color w:val="auto"/>
        </w:rPr>
      </w:pPr>
      <w:r>
        <w:rPr>
          <w:rFonts w:ascii="Times New Roman" w:cs="Times New Roman" w:eastAsia="Times New Roman" w:hAnsi="Times New Roman"/>
          <w:sz w:val="18"/>
          <w:szCs w:val="18"/>
          <w:color w:val="auto"/>
        </w:rPr>
        <w:t>not consent to the personal jurisdiction of such court within ten (10) days following such determination), (B) which is vested in the exclusive jurisdiction of a court or forum other than such court, or (C) for which such court does not have subject matter jurisdiction. Nothing herein contained shall be construed to preclude stockholders that assert claims under the 1934 Act or any successor thereto, from bringing such claims in state or federal court, subject to applicable law.</w:t>
      </w:r>
    </w:p>
    <w:p>
      <w:pPr>
        <w:spacing w:after="0" w:line="144" w:lineRule="exact"/>
        <w:rPr>
          <w:sz w:val="20"/>
          <w:szCs w:val="20"/>
          <w:color w:val="auto"/>
        </w:rPr>
      </w:pPr>
    </w:p>
    <w:p>
      <w:pPr>
        <w:jc w:val="both"/>
        <w:ind w:right="20" w:firstLine="545"/>
        <w:spacing w:after="0" w:line="283"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25" w:lineRule="exact"/>
        <w:rPr>
          <w:sz w:val="20"/>
          <w:szCs w:val="20"/>
          <w:color w:val="auto"/>
        </w:rPr>
      </w:pPr>
    </w:p>
    <w:p>
      <w:pPr>
        <w:jc w:val="both"/>
        <w:ind w:firstLine="545"/>
        <w:spacing w:after="0" w:line="28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the provisions of this Article XI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60"/>
          </w:cols>
          <w:pgMar w:left="320" w:top="1218" w:right="319" w:bottom="1440" w:gutter="0" w:footer="0" w:header="0"/>
        </w:sectPr>
      </w:pPr>
    </w:p>
    <w:bookmarkStart w:id="322" w:name="page323"/>
    <w:bookmarkEnd w:id="32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159385</wp:posOffset>
            </wp:positionV>
            <wp:extent cx="393763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37635" cy="6985"/>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181610</wp:posOffset>
            </wp:positionV>
            <wp:extent cx="393763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37635"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firstLine="545"/>
        <w:spacing w:after="0" w:line="283" w:lineRule="auto"/>
        <w:rPr>
          <w:sz w:val="20"/>
          <w:szCs w:val="20"/>
          <w:color w:val="auto"/>
        </w:rPr>
      </w:pPr>
      <w:r>
        <w:rPr>
          <w:rFonts w:ascii="Times New Roman" w:cs="Times New Roman" w:eastAsia="Times New Roman" w:hAnsi="Times New Roman"/>
          <w:sz w:val="18"/>
          <w:szCs w:val="18"/>
          <w:color w:val="auto"/>
        </w:rPr>
        <w:t>The undersigned hereby certifies that he or she is the duly elected, qualified, and acting Secretary or Assistant Secretary of Seer, Inc., a Delaware corporation and that the foregoing bylaws were amended and restated on ____________ __, 2020 by the corporation’s board of directors.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or her hand this ___ day of __________ 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142875</wp:posOffset>
            </wp:positionV>
            <wp:extent cx="323088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0880" cy="6985"/>
                    </a:xfrm>
                    <a:prstGeom prst="rect">
                      <a:avLst/>
                    </a:prstGeom>
                    <a:noFill/>
                  </pic:spPr>
                </pic:pic>
              </a:graphicData>
            </a:graphic>
          </wp:anchor>
        </w:drawing>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260"/>
          </w:cols>
          <w:pgMar w:left="320" w:top="1440" w:right="319" w:bottom="1440" w:gutter="0" w:footer="0" w:header="0"/>
        </w:sectPr>
      </w:pPr>
    </w:p>
    <w:bookmarkStart w:id="323" w:name="page324"/>
    <w:bookmarkEnd w:id="323"/>
    <w:p>
      <w:pPr>
        <w:ind w:left="944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428625</wp:posOffset>
            </wp:positionV>
            <wp:extent cx="7206615" cy="4413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6615" cy="441388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1250315</wp:posOffset>
            </wp:positionH>
            <wp:positionV relativeFrom="page">
              <wp:posOffset>521335</wp:posOffset>
            </wp:positionV>
            <wp:extent cx="5048250" cy="65411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5048250" cy="654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5"/>
          <w:szCs w:val="15"/>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145"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12th day of May, 2020, by and among Seer,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each of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referred to in this Agreement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and each of the stockholders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each of whom is referred to herein as a “</w:t>
      </w:r>
      <w:r>
        <w:rPr>
          <w:rFonts w:ascii="Times New Roman" w:cs="Times New Roman" w:eastAsia="Times New Roman" w:hAnsi="Times New Roman"/>
          <w:sz w:val="18"/>
          <w:szCs w:val="18"/>
          <w:b w:val="1"/>
          <w:bCs w:val="1"/>
          <w:color w:val="auto"/>
        </w:rPr>
        <w:t>Key Holder</w:t>
      </w:r>
      <w:r>
        <w:rPr>
          <w:rFonts w:ascii="Times New Roman" w:cs="Times New Roman" w:eastAsia="Times New Roman" w:hAnsi="Times New Roman"/>
          <w:sz w:val="18"/>
          <w:szCs w:val="18"/>
          <w:color w:val="auto"/>
        </w:rPr>
        <w:t xml:space="preserve">” and any Additional Purchaser (as defined in the Purchase Agreement) that becomes a party to this Agreement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45" w:lineRule="exact"/>
        <w:rPr>
          <w:sz w:val="20"/>
          <w:szCs w:val="20"/>
          <w:color w:val="auto"/>
        </w:rPr>
      </w:pPr>
    </w:p>
    <w:p>
      <w:pPr>
        <w:jc w:val="both"/>
        <w:ind w:right="20" w:firstLine="109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(the “</w:t>
      </w:r>
      <w:r>
        <w:rPr>
          <w:rFonts w:ascii="Times New Roman" w:cs="Times New Roman" w:eastAsia="Times New Roman" w:hAnsi="Times New Roman"/>
          <w:sz w:val="18"/>
          <w:szCs w:val="18"/>
          <w:b w:val="1"/>
          <w:bCs w:val="1"/>
          <w:color w:val="auto"/>
        </w:rPr>
        <w:t>Existing Investors</w:t>
      </w:r>
      <w:r>
        <w:rPr>
          <w:rFonts w:ascii="Times New Roman" w:cs="Times New Roman" w:eastAsia="Times New Roman" w:hAnsi="Times New Roman"/>
          <w:sz w:val="18"/>
          <w:szCs w:val="18"/>
          <w:color w:val="auto"/>
        </w:rPr>
        <w:t>”) hold shares of the Company’s Preferred Stock and/or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issued upon conversion thereof and possess registration rights, information rights, rights of first offer and other rights pursuant to that certain Amended and Restated Investors’ Rights Agreement dated as of November 15, 2019, by and among the Company and such Existing Investors (the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right="20" w:firstLine="1090"/>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Existing Investors are holders of at least a majority of the Registrable Securities of the Company (as defined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desire to amend and restate the Prior Agreement in its entirety and to accept the rights created pursuant to this Agreement in lieu of the rights granted to them under the Prior Agreement; and</w:t>
      </w:r>
    </w:p>
    <w:p>
      <w:pPr>
        <w:spacing w:after="0" w:line="88"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are parties to that certain Series D-1 Preferred Stock Purchase Agreement of even date herewith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among the Company and such Investors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under which certain of the Company’s and such Investors’ obligations are conditioned upon the execution and delivery of this Agreement by such Investors, Existing Investors holding at least a majority of the Registrable Securities and the Company;</w:t>
      </w:r>
    </w:p>
    <w:p>
      <w:pPr>
        <w:spacing w:after="0" w:line="96"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Existing Investors hereby agree that the Prior Agreement shall be amended and restated as follows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this Agreement further agree as follows:</w:t>
      </w:r>
    </w:p>
    <w:p>
      <w:pPr>
        <w:spacing w:after="0" w:line="75" w:lineRule="exact"/>
        <w:rPr>
          <w:sz w:val="20"/>
          <w:szCs w:val="20"/>
          <w:color w:val="auto"/>
        </w:rPr>
      </w:pPr>
    </w:p>
    <w:p>
      <w:pPr>
        <w:ind w:left="1080" w:hanging="54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41"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one or more general partners or managing members of, or shares the same management company or investment adviser with, such Person.</w:t>
      </w:r>
    </w:p>
    <w:p>
      <w:pPr>
        <w:spacing w:after="0" w:line="96"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xml:space="preserve"> means shares of the Company’s Class A common stock, $0.00001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320" w:top="120" w:right="319" w:bottom="1440" w:gutter="0" w:footer="0" w:header="0"/>
        </w:sectPr>
      </w:pPr>
    </w:p>
    <w:bookmarkStart w:id="326" w:name="page327"/>
    <w:bookmarkEnd w:id="326"/>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means shares of the Company’s Class B common stock, $0.00001 par value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collectively, shares of Class A Common Stock and Class B Common Stock.</w:t>
      </w:r>
    </w:p>
    <w:p>
      <w:pPr>
        <w:spacing w:after="0" w:line="145" w:lineRule="exact"/>
        <w:rPr>
          <w:sz w:val="20"/>
          <w:szCs w:val="20"/>
          <w:color w:val="auto"/>
        </w:rPr>
      </w:pPr>
    </w:p>
    <w:p>
      <w:pPr>
        <w:jc w:val="both"/>
        <w:ind w:firstLine="1090"/>
        <w:spacing w:after="0" w:line="259"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 Person engaged, directly or indirectly (including through any partnership, limited liability company, corporation, joint venture or similar arrangement (whether now existing or formed hereafter)), in proteomics measurement combined with a data platform to draw inference,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w:t>
      </w:r>
    </w:p>
    <w:p>
      <w:pPr>
        <w:spacing w:after="0" w:line="98"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01"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Common Stock, including options and warrants.</w:t>
      </w:r>
    </w:p>
    <w:p>
      <w:pPr>
        <w:spacing w:after="0" w:line="71"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45" w:lineRule="exact"/>
        <w:rPr>
          <w:sz w:val="20"/>
          <w:szCs w:val="20"/>
          <w:color w:val="auto"/>
        </w:rPr>
      </w:pPr>
    </w:p>
    <w:p>
      <w:pPr>
        <w:jc w:val="both"/>
        <w:ind w:firstLine="1090"/>
        <w:spacing w:after="0" w:line="259"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98" w:lineRule="exact"/>
        <w:rPr>
          <w:sz w:val="20"/>
          <w:szCs w:val="20"/>
          <w:color w:val="auto"/>
        </w:rPr>
      </w:pPr>
    </w:p>
    <w:p>
      <w:pPr>
        <w:jc w:val="both"/>
        <w:ind w:firstLine="1090"/>
        <w:spacing w:after="0" w:line="265"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FOIA Party</w:t>
      </w:r>
      <w:r>
        <w:rPr>
          <w:rFonts w:ascii="Times New Roman" w:cs="Times New Roman" w:eastAsia="Times New Roman" w:hAnsi="Times New Roman"/>
          <w:sz w:val="18"/>
          <w:szCs w:val="18"/>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Times New Roman" w:cs="Times New Roman" w:eastAsia="Times New Roman" w:hAnsi="Times New Roman"/>
          <w:sz w:val="18"/>
          <w:szCs w:val="18"/>
          <w:b w:val="1"/>
          <w:bCs w:val="1"/>
          <w:color w:val="auto"/>
        </w:rPr>
        <w:t>FOIA</w:t>
      </w:r>
      <w:r>
        <w:rPr>
          <w:rFonts w:ascii="Times New Roman" w:cs="Times New Roman" w:eastAsia="Times New Roman" w:hAnsi="Times New Roman"/>
          <w:sz w:val="18"/>
          <w:szCs w:val="18"/>
          <w:color w:val="auto"/>
        </w:rPr>
        <w:t>”), any state public records access law, any state or other jurisdiction’s laws similar in intent or effect to FOIA, or any other similar statutory or regulatory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214" w:right="319" w:bottom="1440" w:gutter="0" w:footer="0" w:header="0"/>
        </w:sectPr>
      </w:pPr>
    </w:p>
    <w:bookmarkStart w:id="327" w:name="page328"/>
    <w:bookmarkEnd w:id="327"/>
    <w:p>
      <w:pPr>
        <w:jc w:val="both"/>
        <w:ind w:firstLine="1090"/>
        <w:spacing w:after="0" w:line="28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71"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88"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Fully Diluted Capitalization</w:t>
      </w:r>
      <w:r>
        <w:rPr>
          <w:rFonts w:ascii="Times New Roman" w:cs="Times New Roman" w:eastAsia="Times New Roman" w:hAnsi="Times New Roman"/>
          <w:sz w:val="18"/>
          <w:szCs w:val="18"/>
          <w:color w:val="auto"/>
        </w:rPr>
        <w:t>” means the sum of (i) the outstanding shares of Common Stock; (ii) the shares of Common Stock directly or indirectly issuable upon conversion or exchange of all outstanding securities directly or indirectly convertible into or exchangeable for Common Stock and the exercise of all outstanding options and warrants; and (iii) the shares of Common Stock reserved, but neither issued nor the subject of outstanding awards, under any equity incentive or similar plan of the Company.</w:t>
      </w:r>
    </w:p>
    <w:p>
      <w:pPr>
        <w:spacing w:after="0" w:line="96"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1.15</w:t>
        <w:tab/>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1.16</w:t>
        <w:tab/>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145"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1"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1.18</w:t>
        <w:tab/>
        <w:t>“</w:t>
      </w:r>
      <w:r>
        <w:rPr>
          <w:rFonts w:ascii="Times New Roman" w:cs="Times New Roman" w:eastAsia="Times New Roman" w:hAnsi="Times New Roman"/>
          <w:sz w:val="18"/>
          <w:szCs w:val="18"/>
          <w:b w:val="1"/>
          <w:b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1.19</w:t>
        <w:tab/>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145"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88" w:lineRule="exact"/>
        <w:rPr>
          <w:sz w:val="20"/>
          <w:szCs w:val="20"/>
          <w:color w:val="auto"/>
        </w:rPr>
      </w:pPr>
    </w:p>
    <w:p>
      <w:pPr>
        <w:jc w:val="both"/>
        <w:ind w:right="20" w:firstLine="1090"/>
        <w:spacing w:after="0" w:line="269"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any Investor that, individually or together with such Investor’s Affiliates, holds (i) at least 2,000,000 shares of Registrable Securities or (ii) shares of Registrable Securities representing at least 2.5% of the Fully Diluted Capitalization (in each case, as adjusted for any stock split, stock dividend, combination, or other recapitalization or reclassification effected after the date hereof).</w:t>
      </w:r>
    </w:p>
    <w:p>
      <w:pPr>
        <w:spacing w:after="0" w:line="88"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1214" w:right="319" w:bottom="1440" w:gutter="0" w:footer="0" w:header="0"/>
        </w:sectPr>
      </w:pPr>
    </w:p>
    <w:bookmarkStart w:id="328" w:name="page329"/>
    <w:bookmarkEnd w:id="328"/>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1.23</w:t>
        <w:tab/>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r>
        <w:rPr>
          <w:rFonts w:ascii="Times New Roman" w:cs="Times New Roman" w:eastAsia="Times New Roman" w:hAnsi="Times New Roman"/>
          <w:sz w:val="18"/>
          <w:szCs w:val="18"/>
          <w:color w:val="0000FF"/>
        </w:rPr>
        <w:t>.</w:t>
      </w:r>
    </w:p>
    <w:p>
      <w:pPr>
        <w:spacing w:after="0" w:line="145" w:lineRule="exact"/>
        <w:rPr>
          <w:sz w:val="20"/>
          <w:szCs w:val="20"/>
          <w:color w:val="auto"/>
        </w:rPr>
      </w:pPr>
    </w:p>
    <w:p>
      <w:pPr>
        <w:jc w:val="both"/>
        <w:ind w:firstLine="1090"/>
        <w:spacing w:after="0" w:line="288"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collectively, shares of Series A Preferred Stock, Series B Preferred Stock, Series C Preferred Stock, Series D Preferred Stock and Series D-1 Preferred Stock.</w:t>
      </w:r>
    </w:p>
    <w:p>
      <w:pPr>
        <w:spacing w:after="0" w:line="71"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(i) the Class A Common Stock issuable or issued upon conversion of the Preferred Stock; (ii) any Common Stock, or any Common Stock issued or issuable (directly or indirectly) upon conversion and/or exercise of any other securities of the Company,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excluding in all cases, however, any Registrable Securities sold by a Person in a transaction in which the applicable rights under this Agreement are not assigned pursuant to </w:t>
      </w:r>
      <w:r>
        <w:rPr>
          <w:rFonts w:ascii="Times New Roman" w:cs="Times New Roman" w:eastAsia="Times New Roman" w:hAnsi="Times New Roman"/>
          <w:sz w:val="18"/>
          <w:szCs w:val="18"/>
          <w:u w:val="single" w:color="auto"/>
          <w:color w:val="auto"/>
        </w:rPr>
        <w:t>Subsection 6.1</w:t>
      </w:r>
      <w:r>
        <w:rPr>
          <w:rFonts w:ascii="Times New Roman" w:cs="Times New Roman" w:eastAsia="Times New Roman" w:hAnsi="Times New Roman"/>
          <w:sz w:val="18"/>
          <w:szCs w:val="18"/>
          <w:color w:val="auto"/>
        </w:rPr>
        <w:t xml:space="preserve">, and excluding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shares for which registration rights have terminated pursuant to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of this Agreement.</w:t>
      </w:r>
    </w:p>
    <w:p>
      <w:pPr>
        <w:spacing w:after="0" w:line="101"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88"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1.27</w:t>
        <w:tab/>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means the securities of the Company required to be notated with the legend set forth in </w:t>
      </w:r>
      <w:r>
        <w:rPr>
          <w:rFonts w:ascii="Times New Roman" w:cs="Times New Roman" w:eastAsia="Times New Roman" w:hAnsi="Times New Roman"/>
          <w:sz w:val="18"/>
          <w:szCs w:val="18"/>
          <w:u w:val="single" w:color="auto"/>
          <w:color w:val="auto"/>
        </w:rPr>
        <w:t>Subsection 2.12(b)</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121"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1.28</w:t>
        <w:tab/>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1.29</w:t>
        <w:tab/>
        <w:t>“</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1.30</w:t>
        <w:tab/>
        <w:t>“</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1.31</w:t>
        <w:tab/>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45" w:lineRule="exact"/>
        <w:rPr>
          <w:sz w:val="20"/>
          <w:szCs w:val="20"/>
          <w:color w:val="auto"/>
        </w:rPr>
      </w:pPr>
    </w:p>
    <w:p>
      <w:pPr>
        <w:jc w:val="both"/>
        <w:ind w:right="20" w:firstLine="1090"/>
        <w:spacing w:after="0" w:line="269"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Preferred Director</w:t>
      </w:r>
      <w:r>
        <w:rPr>
          <w:rFonts w:ascii="Times New Roman" w:cs="Times New Roman" w:eastAsia="Times New Roman" w:hAnsi="Times New Roman"/>
          <w:sz w:val="18"/>
          <w:szCs w:val="18"/>
          <w:color w:val="auto"/>
        </w:rPr>
        <w:t>” means any director of the Company that the holders of record of the Preferred Stock are entitled to elect pursuant to the Company’s Certificate of Incorporation.</w:t>
      </w:r>
    </w:p>
    <w:p>
      <w:pPr>
        <w:spacing w:after="0" w:line="71" w:lineRule="exact"/>
        <w:rPr>
          <w:sz w:val="20"/>
          <w:szCs w:val="20"/>
          <w:color w:val="auto"/>
        </w:rPr>
      </w:pPr>
    </w:p>
    <w:p>
      <w:pPr>
        <w:jc w:val="center"/>
        <w:ind w:right="60"/>
        <w:spacing w:after="0"/>
        <w:tabs>
          <w:tab w:leader="none" w:pos="200" w:val="left"/>
        </w:tabs>
        <w:rPr>
          <w:sz w:val="20"/>
          <w:szCs w:val="20"/>
          <w:color w:val="auto"/>
        </w:rPr>
      </w:pPr>
      <w:r>
        <w:rPr>
          <w:rFonts w:ascii="Times New Roman" w:cs="Times New Roman" w:eastAsia="Times New Roman" w:hAnsi="Times New Roman"/>
          <w:sz w:val="18"/>
          <w:szCs w:val="18"/>
          <w:color w:val="auto"/>
        </w:rPr>
        <w:t>1.34</w:t>
        <w:tab/>
        <w:t>“</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means shares of the Company’s Series A Preferred Stock, par value $0.00001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215" w:right="319" w:bottom="1440" w:gutter="0" w:footer="0" w:header="0"/>
        </w:sectPr>
      </w:pPr>
    </w:p>
    <w:bookmarkStart w:id="329" w:name="page330"/>
    <w:bookmarkEnd w:id="329"/>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1.35</w:t>
        <w:tab/>
        <w:t>“</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means shares of the Company’s Series B Preferred Stock, par value $0.00001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1.36</w:t>
        <w:tab/>
        <w:t>“</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means shares of the Company’s Series C Preferred Stock, par value $0.00001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1.37</w:t>
        <w:tab/>
        <w:t>“</w:t>
      </w:r>
      <w:r>
        <w:rPr>
          <w:rFonts w:ascii="Times New Roman" w:cs="Times New Roman" w:eastAsia="Times New Roman" w:hAnsi="Times New Roman"/>
          <w:sz w:val="18"/>
          <w:szCs w:val="18"/>
          <w:b w:val="1"/>
          <w:bCs w:val="1"/>
          <w:color w:val="auto"/>
        </w:rPr>
        <w:t>Series D Preferred Stock</w:t>
      </w:r>
      <w:r>
        <w:rPr>
          <w:rFonts w:ascii="Times New Roman" w:cs="Times New Roman" w:eastAsia="Times New Roman" w:hAnsi="Times New Roman"/>
          <w:sz w:val="18"/>
          <w:szCs w:val="18"/>
          <w:color w:val="auto"/>
        </w:rPr>
        <w:t>” means shares of the Company’s Series D Preferred Stock, par value $0.00001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1.38</w:t>
        <w:tab/>
        <w:t>“</w:t>
      </w:r>
      <w:r>
        <w:rPr>
          <w:rFonts w:ascii="Times New Roman" w:cs="Times New Roman" w:eastAsia="Times New Roman" w:hAnsi="Times New Roman"/>
          <w:sz w:val="18"/>
          <w:szCs w:val="18"/>
          <w:b w:val="1"/>
          <w:bCs w:val="1"/>
          <w:color w:val="auto"/>
        </w:rPr>
        <w:t>Series D-1 Preferred Stock</w:t>
      </w:r>
      <w:r>
        <w:rPr>
          <w:rFonts w:ascii="Times New Roman" w:cs="Times New Roman" w:eastAsia="Times New Roman" w:hAnsi="Times New Roman"/>
          <w:sz w:val="18"/>
          <w:szCs w:val="18"/>
          <w:color w:val="auto"/>
        </w:rPr>
        <w:t>” means shares of the Company’s Series D-1 Preferred Stock, par value $0.00001 per share.</w:t>
      </w:r>
    </w:p>
    <w:p>
      <w:pPr>
        <w:spacing w:after="0" w:line="149" w:lineRule="exact"/>
        <w:rPr>
          <w:sz w:val="20"/>
          <w:szCs w:val="20"/>
          <w:color w:val="auto"/>
        </w:rPr>
      </w:pPr>
    </w:p>
    <w:p>
      <w:pPr>
        <w:ind w:left="1080" w:hanging="54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covenants and agrees as follows:</w:t>
      </w:r>
    </w:p>
    <w:p>
      <w:pPr>
        <w:spacing w:after="0" w:line="14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S-1 Demand</w:t>
      </w:r>
      <w:r>
        <w:rPr>
          <w:rFonts w:ascii="Times New Roman" w:cs="Times New Roman" w:eastAsia="Times New Roman" w:hAnsi="Times New Roman"/>
          <w:sz w:val="18"/>
          <w:szCs w:val="18"/>
          <w:color w:val="auto"/>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(or lesser percent if the anticipated aggregate offering price, net of Selling Expenses, would exceed $10,000,000), then the Company shall (x)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p>
    <w:p>
      <w:pPr>
        <w:spacing w:after="0" w:line="106"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7"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Demand</w:t>
      </w:r>
      <w:r>
        <w:rPr>
          <w:rFonts w:ascii="Times New Roman" w:cs="Times New Roman" w:eastAsia="Times New Roman" w:hAnsi="Times New Roman"/>
          <w:sz w:val="18"/>
          <w:szCs w:val="18"/>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firstLine="1626"/>
        <w:spacing w:after="0" w:line="283" w:lineRule="auto"/>
        <w:tabs>
          <w:tab w:leader="none" w:pos="217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certificate signed by the Company’s chief executive officer stating that in the good faith judgment of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214" w:right="319" w:bottom="1440" w:gutter="0" w:footer="0" w:header="0"/>
        </w:sectPr>
      </w:pPr>
    </w:p>
    <w:bookmarkStart w:id="330" w:name="page331"/>
    <w:bookmarkEnd w:id="330"/>
    <w:p>
      <w:pPr>
        <w:ind w:left="9"/>
        <w:spacing w:after="0" w:line="261" w:lineRule="auto"/>
        <w:rPr>
          <w:sz w:val="20"/>
          <w:szCs w:val="20"/>
          <w:color w:val="auto"/>
        </w:rPr>
      </w:pPr>
      <w:r>
        <w:rPr>
          <w:rFonts w:ascii="Times New Roman" w:cs="Times New Roman" w:eastAsia="Times New Roman" w:hAnsi="Times New Roman"/>
          <w:sz w:val="18"/>
          <w:szCs w:val="18"/>
          <w:color w:val="auto"/>
        </w:rPr>
        <w:t>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w:t>
      </w:r>
    </w:p>
    <w:p>
      <w:pPr>
        <w:spacing w:after="0" w:line="1" w:lineRule="exact"/>
        <w:rPr>
          <w:sz w:val="20"/>
          <w:szCs w:val="20"/>
          <w:color w:val="auto"/>
        </w:rPr>
      </w:pPr>
    </w:p>
    <w:p>
      <w:pPr>
        <w:jc w:val="both"/>
        <w:ind w:left="9" w:hanging="9"/>
        <w:spacing w:after="0" w:line="251" w:lineRule="auto"/>
        <w:tabs>
          <w:tab w:leader="none" w:pos="23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invoke this right more than twice in any twelve (12) month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its own account or that of any other stockholder during such ninety (90) day period other than an Excluded Registration.</w:t>
      </w:r>
    </w:p>
    <w:p>
      <w:pPr>
        <w:spacing w:after="0" w:line="111" w:lineRule="exact"/>
        <w:rPr>
          <w:rFonts w:ascii="Times New Roman" w:cs="Times New Roman" w:eastAsia="Times New Roman" w:hAnsi="Times New Roman"/>
          <w:sz w:val="18"/>
          <w:szCs w:val="18"/>
          <w:color w:val="auto"/>
        </w:rPr>
      </w:pPr>
    </w:p>
    <w:p>
      <w:pPr>
        <w:ind w:left="2169" w:hanging="534"/>
        <w:spacing w:after="0"/>
        <w:tabs>
          <w:tab w:leader="none" w:pos="2169"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Subsection 2.1(a)</w:t>
      </w:r>
    </w:p>
    <w:p>
      <w:pPr>
        <w:spacing w:after="0" w:line="28"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24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that is sixty (60) days before the Company’s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(ii) after the Company has effected one registration pursuant to </w:t>
      </w:r>
      <w:r>
        <w:rPr>
          <w:rFonts w:ascii="Times New Roman" w:cs="Times New Roman" w:eastAsia="Times New Roman" w:hAnsi="Times New Roman"/>
          <w:sz w:val="18"/>
          <w:szCs w:val="18"/>
          <w:u w:val="single" w:color="auto"/>
          <w:color w:val="auto"/>
        </w:rPr>
        <w:t>Subsection 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withdrawal is during a period the Company has deferred taking action pursuant to </w:t>
      </w:r>
      <w:r>
        <w:rPr>
          <w:rFonts w:ascii="Times New Roman" w:cs="Times New Roman" w:eastAsia="Times New Roman" w:hAnsi="Times New Roman"/>
          <w:sz w:val="18"/>
          <w:szCs w:val="18"/>
          <w:u w:val="single" w:color="auto"/>
          <w:color w:val="auto"/>
        </w:rPr>
        <w:t>Subsection 2.1(c)</w:t>
      </w:r>
      <w:r>
        <w:rPr>
          <w:rFonts w:ascii="Times New Roman" w:cs="Times New Roman" w:eastAsia="Times New Roman" w:hAnsi="Times New Roman"/>
          <w:sz w:val="18"/>
          <w:szCs w:val="18"/>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jc w:val="both"/>
        <w:ind w:left="9" w:firstLine="1090"/>
        <w:spacing w:after="0" w:line="266" w:lineRule="auto"/>
        <w:rPr>
          <w:sz w:val="20"/>
          <w:szCs w:val="20"/>
          <w:color w:val="auto"/>
        </w:rPr>
      </w:pPr>
      <w:r>
        <w:rPr>
          <w:rFonts w:ascii="Times New Roman" w:cs="Times New Roman" w:eastAsia="Times New Roman" w:hAnsi="Times New Roman"/>
          <w:sz w:val="18"/>
          <w:szCs w:val="18"/>
          <w:color w:val="auto"/>
        </w:rPr>
        <w:t>2.2 Company Registration. If the Company proposes to register (including, for this purpose, a registration effected by the Company for stockholders other than the Holders) any of its Class A Common Stock under the Securities Act in connection with the public offering of such securities solely for cash (other than in an Excluded Registration), the Company shall, at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9"/>
          </w:cols>
          <w:pgMar w:left="311" w:top="1218" w:right="319" w:bottom="1440" w:gutter="0" w:footer="0" w:header="0"/>
        </w:sectPr>
      </w:pPr>
    </w:p>
    <w:bookmarkStart w:id="331" w:name="page332"/>
    <w:bookmarkEnd w:id="33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626"/>
        <w:spacing w:after="0" w:line="252" w:lineRule="auto"/>
        <w:tabs>
          <w:tab w:leader="none" w:pos="217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Subsection 2.4(e)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13" w:lineRule="exact"/>
        <w:rPr>
          <w:rFonts w:ascii="Times New Roman" w:cs="Times New Roman" w:eastAsia="Times New Roman" w:hAnsi="Times New Roman"/>
          <w:sz w:val="18"/>
          <w:szCs w:val="18"/>
          <w:color w:val="auto"/>
        </w:rPr>
      </w:pPr>
    </w:p>
    <w:p>
      <w:pPr>
        <w:jc w:val="both"/>
        <w:ind w:firstLine="1626"/>
        <w:spacing w:after="0" w:line="256" w:lineRule="auto"/>
        <w:tabs>
          <w:tab w:leader="none" w:pos="217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218" w:right="319" w:bottom="1440" w:gutter="0" w:footer="0" w:header="0"/>
        </w:sectPr>
      </w:pPr>
    </w:p>
    <w:bookmarkStart w:id="332" w:name="page333"/>
    <w:bookmarkEnd w:id="33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8"/>
          <w:szCs w:val="18"/>
          <w:u w:val="single" w:color="auto"/>
          <w:color w:val="auto"/>
        </w:rPr>
        <w:t>Subsection 2.3(b)</w:t>
      </w:r>
      <w:r>
        <w:rPr>
          <w:rFonts w:ascii="Times New Roman" w:cs="Times New Roman" w:eastAsia="Times New Roman" w:hAnsi="Times New Roman"/>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13"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Whenever required under this</w:t>
      </w:r>
      <w:r>
        <w:rPr>
          <w:rFonts w:ascii="Times New Roman" w:cs="Times New Roman" w:eastAsia="Times New Roman" w:hAnsi="Times New Roman"/>
          <w:sz w:val="18"/>
          <w:szCs w:val="18"/>
          <w:u w:val="single" w:color="auto"/>
          <w:color w:val="auto"/>
        </w:rPr>
        <w:t xml:space="preserve"> Section 2 </w:t>
      </w:r>
      <w:r>
        <w:rPr>
          <w:rFonts w:ascii="Times New Roman" w:cs="Times New Roman" w:eastAsia="Times New Roman" w:hAnsi="Times New Roman"/>
          <w:sz w:val="18"/>
          <w:szCs w:val="18"/>
          <w:color w:val="auto"/>
        </w:rPr>
        <w:t>to effect the registration of any Registrable Securities,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125" w:lineRule="exact"/>
        <w:rPr>
          <w:sz w:val="20"/>
          <w:szCs w:val="20"/>
          <w:color w:val="auto"/>
        </w:rPr>
      </w:pPr>
    </w:p>
    <w:p>
      <w:pPr>
        <w:jc w:val="both"/>
        <w:ind w:firstLine="1626"/>
        <w:spacing w:after="0" w:line="254" w:lineRule="auto"/>
        <w:tabs>
          <w:tab w:leader="none" w:pos="217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thirty (30) days, if necessary, to keep the registration statement effective until all such Registrable Securities are sold;</w:t>
      </w:r>
    </w:p>
    <w:p>
      <w:pPr>
        <w:spacing w:after="0" w:line="110" w:lineRule="exact"/>
        <w:rPr>
          <w:rFonts w:ascii="Times New Roman" w:cs="Times New Roman" w:eastAsia="Times New Roman" w:hAnsi="Times New Roman"/>
          <w:sz w:val="18"/>
          <w:szCs w:val="18"/>
          <w:color w:val="auto"/>
        </w:rPr>
      </w:pPr>
    </w:p>
    <w:p>
      <w:pPr>
        <w:ind w:firstLine="1626"/>
        <w:spacing w:after="0" w:line="283" w:lineRule="auto"/>
        <w:tabs>
          <w:tab w:leader="none" w:pos="217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218" w:right="31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color w:val="auto"/>
        </w:rPr>
        <w:t>statement, as may be necessary to comply with the Securities Act in order to enable the disposition of all securities covered by such registration statement;</w:t>
      </w:r>
    </w:p>
    <w:p>
      <w:pPr>
        <w:spacing w:after="0" w:line="145" w:lineRule="exact"/>
        <w:rPr>
          <w:sz w:val="20"/>
          <w:szCs w:val="20"/>
          <w:color w:val="auto"/>
        </w:rPr>
      </w:pPr>
    </w:p>
    <w:p>
      <w:pPr>
        <w:ind w:firstLine="1626"/>
        <w:spacing w:after="0" w:line="283" w:lineRule="auto"/>
        <w:tabs>
          <w:tab w:leader="none" w:pos="217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79" w:lineRule="exact"/>
        <w:rPr>
          <w:rFonts w:ascii="Times New Roman" w:cs="Times New Roman" w:eastAsia="Times New Roman" w:hAnsi="Times New Roman"/>
          <w:sz w:val="18"/>
          <w:szCs w:val="18"/>
          <w:color w:val="auto"/>
        </w:rPr>
      </w:pPr>
    </w:p>
    <w:p>
      <w:pPr>
        <w:jc w:val="both"/>
        <w:ind w:right="20" w:firstLine="1626"/>
        <w:spacing w:after="0" w:line="261" w:lineRule="auto"/>
        <w:tabs>
          <w:tab w:leader="none" w:pos="217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99" w:lineRule="exact"/>
        <w:rPr>
          <w:rFonts w:ascii="Times New Roman" w:cs="Times New Roman" w:eastAsia="Times New Roman" w:hAnsi="Times New Roman"/>
          <w:sz w:val="18"/>
          <w:szCs w:val="18"/>
          <w:color w:val="auto"/>
        </w:rPr>
      </w:pPr>
    </w:p>
    <w:p>
      <w:pPr>
        <w:ind w:firstLine="1626"/>
        <w:spacing w:after="0" w:line="283" w:lineRule="auto"/>
        <w:tabs>
          <w:tab w:leader="none" w:pos="217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79" w:lineRule="exact"/>
        <w:rPr>
          <w:rFonts w:ascii="Times New Roman" w:cs="Times New Roman" w:eastAsia="Times New Roman" w:hAnsi="Times New Roman"/>
          <w:sz w:val="18"/>
          <w:szCs w:val="18"/>
          <w:color w:val="auto"/>
        </w:rPr>
      </w:pPr>
    </w:p>
    <w:p>
      <w:pPr>
        <w:jc w:val="both"/>
        <w:ind w:firstLine="1626"/>
        <w:spacing w:after="0" w:line="266" w:lineRule="auto"/>
        <w:tabs>
          <w:tab w:leader="none" w:pos="21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95" w:lineRule="exact"/>
        <w:rPr>
          <w:rFonts w:ascii="Times New Roman" w:cs="Times New Roman" w:eastAsia="Times New Roman" w:hAnsi="Times New Roman"/>
          <w:sz w:val="18"/>
          <w:szCs w:val="18"/>
          <w:color w:val="auto"/>
        </w:rPr>
      </w:pPr>
    </w:p>
    <w:p>
      <w:pPr>
        <w:ind w:right="20" w:firstLine="1626"/>
        <w:spacing w:after="0" w:line="283" w:lineRule="auto"/>
        <w:tabs>
          <w:tab w:leader="none" w:pos="217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79" w:lineRule="exact"/>
        <w:rPr>
          <w:rFonts w:ascii="Times New Roman" w:cs="Times New Roman" w:eastAsia="Times New Roman" w:hAnsi="Times New Roman"/>
          <w:sz w:val="18"/>
          <w:szCs w:val="18"/>
          <w:color w:val="auto"/>
        </w:rPr>
      </w:pPr>
    </w:p>
    <w:p>
      <w:pPr>
        <w:jc w:val="both"/>
        <w:ind w:firstLine="1626"/>
        <w:spacing w:after="0" w:line="257" w:lineRule="auto"/>
        <w:tabs>
          <w:tab w:leader="none" w:pos="217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322" w:lineRule="exact"/>
        <w:rPr>
          <w:rFonts w:ascii="Times New Roman" w:cs="Times New Roman" w:eastAsia="Times New Roman" w:hAnsi="Times New Roman"/>
          <w:sz w:val="18"/>
          <w:szCs w:val="18"/>
          <w:color w:val="auto"/>
        </w:rPr>
      </w:pPr>
    </w:p>
    <w:p>
      <w:pPr>
        <w:ind w:right="20" w:firstLine="1626"/>
        <w:spacing w:after="0" w:line="283" w:lineRule="auto"/>
        <w:tabs>
          <w:tab w:leader="none" w:pos="217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79" w:lineRule="exact"/>
        <w:rPr>
          <w:rFonts w:ascii="Times New Roman" w:cs="Times New Roman" w:eastAsia="Times New Roman" w:hAnsi="Times New Roman"/>
          <w:sz w:val="18"/>
          <w:szCs w:val="18"/>
          <w:color w:val="auto"/>
        </w:rPr>
      </w:pPr>
    </w:p>
    <w:p>
      <w:pPr>
        <w:ind w:firstLine="1626"/>
        <w:spacing w:after="0" w:line="283" w:lineRule="auto"/>
        <w:tabs>
          <w:tab w:leader="none" w:pos="217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registration statement becomes effective, notify each selling Holder of any request by the SEC that the Company amend or supplement such registration statement or prospectus.</w:t>
      </w:r>
    </w:p>
    <w:p>
      <w:pPr>
        <w:spacing w:after="0" w:line="80" w:lineRule="exact"/>
        <w:rPr>
          <w:sz w:val="20"/>
          <w:szCs w:val="20"/>
          <w:color w:val="auto"/>
        </w:rPr>
      </w:pPr>
    </w:p>
    <w:p>
      <w:pPr>
        <w:ind w:right="20" w:firstLine="1090"/>
        <w:spacing w:after="0" w:line="283"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1218" w:right="319" w:bottom="1440" w:gutter="0" w:footer="0" w:header="0"/>
        </w:sectPr>
      </w:pPr>
    </w:p>
    <w:bookmarkStart w:id="334" w:name="page335"/>
    <w:bookmarkEnd w:id="334"/>
    <w:p>
      <w:pPr>
        <w:jc w:val="both"/>
        <w:spacing w:after="0" w:line="283" w:lineRule="auto"/>
        <w:rPr>
          <w:sz w:val="20"/>
          <w:szCs w:val="20"/>
          <w:color w:val="auto"/>
        </w:rPr>
      </w:pPr>
      <w:r>
        <w:rPr>
          <w:rFonts w:ascii="Times New Roman" w:cs="Times New Roman" w:eastAsia="Times New Roman" w:hAnsi="Times New Roman"/>
          <w:sz w:val="18"/>
          <w:szCs w:val="18"/>
          <w:color w:val="auto"/>
        </w:rPr>
        <w:t>have become effective, its insider trading policy shall provide that the Company’s directors may implement a trading program under Rule 10b5-1 of the Exchange Act.</w:t>
      </w:r>
    </w:p>
    <w:p>
      <w:pPr>
        <w:spacing w:after="0" w:line="80"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99"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not to exceed $35,000, of one counsel for the selling Holders (“</w:t>
      </w:r>
      <w:r>
        <w:rPr>
          <w:rFonts w:ascii="Times New Roman" w:cs="Times New Roman" w:eastAsia="Times New Roman" w:hAnsi="Times New Roman"/>
          <w:sz w:val="18"/>
          <w:szCs w:val="18"/>
          <w:b w:val="1"/>
          <w:bCs w:val="1"/>
          <w:color w:val="auto"/>
        </w:rPr>
        <w:t>Selling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shall be borne and paid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pay for any expenses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proceeding begun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Subsections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Subsection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pro rata on the basis of the number of Registrable Securities registered on their behalf.</w:t>
      </w:r>
    </w:p>
    <w:p>
      <w:pPr>
        <w:spacing w:after="0" w:line="323" w:lineRule="exact"/>
        <w:rPr>
          <w:sz w:val="20"/>
          <w:szCs w:val="20"/>
          <w:color w:val="auto"/>
        </w:rPr>
      </w:pPr>
    </w:p>
    <w:p>
      <w:pPr>
        <w:jc w:val="both"/>
        <w:ind w:firstLine="1090"/>
        <w:spacing w:after="0" w:line="27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If any Registrable Securities are included in a registration statement under this</w:t>
      </w:r>
      <w:r>
        <w:rPr>
          <w:rFonts w:ascii="Times New Roman" w:cs="Times New Roman" w:eastAsia="Times New Roman" w:hAnsi="Times New Roman"/>
          <w:sz w:val="18"/>
          <w:szCs w:val="18"/>
          <w:u w:val="single" w:color="auto"/>
          <w:color w:val="auto"/>
        </w:rPr>
        <w:t xml:space="preserve"> Section 2</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626"/>
        <w:spacing w:after="0" w:line="258" w:lineRule="auto"/>
        <w:tabs>
          <w:tab w:leader="none" w:pos="217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218" w:right="319" w:bottom="1440" w:gutter="0" w:footer="0" w:header="0"/>
        </w:sectPr>
      </w:pPr>
    </w:p>
    <w:bookmarkStart w:id="335" w:name="page336"/>
    <w:bookmarkEnd w:id="33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03" w:lineRule="exact"/>
        <w:rPr>
          <w:sz w:val="20"/>
          <w:szCs w:val="20"/>
          <w:color w:val="auto"/>
        </w:rPr>
      </w:pPr>
    </w:p>
    <w:p>
      <w:pPr>
        <w:jc w:val="both"/>
        <w:ind w:firstLine="1626"/>
        <w:spacing w:after="0" w:line="253" w:lineRule="auto"/>
        <w:tabs>
          <w:tab w:leader="none" w:pos="217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the aggregate amounts payable by any Holder by way of indemnity or contribution under </w:t>
      </w:r>
      <w:r>
        <w:rPr>
          <w:rFonts w:ascii="Times New Roman" w:cs="Times New Roman" w:eastAsia="Times New Roman" w:hAnsi="Times New Roman"/>
          <w:sz w:val="18"/>
          <w:szCs w:val="18"/>
          <w:u w:val="single" w:color="auto"/>
          <w:color w:val="auto"/>
        </w:rPr>
        <w:t>Subsections 2.8(b)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2.8(d)</w:t>
      </w:r>
      <w:r>
        <w:rPr>
          <w:rFonts w:ascii="Times New Roman" w:cs="Times New Roman" w:eastAsia="Times New Roman" w:hAnsi="Times New Roman"/>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07" w:lineRule="exact"/>
        <w:rPr>
          <w:rFonts w:ascii="Times New Roman" w:cs="Times New Roman" w:eastAsia="Times New Roman" w:hAnsi="Times New Roman"/>
          <w:sz w:val="18"/>
          <w:szCs w:val="18"/>
          <w:color w:val="auto"/>
        </w:rPr>
      </w:pPr>
    </w:p>
    <w:p>
      <w:pPr>
        <w:jc w:val="both"/>
        <w:ind w:firstLine="1626"/>
        <w:spacing w:after="0" w:line="253" w:lineRule="auto"/>
        <w:tabs>
          <w:tab w:leader="none" w:pos="217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218" w:right="319" w:bottom="1440" w:gutter="0" w:footer="0" w:header="0"/>
        </w:sectPr>
      </w:pPr>
    </w:p>
    <w:bookmarkStart w:id="336" w:name="page337"/>
    <w:bookmarkEnd w:id="336"/>
    <w:p>
      <w:pPr>
        <w:ind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firstLine="1626"/>
        <w:spacing w:after="0" w:line="252" w:lineRule="auto"/>
        <w:tabs>
          <w:tab w:leader="none" w:pos="217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provides for indemnification in such case, or (ii) contribution under the Securities Act may be required on the part of any party hereto for which indemnification is provided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 Holder’s liability pursuant to this </w:t>
      </w:r>
      <w:r>
        <w:rPr>
          <w:rFonts w:ascii="Times New Roman" w:cs="Times New Roman" w:eastAsia="Times New Roman" w:hAnsi="Times New Roman"/>
          <w:sz w:val="18"/>
          <w:szCs w:val="18"/>
          <w:u w:val="single" w:color="auto"/>
          <w:color w:val="auto"/>
        </w:rPr>
        <w:t>Subsection 2.8(d)</w:t>
      </w:r>
      <w:r>
        <w:rPr>
          <w:rFonts w:ascii="Times New Roman" w:cs="Times New Roman" w:eastAsia="Times New Roman" w:hAnsi="Times New Roman"/>
          <w:sz w:val="18"/>
          <w:szCs w:val="18"/>
          <w:color w:val="auto"/>
        </w:rPr>
        <w:t xml:space="preserve">, when combined with the amounts paid or payable by such Holder pursuant to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exceed the proceeds from the offering received by such Holder (net of any Selling Expenses paid by such Holder), except in the case of willful misconduct or fraud by such Holder.</w:t>
      </w:r>
    </w:p>
    <w:p>
      <w:pPr>
        <w:spacing w:after="0" w:line="109" w:lineRule="exact"/>
        <w:rPr>
          <w:rFonts w:ascii="Times New Roman" w:cs="Times New Roman" w:eastAsia="Times New Roman" w:hAnsi="Times New Roman"/>
          <w:sz w:val="18"/>
          <w:szCs w:val="18"/>
          <w:color w:val="auto"/>
        </w:rPr>
      </w:pPr>
    </w:p>
    <w:p>
      <w:pPr>
        <w:jc w:val="both"/>
        <w:ind w:firstLine="1626"/>
        <w:spacing w:after="0" w:line="266" w:lineRule="auto"/>
        <w:tabs>
          <w:tab w:leader="none" w:pos="21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95" w:lineRule="exact"/>
        <w:rPr>
          <w:rFonts w:ascii="Times New Roman" w:cs="Times New Roman" w:eastAsia="Times New Roman" w:hAnsi="Times New Roman"/>
          <w:sz w:val="18"/>
          <w:szCs w:val="18"/>
          <w:color w:val="auto"/>
        </w:rPr>
      </w:pPr>
    </w:p>
    <w:p>
      <w:pPr>
        <w:jc w:val="both"/>
        <w:ind w:firstLine="1626"/>
        <w:spacing w:after="0" w:line="266" w:lineRule="auto"/>
        <w:tabs>
          <w:tab w:leader="none" w:pos="21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218" w:right="319" w:bottom="1440" w:gutter="0" w:footer="0" w:header="0"/>
        </w:sectPr>
      </w:pPr>
    </w:p>
    <w:bookmarkStart w:id="337" w:name="page338"/>
    <w:bookmarkEnd w:id="337"/>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95" w:lineRule="exact"/>
        <w:rPr>
          <w:sz w:val="20"/>
          <w:szCs w:val="20"/>
          <w:color w:val="auto"/>
        </w:rPr>
      </w:pPr>
    </w:p>
    <w:p>
      <w:pPr>
        <w:ind w:right="20" w:firstLine="1626"/>
        <w:spacing w:after="0" w:line="283" w:lineRule="auto"/>
        <w:tabs>
          <w:tab w:leader="none" w:pos="217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79" w:lineRule="exact"/>
        <w:rPr>
          <w:rFonts w:ascii="Times New Roman" w:cs="Times New Roman" w:eastAsia="Times New Roman" w:hAnsi="Times New Roman"/>
          <w:sz w:val="18"/>
          <w:szCs w:val="18"/>
          <w:color w:val="auto"/>
        </w:rPr>
      </w:pPr>
    </w:p>
    <w:p>
      <w:pPr>
        <w:ind w:right="20" w:firstLine="1626"/>
        <w:spacing w:after="0" w:line="283" w:lineRule="auto"/>
        <w:tabs>
          <w:tab w:leader="none" w:pos="2177"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79" w:lineRule="exact"/>
        <w:rPr>
          <w:rFonts w:ascii="Times New Roman" w:cs="Times New Roman" w:eastAsia="Times New Roman" w:hAnsi="Times New Roman"/>
          <w:sz w:val="18"/>
          <w:szCs w:val="18"/>
          <w:color w:val="auto"/>
        </w:rPr>
      </w:pPr>
    </w:p>
    <w:p>
      <w:pPr>
        <w:jc w:val="both"/>
        <w:ind w:firstLine="1626"/>
        <w:spacing w:after="0" w:line="255" w:lineRule="auto"/>
        <w:tabs>
          <w:tab w:leader="none" w:pos="217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07"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any additional Investor who becomes a party to this Agreement in accordance with </w:t>
      </w:r>
      <w:r>
        <w:rPr>
          <w:rFonts w:ascii="Times New Roman" w:cs="Times New Roman" w:eastAsia="Times New Roman" w:hAnsi="Times New Roman"/>
          <w:sz w:val="18"/>
          <w:szCs w:val="18"/>
          <w:u w:val="single" w:color="auto"/>
          <w:color w:val="auto"/>
        </w:rPr>
        <w:t>Subsection 6.9</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1218" w:right="319" w:bottom="1440" w:gutter="0" w:footer="0" w:header="0"/>
        </w:sectPr>
      </w:pPr>
    </w:p>
    <w:bookmarkStart w:id="338" w:name="page339"/>
    <w:bookmarkEnd w:id="338"/>
    <w:p>
      <w:pPr>
        <w:jc w:val="both"/>
        <w:ind w:left="9"/>
        <w:spacing w:after="0" w:line="254" w:lineRule="auto"/>
        <w:rPr>
          <w:sz w:val="20"/>
          <w:szCs w:val="20"/>
          <w:color w:val="auto"/>
        </w:rPr>
      </w:pPr>
      <w:r>
        <w:rPr>
          <w:rFonts w:ascii="Times New Roman" w:cs="Times New Roman" w:eastAsia="Times New Roman" w:hAnsi="Times New Roman"/>
          <w:sz w:val="18"/>
          <w:szCs w:val="18"/>
          <w:color w:val="auto"/>
        </w:rPr>
        <w:t>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(for the avoidance of doubt, such agreement shall not apply to shares of Common Stock acquired by the Holder in the IPO or in the open market following the IPO) or (ii) enter into any swap or other arrangement that transfers to another, in whole or in part, any of the economic consequences of ownership of such securities, whether any such transaction described in clause (i) or</w:t>
      </w:r>
    </w:p>
    <w:p>
      <w:pPr>
        <w:spacing w:after="0" w:line="4" w:lineRule="exact"/>
        <w:rPr>
          <w:sz w:val="20"/>
          <w:szCs w:val="20"/>
          <w:color w:val="auto"/>
        </w:rPr>
      </w:pPr>
    </w:p>
    <w:p>
      <w:pPr>
        <w:jc w:val="both"/>
        <w:ind w:left="9" w:hanging="9"/>
        <w:spacing w:after="0" w:line="251" w:lineRule="auto"/>
        <w:tabs>
          <w:tab w:leader="none" w:pos="28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not apply to the sale of any shares to an underwriter pursuant to an underwriting agreement, or the transfer of any shares to any trust for the direct or indirect benefit of the Holder or the immediate family of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of the trust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 and shall be applicable to the Holders only if all officers and directors of the Company and all stockholders individually owning more than one percent (1%) of the Company’s outstanding Common Stock (after giving effect to conversion into Class A Common Stock of all outstanding Preferred Stock) enter into similar agreements.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that are necessary to give further effect thereto. Any discretionary waiver or termination of the restrictions of any or all of such agreements (or any Holder, officer, director or greater than 1% stockholder) by the Company or the underwriters shall apply to all Holders subject to such agreements to the same extent and with respect to the same percentage of securities as the highest percentage of securities released from any such agreements.</w:t>
      </w:r>
    </w:p>
    <w:p>
      <w:pPr>
        <w:spacing w:after="0" w:line="108" w:lineRule="exact"/>
        <w:rPr>
          <w:sz w:val="20"/>
          <w:szCs w:val="20"/>
          <w:color w:val="auto"/>
        </w:rPr>
      </w:pPr>
    </w:p>
    <w:p>
      <w:pPr>
        <w:ind w:left="1569"/>
        <w:spacing w:after="0"/>
        <w:tabs>
          <w:tab w:leader="none" w:pos="2169"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Restrictions on Transfer</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9" w:firstLine="1626"/>
        <w:spacing w:after="0" w:line="256" w:lineRule="auto"/>
        <w:tabs>
          <w:tab w:leader="none" w:pos="218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to be bound by the terms of this Agreement.</w:t>
      </w:r>
    </w:p>
    <w:p>
      <w:pPr>
        <w:spacing w:after="0" w:line="322" w:lineRule="exact"/>
        <w:rPr>
          <w:rFonts w:ascii="Times New Roman" w:cs="Times New Roman" w:eastAsia="Times New Roman" w:hAnsi="Times New Roman"/>
          <w:sz w:val="18"/>
          <w:szCs w:val="18"/>
          <w:color w:val="auto"/>
        </w:rPr>
      </w:pPr>
    </w:p>
    <w:p>
      <w:pPr>
        <w:ind w:left="9" w:right="20" w:firstLine="1626"/>
        <w:spacing w:after="0" w:line="283" w:lineRule="auto"/>
        <w:tabs>
          <w:tab w:leader="none" w:pos="218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instrument, or book entry representing (i) the Preferred Stock, (ii) the Registrable Securities and (iii) any other securities issued in respect of the securities referenced in clauses (i) and (ii), upon any stock split, stock dividend,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9"/>
          </w:cols>
          <w:pgMar w:left="311" w:top="1218" w:right="319" w:bottom="1440" w:gutter="0" w:footer="0" w:header="0"/>
        </w:sectPr>
      </w:pPr>
    </w:p>
    <w:bookmarkStart w:id="339" w:name="page340"/>
    <w:bookmarkEnd w:id="339"/>
    <w:p>
      <w:pPr>
        <w:spacing w:after="0" w:line="283" w:lineRule="auto"/>
        <w:rPr>
          <w:sz w:val="20"/>
          <w:szCs w:val="20"/>
          <w:color w:val="auto"/>
        </w:rPr>
      </w:pPr>
      <w:r>
        <w:rPr>
          <w:rFonts w:ascii="Times New Roman" w:cs="Times New Roman" w:eastAsia="Times New Roman" w:hAnsi="Times New Roman"/>
          <w:sz w:val="18"/>
          <w:szCs w:val="18"/>
          <w:color w:val="auto"/>
        </w:rPr>
        <w:t xml:space="preserve">recapitalization, merger, consolidation or similar event, shall (unless otherwise permitted by the provisions of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be notated with a legend substantially in the following form:</w:t>
      </w:r>
    </w:p>
    <w:p>
      <w:pPr>
        <w:spacing w:after="0" w:line="80" w:lineRule="exact"/>
        <w:rPr>
          <w:sz w:val="20"/>
          <w:szCs w:val="20"/>
          <w:color w:val="auto"/>
        </w:rPr>
      </w:pPr>
    </w:p>
    <w:p>
      <w:pPr>
        <w:jc w:val="both"/>
        <w:ind w:left="540" w:right="54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99" w:lineRule="exact"/>
        <w:rPr>
          <w:sz w:val="20"/>
          <w:szCs w:val="20"/>
          <w:color w:val="auto"/>
        </w:rPr>
      </w:pPr>
    </w:p>
    <w:p>
      <w:pPr>
        <w:jc w:val="both"/>
        <w:ind w:left="540" w:right="56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95" w:lineRule="exact"/>
        <w:rPr>
          <w:sz w:val="20"/>
          <w:szCs w:val="20"/>
          <w:color w:val="auto"/>
        </w:rPr>
      </w:pPr>
    </w:p>
    <w:p>
      <w:pPr>
        <w:ind w:right="20" w:firstLine="1090"/>
        <w:spacing w:after="0" w:line="283" w:lineRule="auto"/>
        <w:rPr>
          <w:sz w:val="20"/>
          <w:szCs w:val="20"/>
          <w:color w:val="auto"/>
        </w:rPr>
      </w:pPr>
      <w:r>
        <w:rPr>
          <w:rFonts w:ascii="Times New Roman" w:cs="Times New Roman" w:eastAsia="Times New Roman" w:hAnsi="Times New Roman"/>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firstLine="1626"/>
        <w:spacing w:after="0" w:line="252" w:lineRule="auto"/>
        <w:tabs>
          <w:tab w:leader="none" w:pos="217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in connection with a transaction in compliance with SEC Rule 144 following the IPO, each transferee agrees in writing to be subject to the terms of this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the Holder shall provide the Company or its counsel with such certificates or other representations regarding such transaction as the Company or its counsel may reasonably request. Each certificate, instrument or book entry representing the Restricted Securities transferred as above provided shall be notated with, except if such transfer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1218" w:right="319" w:bottom="1440" w:gutter="0" w:footer="0" w:header="0"/>
        </w:sectPr>
      </w:pPr>
    </w:p>
    <w:bookmarkStart w:id="340" w:name="page341"/>
    <w:bookmarkEnd w:id="34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pursuant to SEC Rule 144 or pursuant to an effective registration statement, the appropriate restrictive legend set forth in </w:t>
      </w:r>
      <w:r>
        <w:rPr>
          <w:rFonts w:ascii="Times New Roman" w:cs="Times New Roman" w:eastAsia="Times New Roman" w:hAnsi="Times New Roman"/>
          <w:sz w:val="18"/>
          <w:szCs w:val="18"/>
          <w:u w:val="single" w:color="auto"/>
          <w:color w:val="auto"/>
        </w:rPr>
        <w:t>Subsection 2.12(b)</w:t>
      </w:r>
      <w:r>
        <w:rPr>
          <w:rFonts w:ascii="Times New Roman" w:cs="Times New Roman" w:eastAsia="Times New Roman" w:hAnsi="Times New Roman"/>
          <w:sz w:val="18"/>
          <w:szCs w:val="18"/>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95" w:lineRule="exact"/>
        <w:rPr>
          <w:sz w:val="20"/>
          <w:szCs w:val="20"/>
          <w:color w:val="auto"/>
        </w:rPr>
      </w:pPr>
    </w:p>
    <w:p>
      <w:pPr>
        <w:jc w:val="both"/>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shall terminate upon the earliest to occur of:</w:t>
      </w:r>
    </w:p>
    <w:p>
      <w:pPr>
        <w:spacing w:after="0" w:line="80" w:lineRule="exact"/>
        <w:rPr>
          <w:sz w:val="20"/>
          <w:szCs w:val="20"/>
          <w:color w:val="auto"/>
        </w:rPr>
      </w:pPr>
    </w:p>
    <w:p>
      <w:pPr>
        <w:ind w:left="2160" w:hanging="534"/>
        <w:spacing w:after="0"/>
        <w:tabs>
          <w:tab w:leader="none" w:pos="21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such term is defined in the Company’s Certificate of Incorporation;</w:t>
      </w:r>
    </w:p>
    <w:p>
      <w:pPr>
        <w:spacing w:after="0" w:line="145" w:lineRule="exact"/>
        <w:rPr>
          <w:rFonts w:ascii="Times New Roman" w:cs="Times New Roman" w:eastAsia="Times New Roman" w:hAnsi="Times New Roman"/>
          <w:sz w:val="18"/>
          <w:szCs w:val="18"/>
          <w:color w:val="auto"/>
        </w:rPr>
      </w:pPr>
    </w:p>
    <w:p>
      <w:pPr>
        <w:ind w:firstLine="1626"/>
        <w:spacing w:after="0" w:line="283" w:lineRule="auto"/>
        <w:tabs>
          <w:tab w:leader="none" w:pos="217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79" w:lineRule="exact"/>
        <w:rPr>
          <w:rFonts w:ascii="Times New Roman" w:cs="Times New Roman" w:eastAsia="Times New Roman" w:hAnsi="Times New Roman"/>
          <w:sz w:val="18"/>
          <w:szCs w:val="18"/>
          <w:color w:val="auto"/>
        </w:rPr>
      </w:pPr>
    </w:p>
    <w:p>
      <w:pPr>
        <w:ind w:left="2160" w:hanging="534"/>
        <w:spacing w:after="0"/>
        <w:tabs>
          <w:tab w:leader="none" w:pos="21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anniversary of the IPO.</w:t>
      </w:r>
    </w:p>
    <w:p>
      <w:pPr>
        <w:spacing w:after="0" w:line="145"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and Observer Rights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xml:space="preserve">. The Company shall deliver to each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w:t>
      </w:r>
    </w:p>
    <w:p>
      <w:pPr>
        <w:spacing w:after="0" w:line="80" w:lineRule="exact"/>
        <w:rPr>
          <w:sz w:val="20"/>
          <w:szCs w:val="20"/>
          <w:color w:val="auto"/>
        </w:rPr>
      </w:pPr>
    </w:p>
    <w:p>
      <w:pPr>
        <w:jc w:val="both"/>
        <w:ind w:firstLine="1626"/>
        <w:spacing w:after="0" w:line="261" w:lineRule="auto"/>
        <w:tabs>
          <w:tab w:leader="none" w:pos="217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not later than the first day of August of each calendar year (i) a balance sheet as of the end of the immediately preceding year, (ii) statements of income and of cash flows for such year, and (iii) a statement of stockholders’ equity as of the end of such year, all such financial statements audited and certified by independent public accountants of regionally recognized standing selected by the Company;</w:t>
      </w:r>
    </w:p>
    <w:p>
      <w:pPr>
        <w:spacing w:after="0" w:line="99" w:lineRule="exact"/>
        <w:rPr>
          <w:rFonts w:ascii="Times New Roman" w:cs="Times New Roman" w:eastAsia="Times New Roman" w:hAnsi="Times New Roman"/>
          <w:sz w:val="18"/>
          <w:szCs w:val="18"/>
          <w:color w:val="auto"/>
        </w:rPr>
      </w:pPr>
    </w:p>
    <w:p>
      <w:pPr>
        <w:jc w:val="both"/>
        <w:ind w:firstLine="1626"/>
        <w:spacing w:after="0" w:line="261" w:lineRule="auto"/>
        <w:tabs>
          <w:tab w:leader="none" w:pos="217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of the first three (3) quarters of each year,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and</w:t>
      </w:r>
    </w:p>
    <w:p>
      <w:pPr>
        <w:spacing w:after="0" w:line="99" w:lineRule="exact"/>
        <w:rPr>
          <w:rFonts w:ascii="Times New Roman" w:cs="Times New Roman" w:eastAsia="Times New Roman" w:hAnsi="Times New Roman"/>
          <w:sz w:val="18"/>
          <w:szCs w:val="18"/>
          <w:color w:val="auto"/>
        </w:rPr>
      </w:pPr>
    </w:p>
    <w:p>
      <w:pPr>
        <w:jc w:val="both"/>
        <w:ind w:firstLine="1626"/>
        <w:spacing w:after="0" w:line="256" w:lineRule="auto"/>
        <w:tabs>
          <w:tab w:leader="none" w:pos="217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 statement showing the number of shares of each class and series of capital stock and securities convertible into or exercisable for shares of capital stock outstanding as of the date of such request,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320" w:top="1218" w:right="319" w:bottom="1440" w:gutter="0" w:footer="0" w:header="0"/>
        </w:sectPr>
      </w:pPr>
    </w:p>
    <w:bookmarkStart w:id="341" w:name="page342"/>
    <w:bookmarkEnd w:id="341"/>
    <w:p>
      <w:pPr>
        <w:jc w:val="both"/>
        <w:ind w:firstLine="1626"/>
        <w:spacing w:after="0" w:line="266" w:lineRule="auto"/>
        <w:tabs>
          <w:tab w:leader="none" w:pos="217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thirty (30) days before the end of each year, a budget and business plan for the next year (collectively, 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prepared on a monthly basis, including balance sheets, income statements and statements of cash flow for such months and, promptly after prepared and approved by the Board of Directors, any other budgets or revised budgets prepared by the Company;</w:t>
      </w:r>
    </w:p>
    <w:p>
      <w:pPr>
        <w:spacing w:after="0" w:line="95"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95"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03"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Company shall permit each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07"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Observer Rights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firstLine="1626"/>
        <w:spacing w:after="0" w:line="254" w:lineRule="auto"/>
        <w:tabs>
          <w:tab w:leader="none" w:pos="217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Artal International S.C.A. (together with its affiliates, “</w:t>
      </w:r>
      <w:r>
        <w:rPr>
          <w:rFonts w:ascii="Times New Roman" w:cs="Times New Roman" w:eastAsia="Times New Roman" w:hAnsi="Times New Roman"/>
          <w:sz w:val="18"/>
          <w:szCs w:val="18"/>
          <w:b w:val="1"/>
          <w:bCs w:val="1"/>
          <w:color w:val="auto"/>
        </w:rPr>
        <w:t>Artal</w:t>
      </w:r>
      <w:r>
        <w:rPr>
          <w:rFonts w:ascii="Times New Roman" w:cs="Times New Roman" w:eastAsia="Times New Roman" w:hAnsi="Times New Roman"/>
          <w:sz w:val="18"/>
          <w:szCs w:val="18"/>
          <w:color w:val="auto"/>
        </w:rPr>
        <w:t>”) owns not less than fifty percent (50%) of the shares of the Series B Preferred Stock it purchased under the Series B Preferred Stock Purchase Agreement dated March 23, 2018 (or an equivalent amount of Common Stock issued upon conversion thereof), the Company shall invite a representative of Artal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320" w:top="1218" w:right="319" w:bottom="1440" w:gutter="0" w:footer="0" w:header="0"/>
        </w:sectPr>
      </w:pPr>
    </w:p>
    <w:bookmarkStart w:id="342" w:name="page343"/>
    <w:bookmarkEnd w:id="342"/>
    <w:p>
      <w:pPr>
        <w:spacing w:after="0" w:line="283" w:lineRule="auto"/>
        <w:rPr>
          <w:sz w:val="20"/>
          <w:szCs w:val="20"/>
          <w:color w:val="auto"/>
        </w:rPr>
      </w:pPr>
      <w:r>
        <w:rPr>
          <w:rFonts w:ascii="Times New Roman" w:cs="Times New Roman" w:eastAsia="Times New Roman" w:hAnsi="Times New Roman"/>
          <w:sz w:val="18"/>
          <w:szCs w:val="18"/>
          <w:color w:val="auto"/>
        </w:rPr>
        <w:t>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76" w:lineRule="exact"/>
        <w:rPr>
          <w:sz w:val="20"/>
          <w:szCs w:val="20"/>
          <w:color w:val="auto"/>
        </w:rPr>
      </w:pPr>
    </w:p>
    <w:p>
      <w:pPr>
        <w:jc w:val="both"/>
        <w:ind w:firstLine="1626"/>
        <w:spacing w:after="0" w:line="254" w:lineRule="auto"/>
        <w:tabs>
          <w:tab w:leader="none" w:pos="217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Aju Life Science 3.0 Venture Fund and Aju Good Venture Fund (together with their affiliates, “</w:t>
      </w:r>
      <w:r>
        <w:rPr>
          <w:rFonts w:ascii="Times New Roman" w:cs="Times New Roman" w:eastAsia="Times New Roman" w:hAnsi="Times New Roman"/>
          <w:sz w:val="18"/>
          <w:szCs w:val="18"/>
          <w:b w:val="1"/>
          <w:bCs w:val="1"/>
          <w:color w:val="auto"/>
        </w:rPr>
        <w:t>Aju IB</w:t>
      </w:r>
      <w:r>
        <w:rPr>
          <w:rFonts w:ascii="Times New Roman" w:cs="Times New Roman" w:eastAsia="Times New Roman" w:hAnsi="Times New Roman"/>
          <w:sz w:val="18"/>
          <w:szCs w:val="18"/>
          <w:color w:val="auto"/>
        </w:rPr>
        <w:t>”) own in the aggregate not less than fifty percent (50%) of the shares of the Series C Preferred Stock purchased by Aju IB under the Series C Preferred Stock Purchase Agreement dated March 7, 2019 (or an equivalent amount of Common Stock issued upon conversion thereof), the Company shall invite a representative of Aju IB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100"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aMoon 2 Fund, Limited Partnership (together with its affiliates, “</w:t>
      </w:r>
      <w:r>
        <w:rPr>
          <w:rFonts w:ascii="Times New Roman" w:cs="Times New Roman" w:eastAsia="Times New Roman" w:hAnsi="Times New Roman"/>
          <w:sz w:val="18"/>
          <w:szCs w:val="18"/>
          <w:b w:val="1"/>
          <w:bCs w:val="1"/>
          <w:color w:val="auto"/>
        </w:rPr>
        <w:t>aMoon</w:t>
      </w:r>
      <w:r>
        <w:rPr>
          <w:rFonts w:ascii="Times New Roman" w:cs="Times New Roman" w:eastAsia="Times New Roman" w:hAnsi="Times New Roman"/>
          <w:sz w:val="18"/>
          <w:szCs w:val="18"/>
          <w:color w:val="auto"/>
        </w:rPr>
        <w:t>”) owns in the aggregate not less than fifty percent (50%) of the shares of the Series D Preferred Stock it is purchasing under the Purchase Agreement (or an equivalent amount of Common Stock issued upon conversion thereof), the Company shall invite a representative of aMoon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104"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Termination of Information and Observer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3.3</w:t>
      </w:r>
      <w:r>
        <w:rPr>
          <w:rFonts w:ascii="Times New Roman" w:cs="Times New Roman" w:eastAsia="Times New Roman" w:hAnsi="Times New Roman"/>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1218" w:right="31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color w:val="auto"/>
        </w:rPr>
        <w:t>(iii) upon a Deemed Liquidation Event, as such term is defined in the Company’s Certificate of Incorporation, whichever event occurs first.</w:t>
      </w:r>
    </w:p>
    <w:p>
      <w:pPr>
        <w:spacing w:after="0" w:line="145" w:lineRule="exact"/>
        <w:rPr>
          <w:sz w:val="20"/>
          <w:szCs w:val="20"/>
          <w:color w:val="auto"/>
        </w:rPr>
      </w:pPr>
    </w:p>
    <w:p>
      <w:pPr>
        <w:jc w:val="both"/>
        <w:ind w:left="540" w:firstLine="545"/>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8"/>
          <w:szCs w:val="18"/>
          <w:u w:val="single" w:color="auto"/>
          <w:color w:val="auto"/>
        </w:rPr>
        <w:t>Subsection 3.5</w:t>
      </w:r>
      <w:r>
        <w:rPr>
          <w:rFonts w:ascii="Times New Roman" w:cs="Times New Roman" w:eastAsia="Times New Roman" w:hAnsi="Times New Roman"/>
          <w:sz w:val="18"/>
          <w:szCs w:val="18"/>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8"/>
          <w:szCs w:val="18"/>
          <w:u w:val="single" w:color="auto"/>
          <w:color w:val="auto"/>
        </w:rPr>
        <w:t>Subsection 3.5</w:t>
      </w:r>
      <w:r>
        <w:rPr>
          <w:rFonts w:ascii="Times New Roman" w:cs="Times New Roman" w:eastAsia="Times New Roman" w:hAnsi="Times New Roman"/>
          <w:sz w:val="18"/>
          <w:szCs w:val="18"/>
          <w:color w:val="auto"/>
        </w:rPr>
        <w:t xml:space="preserve">; (iii) to any existing Affiliate, partner, member, stockholder or wholly owned subsidiary of such Investor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informs such Person that such information is confidential and directs such Person to maintain the confidentiality of such information; or (iv) as may otherwise be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promptly notifies the Company of such disclosure and takes reasonable steps to minimize the extent of any such required disclosure.</w:t>
      </w:r>
    </w:p>
    <w:p>
      <w:pPr>
        <w:spacing w:after="0" w:line="105" w:lineRule="exact"/>
        <w:rPr>
          <w:sz w:val="20"/>
          <w:szCs w:val="20"/>
          <w:color w:val="auto"/>
        </w:rPr>
      </w:pPr>
    </w:p>
    <w:p>
      <w:pPr>
        <w:ind w:left="1080" w:hanging="544"/>
        <w:spacing w:after="0"/>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(i) each Major Investor, (ii) each other Investor that, individually or together with such Investor’s Affiliates, holds at least 100,000 shares of Registrable Securities (as adjusted for any stock split, stock dividend, combination or other recapitalization or reclassification effected after the date hereof) and (iii) each Key Holder (each a “</w:t>
      </w:r>
      <w:r>
        <w:rPr>
          <w:rFonts w:ascii="Times New Roman" w:cs="Times New Roman" w:eastAsia="Times New Roman" w:hAnsi="Times New Roman"/>
          <w:sz w:val="18"/>
          <w:szCs w:val="18"/>
          <w:b w:val="1"/>
          <w:bCs w:val="1"/>
          <w:color w:val="auto"/>
        </w:rPr>
        <w:t>First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First Offer Participants</w:t>
      </w:r>
      <w:r>
        <w:rPr>
          <w:rFonts w:ascii="Times New Roman" w:cs="Times New Roman" w:eastAsia="Times New Roman" w:hAnsi="Times New Roman"/>
          <w:sz w:val="18"/>
          <w:szCs w:val="18"/>
          <w:color w:val="auto"/>
        </w:rPr>
        <w:t>”). A First Offer Participant shall be entitled to apportion the right of first offer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granted to it in such proportions as it deems appropriate, among (i) itself and (ii)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Affiliate (x) is not a Competitor or FOIA Party, unless such party’s purchase of New Securities is otherwise consented to by the Board of Directors, (y) 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Key Holder</w:t>
      </w:r>
      <w:r>
        <w:rPr>
          <w:rFonts w:ascii="Times New Roman" w:cs="Times New Roman" w:eastAsia="Times New Roman" w:hAnsi="Times New Roman"/>
          <w:sz w:val="18"/>
          <w:szCs w:val="18"/>
          <w:color w:val="auto"/>
        </w:rPr>
        <w:t xml:space="preserve">,” as applicable, under each such agreement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any Competitor or FOIA Party shall not be entitled to any rights as a Major Investor under </w:t>
      </w:r>
      <w:r>
        <w:rPr>
          <w:rFonts w:ascii="Times New Roman" w:cs="Times New Roman" w:eastAsia="Times New Roman" w:hAnsi="Times New Roman"/>
          <w:sz w:val="18"/>
          <w:szCs w:val="18"/>
          <w:u w:val="single" w:color="auto"/>
          <w:color w:val="auto"/>
        </w:rPr>
        <w:t>Subsections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hereof), and (z) agrees to purchase at least such number of New Securities as are allocable hereunder to the First Offer Participant holding the fewest number of shares of Common Stock (including all shares of Class A Common Stock then issuable (directly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0"/>
          </w:cols>
          <w:pgMar w:left="320" w:top="1218" w:right="319" w:bottom="1440" w:gutter="0" w:footer="0" w:header="0"/>
        </w:sectPr>
      </w:pPr>
    </w:p>
    <w:bookmarkStart w:id="344" w:name="page345"/>
    <w:bookmarkEnd w:id="344"/>
    <w:p>
      <w:pPr>
        <w:ind w:right="20"/>
        <w:spacing w:after="0" w:line="283" w:lineRule="auto"/>
        <w:rPr>
          <w:sz w:val="20"/>
          <w:szCs w:val="20"/>
          <w:color w:val="auto"/>
        </w:rPr>
      </w:pPr>
      <w:r>
        <w:rPr>
          <w:rFonts w:ascii="Times New Roman" w:cs="Times New Roman" w:eastAsia="Times New Roman" w:hAnsi="Times New Roman"/>
          <w:sz w:val="18"/>
          <w:szCs w:val="18"/>
          <w:color w:val="auto"/>
        </w:rPr>
        <w:t>or indirectly) upon conversion and/or exercise, as applicable, of the Preferred Stock and any other Derivative Securities then held by such First Offer Participant).</w:t>
      </w:r>
    </w:p>
    <w:p>
      <w:pPr>
        <w:spacing w:after="0" w:line="76" w:lineRule="exact"/>
        <w:rPr>
          <w:sz w:val="20"/>
          <w:szCs w:val="20"/>
          <w:color w:val="auto"/>
        </w:rPr>
      </w:pPr>
    </w:p>
    <w:p>
      <w:pPr>
        <w:jc w:val="both"/>
        <w:ind w:firstLine="1626"/>
        <w:spacing w:after="0" w:line="269" w:lineRule="auto"/>
        <w:tabs>
          <w:tab w:leader="none" w:pos="21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First Offer Participant, stating (i) its bona fide intention to offer such New Securities, (ii) the number of such New Securities to be offered and (iii) the price and terms, if any, upon which it proposes to offer such New Securities.</w:t>
      </w:r>
    </w:p>
    <w:p>
      <w:pPr>
        <w:spacing w:after="0" w:line="91" w:lineRule="exact"/>
        <w:rPr>
          <w:rFonts w:ascii="Times New Roman" w:cs="Times New Roman" w:eastAsia="Times New Roman" w:hAnsi="Times New Roman"/>
          <w:sz w:val="18"/>
          <w:szCs w:val="18"/>
          <w:color w:val="auto"/>
        </w:rPr>
      </w:pPr>
    </w:p>
    <w:p>
      <w:pPr>
        <w:jc w:val="both"/>
        <w:ind w:firstLine="1626"/>
        <w:spacing w:after="0" w:line="252" w:lineRule="auto"/>
        <w:tabs>
          <w:tab w:leader="none" w:pos="217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First Offer Participant may elect to purchase or otherwise acquire, at the price and on the terms specified in the Offer Notice, up to that portion of such New Securities which equals the proportion that the Common Stock then held by such First Offer Participant (including all shares of Class A Common Stock then issuable (directly or indirectly) upon conversion and/or exercise, as applicable, of the Preferred Stock and any other Derivative Securities then held by such First Offer Participant) bears to the total Common Stock of the Company then outstanding (assuming full conversion and/or exercise, as applicable, of all Preferred Stock and other Derivative Securities). At the expiration of such twenty (20) day period, the Company shall promptly notify each First Offer Participant that elects to purchase or acquire all the shares available to it (each, a “</w:t>
      </w:r>
      <w:r>
        <w:rPr>
          <w:rFonts w:ascii="Times New Roman" w:cs="Times New Roman" w:eastAsia="Times New Roman" w:hAnsi="Times New Roman"/>
          <w:sz w:val="18"/>
          <w:szCs w:val="18"/>
          <w:b w:val="1"/>
          <w:bCs w:val="1"/>
          <w:color w:val="auto"/>
        </w:rPr>
        <w:t>Fully Exercising Participant</w:t>
      </w:r>
      <w:r>
        <w:rPr>
          <w:rFonts w:ascii="Times New Roman" w:cs="Times New Roman" w:eastAsia="Times New Roman" w:hAnsi="Times New Roman"/>
          <w:sz w:val="18"/>
          <w:szCs w:val="18"/>
          <w:color w:val="auto"/>
        </w:rPr>
        <w:t xml:space="preserve">”) of any other First Offer Participant’s failure to do likewise. During the ten (10) day period commencing after the Company has given such notice, each Fully Exercising Participant may, by giving notice to the Company, elect to purchase or acquire, in addition to the number of shares specified above, up to that portion of the New Securities for which First Offer Participants were entitled to subscribe but that were not subscribed for by the First Offer Participants which is equal to the proportion that the Common Stock issued and held, or issuable (directly or indirectly) upon conversion and/or exercise, as applicable, of Preferred Stock and any other Derivative Securities then held, by such Fully Exercising Participant bears to the Common Stock issued and held, or issuable (directly or indirectly) upon conversion and/or exercise, as applicable, of the Preferred Stock and any other Derivative Securities then held, by all Fully Exercising Participants who wish to purchase such unsubscribed shares. The closing of any sale pursuant to this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shall occur within the later of ninety (90) days of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Subsection 4.1(c)</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firstLine="1626"/>
        <w:spacing w:after="0" w:line="256" w:lineRule="auto"/>
        <w:tabs>
          <w:tab w:leader="none" w:pos="21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New Securities referred to in the Offer Notice are not elected to be purchased or acquired as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First Offer Participants in accordance with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1218" w:right="319" w:bottom="1440" w:gutter="0" w:footer="0" w:header="0"/>
        </w:sectPr>
      </w:pPr>
    </w:p>
    <w:bookmarkStart w:id="345" w:name="page346"/>
    <w:bookmarkEnd w:id="345"/>
    <w:p>
      <w:pPr>
        <w:ind w:firstLine="1626"/>
        <w:spacing w:after="0" w:line="283" w:lineRule="auto"/>
        <w:tabs>
          <w:tab w:leader="none" w:pos="217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not be applicable to (i) Exempted Securities (as defined in the Company’s Certificate of Incorporation) and (ii) shares of Common Stock issued in the IPO.</w:t>
      </w:r>
    </w:p>
    <w:p>
      <w:pPr>
        <w:spacing w:after="0" w:line="80"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terminate and be of no further force or effect (i) immediately before the consummation of the IPO or (ii) upon a Deemed Liquidation Event, as such term is defined in the Company’s Certificate of Incorporation, whichever event occurs first.</w:t>
      </w:r>
    </w:p>
    <w:p>
      <w:pPr>
        <w:spacing w:after="0" w:line="95" w:lineRule="exact"/>
        <w:rPr>
          <w:sz w:val="20"/>
          <w:szCs w:val="20"/>
          <w:color w:val="auto"/>
        </w:rPr>
      </w:pPr>
    </w:p>
    <w:p>
      <w:pPr>
        <w:ind w:left="1080" w:hanging="54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maintain, from a financially sound and reputable insurer, Directors and Officers liability insurance in an amount and on such other terms and conditions satisfactory to the Board of Directors, until such time as the Board of Directors determines that such insurance should be discontinued.</w:t>
      </w:r>
    </w:p>
    <w:p>
      <w:pPr>
        <w:spacing w:after="0" w:line="95"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The Company will cause each person now or hereafter employed by it or by any subsidiary (or engaged by the Company or any subsidiary as a consultant/independent contractor) with access to proprietary information, confidential information and/or trade secrets to enter into a nondisclosure and proprietary rights assignment agreement, substantially in the form approved by the Board of Directors.</w:t>
      </w:r>
    </w:p>
    <w:p>
      <w:pPr>
        <w:spacing w:after="0" w:line="95"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07"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directors then in office, the Board of Directors shall meet at least quarterly in accordance with an agreed-upon schedule. The Company shall reimburse the nonemployee directors and observers for all reasonable expenses in their services as a nonemployee director or an observer including out-of-pocket travel expenses incurred (consistent with the Company’s travel policy) in connection with attending meetings of the Board of Directors.</w:t>
      </w:r>
    </w:p>
    <w:p>
      <w:pPr>
        <w:spacing w:after="0" w:line="99"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1218" w:right="31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color w:val="auto"/>
        </w:rPr>
        <w:t>contained in the Company’s Bylaws, its Certificate of Incorporation or elsewhere, as the case may be.</w:t>
      </w:r>
    </w:p>
    <w:p>
      <w:pPr>
        <w:spacing w:after="0" w:line="145"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of Directors by the Investors including the Preferred Director (each a “</w:t>
      </w:r>
      <w:r>
        <w:rPr>
          <w:rFonts w:ascii="Times New Roman" w:cs="Times New Roman" w:eastAsia="Times New Roman" w:hAnsi="Times New Roman"/>
          <w:sz w:val="18"/>
          <w:szCs w:val="18"/>
          <w:b w:val="1"/>
          <w:b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0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626"/>
        <w:spacing w:after="0" w:line="254" w:lineRule="auto"/>
        <w:tabs>
          <w:tab w:leader="none" w:pos="217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and acknowledges that Maverick Advisors Fund, L.P. and Maverick Ventures Investment Fund, L.P. (together with its affiliates, “</w:t>
      </w:r>
      <w:r>
        <w:rPr>
          <w:rFonts w:ascii="Times New Roman" w:cs="Times New Roman" w:eastAsia="Times New Roman" w:hAnsi="Times New Roman"/>
          <w:sz w:val="18"/>
          <w:szCs w:val="18"/>
          <w:b w:val="1"/>
          <w:bCs w:val="1"/>
          <w:color w:val="auto"/>
        </w:rPr>
        <w:t>Maverick</w:t>
      </w:r>
      <w:r>
        <w:rPr>
          <w:rFonts w:ascii="Times New Roman" w:cs="Times New Roman" w:eastAsia="Times New Roman" w:hAnsi="Times New Roman"/>
          <w:sz w:val="18"/>
          <w:szCs w:val="18"/>
          <w:color w:val="auto"/>
        </w:rPr>
        <w:t xml:space="preserve">”)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Maverick shall not be liable to the Company for any claim arising out of, or based upon, (i) the investment by Maverick in any entity competitive with the Company or (ii) actions taken by any partner, officer or other representative of Maverick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6" w:lineRule="exact"/>
        <w:rPr>
          <w:rFonts w:ascii="Times New Roman" w:cs="Times New Roman" w:eastAsia="Times New Roman" w:hAnsi="Times New Roman"/>
          <w:sz w:val="18"/>
          <w:szCs w:val="18"/>
          <w:color w:val="auto"/>
        </w:rPr>
      </w:pPr>
    </w:p>
    <w:p>
      <w:pPr>
        <w:ind w:firstLine="1626"/>
        <w:spacing w:after="0" w:line="283" w:lineRule="auto"/>
        <w:tabs>
          <w:tab w:leader="none" w:pos="217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and acknowledges that Artal is a professional investment fund, and as such invests in numerous portfolio companies, some of which may be deemed competitive with the Company’s business (as currently conducted or 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0"/>
          </w:cols>
          <w:pgMar w:left="320" w:top="1218" w:right="319" w:bottom="1440" w:gutter="0" w:footer="0" w:header="0"/>
        </w:sectPr>
      </w:pPr>
    </w:p>
    <w:bookmarkStart w:id="347" w:name="page348"/>
    <w:bookmarkEnd w:id="34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currently propose to be conducted). The Company hereby agrees that, to the extent permitted under applicable law, Artal shall not be liable to the Company for any claim arising out of, or based upon, (i) the investment by Artal in any entity competitive with the Company or (ii) actions taken by any partner, officer or other representative of Artal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Notwithstanding anything to the contrary in this Agreement, Artal shall retain its rights under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of this Agreement regardless of whether Artal or any of its Affiliates is a Competitor.</w:t>
      </w:r>
    </w:p>
    <w:p>
      <w:pPr>
        <w:spacing w:after="0" w:line="110" w:lineRule="exact"/>
        <w:rPr>
          <w:sz w:val="20"/>
          <w:szCs w:val="20"/>
          <w:color w:val="auto"/>
        </w:rPr>
      </w:pPr>
    </w:p>
    <w:p>
      <w:pPr>
        <w:jc w:val="both"/>
        <w:ind w:firstLine="1626"/>
        <w:spacing w:after="0" w:line="254" w:lineRule="auto"/>
        <w:tabs>
          <w:tab w:leader="none" w:pos="217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agrees and acknowledges that Aju IB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Aju IB shall not be liable to the Company for any claim arising out of, or based upon, (i) the investment by Aju IB in any entity competitive with the Company or (ii) actions taken by any partner, officer or other representative of Aju IB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10"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agrees and acknowledges that aMoon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aMoon shall not be liable to the Company for any claim arising out of, or based upon, (i) the investment by aMoon in any entity competitive with the Company or (ii) actions taken by any partner, officer or other representative of aMoon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10" w:lineRule="exact"/>
        <w:rPr>
          <w:rFonts w:ascii="Times New Roman" w:cs="Times New Roman" w:eastAsia="Times New Roman" w:hAnsi="Times New Roman"/>
          <w:sz w:val="18"/>
          <w:szCs w:val="18"/>
          <w:color w:val="auto"/>
        </w:rPr>
      </w:pPr>
    </w:p>
    <w:p>
      <w:pPr>
        <w:ind w:firstLine="1626"/>
        <w:spacing w:after="0" w:line="283" w:lineRule="auto"/>
        <w:tabs>
          <w:tab w:leader="none" w:pos="217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and acknowledges that each Fidelity Investor (as defined below) (together with its Affiliates) is a professional investment fund, and 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0"/>
          </w:cols>
          <w:pgMar w:left="320" w:top="1218" w:right="319" w:bottom="1440" w:gutter="0" w:footer="0" w:header="0"/>
        </w:sectPr>
      </w:pPr>
    </w:p>
    <w:bookmarkStart w:id="348" w:name="page349"/>
    <w:bookmarkEnd w:id="34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invests in numerous portfolio companies, some of which may be deemed competitive with the Company’s business (as currently conducted or as currently proposed to be conducted). The Company hereby agrees that, to the extent permitted under applicable law, no Fidelity Investor (or any of its Affiliates) shall be liable to the Company for any claim arising out of, or based upon, (i) the investment by any Fidelity Investor (or any of its Affiliates) in any entity competitive with the Company or (ii) actions taken by any partner, officer or other representative of any Fidelity Investor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Fidelity Investors from liability associated with the unauthorized disclosure of the Company’s confidential information obtained pursuant to this Agreement or (y) any director or officer of the Company from any liability associated with his or her fiduciary duties to the Company. “</w:t>
      </w:r>
      <w:r>
        <w:rPr>
          <w:rFonts w:ascii="Times New Roman" w:cs="Times New Roman" w:eastAsia="Times New Roman" w:hAnsi="Times New Roman"/>
          <w:sz w:val="18"/>
          <w:szCs w:val="18"/>
          <w:b w:val="1"/>
          <w:bCs w:val="1"/>
          <w:color w:val="auto"/>
        </w:rPr>
        <w:t>Fidelity Investors</w:t>
      </w:r>
      <w:r>
        <w:rPr>
          <w:rFonts w:ascii="Times New Roman" w:cs="Times New Roman" w:eastAsia="Times New Roman" w:hAnsi="Times New Roman"/>
          <w:sz w:val="18"/>
          <w:szCs w:val="18"/>
          <w:color w:val="auto"/>
        </w:rPr>
        <w:t>” shall mean any Investors advised or subadvised by Fidelity Management &amp; Research Company or one of its Affiliates.</w:t>
      </w:r>
    </w:p>
    <w:p>
      <w:pPr>
        <w:spacing w:after="0" w:line="107"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Subsection 5.6</w:t>
      </w:r>
      <w:r>
        <w:rPr>
          <w:rFonts w:ascii="Times New Roman" w:cs="Times New Roman" w:eastAsia="Times New Roman" w:hAnsi="Times New Roman"/>
          <w:sz w:val="18"/>
          <w:szCs w:val="18"/>
          <w:color w:val="auto"/>
        </w:rPr>
        <w:t>, shall terminate and be of no further force or effect (i) immediately before the consummation of the IPO or (ii) upon a Deemed Liquidation Event, as such term is defined in the Company’s Certificate of Incorporation, whichever event occurs first.</w:t>
      </w:r>
    </w:p>
    <w:p>
      <w:pPr>
        <w:spacing w:after="0" w:line="95" w:lineRule="exact"/>
        <w:rPr>
          <w:sz w:val="20"/>
          <w:szCs w:val="20"/>
          <w:color w:val="auto"/>
        </w:rPr>
      </w:pPr>
    </w:p>
    <w:p>
      <w:pPr>
        <w:ind w:left="1080" w:hanging="54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90"/>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rights under this Agreement may be assigned (but only with all related obligations) by (i) a Holder to a transferee of Registrable Securities that (A) is an Affiliate of a Holder or (B) is a Holder’s Immediate Family Member or trust for the benefit of an individual Holder or one or more of such Holder’s Immediate Family Members or (ii) a Major Investor to a transferee of all of the Registrable Securities held by such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0"/>
          </w:cols>
          <w:pgMar w:left="320" w:top="1218" w:right="319" w:bottom="1440" w:gutter="0" w:footer="0" w:header="0"/>
        </w:sectPr>
      </w:pPr>
    </w:p>
    <w:bookmarkStart w:id="349" w:name="page350"/>
    <w:bookmarkEnd w:id="349"/>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w:t>
      </w:r>
    </w:p>
    <w:p>
      <w:pPr>
        <w:spacing w:after="0" w:line="145"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right="20" w:firstLine="1090"/>
        <w:spacing w:after="0" w:line="28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w:t>
      </w:r>
    </w:p>
    <w:p>
      <w:pPr>
        <w:spacing w:after="0" w:line="80" w:lineRule="exact"/>
        <w:rPr>
          <w:sz w:val="20"/>
          <w:szCs w:val="20"/>
          <w:color w:val="auto"/>
        </w:rPr>
      </w:pPr>
    </w:p>
    <w:p>
      <w:pPr>
        <w:jc w:val="both"/>
        <w:ind w:firstLine="1090"/>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Subsection 6.5</w:t>
      </w:r>
      <w:r>
        <w:rPr>
          <w:rFonts w:ascii="Times New Roman" w:cs="Times New Roman" w:eastAsia="Times New Roman" w:hAnsi="Times New Roman"/>
          <w:sz w:val="18"/>
          <w:szCs w:val="18"/>
          <w:color w:val="auto"/>
        </w:rPr>
        <w:t>. If notice is given to the Company, a copy shall also be sent to Wilson Sonsini Goodrich &amp; Rosati, P.C., 650 Page Mill Road, Palo Alto, California 94304, Attention: Tony Jeffries, and if notice is given to the Investors, a copy shall also be given to Cooley LLP, 3175 Hanover Street, Palo Alto, California 94306, Attention: Kevin Rooney; Patterson Belknap Webb and Tyler LLP, 1133 Avenue of the Americas, New York, New York 10036, Attention: Peter Schaeffer; Morgan, Lewis &amp; Bockius LLP, One Federal Street, Boston, MA 02110-1726; Gunderson Dettmer Stough Villeneuve Franklin &amp; Hachigian, LLP, 550 Allerton Street, Redwood City, CA 94063, Attention: Andy Bradley; Attention: James P. Carrigan; Naschitz Brandes Amir &amp; Co., 5 Tuval St. Tel Aviv, Israel, Attention: Asher Assis, Adv., and Inbar Mishory Bartal, Adv and Greenberg Traurig, LLP, One International Place, Suite 2000, Boston, MA 02110, Attention: Bradley A. Jacobson.</w:t>
      </w:r>
    </w:p>
    <w:p>
      <w:pPr>
        <w:spacing w:after="0" w:line="115"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in its sole discretion waive compliance with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shall be deemed to be a waiver);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0"/>
          </w:cols>
          <w:pgMar w:left="320" w:top="1218" w:right="319" w:bottom="1440" w:gutter="0" w:footer="0" w:header="0"/>
        </w:sectPr>
      </w:pPr>
    </w:p>
    <w:bookmarkStart w:id="350" w:name="page351"/>
    <w:bookmarkEnd w:id="35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absent the consent or approval of an adversely affected non-waiving Major Investor who desires to purchase securities in such transaction, any waiver with the effect of reducing the number of New Securities such Major Investor may purchase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 any Company financing must proportionately reduce the number of New Securities all other Major Investors may purchase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otherwise in such financing).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shares of Common Stock (including shares of Class A Common Stock issued or issuable upon conversion of Preferred Stock) held by the Key Holders.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Subsection 6.6</w:t>
      </w:r>
      <w:r>
        <w:rPr>
          <w:rFonts w:ascii="Times New Roman" w:cs="Times New Roman" w:eastAsia="Times New Roman" w:hAnsi="Times New Roman"/>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5.7(b)</w:t>
      </w:r>
      <w:r>
        <w:rPr>
          <w:rFonts w:ascii="Times New Roman" w:cs="Times New Roman" w:eastAsia="Times New Roman" w:hAnsi="Times New Roman"/>
          <w:sz w:val="18"/>
          <w:szCs w:val="18"/>
          <w:color w:val="auto"/>
        </w:rPr>
        <w:t xml:space="preserve"> of this Agreement shall not be amended or waived without the written consent of Artal.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 xml:space="preserve"> of this Agreement shall not be amended or waived without the written consent of Aju IB.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this Agreement shall not be amended or waived without the written consent of Maverick.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Sections 3.3(c)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5.7(d)</w:t>
      </w:r>
      <w:r>
        <w:rPr>
          <w:rFonts w:ascii="Times New Roman" w:cs="Times New Roman" w:eastAsia="Times New Roman" w:hAnsi="Times New Roman"/>
          <w:sz w:val="18"/>
          <w:szCs w:val="18"/>
          <w:color w:val="auto"/>
        </w:rPr>
        <w:t xml:space="preserve"> of this Agreement shall not be amended or waived without the written consent of aMoon.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 xml:space="preserve"> of this Agreement shall not be amended or waived without the written consent of the Fidelity Investors.</w:t>
      </w:r>
    </w:p>
    <w:p>
      <w:pPr>
        <w:spacing w:after="0" w:line="121"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95" w:lineRule="exact"/>
        <w:rPr>
          <w:sz w:val="20"/>
          <w:szCs w:val="20"/>
          <w:color w:val="auto"/>
        </w:rPr>
      </w:pPr>
    </w:p>
    <w:p>
      <w:pPr>
        <w:jc w:val="both"/>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0"/>
          </w:cols>
          <w:pgMar w:left="320" w:top="1218" w:right="31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color w:val="auto"/>
        </w:rPr>
        <w:t>of any rights under this Agreement and such Affiliated persons may apportion such rights as among themselves in any manner they deem appropriate.</w:t>
      </w:r>
    </w:p>
    <w:p>
      <w:pPr>
        <w:spacing w:after="0" w:line="145"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03"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99" w:lineRule="exact"/>
        <w:rPr>
          <w:sz w:val="20"/>
          <w:szCs w:val="20"/>
          <w:color w:val="auto"/>
        </w:rPr>
      </w:pPr>
    </w:p>
    <w:p>
      <w:pPr>
        <w:jc w:val="both"/>
        <w:ind w:firstLine="1090"/>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the State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1218" w:right="31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color w:val="auto"/>
        </w:rPr>
        <w:t>VOLUNTARILY WAIVES ITS JURY TRIAL RIGHTS FOLLOWING CONSULTATION WITH LEGAL COUNSEL.</w:t>
      </w:r>
    </w:p>
    <w:p>
      <w:pPr>
        <w:spacing w:after="0" w:line="145" w:lineRule="exact"/>
        <w:rPr>
          <w:sz w:val="20"/>
          <w:szCs w:val="20"/>
          <w:color w:val="auto"/>
        </w:rPr>
      </w:pPr>
    </w:p>
    <w:p>
      <w:pPr>
        <w:jc w:val="both"/>
        <w:ind w:firstLine="1090"/>
        <w:spacing w:after="0" w:line="283" w:lineRule="auto"/>
        <w:rPr>
          <w:sz w:val="20"/>
          <w:szCs w:val="20"/>
          <w:color w:val="auto"/>
        </w:rPr>
      </w:pPr>
      <w:r>
        <w:rPr>
          <w:rFonts w:ascii="Times New Roman" w:cs="Times New Roman" w:eastAsia="Times New Roman" w:hAnsi="Times New Roman"/>
          <w:sz w:val="18"/>
          <w:szCs w:val="18"/>
          <w:color w:val="auto"/>
        </w:rPr>
        <w:t>The prevailing party shall be entitled to reasonable attorney’s fees, costs and necessary disbursements in addition to any other relief to which such party may be entitled.</w:t>
      </w:r>
    </w:p>
    <w:p>
      <w:pPr>
        <w:spacing w:after="0" w:line="80"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1218" w:right="31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COMPANY:</w:t>
      </w:r>
    </w:p>
    <w:p>
      <w:pPr>
        <w:spacing w:after="0" w:line="281" w:lineRule="exact"/>
        <w:rPr>
          <w:sz w:val="20"/>
          <w:szCs w:val="20"/>
          <w:color w:val="auto"/>
        </w:rPr>
      </w:pPr>
    </w:p>
    <w:tbl>
      <w:tblPr>
        <w:tblLayout w:type="fixed"/>
        <w:tblInd w:w="4560" w:type="dxa"/>
        <w:tblCellMar>
          <w:top w:w="0" w:type="dxa"/>
          <w:left w:w="0" w:type="dxa"/>
          <w:bottom w:w="0" w:type="dxa"/>
          <w:right w:w="0" w:type="dxa"/>
        </w:tblCellMar>
      </w:tblP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9"/>
              </w:rPr>
              <w:t>SEER, INC.</w:t>
            </w:r>
          </w:p>
        </w:tc>
        <w:tc>
          <w:tcPr>
            <w:tcW w:w="4720" w:type="dxa"/>
            <w:vAlign w:val="bottom"/>
          </w:tcPr>
          <w:p>
            <w:pPr>
              <w:spacing w:after="0"/>
              <w:rPr>
                <w:sz w:val="20"/>
                <w:szCs w:val="20"/>
                <w:color w:val="auto"/>
              </w:rPr>
            </w:pPr>
          </w:p>
        </w:tc>
      </w:tr>
      <w:tr>
        <w:trPr>
          <w:trHeight w:val="49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Omid Farokhzad</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INVESTORS:</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FIDELITY MT. VERNON STREET TRUST:</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FIDELITY GROWTH COMPANY FUND</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Stacie Smith</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Stacie Smith</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FIDELITY MT. VERNON STREET TRUST:</w:t>
      </w:r>
    </w:p>
    <w:p>
      <w:pPr>
        <w:spacing w:after="0" w:line="29"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FIDELITY SERIES GROWTH COMPANY FUND</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Stacie Smith</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Stacie Smith</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FIDELITY GROWTH COMPANY</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COMMINGLED POOL</w:t>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Fidelity Management Trust Company, as</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Trustee</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Stacie Smith</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Stacie Smith</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FIDELITY MT. VERNON STREET TRUST:</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FIDELITY GROWTH COMPANY K6 FUND</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Stacie Smith</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Stacie Smith</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FIDELITY SELECT PORTFOLIOS: SELECT</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MEDICAL TECHNOLOGY AND DEVICES</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PORTFOLIO</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Stacie Smith</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Stacie Smith</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INVESTORS:</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AJU LIFE SCIENCE 3.0 VENTURE FUND</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 AJU IB INVESTMENT</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Ji-won Kim</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Ji-won Kim</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AJU GOOD VENTURE FUND</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 AJU IB INVESTMENT</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Ji-won Kim</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Ji-won Kim</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AMOON 2 FUND LIMITED PARTNERSHIP</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aMoon 2 Fund G.P. Limited Partnership</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aMoon General Partner Ltd.</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Tomer Berkovitz</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Tomer Berkovitz</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AMOON CO-INVESTMENT SPV I, LIMITED PARTNERSHIP</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aMoon 2 Fund G.P. Limited Partnership</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aMoon General Partner Ltd.</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Tomer Berkovitz</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Tomer Berkovitz</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&amp;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EMERSON COLLECTIVE INVESTMENTS,</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LLC</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 McDermid</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 McDermid</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HBM HEALTHCARE INVESTMENTS</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(CAYMAN) LTD.</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Jean-Marc LeSieur</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Jean-Marc LeSieur</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HBM GENOMICS LTD.</w:t>
            </w:r>
          </w:p>
        </w:tc>
      </w:tr>
      <w:tr>
        <w:trPr>
          <w:trHeight w:val="4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Saeid Akhtari</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Saeid Akhtari</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INVUS PUBLIC EQUITIES, L.P.</w:t>
            </w:r>
          </w:p>
        </w:tc>
      </w:tr>
      <w:tr>
        <w:trPr>
          <w:trHeight w:val="48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Raymond Debbane</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of the General Partner</w:t>
            </w:r>
          </w:p>
        </w:tc>
      </w:tr>
      <w:tr>
        <w:trPr>
          <w:trHeight w:val="4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SOULBRAIN CO., LTD.</w:t>
            </w:r>
          </w:p>
        </w:tc>
      </w:tr>
      <w:tr>
        <w:trPr>
          <w:trHeight w:val="4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Kang Byung Chang</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Kang Byung Chang</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INVESTORS:</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MAVERICK VENTURES INVESTMENT</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FUND, L.P.</w:t>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Maverick Capital Ventures, LLC,</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Maverick Capital Advisors, L.P.,</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Manager</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Ginessa Avila</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Ginessa Avila</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MAVERICK ADVISORS FUND, L.P.</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Maverick Capital Ventures, LLC,</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Maverick Capital Advisors, L.P.,</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Manager</w:t>
      </w:r>
    </w:p>
    <w:p>
      <w:pPr>
        <w:spacing w:after="0" w:line="25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Ginessa Avila</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Ginessa Avila</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4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 Rowe Price Health Sciences Fund, Inc.</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TDMutualFunds-TDHealthSciencesFund</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VALICCompany I -Health SciencesFund</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T.RowePriceHealthSciencesPortfolio</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Each account, severally and not jointly</w:t>
      </w:r>
    </w:p>
    <w:p>
      <w:pPr>
        <w:spacing w:after="0" w:line="26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T. Rowe Price Associates, Inc., Investment</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Adviser or Subadviser, as applicable</w:t>
      </w:r>
    </w:p>
    <w:p>
      <w:pPr>
        <w:spacing w:after="0" w:line="261"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Baek</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Baek</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INVESTORS:</w:t>
      </w:r>
    </w:p>
    <w:p>
      <w:pPr>
        <w:spacing w:after="0" w:line="28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WING TWO, LP.</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for itself and as nominee for</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Wing Principals Two, L.P. and</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Wing Strategic Partners Two, L.P.</w:t>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Wing Ventures II, L.L.C.,</w:t>
      </w:r>
    </w:p>
    <w:p>
      <w:pPr>
        <w:spacing w:after="0" w:line="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50" w:lineRule="exact"/>
        <w:rPr>
          <w:sz w:val="20"/>
          <w:szCs w:val="20"/>
          <w:color w:val="auto"/>
        </w:rPr>
      </w:pPr>
    </w:p>
    <w:p>
      <w:pPr>
        <w:ind w:left="456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Hillary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27305</wp:posOffset>
            </wp:positionV>
            <wp:extent cx="299275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92755" cy="698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2003 MA FAMILY LIVING TRUST</w:t>
      </w:r>
    </w:p>
    <w:p>
      <w:pPr>
        <w:spacing w:after="0" w:line="27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Ma</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Ma</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4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DYNAMICS GROUP LLC</w:t>
            </w:r>
          </w:p>
        </w:tc>
      </w:tr>
      <w:tr>
        <w:trPr>
          <w:trHeight w:val="48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Omid Farokhzad</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ROBERT LANGER</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Robert 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27305</wp:posOffset>
            </wp:positionV>
            <wp:extent cx="357695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PHILIP MA</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Philip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27305</wp:posOffset>
            </wp:positionV>
            <wp:extent cx="357695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268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INVESTORS:</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OCF TRUST</w:t>
      </w:r>
    </w:p>
    <w:p>
      <w:pPr>
        <w:spacing w:after="0" w:line="2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J.P. Morgan Trust Company of Delaware as Trustee</w:t>
      </w:r>
    </w:p>
    <w:p>
      <w:pPr>
        <w:spacing w:after="0" w:line="27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M. Becker</w:t>
            </w:r>
          </w:p>
        </w:tc>
      </w:tr>
      <w:tr>
        <w:trPr>
          <w:trHeight w:val="24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M. Becker</w:t>
            </w:r>
          </w:p>
        </w:tc>
      </w:tr>
      <w:tr>
        <w:trPr>
          <w:trHeight w:val="2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Officer</w:t>
            </w:r>
          </w:p>
        </w:tc>
      </w:tr>
      <w:tr>
        <w:trPr>
          <w:trHeight w:val="4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SAF-BND TRUST</w:t>
            </w:r>
          </w:p>
        </w:tc>
      </w:tr>
      <w:tr>
        <w:trPr>
          <w:trHeight w:val="4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Shadi Aryanpour-Farokhzad</w:t>
            </w:r>
          </w:p>
        </w:tc>
      </w:tr>
      <w:tr>
        <w:trPr>
          <w:trHeight w:val="24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Shadi Aryanpour-Farokhzad</w:t>
            </w:r>
          </w:p>
        </w:tc>
      </w:tr>
      <w:tr>
        <w:trPr>
          <w:trHeight w:val="2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4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 BRIDGE, LLC</w:t>
            </w:r>
          </w:p>
        </w:tc>
      </w:tr>
      <w:tr>
        <w:trPr>
          <w:trHeight w:val="4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Terry McGuire</w:t>
            </w:r>
          </w:p>
        </w:tc>
      </w:tr>
      <w:tr>
        <w:trPr>
          <w:trHeight w:val="24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 McGuire</w:t>
            </w:r>
          </w:p>
        </w:tc>
      </w:tr>
      <w:tr>
        <w:trPr>
          <w:trHeight w:val="2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KEY HOLDERS:</w:t>
      </w:r>
    </w:p>
    <w:p>
      <w:pPr>
        <w:spacing w:after="0" w:line="28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2003 MA FAMILY LIVING TRUST</w:t>
      </w:r>
    </w:p>
    <w:p>
      <w:pPr>
        <w:spacing w:after="0" w:line="27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Ma</w:t>
            </w:r>
          </w:p>
        </w:tc>
      </w:tr>
      <w:tr>
        <w:trPr>
          <w:trHeight w:val="24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Ma</w:t>
            </w:r>
          </w:p>
        </w:tc>
      </w:tr>
      <w:tr>
        <w:trPr>
          <w:trHeight w:val="2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4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DYNAMICS GROUP LLC</w:t>
            </w:r>
          </w:p>
        </w:tc>
      </w:tr>
      <w:tr>
        <w:trPr>
          <w:trHeight w:val="4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Omid Farokhzad</w:t>
            </w:r>
          </w:p>
        </w:tc>
      </w:tr>
      <w:tr>
        <w:trPr>
          <w:trHeight w:val="24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w:t>
            </w:r>
          </w:p>
        </w:tc>
      </w:tr>
      <w:tr>
        <w:trPr>
          <w:trHeight w:val="2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OMID FAROKHZAD</w:t>
      </w:r>
    </w:p>
    <w:p>
      <w:pPr>
        <w:spacing w:after="0" w:line="270" w:lineRule="exact"/>
        <w:rPr>
          <w:sz w:val="20"/>
          <w:szCs w:val="20"/>
          <w:color w:val="auto"/>
        </w:rPr>
      </w:pPr>
    </w:p>
    <w:p>
      <w:pPr>
        <w:jc w:val="center"/>
        <w:ind w:left="1460"/>
        <w:spacing w:after="0"/>
        <w:rPr>
          <w:sz w:val="20"/>
          <w:szCs w:val="20"/>
          <w:color w:val="auto"/>
        </w:rPr>
      </w:pPr>
      <w:r>
        <w:rPr>
          <w:rFonts w:ascii="Times New Roman" w:cs="Times New Roman" w:eastAsia="Times New Roman" w:hAnsi="Times New Roman"/>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27305</wp:posOffset>
            </wp:positionV>
            <wp:extent cx="357695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ROBERT LANGER</w:t>
      </w:r>
    </w:p>
    <w:p>
      <w:pPr>
        <w:spacing w:after="0" w:line="2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Robert 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27305</wp:posOffset>
            </wp:positionV>
            <wp:extent cx="357695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25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PHILIP MA</w:t>
      </w:r>
    </w:p>
    <w:p>
      <w:pPr>
        <w:spacing w:after="0" w:line="2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 Philip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27305</wp:posOffset>
            </wp:positionV>
            <wp:extent cx="357695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76955" cy="6985"/>
                    </a:xfrm>
                    <a:prstGeom prst="rect">
                      <a:avLst/>
                    </a:prstGeom>
                    <a:noFill/>
                  </pic:spPr>
                </pic:pic>
              </a:graphicData>
            </a:graphic>
          </wp:anchor>
        </w:drawing>
      </w: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OCF TRUST</w:t>
      </w:r>
    </w:p>
    <w:p>
      <w:pPr>
        <w:spacing w:after="0" w:line="281"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By: J.P. Morgan Trust Company of Delaware as Trustee</w:t>
      </w:r>
    </w:p>
    <w:p>
      <w:pPr>
        <w:spacing w:after="0" w:line="27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M. Becker</w:t>
            </w:r>
          </w:p>
        </w:tc>
      </w:tr>
      <w:tr>
        <w:trPr>
          <w:trHeight w:val="24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M. Becker</w:t>
            </w:r>
          </w:p>
        </w:tc>
      </w:tr>
      <w:tr>
        <w:trPr>
          <w:trHeight w:val="2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KEY HOLDERS:</w:t>
      </w:r>
    </w:p>
    <w:p>
      <w:pPr>
        <w:spacing w:after="0" w:line="281"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color w:val="auto"/>
        </w:rPr>
        <w:t>SAF-BND TRUST</w:t>
      </w:r>
    </w:p>
    <w:p>
      <w:pPr>
        <w:spacing w:after="0" w:line="270" w:lineRule="exact"/>
        <w:rPr>
          <w:sz w:val="20"/>
          <w:szCs w:val="20"/>
          <w:color w:val="auto"/>
        </w:rPr>
      </w:pPr>
    </w:p>
    <w:tbl>
      <w:tblPr>
        <w:tblLayout w:type="fixed"/>
        <w:tblInd w:w="456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Shadi Aryanpour-Farokhzad</w:t>
            </w:r>
          </w:p>
        </w:tc>
      </w:tr>
      <w:tr>
        <w:trPr>
          <w:trHeight w:val="24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Shadi Aryanpour-Farokhzad</w:t>
            </w:r>
          </w:p>
        </w:tc>
      </w:tr>
      <w:tr>
        <w:trPr>
          <w:trHeight w:val="2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62" w:name="page363"/>
    <w:bookmarkEnd w:id="36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BNY Mellon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Grant Street AIM 151-2700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15258</w:t>
      </w:r>
    </w:p>
    <w:p>
      <w:pPr>
        <w:spacing w:after="0" w:line="125" w:lineRule="exact"/>
        <w:rPr>
          <w:sz w:val="20"/>
          <w:szCs w:val="20"/>
          <w:color w:val="auto"/>
        </w:rPr>
      </w:pPr>
    </w:p>
    <w:p>
      <w:pPr>
        <w:ind w:right="4899"/>
        <w:spacing w:after="0" w:line="261" w:lineRule="auto"/>
        <w:rPr>
          <w:sz w:val="20"/>
          <w:szCs w:val="20"/>
          <w:color w:val="auto"/>
        </w:rPr>
      </w:pPr>
      <w:r>
        <w:rPr>
          <w:rFonts w:ascii="Times New Roman" w:cs="Times New Roman" w:eastAsia="Times New Roman" w:hAnsi="Times New Roman"/>
          <w:sz w:val="18"/>
          <w:szCs w:val="18"/>
          <w:color w:val="auto"/>
        </w:rPr>
        <w:t>Fidelity Mt. Vernon Street Trust: Fidelity Series Growth Company Fund Mag &amp;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Growth Company Commingled Pool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K6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BNY Mellon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Grant Street AIM 151-2700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15258</w:t>
      </w:r>
    </w:p>
    <w:p>
      <w:pPr>
        <w:spacing w:after="0" w:line="125" w:lineRule="exact"/>
        <w:rPr>
          <w:sz w:val="20"/>
          <w:szCs w:val="20"/>
          <w:color w:val="auto"/>
        </w:rPr>
      </w:pPr>
    </w:p>
    <w:p>
      <w:pPr>
        <w:ind w:right="4619"/>
        <w:spacing w:after="0" w:line="261" w:lineRule="auto"/>
        <w:rPr>
          <w:sz w:val="20"/>
          <w:szCs w:val="20"/>
          <w:color w:val="auto"/>
        </w:rPr>
      </w:pPr>
      <w:r>
        <w:rPr>
          <w:rFonts w:ascii="Times New Roman" w:cs="Times New Roman" w:eastAsia="Times New Roman" w:hAnsi="Times New Roman"/>
          <w:sz w:val="18"/>
          <w:szCs w:val="18"/>
          <w:color w:val="auto"/>
        </w:rPr>
        <w:t>Fidelity Select Portfolios: Select Medical Technology and Devices Portfolio Mag &amp;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Aju Life Science 3.0 Venture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Teheran-ro,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Gangnam-gu, Seoul, Korea 06141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Aju Good Venture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Teheran-ro,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Gangnam-gu, Seoul, Korea 06141</w:t>
      </w:r>
    </w:p>
    <w:p>
      <w:pPr>
        <w:sectPr>
          <w:pgSz w:w="11900" w:h="16838" w:orient="portrait"/>
          <w:cols w:equalWidth="0" w:num="1">
            <w:col w:w="10139"/>
          </w:cols>
          <w:pgMar w:left="320" w:top="1214" w:right="1440"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color w:val="auto"/>
        </w:rPr>
        <w:t>aMoon 2 Fund,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aMoon Co-Investment SPV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Yerushalaim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Beit Gamla,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Ra’anana, 4350110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Invus Public Equities,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Invus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cc to: Philippe Amouyal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Emerson Collective Investments, LLC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Advisors Fund,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Maverick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1900 N. Pearl Street, 20th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Investment Fund,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Maverick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1900 N. Pearl Street, 20th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Fund,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Mutual Funds - TD Health Sciences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VALIC Company I - Health Sciences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 and Senior Legal Counsel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Dynamics Group LLC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S. Langer, Jr.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Ma</w:t>
      </w:r>
    </w:p>
    <w:p>
      <w:pPr>
        <w:sectPr>
          <w:pgSz w:w="11900" w:h="16838" w:orient="portrait"/>
          <w:cols w:equalWidth="0" w:num="1">
            <w:col w:w="10139"/>
          </w:cols>
          <w:pgMar w:left="320" w:top="1218" w:right="1440"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color w:val="auto"/>
        </w:rPr>
        <w:t>Soulbrain Co.,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Pangyo-Ro 255 Beon-Gil, Bundang-Gu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Seongnam-Si, Gyenggi-Do, Republic of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Dr. Nam Huh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Strong Bridge,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 Star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880 Winter Street,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Mostafa Ronaghi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HBM Genomics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Governors Square, Suite #4-212-2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Lime Tree Bay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Cayman Islands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HBM Healthcare Investments (Cayman)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Governors Square, Suite #4-212-2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Lime Tree Bay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Cayman Islands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Omead Ostadan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Epstein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 Investment Company, LLC (2017A)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James Terranova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Wilson Sonsini Goodrich &amp; Rosati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 Investment Company, LLC (2018A)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James Terranova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Wilson Sonsini Goodrich &amp; Rosati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Alfred Sandrock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Randolph Scott</w:t>
      </w:r>
    </w:p>
    <w:p>
      <w:pPr>
        <w:sectPr>
          <w:pgSz w:w="11900" w:h="16838" w:orient="portrait"/>
          <w:cols w:equalWidth="0" w:num="1">
            <w:col w:w="10139"/>
          </w:cols>
          <w:pgMar w:left="320" w:top="1218" w:right="1440"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color w:val="auto"/>
        </w:rPr>
        <w:t>2003 Ma Family Living Trust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OCF 2014 Trust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SAF-BND Trust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Wing Two,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Lytton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AG Investments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1928 Alcova Ridge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 89135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 Hellewell</w:t>
      </w:r>
    </w:p>
    <w:p>
      <w:pPr>
        <w:sectPr>
          <w:pgSz w:w="11900" w:h="16838" w:orient="portrait"/>
          <w:cols w:equalWidth="0" w:num="1">
            <w:col w:w="10139"/>
          </w:cols>
          <w:pgMar w:left="320" w:top="1218" w:right="1440" w:bottom="1440" w:gutter="0" w:footer="0" w:header="0"/>
        </w:sectPr>
      </w:pPr>
    </w:p>
    <w:bookmarkStart w:id="366" w:name="page367"/>
    <w:bookmarkEnd w:id="36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Key 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 Farokhzad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S. Langer, Jr.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Ma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Dynamics Group LLC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 Ma Family Living Trust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OCF 2014 Trust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SAF-BND Trust</w:t>
      </w:r>
    </w:p>
    <w:p>
      <w:pPr>
        <w:sectPr>
          <w:pgSz w:w="11900" w:h="16838" w:orient="portrait"/>
          <w:cols w:equalWidth="0" w:num="1">
            <w:col w:w="10139"/>
          </w:cols>
          <w:pgMar w:left="320" w:top="1214" w:right="1440"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5"/>
          <w:szCs w:val="15"/>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1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____________, 2020, by</w:t>
      </w:r>
    </w:p>
    <w:p>
      <w:pPr>
        <w:spacing w:after="0" w:line="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among Seer,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each of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referred to in this Agreement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and each of the stockholders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each of whom is referred to herein as a “</w:t>
      </w:r>
      <w:r>
        <w:rPr>
          <w:rFonts w:ascii="Times New Roman" w:cs="Times New Roman" w:eastAsia="Times New Roman" w:hAnsi="Times New Roman"/>
          <w:sz w:val="18"/>
          <w:szCs w:val="18"/>
          <w:b w:val="1"/>
          <w:bCs w:val="1"/>
          <w:color w:val="auto"/>
        </w:rPr>
        <w:t>Key Holder</w:t>
      </w:r>
      <w:r>
        <w:rPr>
          <w:rFonts w:ascii="Times New Roman" w:cs="Times New Roman" w:eastAsia="Times New Roman" w:hAnsi="Times New Roman"/>
          <w:sz w:val="18"/>
          <w:szCs w:val="18"/>
          <w:color w:val="auto"/>
        </w:rPr>
        <w:t xml:space="preserve">” and any Additional Purchaser (as defined in the Purchase Agreement) that becomes a party to this Agreement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hereof.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45" w:lineRule="exact"/>
        <w:rPr>
          <w:sz w:val="20"/>
          <w:szCs w:val="20"/>
          <w:color w:val="auto"/>
        </w:rPr>
      </w:pPr>
    </w:p>
    <w:p>
      <w:pPr>
        <w:jc w:val="both"/>
        <w:ind w:right="20" w:firstLine="109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(the “</w:t>
      </w:r>
      <w:r>
        <w:rPr>
          <w:rFonts w:ascii="Times New Roman" w:cs="Times New Roman" w:eastAsia="Times New Roman" w:hAnsi="Times New Roman"/>
          <w:sz w:val="18"/>
          <w:szCs w:val="18"/>
          <w:b w:val="1"/>
          <w:bCs w:val="1"/>
          <w:color w:val="auto"/>
        </w:rPr>
        <w:t>Existing Investors</w:t>
      </w:r>
      <w:r>
        <w:rPr>
          <w:rFonts w:ascii="Times New Roman" w:cs="Times New Roman" w:eastAsia="Times New Roman" w:hAnsi="Times New Roman"/>
          <w:sz w:val="18"/>
          <w:szCs w:val="18"/>
          <w:color w:val="auto"/>
        </w:rPr>
        <w:t>”) hold shares of the Company’s Preferred Stock and/or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issued upon conversion thereof and possess registration rights, information rights, rights of first offer and other rights pursuant to that certain Amended and Restated Investors’ Rights Agreement dated as of May 12, 2020, by and among the Company and such Existing Investors (the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right="20" w:firstLine="1090"/>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Existing Investors are holders of at least a majority of the Registrable Securities of the Company (as defined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desire to amend and restate the Prior Agreement in its entirety and to accept the rights created pursuant to this Agreement in lieu of the rights granted to them under the Prior Agreement; and</w:t>
      </w:r>
    </w:p>
    <w:p>
      <w:pPr>
        <w:spacing w:after="0" w:line="88"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Class A Common Stock Purchase Agreement of even date herewith by and among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Investors (the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certain of the Company’s and such Investors’ obligations are conditioned upon the execution and delivery of this Agreement by such Investors, Existing Investors holding at least a majority of the Registrable Securities and the Company;</w:t>
      </w:r>
    </w:p>
    <w:p>
      <w:pPr>
        <w:spacing w:after="0" w:line="88"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Existing Investors hereby agree that the Prior Agreement shall be amended and restated as follows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this Agreement further agree as follows:</w:t>
      </w:r>
    </w:p>
    <w:p>
      <w:pPr>
        <w:spacing w:after="0" w:line="75" w:lineRule="exact"/>
        <w:rPr>
          <w:sz w:val="20"/>
          <w:szCs w:val="20"/>
          <w:color w:val="auto"/>
        </w:rPr>
      </w:pPr>
    </w:p>
    <w:p>
      <w:pPr>
        <w:ind w:left="1080" w:hanging="54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41"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one or more general partners or managing members of, or shares the same management company or investment adviser with, such Person.</w:t>
      </w:r>
    </w:p>
    <w:p>
      <w:pPr>
        <w:spacing w:after="0" w:line="96"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xml:space="preserve"> means shares of the Company’s Class A common stock, $0.00001 par value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means shares of the Company’s Class B common stock, $0.00001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320" w:top="120" w:right="319" w:bottom="1440" w:gutter="0" w:footer="0" w:header="0"/>
        </w:sectPr>
      </w:pPr>
    </w:p>
    <w:bookmarkStart w:id="368" w:name="page369"/>
    <w:bookmarkEnd w:id="368"/>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collectively, shares of Class A Common Stock and Class B Common Stock.</w:t>
      </w:r>
    </w:p>
    <w:p>
      <w:pPr>
        <w:spacing w:after="0" w:line="145" w:lineRule="exact"/>
        <w:rPr>
          <w:sz w:val="20"/>
          <w:szCs w:val="20"/>
          <w:color w:val="auto"/>
        </w:rPr>
      </w:pPr>
    </w:p>
    <w:p>
      <w:pPr>
        <w:jc w:val="both"/>
        <w:ind w:firstLine="1090"/>
        <w:spacing w:after="0" w:line="259"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 Person engaged, directly or indirectly (including through any partnership, limited liability company, corporation, joint venture or similar arrangement (whether now existing or formed hereafter)), in proteomics measurement combined with a data platform to draw inference,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w:t>
      </w:r>
    </w:p>
    <w:p>
      <w:pPr>
        <w:spacing w:after="0" w:line="98"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01"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Common Stock, including options and warrants.</w:t>
      </w:r>
    </w:p>
    <w:p>
      <w:pPr>
        <w:spacing w:after="0" w:line="71"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45" w:lineRule="exact"/>
        <w:rPr>
          <w:sz w:val="20"/>
          <w:szCs w:val="20"/>
          <w:color w:val="auto"/>
        </w:rPr>
      </w:pPr>
    </w:p>
    <w:p>
      <w:pPr>
        <w:jc w:val="both"/>
        <w:ind w:firstLine="1090"/>
        <w:spacing w:after="0" w:line="259"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98" w:lineRule="exact"/>
        <w:rPr>
          <w:sz w:val="20"/>
          <w:szCs w:val="20"/>
          <w:color w:val="auto"/>
        </w:rPr>
      </w:pPr>
    </w:p>
    <w:p>
      <w:pPr>
        <w:jc w:val="both"/>
        <w:ind w:firstLine="1090"/>
        <w:spacing w:after="0" w:line="265"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FOIA Party</w:t>
      </w:r>
      <w:r>
        <w:rPr>
          <w:rFonts w:ascii="Times New Roman" w:cs="Times New Roman" w:eastAsia="Times New Roman" w:hAnsi="Times New Roman"/>
          <w:sz w:val="18"/>
          <w:szCs w:val="18"/>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Times New Roman" w:cs="Times New Roman" w:eastAsia="Times New Roman" w:hAnsi="Times New Roman"/>
          <w:sz w:val="18"/>
          <w:szCs w:val="18"/>
          <w:b w:val="1"/>
          <w:bCs w:val="1"/>
          <w:color w:val="auto"/>
        </w:rPr>
        <w:t>FOIA</w:t>
      </w:r>
      <w:r>
        <w:rPr>
          <w:rFonts w:ascii="Times New Roman" w:cs="Times New Roman" w:eastAsia="Times New Roman" w:hAnsi="Times New Roman"/>
          <w:sz w:val="18"/>
          <w:szCs w:val="18"/>
          <w:color w:val="auto"/>
        </w:rPr>
        <w:t>”), any state public records access law, any state or other jurisdiction’s laws similar in intent or effect to FOIA, or any other similar statutory or regulatory requirement.</w:t>
      </w:r>
    </w:p>
    <w:p>
      <w:pPr>
        <w:spacing w:after="0" w:line="314" w:lineRule="exact"/>
        <w:rPr>
          <w:sz w:val="20"/>
          <w:szCs w:val="20"/>
          <w:color w:val="auto"/>
        </w:rPr>
      </w:pPr>
    </w:p>
    <w:p>
      <w:pPr>
        <w:jc w:val="both"/>
        <w:ind w:firstLine="1090"/>
        <w:spacing w:after="0" w:line="28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214" w:right="319" w:bottom="1440" w:gutter="0" w:footer="0" w:header="0"/>
        </w:sectPr>
      </w:pPr>
    </w:p>
    <w:bookmarkStart w:id="369" w:name="page370"/>
    <w:bookmarkEnd w:id="369"/>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88"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Fully Diluted Capitalization</w:t>
      </w:r>
      <w:r>
        <w:rPr>
          <w:rFonts w:ascii="Times New Roman" w:cs="Times New Roman" w:eastAsia="Times New Roman" w:hAnsi="Times New Roman"/>
          <w:sz w:val="18"/>
          <w:szCs w:val="18"/>
          <w:color w:val="auto"/>
        </w:rPr>
        <w:t>” means the sum of (i) the outstanding shares of Common Stock; (ii) the shares of Common Stock directly or indirectly issuable upon conversion or exchange of all outstanding securities directly or indirectly convertible into or exchangeable for Common Stock and the exercise of all outstanding options and warrants; and (iii) the shares of Common Stock reserved, but neither issued nor the subject of outstanding awards, under any equity incentive or similar plan of the Company.</w:t>
      </w:r>
    </w:p>
    <w:p>
      <w:pPr>
        <w:spacing w:after="0" w:line="96"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1.15</w:t>
        <w:tab/>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1.16</w:t>
        <w:tab/>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145"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1"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1.18</w:t>
        <w:tab/>
        <w:t>“</w:t>
      </w:r>
      <w:r>
        <w:rPr>
          <w:rFonts w:ascii="Times New Roman" w:cs="Times New Roman" w:eastAsia="Times New Roman" w:hAnsi="Times New Roman"/>
          <w:sz w:val="18"/>
          <w:szCs w:val="18"/>
          <w:b w:val="1"/>
          <w:b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1.19</w:t>
        <w:tab/>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145"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88" w:lineRule="exact"/>
        <w:rPr>
          <w:sz w:val="20"/>
          <w:szCs w:val="20"/>
          <w:color w:val="auto"/>
        </w:rPr>
      </w:pPr>
    </w:p>
    <w:p>
      <w:pPr>
        <w:jc w:val="both"/>
        <w:ind w:right="20" w:firstLine="1090"/>
        <w:spacing w:after="0" w:line="269"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any Investor that, individually or together with such Investor’s Affiliates, holds (i) at least 2,000,000 shares of Registrable Securities or (ii) shares of Registrable Securities representing at least 2.5% of the Fully Diluted Capitalization (in each case, as adjusted for any stock split, stock dividend, combination, or other recapitalization or reclassification effected after the date hereof).</w:t>
      </w:r>
    </w:p>
    <w:p>
      <w:pPr>
        <w:spacing w:after="0" w:line="88"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88"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1.23</w:t>
        <w:tab/>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r>
        <w:rPr>
          <w:rFonts w:ascii="Times New Roman" w:cs="Times New Roman" w:eastAsia="Times New Roman" w:hAnsi="Times New Roman"/>
          <w:sz w:val="18"/>
          <w:szCs w:val="18"/>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1215" w:right="319" w:bottom="1440" w:gutter="0" w:footer="0" w:header="0"/>
        </w:sectPr>
      </w:pPr>
    </w:p>
    <w:bookmarkStart w:id="370" w:name="page371"/>
    <w:bookmarkEnd w:id="370"/>
    <w:p>
      <w:pPr>
        <w:jc w:val="both"/>
        <w:ind w:firstLine="1090"/>
        <w:spacing w:after="0" w:line="288"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collectively, shares of Series A Preferred Stock, Series B Preferred Stock, Series C Preferred Stock, Series D Preferred Stock and Series D-1 Preferred Stock.</w:t>
      </w:r>
    </w:p>
    <w:p>
      <w:pPr>
        <w:spacing w:after="0" w:line="71"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Series D-1 Preferred Stock Purchase Agreement dated as of May 12, 2020, by and among the Company and certain of the Investors.</w:t>
      </w:r>
    </w:p>
    <w:p>
      <w:pPr>
        <w:spacing w:after="0" w:line="71"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(i) the Class A Common Stock issuable or issued upon conversion of the Preferred Stock; (ii) any Common Stock, or any Common Stock issued or issuable (directly or indirectly) upon conversion and/or exercise of any other securities of the Company, acquired by the Investors after the date hereof; (iii) the Class A Common Stock issued pursuant to the Private Placement Agreement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excluding in all cases, however, any Registrable Securities sold by a Person in a transaction in which the applicable rights under this Agreement are not assigned pursuant to </w:t>
      </w:r>
      <w:r>
        <w:rPr>
          <w:rFonts w:ascii="Times New Roman" w:cs="Times New Roman" w:eastAsia="Times New Roman" w:hAnsi="Times New Roman"/>
          <w:sz w:val="18"/>
          <w:szCs w:val="18"/>
          <w:u w:val="single" w:color="auto"/>
          <w:color w:val="auto"/>
        </w:rPr>
        <w:t>Subsection 6.1</w:t>
      </w:r>
      <w:r>
        <w:rPr>
          <w:rFonts w:ascii="Times New Roman" w:cs="Times New Roman" w:eastAsia="Times New Roman" w:hAnsi="Times New Roman"/>
          <w:sz w:val="18"/>
          <w:szCs w:val="18"/>
          <w:color w:val="auto"/>
        </w:rPr>
        <w:t xml:space="preserve">, and excluding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shares for which registration rights have terminated pursuant to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of this Agreement.</w:t>
      </w:r>
    </w:p>
    <w:p>
      <w:pPr>
        <w:spacing w:after="0" w:line="101"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88"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1.28</w:t>
        <w:tab/>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means the securities of the Company required to be notated with the legend set forth in </w:t>
      </w:r>
      <w:r>
        <w:rPr>
          <w:rFonts w:ascii="Times New Roman" w:cs="Times New Roman" w:eastAsia="Times New Roman" w:hAnsi="Times New Roman"/>
          <w:sz w:val="18"/>
          <w:szCs w:val="18"/>
          <w:u w:val="single" w:color="auto"/>
          <w:color w:val="auto"/>
        </w:rPr>
        <w:t>Subsection 2.12(b)</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121"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1.29</w:t>
        <w:tab/>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1.30</w:t>
        <w:tab/>
        <w:t>“</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1.31</w:t>
        <w:tab/>
        <w:t>“</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1.32</w:t>
        <w:tab/>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45" w:lineRule="exact"/>
        <w:rPr>
          <w:sz w:val="20"/>
          <w:szCs w:val="20"/>
          <w:color w:val="auto"/>
        </w:rPr>
      </w:pPr>
    </w:p>
    <w:p>
      <w:pPr>
        <w:jc w:val="both"/>
        <w:ind w:right="20" w:firstLine="1090"/>
        <w:spacing w:after="0" w:line="269"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jc w:val="both"/>
        <w:ind w:right="20" w:firstLine="1090"/>
        <w:spacing w:after="0" w:line="288"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Preferred Director</w:t>
      </w:r>
      <w:r>
        <w:rPr>
          <w:rFonts w:ascii="Times New Roman" w:cs="Times New Roman" w:eastAsia="Times New Roman" w:hAnsi="Times New Roman"/>
          <w:sz w:val="18"/>
          <w:szCs w:val="18"/>
          <w:color w:val="auto"/>
        </w:rPr>
        <w:t>” means any director of the Company that the holders of record of the Preferred Stock are entitled to elect pursuant to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214" w:right="319" w:bottom="1440" w:gutter="0" w:footer="0" w:header="0"/>
        </w:sectPr>
      </w:pPr>
    </w:p>
    <w:bookmarkStart w:id="371" w:name="page372"/>
    <w:bookmarkEnd w:id="371"/>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1.35</w:t>
        <w:tab/>
        <w:t>“</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means shares of the Company’s Series A Preferred Stock, par value $0.00001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1.36</w:t>
        <w:tab/>
        <w:t>“</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means shares of the Company’s Series B Preferred Stock, par value $0.00001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1.37</w:t>
        <w:tab/>
        <w:t>“</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means shares of the Company’s Series C Preferred Stock, par value $0.00001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1.38</w:t>
        <w:tab/>
        <w:t>“</w:t>
      </w:r>
      <w:r>
        <w:rPr>
          <w:rFonts w:ascii="Times New Roman" w:cs="Times New Roman" w:eastAsia="Times New Roman" w:hAnsi="Times New Roman"/>
          <w:sz w:val="18"/>
          <w:szCs w:val="18"/>
          <w:b w:val="1"/>
          <w:bCs w:val="1"/>
          <w:color w:val="auto"/>
        </w:rPr>
        <w:t>Series D Preferred Stock</w:t>
      </w:r>
      <w:r>
        <w:rPr>
          <w:rFonts w:ascii="Times New Roman" w:cs="Times New Roman" w:eastAsia="Times New Roman" w:hAnsi="Times New Roman"/>
          <w:sz w:val="18"/>
          <w:szCs w:val="18"/>
          <w:color w:val="auto"/>
        </w:rPr>
        <w:t>” means shares of the Company’s Series D Preferred Stock, par value $0.00001 per share.</w:t>
      </w:r>
    </w:p>
    <w:p>
      <w:pPr>
        <w:spacing w:after="0" w:line="14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1.39</w:t>
        <w:tab/>
        <w:t>“</w:t>
      </w:r>
      <w:r>
        <w:rPr>
          <w:rFonts w:ascii="Times New Roman" w:cs="Times New Roman" w:eastAsia="Times New Roman" w:hAnsi="Times New Roman"/>
          <w:sz w:val="18"/>
          <w:szCs w:val="18"/>
          <w:b w:val="1"/>
          <w:bCs w:val="1"/>
          <w:color w:val="auto"/>
        </w:rPr>
        <w:t>Series D-1 Preferred Stock</w:t>
      </w:r>
      <w:r>
        <w:rPr>
          <w:rFonts w:ascii="Times New Roman" w:cs="Times New Roman" w:eastAsia="Times New Roman" w:hAnsi="Times New Roman"/>
          <w:sz w:val="18"/>
          <w:szCs w:val="18"/>
          <w:color w:val="auto"/>
        </w:rPr>
        <w:t>” means shares of the Company’s Series D-1 Preferred Stock, par value $0.00001 per share.</w:t>
      </w:r>
    </w:p>
    <w:p>
      <w:pPr>
        <w:spacing w:after="0" w:line="149" w:lineRule="exact"/>
        <w:rPr>
          <w:sz w:val="20"/>
          <w:szCs w:val="20"/>
          <w:color w:val="auto"/>
        </w:rPr>
      </w:pPr>
    </w:p>
    <w:p>
      <w:pPr>
        <w:ind w:left="1080" w:hanging="54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covenants and agrees as follows:</w:t>
      </w:r>
    </w:p>
    <w:p>
      <w:pPr>
        <w:spacing w:after="0" w:line="14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S-1 Demand</w:t>
      </w:r>
      <w:r>
        <w:rPr>
          <w:rFonts w:ascii="Times New Roman" w:cs="Times New Roman" w:eastAsia="Times New Roman" w:hAnsi="Times New Roman"/>
          <w:sz w:val="18"/>
          <w:szCs w:val="18"/>
          <w:color w:val="auto"/>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(or lesser percent if the anticipated aggregate offering price, net of Selling Expenses, would exceed $10,000,000), then the Company shall (x)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p>
    <w:p>
      <w:pPr>
        <w:spacing w:after="0" w:line="106"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Demand</w:t>
      </w:r>
      <w:r>
        <w:rPr>
          <w:rFonts w:ascii="Times New Roman" w:cs="Times New Roman" w:eastAsia="Times New Roman" w:hAnsi="Times New Roman"/>
          <w:sz w:val="18"/>
          <w:szCs w:val="18"/>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214" w:right="319" w:bottom="1440" w:gutter="0" w:footer="0" w:header="0"/>
        </w:sectPr>
      </w:pPr>
    </w:p>
    <w:bookmarkStart w:id="372" w:name="page373"/>
    <w:bookmarkEnd w:id="372"/>
    <w:p>
      <w:pPr>
        <w:jc w:val="both"/>
        <w:ind w:left="9" w:firstLine="1626"/>
        <w:spacing w:after="0" w:line="253" w:lineRule="auto"/>
        <w:tabs>
          <w:tab w:leader="none" w:pos="218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invoke this right more than twice in any twelve (12) month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its own account or that of any other stockholder during such ninety (90) day period other than an Excluded Registration.</w:t>
      </w:r>
    </w:p>
    <w:p>
      <w:pPr>
        <w:spacing w:after="0" w:line="109" w:lineRule="exact"/>
        <w:rPr>
          <w:rFonts w:ascii="Times New Roman" w:cs="Times New Roman" w:eastAsia="Times New Roman" w:hAnsi="Times New Roman"/>
          <w:sz w:val="18"/>
          <w:szCs w:val="18"/>
          <w:color w:val="auto"/>
        </w:rPr>
      </w:pPr>
    </w:p>
    <w:p>
      <w:pPr>
        <w:ind w:left="2169" w:hanging="534"/>
        <w:spacing w:after="0"/>
        <w:tabs>
          <w:tab w:leader="none" w:pos="216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Subsection 2.1(a)</w:t>
      </w:r>
    </w:p>
    <w:p>
      <w:pPr>
        <w:spacing w:after="0" w:line="28"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24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that is sixty (60) days before the Company’s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(ii) after the Company has effected one registration pursuant to </w:t>
      </w:r>
      <w:r>
        <w:rPr>
          <w:rFonts w:ascii="Times New Roman" w:cs="Times New Roman" w:eastAsia="Times New Roman" w:hAnsi="Times New Roman"/>
          <w:sz w:val="18"/>
          <w:szCs w:val="18"/>
          <w:u w:val="single" w:color="auto"/>
          <w:color w:val="auto"/>
        </w:rPr>
        <w:t>Subsection 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withdrawal is during a period the Company has deferred taking action pursuant to </w:t>
      </w:r>
      <w:r>
        <w:rPr>
          <w:rFonts w:ascii="Times New Roman" w:cs="Times New Roman" w:eastAsia="Times New Roman" w:hAnsi="Times New Roman"/>
          <w:sz w:val="18"/>
          <w:szCs w:val="18"/>
          <w:u w:val="single" w:color="auto"/>
          <w:color w:val="auto"/>
        </w:rPr>
        <w:t>Subsection 2.1(c)</w:t>
      </w:r>
      <w:r>
        <w:rPr>
          <w:rFonts w:ascii="Times New Roman" w:cs="Times New Roman" w:eastAsia="Times New Roman" w:hAnsi="Times New Roman"/>
          <w:sz w:val="18"/>
          <w:szCs w:val="18"/>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9"/>
          </w:cols>
          <w:pgMar w:left="311" w:top="1218" w:right="319" w:bottom="1440" w:gutter="0" w:footer="0" w:header="0"/>
        </w:sectPr>
      </w:pPr>
    </w:p>
    <w:bookmarkStart w:id="373" w:name="page374"/>
    <w:bookmarkEnd w:id="373"/>
    <w:p>
      <w:pPr>
        <w:jc w:val="both"/>
        <w:ind w:firstLine="109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Class A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626"/>
        <w:spacing w:after="0" w:line="252" w:lineRule="auto"/>
        <w:tabs>
          <w:tab w:leader="none" w:pos="217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Subsection 2.4(e)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13" w:lineRule="exact"/>
        <w:rPr>
          <w:rFonts w:ascii="Times New Roman" w:cs="Times New Roman" w:eastAsia="Times New Roman" w:hAnsi="Times New Roman"/>
          <w:sz w:val="18"/>
          <w:szCs w:val="18"/>
          <w:color w:val="auto"/>
        </w:rPr>
      </w:pPr>
    </w:p>
    <w:p>
      <w:pPr>
        <w:jc w:val="both"/>
        <w:ind w:firstLine="1626"/>
        <w:spacing w:after="0" w:line="261" w:lineRule="auto"/>
        <w:tabs>
          <w:tab w:leader="none" w:pos="217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218" w:right="319" w:bottom="1440" w:gutter="0" w:footer="0" w:header="0"/>
        </w:sectPr>
      </w:pPr>
    </w:p>
    <w:bookmarkStart w:id="374" w:name="page375"/>
    <w:bookmarkEnd w:id="37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8"/>
          <w:szCs w:val="18"/>
          <w:u w:val="single" w:color="auto"/>
          <w:color w:val="auto"/>
        </w:rPr>
        <w:t>Subsection 2.3(b)</w:t>
      </w:r>
      <w:r>
        <w:rPr>
          <w:rFonts w:ascii="Times New Roman" w:cs="Times New Roman" w:eastAsia="Times New Roman" w:hAnsi="Times New Roman"/>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08"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Whenever required under this</w:t>
      </w:r>
      <w:r>
        <w:rPr>
          <w:rFonts w:ascii="Times New Roman" w:cs="Times New Roman" w:eastAsia="Times New Roman" w:hAnsi="Times New Roman"/>
          <w:sz w:val="18"/>
          <w:szCs w:val="18"/>
          <w:u w:val="single" w:color="auto"/>
          <w:color w:val="auto"/>
        </w:rPr>
        <w:t xml:space="preserve"> Section 2 </w:t>
      </w:r>
      <w:r>
        <w:rPr>
          <w:rFonts w:ascii="Times New Roman" w:cs="Times New Roman" w:eastAsia="Times New Roman" w:hAnsi="Times New Roman"/>
          <w:sz w:val="18"/>
          <w:szCs w:val="18"/>
          <w:color w:val="auto"/>
        </w:rPr>
        <w:t>to effect the registration of any Registrable Securities,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125" w:lineRule="exact"/>
        <w:rPr>
          <w:sz w:val="20"/>
          <w:szCs w:val="20"/>
          <w:color w:val="auto"/>
        </w:rPr>
      </w:pPr>
    </w:p>
    <w:p>
      <w:pPr>
        <w:jc w:val="both"/>
        <w:ind w:firstLine="1626"/>
        <w:spacing w:after="0" w:line="255" w:lineRule="auto"/>
        <w:tabs>
          <w:tab w:leader="none" w:pos="217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218" w:right="31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color w:val="auto"/>
        </w:rPr>
        <w:t>period shall be extended for up to thirty (30) days, if necessary, to keep the registration statement effective until all such Registrable Securities are sold;</w:t>
      </w:r>
    </w:p>
    <w:p>
      <w:pPr>
        <w:spacing w:after="0" w:line="145" w:lineRule="exact"/>
        <w:rPr>
          <w:sz w:val="20"/>
          <w:szCs w:val="20"/>
          <w:color w:val="auto"/>
        </w:rPr>
      </w:pPr>
    </w:p>
    <w:p>
      <w:pPr>
        <w:jc w:val="both"/>
        <w:ind w:firstLine="1626"/>
        <w:spacing w:after="0" w:line="266" w:lineRule="auto"/>
        <w:tabs>
          <w:tab w:leader="none" w:pos="217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95" w:lineRule="exact"/>
        <w:rPr>
          <w:rFonts w:ascii="Times New Roman" w:cs="Times New Roman" w:eastAsia="Times New Roman" w:hAnsi="Times New Roman"/>
          <w:sz w:val="18"/>
          <w:szCs w:val="18"/>
          <w:color w:val="auto"/>
        </w:rPr>
      </w:pPr>
    </w:p>
    <w:p>
      <w:pPr>
        <w:ind w:firstLine="1626"/>
        <w:spacing w:after="0" w:line="283" w:lineRule="auto"/>
        <w:tabs>
          <w:tab w:leader="none" w:pos="217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79" w:lineRule="exact"/>
        <w:rPr>
          <w:rFonts w:ascii="Times New Roman" w:cs="Times New Roman" w:eastAsia="Times New Roman" w:hAnsi="Times New Roman"/>
          <w:sz w:val="18"/>
          <w:szCs w:val="18"/>
          <w:color w:val="auto"/>
        </w:rPr>
      </w:pPr>
    </w:p>
    <w:p>
      <w:pPr>
        <w:jc w:val="both"/>
        <w:ind w:right="20" w:firstLine="1626"/>
        <w:spacing w:after="0" w:line="261" w:lineRule="auto"/>
        <w:tabs>
          <w:tab w:leader="none" w:pos="217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99" w:lineRule="exact"/>
        <w:rPr>
          <w:rFonts w:ascii="Times New Roman" w:cs="Times New Roman" w:eastAsia="Times New Roman" w:hAnsi="Times New Roman"/>
          <w:sz w:val="18"/>
          <w:szCs w:val="18"/>
          <w:color w:val="auto"/>
        </w:rPr>
      </w:pPr>
    </w:p>
    <w:p>
      <w:pPr>
        <w:ind w:firstLine="1626"/>
        <w:spacing w:after="0" w:line="283" w:lineRule="auto"/>
        <w:tabs>
          <w:tab w:leader="none" w:pos="217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79" w:lineRule="exact"/>
        <w:rPr>
          <w:rFonts w:ascii="Times New Roman" w:cs="Times New Roman" w:eastAsia="Times New Roman" w:hAnsi="Times New Roman"/>
          <w:sz w:val="18"/>
          <w:szCs w:val="18"/>
          <w:color w:val="auto"/>
        </w:rPr>
      </w:pPr>
    </w:p>
    <w:p>
      <w:pPr>
        <w:jc w:val="both"/>
        <w:ind w:firstLine="1626"/>
        <w:spacing w:after="0" w:line="266" w:lineRule="auto"/>
        <w:tabs>
          <w:tab w:leader="none" w:pos="21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95" w:lineRule="exact"/>
        <w:rPr>
          <w:rFonts w:ascii="Times New Roman" w:cs="Times New Roman" w:eastAsia="Times New Roman" w:hAnsi="Times New Roman"/>
          <w:sz w:val="18"/>
          <w:szCs w:val="18"/>
          <w:color w:val="auto"/>
        </w:rPr>
      </w:pPr>
    </w:p>
    <w:p>
      <w:pPr>
        <w:ind w:right="20" w:firstLine="1626"/>
        <w:spacing w:after="0" w:line="283" w:lineRule="auto"/>
        <w:tabs>
          <w:tab w:leader="none" w:pos="217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79" w:lineRule="exact"/>
        <w:rPr>
          <w:rFonts w:ascii="Times New Roman" w:cs="Times New Roman" w:eastAsia="Times New Roman" w:hAnsi="Times New Roman"/>
          <w:sz w:val="18"/>
          <w:szCs w:val="18"/>
          <w:color w:val="auto"/>
        </w:rPr>
      </w:pPr>
    </w:p>
    <w:p>
      <w:pPr>
        <w:jc w:val="both"/>
        <w:ind w:firstLine="1626"/>
        <w:spacing w:after="0" w:line="257" w:lineRule="auto"/>
        <w:tabs>
          <w:tab w:leader="none" w:pos="217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322" w:lineRule="exact"/>
        <w:rPr>
          <w:rFonts w:ascii="Times New Roman" w:cs="Times New Roman" w:eastAsia="Times New Roman" w:hAnsi="Times New Roman"/>
          <w:sz w:val="18"/>
          <w:szCs w:val="18"/>
          <w:color w:val="auto"/>
        </w:rPr>
      </w:pPr>
    </w:p>
    <w:p>
      <w:pPr>
        <w:ind w:right="20" w:firstLine="1626"/>
        <w:spacing w:after="0" w:line="283" w:lineRule="auto"/>
        <w:tabs>
          <w:tab w:leader="none" w:pos="217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1218" w:right="319" w:bottom="1440" w:gutter="0" w:footer="0" w:header="0"/>
        </w:sectPr>
      </w:pPr>
    </w:p>
    <w:bookmarkStart w:id="376" w:name="page377"/>
    <w:bookmarkEnd w:id="376"/>
    <w:p>
      <w:pPr>
        <w:ind w:firstLine="1626"/>
        <w:spacing w:after="0" w:line="283" w:lineRule="auto"/>
        <w:tabs>
          <w:tab w:leader="none" w:pos="217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registration statement becomes effective, notify each selling Holder of any request by the SEC that the Company amend or supplement such registration statement or prospectus.</w:t>
      </w:r>
    </w:p>
    <w:p>
      <w:pPr>
        <w:spacing w:after="0" w:line="80"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95"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99"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not to exceed $35,000, of one counsel for the selling Holders (“</w:t>
      </w:r>
      <w:r>
        <w:rPr>
          <w:rFonts w:ascii="Times New Roman" w:cs="Times New Roman" w:eastAsia="Times New Roman" w:hAnsi="Times New Roman"/>
          <w:sz w:val="18"/>
          <w:szCs w:val="18"/>
          <w:b w:val="1"/>
          <w:bCs w:val="1"/>
          <w:color w:val="auto"/>
        </w:rPr>
        <w:t>Selling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shall be borne and paid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pay for any expenses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proceeding begun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Subsections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Subsection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pro rata on the basis of the number of Registrable Securities registered on their behalf.</w:t>
      </w:r>
    </w:p>
    <w:p>
      <w:pPr>
        <w:spacing w:after="0" w:line="323" w:lineRule="exact"/>
        <w:rPr>
          <w:sz w:val="20"/>
          <w:szCs w:val="20"/>
          <w:color w:val="auto"/>
        </w:rPr>
      </w:pPr>
    </w:p>
    <w:p>
      <w:pPr>
        <w:jc w:val="both"/>
        <w:ind w:firstLine="1090"/>
        <w:spacing w:after="0" w:line="27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If any Registrable Securities are included in a registration statement under this</w:t>
      </w:r>
      <w:r>
        <w:rPr>
          <w:rFonts w:ascii="Times New Roman" w:cs="Times New Roman" w:eastAsia="Times New Roman" w:hAnsi="Times New Roman"/>
          <w:sz w:val="18"/>
          <w:szCs w:val="18"/>
          <w:u w:val="single" w:color="auto"/>
          <w:color w:val="auto"/>
        </w:rPr>
        <w:t xml:space="preserve"> Section 2</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20" w:firstLine="1626"/>
        <w:spacing w:after="0" w:line="283" w:lineRule="auto"/>
        <w:tabs>
          <w:tab w:leader="none" w:pos="217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selling Holder, and the partners, members, officers, directors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218" w:right="319" w:bottom="1440" w:gutter="0" w:footer="0" w:header="0"/>
        </w:sectPr>
      </w:pPr>
    </w:p>
    <w:bookmarkStart w:id="377" w:name="page378"/>
    <w:bookmarkEnd w:id="37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07" w:lineRule="exact"/>
        <w:rPr>
          <w:sz w:val="20"/>
          <w:szCs w:val="20"/>
          <w:color w:val="auto"/>
        </w:rPr>
      </w:pPr>
    </w:p>
    <w:p>
      <w:pPr>
        <w:jc w:val="both"/>
        <w:ind w:firstLine="1626"/>
        <w:spacing w:after="0" w:line="253" w:lineRule="auto"/>
        <w:tabs>
          <w:tab w:leader="none" w:pos="2177"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the aggregate amounts payable by any Holder by way of indemnity or contribution under </w:t>
      </w:r>
      <w:r>
        <w:rPr>
          <w:rFonts w:ascii="Times New Roman" w:cs="Times New Roman" w:eastAsia="Times New Roman" w:hAnsi="Times New Roman"/>
          <w:sz w:val="18"/>
          <w:szCs w:val="18"/>
          <w:u w:val="single" w:color="auto"/>
          <w:color w:val="auto"/>
        </w:rPr>
        <w:t>Subsections 2.8(b)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2.8(d)</w:t>
      </w:r>
      <w:r>
        <w:rPr>
          <w:rFonts w:ascii="Times New Roman" w:cs="Times New Roman" w:eastAsia="Times New Roman" w:hAnsi="Times New Roman"/>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07" w:lineRule="exact"/>
        <w:rPr>
          <w:rFonts w:ascii="Times New Roman" w:cs="Times New Roman" w:eastAsia="Times New Roman" w:hAnsi="Times New Roman"/>
          <w:sz w:val="18"/>
          <w:szCs w:val="18"/>
          <w:color w:val="auto"/>
        </w:rPr>
      </w:pPr>
    </w:p>
    <w:p>
      <w:pPr>
        <w:jc w:val="both"/>
        <w:ind w:firstLine="1626"/>
        <w:spacing w:after="0" w:line="255" w:lineRule="auto"/>
        <w:tabs>
          <w:tab w:leader="none" w:pos="217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party (together with all other indemnified parties that may be represented without conflict by one counsel) shall have the right to retain one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218" w:right="319" w:bottom="1440" w:gutter="0" w:footer="0" w:header="0"/>
        </w:sectPr>
      </w:pPr>
    </w:p>
    <w:bookmarkStart w:id="378" w:name="page379"/>
    <w:bookmarkEnd w:id="378"/>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firstLine="1626"/>
        <w:spacing w:after="0" w:line="252" w:lineRule="auto"/>
        <w:tabs>
          <w:tab w:leader="none" w:pos="217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provides for indemnification in such case, or (ii) contribution under the Securities Act may be required on the part of any party hereto for which indemnification is provided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 Holder’s liability pursuant to this </w:t>
      </w:r>
      <w:r>
        <w:rPr>
          <w:rFonts w:ascii="Times New Roman" w:cs="Times New Roman" w:eastAsia="Times New Roman" w:hAnsi="Times New Roman"/>
          <w:sz w:val="18"/>
          <w:szCs w:val="18"/>
          <w:u w:val="single" w:color="auto"/>
          <w:color w:val="auto"/>
        </w:rPr>
        <w:t>Subsection 2.8(d)</w:t>
      </w:r>
      <w:r>
        <w:rPr>
          <w:rFonts w:ascii="Times New Roman" w:cs="Times New Roman" w:eastAsia="Times New Roman" w:hAnsi="Times New Roman"/>
          <w:sz w:val="18"/>
          <w:szCs w:val="18"/>
          <w:color w:val="auto"/>
        </w:rPr>
        <w:t xml:space="preserve">, when combined with the amounts paid or payable by such Holder pursuant to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exceed the proceeds from the offering received by such Holder (net of any Selling Expenses paid by such Holder), except in the case of willful misconduct or fraud by such Holder.</w:t>
      </w:r>
    </w:p>
    <w:p>
      <w:pPr>
        <w:spacing w:after="0" w:line="109" w:lineRule="exact"/>
        <w:rPr>
          <w:rFonts w:ascii="Times New Roman" w:cs="Times New Roman" w:eastAsia="Times New Roman" w:hAnsi="Times New Roman"/>
          <w:sz w:val="18"/>
          <w:szCs w:val="18"/>
          <w:color w:val="auto"/>
        </w:rPr>
      </w:pPr>
    </w:p>
    <w:p>
      <w:pPr>
        <w:jc w:val="both"/>
        <w:ind w:firstLine="1626"/>
        <w:spacing w:after="0" w:line="266" w:lineRule="auto"/>
        <w:tabs>
          <w:tab w:leader="none" w:pos="217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218" w:right="319" w:bottom="1440" w:gutter="0" w:footer="0" w:header="0"/>
        </w:sectPr>
      </w:pPr>
    </w:p>
    <w:bookmarkStart w:id="379" w:name="page380"/>
    <w:bookmarkEnd w:id="379"/>
    <w:p>
      <w:pPr>
        <w:jc w:val="both"/>
        <w:ind w:firstLine="1626"/>
        <w:spacing w:after="0" w:line="266" w:lineRule="auto"/>
        <w:tabs>
          <w:tab w:leader="none" w:pos="2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95"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95" w:lineRule="exact"/>
        <w:rPr>
          <w:sz w:val="20"/>
          <w:szCs w:val="20"/>
          <w:color w:val="auto"/>
        </w:rPr>
      </w:pPr>
    </w:p>
    <w:p>
      <w:pPr>
        <w:ind w:right="20" w:firstLine="1626"/>
        <w:spacing w:after="0" w:line="283" w:lineRule="auto"/>
        <w:tabs>
          <w:tab w:leader="none" w:pos="217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79" w:lineRule="exact"/>
        <w:rPr>
          <w:rFonts w:ascii="Times New Roman" w:cs="Times New Roman" w:eastAsia="Times New Roman" w:hAnsi="Times New Roman"/>
          <w:sz w:val="18"/>
          <w:szCs w:val="18"/>
          <w:color w:val="auto"/>
        </w:rPr>
      </w:pPr>
    </w:p>
    <w:p>
      <w:pPr>
        <w:ind w:right="20" w:firstLine="1626"/>
        <w:spacing w:after="0" w:line="283" w:lineRule="auto"/>
        <w:tabs>
          <w:tab w:leader="none" w:pos="217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79" w:lineRule="exact"/>
        <w:rPr>
          <w:rFonts w:ascii="Times New Roman" w:cs="Times New Roman" w:eastAsia="Times New Roman" w:hAnsi="Times New Roman"/>
          <w:sz w:val="18"/>
          <w:szCs w:val="18"/>
          <w:color w:val="auto"/>
        </w:rPr>
      </w:pPr>
    </w:p>
    <w:p>
      <w:pPr>
        <w:jc w:val="both"/>
        <w:ind w:firstLine="1626"/>
        <w:spacing w:after="0" w:line="255" w:lineRule="auto"/>
        <w:tabs>
          <w:tab w:leader="none" w:pos="217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07"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any additional Investor who becomes a party to this Agreement in accordance with </w:t>
      </w:r>
      <w:r>
        <w:rPr>
          <w:rFonts w:ascii="Times New Roman" w:cs="Times New Roman" w:eastAsia="Times New Roman" w:hAnsi="Times New Roman"/>
          <w:sz w:val="18"/>
          <w:szCs w:val="18"/>
          <w:u w:val="single" w:color="auto"/>
          <w:color w:val="auto"/>
        </w:rPr>
        <w:t>Subsection 6.9</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Each Holder hereby agrees that it will not, without the prior written consent of the managing underwriter, during the period commencing on the date of the final prospectus relating to the IPO, and ending on the date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1218" w:right="319" w:bottom="1440" w:gutter="0" w:footer="0" w:header="0"/>
        </w:sectPr>
      </w:pPr>
    </w:p>
    <w:bookmarkStart w:id="380" w:name="page381"/>
    <w:bookmarkEnd w:id="380"/>
    <w:p>
      <w:pPr>
        <w:ind w:left="9"/>
        <w:spacing w:after="0" w:line="261" w:lineRule="auto"/>
        <w:rPr>
          <w:sz w:val="20"/>
          <w:szCs w:val="20"/>
          <w:color w:val="auto"/>
        </w:rPr>
      </w:pPr>
      <w:r>
        <w:rPr>
          <w:rFonts w:ascii="Times New Roman" w:cs="Times New Roman" w:eastAsia="Times New Roman" w:hAnsi="Times New Roman"/>
          <w:sz w:val="18"/>
          <w:szCs w:val="18"/>
          <w:color w:val="auto"/>
        </w:rPr>
        <w:t>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w:t>
      </w:r>
    </w:p>
    <w:p>
      <w:pPr>
        <w:spacing w:after="0" w:line="1" w:lineRule="exact"/>
        <w:rPr>
          <w:sz w:val="20"/>
          <w:szCs w:val="20"/>
          <w:color w:val="auto"/>
        </w:rPr>
      </w:pPr>
    </w:p>
    <w:p>
      <w:pPr>
        <w:jc w:val="both"/>
        <w:ind w:left="9" w:hanging="9"/>
        <w:spacing w:after="0" w:line="250" w:lineRule="auto"/>
        <w:tabs>
          <w:tab w:leader="none" w:pos="27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(for the avoidance of doubt, such agreement shall not apply to shares of Common Stock acquired by the Holder in the IPO or in the open market following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not apply to the sale of any shares to an underwriter pursuant to an underwriting agreement, or the transfer of any shares to any trust for the direct or indirect benefit of the Holder or the immediate family of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of the trust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 and shall be applicable to the Holders only if all officers and directors of the Company and all stockholders individually owning more than one percent (1%) of the Company’s outstanding Common Stock (after giving effect to conversion into Class A Common Stock of all outstanding Preferred Stock) enter into similar agreements.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that are necessary to give further effect thereto. Any discretionary waiver or termination of the restrictions of any or all of such agreements (or any Holder, officer, director or greater than 1% stockholder) by the Company or the underwriters shall apply to all Holders subject to such agreements </w:t>
      </w:r>
      <w:r>
        <w:rPr>
          <w:rFonts w:ascii="Times New Roman" w:cs="Times New Roman" w:eastAsia="Times New Roman" w:hAnsi="Times New Roman"/>
          <w:sz w:val="16"/>
          <w:szCs w:val="16"/>
          <w:color w:val="auto"/>
        </w:rPr>
        <w:t>to the same extent and with respect to the same percentage of securities as the highest percentage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released from any such agreements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089"/>
        <w:spacing w:after="0"/>
        <w:tabs>
          <w:tab w:leader="none" w:pos="1609"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left="9" w:firstLine="1626"/>
        <w:spacing w:after="0" w:line="258" w:lineRule="auto"/>
        <w:tabs>
          <w:tab w:leader="none" w:pos="218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9"/>
          </w:cols>
          <w:pgMar w:left="311" w:top="1218" w:right="319" w:bottom="1440" w:gutter="0" w:footer="0" w:header="0"/>
        </w:sectPr>
      </w:pPr>
    </w:p>
    <w:bookmarkStart w:id="381" w:name="page382"/>
    <w:bookmarkEnd w:id="381"/>
    <w:p>
      <w:pPr>
        <w:spacing w:after="0" w:line="283" w:lineRule="auto"/>
        <w:rPr>
          <w:sz w:val="20"/>
          <w:szCs w:val="20"/>
          <w:color w:val="auto"/>
        </w:rPr>
      </w:pPr>
      <w:r>
        <w:rPr>
          <w:rFonts w:ascii="Times New Roman" w:cs="Times New Roman" w:eastAsia="Times New Roman" w:hAnsi="Times New Roman"/>
          <w:sz w:val="18"/>
          <w:szCs w:val="18"/>
          <w:color w:val="auto"/>
        </w:rPr>
        <w:t>not require any transferee of shares pursuant to an effective registration statement or, following the IPO, SEC Rule 144 to be bound by the terms of this Agreement.</w:t>
      </w:r>
    </w:p>
    <w:p>
      <w:pPr>
        <w:spacing w:after="0" w:line="80" w:lineRule="exact"/>
        <w:rPr>
          <w:sz w:val="20"/>
          <w:szCs w:val="20"/>
          <w:color w:val="auto"/>
        </w:rPr>
      </w:pPr>
    </w:p>
    <w:p>
      <w:pPr>
        <w:jc w:val="both"/>
        <w:ind w:firstLine="1626"/>
        <w:spacing w:after="0" w:line="261" w:lineRule="auto"/>
        <w:tabs>
          <w:tab w:leader="none" w:pos="217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be notated with a legend substantially in the following form:</w:t>
      </w:r>
    </w:p>
    <w:p>
      <w:pPr>
        <w:spacing w:after="0" w:line="99" w:lineRule="exact"/>
        <w:rPr>
          <w:sz w:val="20"/>
          <w:szCs w:val="20"/>
          <w:color w:val="auto"/>
        </w:rPr>
      </w:pPr>
    </w:p>
    <w:p>
      <w:pPr>
        <w:jc w:val="both"/>
        <w:ind w:left="540" w:right="54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99" w:lineRule="exact"/>
        <w:rPr>
          <w:sz w:val="20"/>
          <w:szCs w:val="20"/>
          <w:color w:val="auto"/>
        </w:rPr>
      </w:pPr>
    </w:p>
    <w:p>
      <w:pPr>
        <w:jc w:val="both"/>
        <w:ind w:left="540" w:right="56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95" w:lineRule="exact"/>
        <w:rPr>
          <w:sz w:val="20"/>
          <w:szCs w:val="20"/>
          <w:color w:val="auto"/>
        </w:rPr>
      </w:pPr>
    </w:p>
    <w:p>
      <w:pPr>
        <w:ind w:right="20" w:firstLine="1090"/>
        <w:spacing w:after="0" w:line="283" w:lineRule="auto"/>
        <w:rPr>
          <w:sz w:val="20"/>
          <w:szCs w:val="20"/>
          <w:color w:val="auto"/>
        </w:rPr>
      </w:pPr>
      <w:r>
        <w:rPr>
          <w:rFonts w:ascii="Times New Roman" w:cs="Times New Roman" w:eastAsia="Times New Roman" w:hAnsi="Times New Roman"/>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firstLine="1626"/>
        <w:spacing w:after="0" w:line="252" w:lineRule="auto"/>
        <w:tabs>
          <w:tab w:leader="none" w:pos="217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in connection with a transaction in compliance with SEC Rule 144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1218" w:right="319" w:bottom="1440" w:gutter="0" w:footer="0" w:header="0"/>
        </w:sectPr>
      </w:pPr>
    </w:p>
    <w:bookmarkStart w:id="382" w:name="page383"/>
    <w:bookmarkEnd w:id="38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IPO, each transferee agrees in writing to be subject to the terms of this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the Holder shall provide the Company or its counsel with such certificates or other representations regarding such transaction as the Company or its counsel may reasonably request.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Times New Roman" w:cs="Times New Roman" w:eastAsia="Times New Roman" w:hAnsi="Times New Roman"/>
          <w:sz w:val="18"/>
          <w:szCs w:val="18"/>
          <w:u w:val="single" w:color="auto"/>
          <w:color w:val="auto"/>
        </w:rPr>
        <w:t>Subsection 2.12(b)</w:t>
      </w:r>
      <w:r>
        <w:rPr>
          <w:rFonts w:ascii="Times New Roman" w:cs="Times New Roman" w:eastAsia="Times New Roman" w:hAnsi="Times New Roman"/>
          <w:sz w:val="18"/>
          <w:szCs w:val="18"/>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06" w:lineRule="exact"/>
        <w:rPr>
          <w:sz w:val="20"/>
          <w:szCs w:val="20"/>
          <w:color w:val="auto"/>
        </w:rPr>
      </w:pPr>
    </w:p>
    <w:p>
      <w:pPr>
        <w:jc w:val="both"/>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shall terminate upon the earliest to occur of:</w:t>
      </w:r>
    </w:p>
    <w:p>
      <w:pPr>
        <w:spacing w:after="0" w:line="80" w:lineRule="exact"/>
        <w:rPr>
          <w:sz w:val="20"/>
          <w:szCs w:val="20"/>
          <w:color w:val="auto"/>
        </w:rPr>
      </w:pPr>
    </w:p>
    <w:p>
      <w:pPr>
        <w:ind w:left="2160" w:hanging="534"/>
        <w:spacing w:after="0"/>
        <w:tabs>
          <w:tab w:leader="none" w:pos="21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such term is defined in the Company’s Certificate of Incorporation;</w:t>
      </w:r>
    </w:p>
    <w:p>
      <w:pPr>
        <w:spacing w:after="0" w:line="145" w:lineRule="exact"/>
        <w:rPr>
          <w:rFonts w:ascii="Times New Roman" w:cs="Times New Roman" w:eastAsia="Times New Roman" w:hAnsi="Times New Roman"/>
          <w:sz w:val="18"/>
          <w:szCs w:val="18"/>
          <w:color w:val="auto"/>
        </w:rPr>
      </w:pPr>
    </w:p>
    <w:p>
      <w:pPr>
        <w:ind w:firstLine="1626"/>
        <w:spacing w:after="0" w:line="283" w:lineRule="auto"/>
        <w:tabs>
          <w:tab w:leader="none" w:pos="217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79" w:lineRule="exact"/>
        <w:rPr>
          <w:rFonts w:ascii="Times New Roman" w:cs="Times New Roman" w:eastAsia="Times New Roman" w:hAnsi="Times New Roman"/>
          <w:sz w:val="18"/>
          <w:szCs w:val="18"/>
          <w:color w:val="auto"/>
        </w:rPr>
      </w:pPr>
    </w:p>
    <w:p>
      <w:pPr>
        <w:ind w:left="2160" w:hanging="534"/>
        <w:spacing w:after="0"/>
        <w:tabs>
          <w:tab w:leader="none" w:pos="21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anniversary of the IPO.</w:t>
      </w:r>
    </w:p>
    <w:p>
      <w:pPr>
        <w:spacing w:after="0" w:line="145"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and Observer Rights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xml:space="preserve">. The Company shall deliver to each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w:t>
      </w:r>
    </w:p>
    <w:p>
      <w:pPr>
        <w:spacing w:after="0" w:line="80" w:lineRule="exact"/>
        <w:rPr>
          <w:sz w:val="20"/>
          <w:szCs w:val="20"/>
          <w:color w:val="auto"/>
        </w:rPr>
      </w:pPr>
    </w:p>
    <w:p>
      <w:pPr>
        <w:jc w:val="both"/>
        <w:ind w:firstLine="1626"/>
        <w:spacing w:after="0" w:line="261" w:lineRule="auto"/>
        <w:tabs>
          <w:tab w:leader="none" w:pos="217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not later than the first day of August of each calendar year (i) a balance sheet as of the end of the immediately preceding year, (ii) statements of income and of cash flows for such year, and (iii) a statement of stockholders’ equity as of the end of such year, all such financial statements audited and certified by independent public accountants of regionally recognized standing selected by the Company;</w:t>
      </w:r>
    </w:p>
    <w:p>
      <w:pPr>
        <w:spacing w:after="0" w:line="99" w:lineRule="exact"/>
        <w:rPr>
          <w:rFonts w:ascii="Times New Roman" w:cs="Times New Roman" w:eastAsia="Times New Roman" w:hAnsi="Times New Roman"/>
          <w:sz w:val="18"/>
          <w:szCs w:val="18"/>
          <w:color w:val="auto"/>
        </w:rPr>
      </w:pPr>
    </w:p>
    <w:p>
      <w:pPr>
        <w:jc w:val="both"/>
        <w:ind w:firstLine="1626"/>
        <w:spacing w:after="0" w:line="261" w:lineRule="auto"/>
        <w:tabs>
          <w:tab w:leader="none" w:pos="217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of the first three (3) quarters of each year,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and</w:t>
      </w:r>
    </w:p>
    <w:p>
      <w:pPr>
        <w:spacing w:after="0" w:line="99" w:lineRule="exact"/>
        <w:rPr>
          <w:rFonts w:ascii="Times New Roman" w:cs="Times New Roman" w:eastAsia="Times New Roman" w:hAnsi="Times New Roman"/>
          <w:sz w:val="18"/>
          <w:szCs w:val="18"/>
          <w:color w:val="auto"/>
        </w:rPr>
      </w:pPr>
    </w:p>
    <w:p>
      <w:pPr>
        <w:jc w:val="both"/>
        <w:ind w:firstLine="1626"/>
        <w:spacing w:after="0" w:line="261" w:lineRule="auto"/>
        <w:tabs>
          <w:tab w:leader="none" w:pos="217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 statement showing the number of shares of each class and series of capital stock and securities convertible into or exercisable for shares of capital stock outstanding as of the date of such request, the Common Stock issuable upon conversion or exercise of any outstanding securities convertible or exercisable for Common Stock and the exchange ratio or exercise price applicable thereto, and the number of shares of issued stock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320" w:top="1218" w:right="319" w:bottom="1440" w:gutter="0" w:footer="0" w:header="0"/>
        </w:sectPr>
      </w:pPr>
    </w:p>
    <w:bookmarkStart w:id="383" w:name="page384"/>
    <w:bookmarkEnd w:id="383"/>
    <w:p>
      <w:pPr>
        <w:jc w:val="both"/>
        <w:spacing w:after="0" w:line="266" w:lineRule="auto"/>
        <w:rPr>
          <w:sz w:val="20"/>
          <w:szCs w:val="20"/>
          <w:color w:val="auto"/>
        </w:rPr>
      </w:pPr>
      <w:r>
        <w:rPr>
          <w:rFonts w:ascii="Times New Roman" w:cs="Times New Roman" w:eastAsia="Times New Roman" w:hAnsi="Times New Roman"/>
          <w:sz w:val="18"/>
          <w:szCs w:val="18"/>
          <w:color w:val="auto"/>
        </w:rPr>
        <w:t>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95" w:lineRule="exact"/>
        <w:rPr>
          <w:sz w:val="20"/>
          <w:szCs w:val="20"/>
          <w:color w:val="auto"/>
        </w:rPr>
      </w:pPr>
    </w:p>
    <w:p>
      <w:pPr>
        <w:jc w:val="both"/>
        <w:ind w:firstLine="1626"/>
        <w:spacing w:after="0" w:line="266" w:lineRule="auto"/>
        <w:tabs>
          <w:tab w:leader="none" w:pos="217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thirty (30) days before the end of each year, a budget and business plan for the next year (collectively, 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prepared on a monthly basis, including balance sheets, income statements and statements of cash flow for such months and, promptly after prepared and approved by the Board of Directors, any other budgets or revised budgets prepared by the Company;</w:t>
      </w:r>
    </w:p>
    <w:p>
      <w:pPr>
        <w:spacing w:after="0" w:line="95"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95"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03"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Company shall permit each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07"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Observer Rights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firstLine="1626"/>
        <w:spacing w:after="0" w:line="257" w:lineRule="auto"/>
        <w:tabs>
          <w:tab w:leader="none" w:pos="217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Artal International S.C.A. (together with its affiliates, “</w:t>
      </w:r>
      <w:r>
        <w:rPr>
          <w:rFonts w:ascii="Times New Roman" w:cs="Times New Roman" w:eastAsia="Times New Roman" w:hAnsi="Times New Roman"/>
          <w:sz w:val="18"/>
          <w:szCs w:val="18"/>
          <w:b w:val="1"/>
          <w:bCs w:val="1"/>
          <w:color w:val="auto"/>
        </w:rPr>
        <w:t>Artal</w:t>
      </w:r>
      <w:r>
        <w:rPr>
          <w:rFonts w:ascii="Times New Roman" w:cs="Times New Roman" w:eastAsia="Times New Roman" w:hAnsi="Times New Roman"/>
          <w:sz w:val="18"/>
          <w:szCs w:val="18"/>
          <w:color w:val="auto"/>
        </w:rPr>
        <w:t>”) owns not less than fifty percent (50%) of the shares of the Series B Preferred Stock it purchased under the Series B Preferred Stock Purchase Agreement dated March 23, 2018 (or an equivalent amount of Common Stock issued upon conversion thereof), the Company shall invite a representative of Artal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320" w:top="1218" w:right="319" w:bottom="1440" w:gutter="0" w:footer="0" w:header="0"/>
        </w:sectPr>
      </w:pPr>
    </w:p>
    <w:bookmarkStart w:id="384" w:name="page385"/>
    <w:bookmarkEnd w:id="384"/>
    <w:p>
      <w:pPr>
        <w:jc w:val="both"/>
        <w:spacing w:after="0" w:line="258" w:lineRule="auto"/>
        <w:rPr>
          <w:sz w:val="20"/>
          <w:szCs w:val="20"/>
          <w:color w:val="auto"/>
        </w:rPr>
      </w:pPr>
      <w:r>
        <w:rPr>
          <w:rFonts w:ascii="Times New Roman" w:cs="Times New Roman" w:eastAsia="Times New Roman" w:hAnsi="Times New Roman"/>
          <w:sz w:val="18"/>
          <w:szCs w:val="18"/>
          <w:color w:val="auto"/>
        </w:rPr>
        <w:t>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99" w:lineRule="exact"/>
        <w:rPr>
          <w:sz w:val="20"/>
          <w:szCs w:val="20"/>
          <w:color w:val="auto"/>
        </w:rPr>
      </w:pPr>
    </w:p>
    <w:p>
      <w:pPr>
        <w:jc w:val="both"/>
        <w:ind w:firstLine="1626"/>
        <w:spacing w:after="0" w:line="254" w:lineRule="auto"/>
        <w:tabs>
          <w:tab w:leader="none" w:pos="217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Aju Life Science 3.0 Venture Fund and Aju Good Venture Fund (together with their affiliates, “</w:t>
      </w:r>
      <w:r>
        <w:rPr>
          <w:rFonts w:ascii="Times New Roman" w:cs="Times New Roman" w:eastAsia="Times New Roman" w:hAnsi="Times New Roman"/>
          <w:sz w:val="18"/>
          <w:szCs w:val="18"/>
          <w:b w:val="1"/>
          <w:bCs w:val="1"/>
          <w:color w:val="auto"/>
        </w:rPr>
        <w:t>Aju IB</w:t>
      </w:r>
      <w:r>
        <w:rPr>
          <w:rFonts w:ascii="Times New Roman" w:cs="Times New Roman" w:eastAsia="Times New Roman" w:hAnsi="Times New Roman"/>
          <w:sz w:val="18"/>
          <w:szCs w:val="18"/>
          <w:color w:val="auto"/>
        </w:rPr>
        <w:t>”) own in the aggregate not less than fifty percent (50%) of the shares of the Series C Preferred Stock purchased by Aju IB under the Series C Preferred Stock Purchase Agreement dated March 7, 2019 (or an equivalent amount of Common Stock issued upon conversion thereof), the Company shall invite a representative of Aju IB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100"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aMoon 2 Fund, Limited Partnership (together with its affiliates, “</w:t>
      </w:r>
      <w:r>
        <w:rPr>
          <w:rFonts w:ascii="Times New Roman" w:cs="Times New Roman" w:eastAsia="Times New Roman" w:hAnsi="Times New Roman"/>
          <w:sz w:val="18"/>
          <w:szCs w:val="18"/>
          <w:b w:val="1"/>
          <w:bCs w:val="1"/>
          <w:color w:val="auto"/>
        </w:rPr>
        <w:t>aMoon</w:t>
      </w:r>
      <w:r>
        <w:rPr>
          <w:rFonts w:ascii="Times New Roman" w:cs="Times New Roman" w:eastAsia="Times New Roman" w:hAnsi="Times New Roman"/>
          <w:sz w:val="18"/>
          <w:szCs w:val="18"/>
          <w:color w:val="auto"/>
        </w:rPr>
        <w:t>”) owns in the aggregate not less than fifty percent (50%) of the shares of the Series D Preferred Stock it is purchasing under the Purchase Agreement (or an equivalent amount of Common Stock issued upon conversion thereof), the Company shall invite a representative of aMoon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1218" w:right="319" w:bottom="1440" w:gutter="0" w:footer="0" w:header="0"/>
        </w:sectPr>
      </w:pPr>
    </w:p>
    <w:bookmarkStart w:id="385" w:name="page386"/>
    <w:bookmarkEnd w:id="385"/>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Termination of Information and Observer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3.3</w:t>
      </w:r>
      <w:r>
        <w:rPr>
          <w:rFonts w:ascii="Times New Roman" w:cs="Times New Roman" w:eastAsia="Times New Roman" w:hAnsi="Times New Roman"/>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99"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8"/>
          <w:szCs w:val="18"/>
          <w:u w:val="single" w:color="auto"/>
          <w:color w:val="auto"/>
        </w:rPr>
        <w:t>Subsection 3.5</w:t>
      </w:r>
      <w:r>
        <w:rPr>
          <w:rFonts w:ascii="Times New Roman" w:cs="Times New Roman" w:eastAsia="Times New Roman" w:hAnsi="Times New Roman"/>
          <w:sz w:val="18"/>
          <w:szCs w:val="18"/>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8"/>
          <w:szCs w:val="18"/>
          <w:u w:val="single" w:color="auto"/>
          <w:color w:val="auto"/>
        </w:rPr>
        <w:t>Subsection 3.5</w:t>
      </w:r>
      <w:r>
        <w:rPr>
          <w:rFonts w:ascii="Times New Roman" w:cs="Times New Roman" w:eastAsia="Times New Roman" w:hAnsi="Times New Roman"/>
          <w:sz w:val="18"/>
          <w:szCs w:val="18"/>
          <w:color w:val="auto"/>
        </w:rPr>
        <w:t xml:space="preserve">; (iii) to any existing Affiliate, partner, member, stockholder or wholly owned subsidiary of such Investor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informs such Person that such information is confidential and directs such Person to maintain the confidentiality of such information; or (iv) as may otherwise be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promptly notifies the Company of such disclosure and takes reasonable steps to minimize the extent of any such required disclosure.</w:t>
      </w:r>
    </w:p>
    <w:p>
      <w:pPr>
        <w:spacing w:after="0" w:line="107" w:lineRule="exact"/>
        <w:rPr>
          <w:sz w:val="20"/>
          <w:szCs w:val="20"/>
          <w:color w:val="auto"/>
        </w:rPr>
      </w:pPr>
    </w:p>
    <w:p>
      <w:pPr>
        <w:ind w:left="1080" w:hanging="54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(i) each Major Investor, (ii) each other Investor that, individually or together with such Investor’s Affiliates, holds at least 100,000 shares of Registrable Securities (as adjusted for any stock split, stock dividend, combination or other recapitalization or reclassification effected after the date hereof) and (iii) each Key Holder (each a “</w:t>
      </w:r>
      <w:r>
        <w:rPr>
          <w:rFonts w:ascii="Times New Roman" w:cs="Times New Roman" w:eastAsia="Times New Roman" w:hAnsi="Times New Roman"/>
          <w:sz w:val="18"/>
          <w:szCs w:val="18"/>
          <w:b w:val="1"/>
          <w:bCs w:val="1"/>
          <w:color w:val="auto"/>
        </w:rPr>
        <w:t>First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First Offer Participants</w:t>
      </w:r>
      <w:r>
        <w:rPr>
          <w:rFonts w:ascii="Times New Roman" w:cs="Times New Roman" w:eastAsia="Times New Roman" w:hAnsi="Times New Roman"/>
          <w:sz w:val="18"/>
          <w:szCs w:val="18"/>
          <w:color w:val="auto"/>
        </w:rPr>
        <w:t>”). A First Offer Participant shall be entitled to apportion the right of first offer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granted to it in such proportions as it deems appropriate, among (i) itself and (ii)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Affiliate (x) is not a Competitor or FOIA Party, unless such party’s purchase of New Securities is otherwise consented to by the Board of Directors, (y) 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Key Holder</w:t>
      </w:r>
      <w:r>
        <w:rPr>
          <w:rFonts w:ascii="Times New Roman" w:cs="Times New Roman" w:eastAsia="Times New Roman" w:hAnsi="Times New Roman"/>
          <w:sz w:val="18"/>
          <w:szCs w:val="18"/>
          <w:color w:val="auto"/>
        </w:rPr>
        <w:t xml:space="preserve">,” as applicable, under each such agreement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any Competitor or FOIA Party shall not be entitled to any rights as a Major Investor under </w:t>
      </w:r>
      <w:r>
        <w:rPr>
          <w:rFonts w:ascii="Times New Roman" w:cs="Times New Roman" w:eastAsia="Times New Roman" w:hAnsi="Times New Roman"/>
          <w:sz w:val="18"/>
          <w:szCs w:val="18"/>
          <w:u w:val="single" w:color="auto"/>
          <w:color w:val="auto"/>
        </w:rPr>
        <w:t>Subsections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hereof), and (z) agrees to purchase at least such number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0"/>
          </w:cols>
          <w:pgMar w:left="320" w:top="1218" w:right="319" w:bottom="1440" w:gutter="0" w:footer="0" w:header="0"/>
        </w:sectPr>
      </w:pPr>
    </w:p>
    <w:bookmarkStart w:id="386" w:name="page387"/>
    <w:bookmarkEnd w:id="386"/>
    <w:p>
      <w:pPr>
        <w:jc w:val="both"/>
        <w:spacing w:after="0" w:line="266" w:lineRule="auto"/>
        <w:rPr>
          <w:sz w:val="20"/>
          <w:szCs w:val="20"/>
          <w:color w:val="auto"/>
        </w:rPr>
      </w:pPr>
      <w:r>
        <w:rPr>
          <w:rFonts w:ascii="Times New Roman" w:cs="Times New Roman" w:eastAsia="Times New Roman" w:hAnsi="Times New Roman"/>
          <w:sz w:val="18"/>
          <w:szCs w:val="18"/>
          <w:color w:val="auto"/>
        </w:rPr>
        <w:t>Securities as are allocable hereunder to the First Offer Participant holding the fewest number of shares of Common Stock (including all shares of Class A Common Stock then issuable (directly or indirectly) upon conversion and/or exercise, as applicable, of the Preferred Stock and any other Derivative Securities then held by such First Offer Participant).</w:t>
      </w:r>
    </w:p>
    <w:p>
      <w:pPr>
        <w:spacing w:after="0" w:line="91" w:lineRule="exact"/>
        <w:rPr>
          <w:sz w:val="20"/>
          <w:szCs w:val="20"/>
          <w:color w:val="auto"/>
        </w:rPr>
      </w:pPr>
    </w:p>
    <w:p>
      <w:pPr>
        <w:jc w:val="both"/>
        <w:ind w:firstLine="1626"/>
        <w:spacing w:after="0" w:line="269" w:lineRule="auto"/>
        <w:tabs>
          <w:tab w:leader="none" w:pos="217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First Offer Participant, stating (i) its bona fide intention to offer such New Securities, (ii) the number of such New Securities to be offered and (iii) the price and terms, if any, upon which it proposes to offer such New Securities.</w:t>
      </w:r>
    </w:p>
    <w:p>
      <w:pPr>
        <w:spacing w:after="0" w:line="91" w:lineRule="exact"/>
        <w:rPr>
          <w:rFonts w:ascii="Times New Roman" w:cs="Times New Roman" w:eastAsia="Times New Roman" w:hAnsi="Times New Roman"/>
          <w:sz w:val="18"/>
          <w:szCs w:val="18"/>
          <w:color w:val="auto"/>
        </w:rPr>
      </w:pPr>
    </w:p>
    <w:p>
      <w:pPr>
        <w:jc w:val="both"/>
        <w:ind w:firstLine="1626"/>
        <w:spacing w:after="0" w:line="252" w:lineRule="auto"/>
        <w:tabs>
          <w:tab w:leader="none" w:pos="217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First Offer Participant may elect to purchase or otherwise acquire, at the price and on the terms specified in the Offer Notice, up to that portion of such New Securities which equals the proportion that the Common Stock then held by such First Offer Participant (including all shares of Class A Common Stock then issuable (directly or indirectly) upon conversion and/or exercise, as applicable, of the Preferred Stock and any other Derivative Securities then held by such First Offer Participant) bears to the total Common Stock of the Company then outstanding (assuming full conversion and/or exercise, as applicable, of all Preferred Stock and other Derivative Securities). At the expiration of such twenty (20) day period, the Company shall promptly notify each First Offer Participant that elects to purchase or acquire all the shares available to it (each, a “</w:t>
      </w:r>
      <w:r>
        <w:rPr>
          <w:rFonts w:ascii="Times New Roman" w:cs="Times New Roman" w:eastAsia="Times New Roman" w:hAnsi="Times New Roman"/>
          <w:sz w:val="18"/>
          <w:szCs w:val="18"/>
          <w:b w:val="1"/>
          <w:bCs w:val="1"/>
          <w:color w:val="auto"/>
        </w:rPr>
        <w:t>Fully Exercising Participant</w:t>
      </w:r>
      <w:r>
        <w:rPr>
          <w:rFonts w:ascii="Times New Roman" w:cs="Times New Roman" w:eastAsia="Times New Roman" w:hAnsi="Times New Roman"/>
          <w:sz w:val="18"/>
          <w:szCs w:val="18"/>
          <w:color w:val="auto"/>
        </w:rPr>
        <w:t xml:space="preserve">”) of any other First Offer Participant’s failure to do likewise. During the ten (10) day period commencing after the Company has given such notice, each Fully Exercising Participant may, by giving notice to the Company, elect to purchase or acquire, in addition to the number of shares specified above, up to that portion of the New Securities for which First Offer Participants were entitled to subscribe but that were not subscribed for by the First Offer Participants which is equal to the proportion that the Common Stock issued and held, or issuable (directly or indirectly) upon conversion and/or exercise, as applicable, of Preferred Stock and any other Derivative Securities then held, by such Fully Exercising Participant bears to the Common Stock issued and held, or issuable (directly or indirectly) upon conversion and/or exercise, as applicable, of the Preferred Stock and any other Derivative Securities then held, by all Fully Exercising Participants who wish to purchase such unsubscribed shares. The closing of any sale pursuant to this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shall occur within the later of ninety (90) days of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Subsection 4.1(c)</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firstLine="1626"/>
        <w:spacing w:after="0" w:line="256" w:lineRule="auto"/>
        <w:tabs>
          <w:tab w:leader="none" w:pos="217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New Securities referred to in the Offer Notice are not elected to be purchased or acquired as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First Offer Participants in accordance with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1218" w:right="319" w:bottom="1440" w:gutter="0" w:footer="0" w:header="0"/>
        </w:sectPr>
      </w:pPr>
    </w:p>
    <w:bookmarkStart w:id="387" w:name="page388"/>
    <w:bookmarkEnd w:id="387"/>
    <w:p>
      <w:pPr>
        <w:ind w:firstLine="1626"/>
        <w:spacing w:after="0" w:line="283" w:lineRule="auto"/>
        <w:tabs>
          <w:tab w:leader="none" w:pos="217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not be applicable to (i) Exempted Securities (as defined in the Company’s Certificate of Incorporation) and (ii) shares of Common Stock issued in the IPO.</w:t>
      </w:r>
    </w:p>
    <w:p>
      <w:pPr>
        <w:spacing w:after="0" w:line="80"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terminate and be of no further force or effect (i) immediately before the consummation of the IPO or (ii) upon a Deemed Liquidation Event, as such term is defined in the Company’s Certificate of Incorporation, whichever event occurs first.</w:t>
      </w:r>
    </w:p>
    <w:p>
      <w:pPr>
        <w:spacing w:after="0" w:line="95" w:lineRule="exact"/>
        <w:rPr>
          <w:sz w:val="20"/>
          <w:szCs w:val="20"/>
          <w:color w:val="auto"/>
        </w:rPr>
      </w:pPr>
    </w:p>
    <w:p>
      <w:pPr>
        <w:ind w:left="1080" w:hanging="54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maintain, from a financially sound and reputable insurer, Directors and Officers liability insurance in an amount and on such other terms and conditions satisfactory to the Board of Directors, until such time as the Board of Directors determines that such insurance should be discontinued.</w:t>
      </w:r>
    </w:p>
    <w:p>
      <w:pPr>
        <w:spacing w:after="0" w:line="95"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The Company will cause each person now or hereafter employed by it or by any subsidiary (or engaged by the Company or any subsidiary as a consultant/independent contractor) with access to proprietary information, confidential information and/or trade secrets to enter into a nondisclosure and proprietary rights assignment agreement, substantially in the form approved by the Board of Directors.</w:t>
      </w:r>
    </w:p>
    <w:p>
      <w:pPr>
        <w:spacing w:after="0" w:line="95"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07"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directors then in office, the Board of Directors shall meet at least quarterly in accordance with an agreed-upon schedule. The Company shall reimburse the nonemployee directors and observers for all reasonable expenses in their services as a nonemployee director or an observer including out-of-pocket travel expenses incurred (consistent with the Company’s travel policy) in connection with attending meetings of the Board of Directors.</w:t>
      </w:r>
    </w:p>
    <w:p>
      <w:pPr>
        <w:spacing w:after="0" w:line="99"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1218" w:right="31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color w:val="auto"/>
        </w:rPr>
        <w:t>contained in the Company’s Bylaws, its Certificate of Incorporation or elsewhere, as the case may be.</w:t>
      </w:r>
    </w:p>
    <w:p>
      <w:pPr>
        <w:spacing w:after="0" w:line="145" w:lineRule="exact"/>
        <w:rPr>
          <w:sz w:val="20"/>
          <w:szCs w:val="20"/>
          <w:color w:val="auto"/>
        </w:rPr>
      </w:pPr>
    </w:p>
    <w:p>
      <w:pPr>
        <w:jc w:val="both"/>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of Directors by the Investors including the Preferred Director (each a “</w:t>
      </w:r>
      <w:r>
        <w:rPr>
          <w:rFonts w:ascii="Times New Roman" w:cs="Times New Roman" w:eastAsia="Times New Roman" w:hAnsi="Times New Roman"/>
          <w:sz w:val="18"/>
          <w:szCs w:val="18"/>
          <w:b w:val="1"/>
          <w:b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05"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626"/>
        <w:spacing w:after="0" w:line="254" w:lineRule="auto"/>
        <w:tabs>
          <w:tab w:leader="none" w:pos="217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and acknowledges that Maverick Advisors Fund, L.P. and Maverick Ventures Investment Fund, L.P. (together with its affiliates, “</w:t>
      </w:r>
      <w:r>
        <w:rPr>
          <w:rFonts w:ascii="Times New Roman" w:cs="Times New Roman" w:eastAsia="Times New Roman" w:hAnsi="Times New Roman"/>
          <w:sz w:val="18"/>
          <w:szCs w:val="18"/>
          <w:b w:val="1"/>
          <w:bCs w:val="1"/>
          <w:color w:val="auto"/>
        </w:rPr>
        <w:t>Maverick</w:t>
      </w:r>
      <w:r>
        <w:rPr>
          <w:rFonts w:ascii="Times New Roman" w:cs="Times New Roman" w:eastAsia="Times New Roman" w:hAnsi="Times New Roman"/>
          <w:sz w:val="18"/>
          <w:szCs w:val="18"/>
          <w:color w:val="auto"/>
        </w:rPr>
        <w:t xml:space="preserve">”)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Maverick shall not be liable to the Company for any claim arising out of, or based upon, (i) the investment by Maverick in any entity competitive with the Company or (ii) actions taken by any partner, officer or other representative of Maverick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6" w:lineRule="exact"/>
        <w:rPr>
          <w:rFonts w:ascii="Times New Roman" w:cs="Times New Roman" w:eastAsia="Times New Roman" w:hAnsi="Times New Roman"/>
          <w:sz w:val="18"/>
          <w:szCs w:val="18"/>
          <w:color w:val="auto"/>
        </w:rPr>
      </w:pPr>
    </w:p>
    <w:p>
      <w:pPr>
        <w:ind w:firstLine="1626"/>
        <w:spacing w:after="0" w:line="283" w:lineRule="auto"/>
        <w:tabs>
          <w:tab w:leader="none" w:pos="217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and acknowledges that Artal is a professional investment fund, and as such invests in numerous portfolio companies, some of which may be deemed competitive with the Company’s business (as currently conducted or 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0"/>
          </w:cols>
          <w:pgMar w:left="320" w:top="1218" w:right="319" w:bottom="1440" w:gutter="0" w:footer="0" w:header="0"/>
        </w:sectPr>
      </w:pPr>
    </w:p>
    <w:bookmarkStart w:id="389" w:name="page390"/>
    <w:bookmarkEnd w:id="389"/>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currently propose to be conducted). The Company hereby agrees that, to the extent permitted under applicable law, Artal shall not be liable to the Company for any claim arising out of, or based upon, (i) the investment by Artal in any entity competitive with the Company or (ii) actions taken by any partner, officer or other representative of Artal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Notwithstanding anything to the contrary in this Agreement, Artal shall retain its rights under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of this Agreement regardless of whether Artal or any of its Affiliates is a Competitor.</w:t>
      </w:r>
    </w:p>
    <w:p>
      <w:pPr>
        <w:spacing w:after="0" w:line="110" w:lineRule="exact"/>
        <w:rPr>
          <w:sz w:val="20"/>
          <w:szCs w:val="20"/>
          <w:color w:val="auto"/>
        </w:rPr>
      </w:pPr>
    </w:p>
    <w:p>
      <w:pPr>
        <w:jc w:val="both"/>
        <w:ind w:firstLine="1626"/>
        <w:spacing w:after="0" w:line="254" w:lineRule="auto"/>
        <w:tabs>
          <w:tab w:leader="none" w:pos="217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agrees and acknowledges that Aju IB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Aju IB shall not be liable to the Company for any claim arising out of, or based upon, (i) the investment by Aju IB in any entity competitive with the Company or (ii) actions taken by any partner, officer or other representative of Aju IB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10"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agrees and acknowledges that aMoon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aMoon shall not be liable to the Company for any claim arising out of, or based upon, (i) the investment by aMoon in any entity competitive with the Company or (ii) actions taken by any partner, officer or other representative of aMoon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10" w:lineRule="exact"/>
        <w:rPr>
          <w:rFonts w:ascii="Times New Roman" w:cs="Times New Roman" w:eastAsia="Times New Roman" w:hAnsi="Times New Roman"/>
          <w:sz w:val="18"/>
          <w:szCs w:val="18"/>
          <w:color w:val="auto"/>
        </w:rPr>
      </w:pPr>
    </w:p>
    <w:p>
      <w:pPr>
        <w:ind w:firstLine="1626"/>
        <w:spacing w:after="0" w:line="283" w:lineRule="auto"/>
        <w:tabs>
          <w:tab w:leader="none" w:pos="217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and acknowledges that each Fidelity Investor (as defined below) (together with its Affiliates) is a professional investment fund, and 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0"/>
          </w:cols>
          <w:pgMar w:left="320" w:top="1218" w:right="319" w:bottom="1440" w:gutter="0" w:footer="0" w:header="0"/>
        </w:sectPr>
      </w:pPr>
    </w:p>
    <w:bookmarkStart w:id="390" w:name="page391"/>
    <w:bookmarkEnd w:id="39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invests in numerous portfolio companies, some of which may be deemed competitive with the Company’s business (as currently conducted or as currently proposed to be conducted). The Company hereby agrees that, to the extent permitted under applicable law, no Fidelity Investor (or any of its Affiliates) shall be liable to the Company for any claim arising out of, or based upon, (i) the investment by any Fidelity Investor (or any of its Affiliates) in any entity competitive with the Company or (ii) actions taken by any partner, officer or other representative of any Fidelity Investor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relieve (x) any of the Fidelity Investors from liability associated with the unauthorized disclosure of the Company’s confidential information obtained pursuant to this Agreement or (y) any director or officer of the Company from any liability associated with his or her fiduciary duties to the Company. “</w:t>
      </w:r>
      <w:r>
        <w:rPr>
          <w:rFonts w:ascii="Times New Roman" w:cs="Times New Roman" w:eastAsia="Times New Roman" w:hAnsi="Times New Roman"/>
          <w:sz w:val="18"/>
          <w:szCs w:val="18"/>
          <w:b w:val="1"/>
          <w:bCs w:val="1"/>
          <w:color w:val="auto"/>
        </w:rPr>
        <w:t>Fidelity Investors</w:t>
      </w:r>
      <w:r>
        <w:rPr>
          <w:rFonts w:ascii="Times New Roman" w:cs="Times New Roman" w:eastAsia="Times New Roman" w:hAnsi="Times New Roman"/>
          <w:sz w:val="18"/>
          <w:szCs w:val="18"/>
          <w:color w:val="auto"/>
        </w:rPr>
        <w:t>” shall mean any Investors advised or subadvised by Fidelity Management &amp; Research Company or one of its Affiliates.</w:t>
      </w:r>
    </w:p>
    <w:p>
      <w:pPr>
        <w:spacing w:after="0" w:line="107"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Subsection 5.6</w:t>
      </w:r>
      <w:r>
        <w:rPr>
          <w:rFonts w:ascii="Times New Roman" w:cs="Times New Roman" w:eastAsia="Times New Roman" w:hAnsi="Times New Roman"/>
          <w:sz w:val="18"/>
          <w:szCs w:val="18"/>
          <w:color w:val="auto"/>
        </w:rPr>
        <w:t>, shall terminate and be of no further force or effect (i) immediately before the consummation of the IPO or (ii) upon a Deemed Liquidation Event, as such term is defined in the Company’s Certificate of Incorporation, whichever event occurs first.</w:t>
      </w:r>
    </w:p>
    <w:p>
      <w:pPr>
        <w:spacing w:after="0" w:line="95" w:lineRule="exact"/>
        <w:rPr>
          <w:sz w:val="20"/>
          <w:szCs w:val="20"/>
          <w:color w:val="auto"/>
        </w:rPr>
      </w:pPr>
    </w:p>
    <w:p>
      <w:pPr>
        <w:ind w:left="1080" w:hanging="54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90"/>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rights under this Agreement may be assigned (but only with all related obligations) by (i) a Holder to a transferee of Registrable Securities that (A) is an Affiliate of a Holder or (B) is a Holder’s Immediate Family Member or trust for the benefit of an individual Holder or one or more of such Holder’s Immediate Family Members or (ii) a Major Investor to a transferee of all of the Registrable Securities held by such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0"/>
          </w:cols>
          <w:pgMar w:left="320" w:top="1218" w:right="319" w:bottom="1440" w:gutter="0" w:footer="0" w:header="0"/>
        </w:sectPr>
      </w:pPr>
    </w:p>
    <w:bookmarkStart w:id="391" w:name="page392"/>
    <w:bookmarkEnd w:id="391"/>
    <w:p>
      <w:pPr>
        <w:ind w:left="1080"/>
        <w:spacing w:after="0"/>
        <w:tabs>
          <w:tab w:leader="none" w:pos="1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w:t>
      </w:r>
    </w:p>
    <w:p>
      <w:pPr>
        <w:spacing w:after="0" w:line="145"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right="20" w:firstLine="1090"/>
        <w:spacing w:after="0" w:line="28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w:t>
      </w:r>
    </w:p>
    <w:p>
      <w:pPr>
        <w:spacing w:after="0" w:line="80" w:lineRule="exact"/>
        <w:rPr>
          <w:sz w:val="20"/>
          <w:szCs w:val="20"/>
          <w:color w:val="auto"/>
        </w:rPr>
      </w:pPr>
    </w:p>
    <w:p>
      <w:pPr>
        <w:jc w:val="both"/>
        <w:ind w:firstLine="1090"/>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Subsection 6.5</w:t>
      </w:r>
      <w:r>
        <w:rPr>
          <w:rFonts w:ascii="Times New Roman" w:cs="Times New Roman" w:eastAsia="Times New Roman" w:hAnsi="Times New Roman"/>
          <w:sz w:val="18"/>
          <w:szCs w:val="18"/>
          <w:color w:val="auto"/>
        </w:rPr>
        <w:t>. If notice is given to the Company, a copy shall also be sent to Wilson Sonsini Goodrich &amp; Rosati, P.C., 650 Page Mill Road, Palo Alto, California 94304, Attention: Tony Jeffries, and if notice is given to the Investors, a copy shall also be given to Cooley LLP, 3175 Hanover Street, Palo Alto, California 94306, Attention: Kevin Rooney; Patterson Belknap Webb and Tyler LLP, 1133 Avenue of the Americas, New York, New York 10036, Attention: Peter Schaeffer; Morgan, Lewis &amp; Bockius LLP, One Federal Street, Boston, MA 02110-1726; Gunderson Dettmer Stough Villeneuve Franklin &amp; Hachigian, LLP, 550 Allerton Street, Redwood City, CA 94063, Attention: Andy Bradley; Attention: James P. Carrigan; Naschitz Brandes Amir &amp; Co., 5 Tuval St. Tel Aviv, Israel, Attention: Asher Assis, Adv., and Inbar Mishory Bartal, Adv and Greenberg Traurig, LLP, One International Place, Suite 2000, Boston, MA 02110, Attention: Bradley A. Jacobson.</w:t>
      </w:r>
    </w:p>
    <w:p>
      <w:pPr>
        <w:spacing w:after="0" w:line="115"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in its sole discretion waive compliance with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shall be deemed to be a waiver);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0"/>
          </w:cols>
          <w:pgMar w:left="320" w:top="1218" w:right="319" w:bottom="1440" w:gutter="0" w:footer="0" w:header="0"/>
        </w:sectPr>
      </w:pPr>
    </w:p>
    <w:bookmarkStart w:id="392" w:name="page393"/>
    <w:bookmarkEnd w:id="392"/>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absent the consent or approval of an adversely affected non-waiving Major Investor who desires to purchase securities in such transaction, any waiver with the effect of reducing the number of New Securities such Major Investor may purchase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 any Company financing must proportionately reduce the number of New Securities all other Major Investors may purchase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otherwise in such financing).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shares of Common Stock (including shares of Class A Common Stock issued or issuable upon conversion of Preferred Stock) held by the Key Holders.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Subsection 6.6</w:t>
      </w:r>
      <w:r>
        <w:rPr>
          <w:rFonts w:ascii="Times New Roman" w:cs="Times New Roman" w:eastAsia="Times New Roman" w:hAnsi="Times New Roman"/>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5.7(b)</w:t>
      </w:r>
      <w:r>
        <w:rPr>
          <w:rFonts w:ascii="Times New Roman" w:cs="Times New Roman" w:eastAsia="Times New Roman" w:hAnsi="Times New Roman"/>
          <w:sz w:val="18"/>
          <w:szCs w:val="18"/>
          <w:color w:val="auto"/>
        </w:rPr>
        <w:t xml:space="preserve"> of this Agreement shall not be amended or waived without the written consent of Artal.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 xml:space="preserve"> of this Agreement shall not be amended or waived without the written consent of Aju IB.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of this Agreement shall not be amended or waived without the written consent of Maverick.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Sections 3.3(c)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5.7(d)</w:t>
      </w:r>
      <w:r>
        <w:rPr>
          <w:rFonts w:ascii="Times New Roman" w:cs="Times New Roman" w:eastAsia="Times New Roman" w:hAnsi="Times New Roman"/>
          <w:sz w:val="18"/>
          <w:szCs w:val="18"/>
          <w:color w:val="auto"/>
        </w:rPr>
        <w:t xml:space="preserve"> of this Agreement shall not be amended or waived without the written consent of aMoon.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in this Agreement,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 xml:space="preserve"> of this Agreement shall not be amended or waived without the written consent of the Fidelity Investors.</w:t>
      </w:r>
    </w:p>
    <w:p>
      <w:pPr>
        <w:spacing w:after="0" w:line="121" w:lineRule="exact"/>
        <w:rPr>
          <w:sz w:val="20"/>
          <w:szCs w:val="20"/>
          <w:color w:val="auto"/>
        </w:rPr>
      </w:pPr>
    </w:p>
    <w:p>
      <w:pPr>
        <w:jc w:val="both"/>
        <w:ind w:firstLine="109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95" w:lineRule="exact"/>
        <w:rPr>
          <w:sz w:val="20"/>
          <w:szCs w:val="20"/>
          <w:color w:val="auto"/>
        </w:rPr>
      </w:pPr>
    </w:p>
    <w:p>
      <w:pPr>
        <w:jc w:val="both"/>
        <w:ind w:firstLine="1090"/>
        <w:spacing w:after="0" w:line="283"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0"/>
          </w:cols>
          <w:pgMar w:left="320" w:top="1218" w:right="31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color w:val="auto"/>
        </w:rPr>
        <w:t>of any rights under this Agreement and such Affiliated persons may apportion such rights as among themselves in any manner they deem appropriate.</w:t>
      </w:r>
    </w:p>
    <w:p>
      <w:pPr>
        <w:spacing w:after="0" w:line="145"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03"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99" w:lineRule="exact"/>
        <w:rPr>
          <w:sz w:val="20"/>
          <w:szCs w:val="20"/>
          <w:color w:val="auto"/>
        </w:rPr>
      </w:pPr>
    </w:p>
    <w:p>
      <w:pPr>
        <w:jc w:val="both"/>
        <w:ind w:firstLine="1090"/>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the State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1218" w:right="31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color w:val="auto"/>
        </w:rPr>
        <w:t>VOLUNTARILY WAIVES ITS JURY TRIAL RIGHTS FOLLOWING CONSULTATION WITH LEGAL COUNSEL.</w:t>
      </w:r>
    </w:p>
    <w:p>
      <w:pPr>
        <w:spacing w:after="0" w:line="145" w:lineRule="exact"/>
        <w:rPr>
          <w:sz w:val="20"/>
          <w:szCs w:val="20"/>
          <w:color w:val="auto"/>
        </w:rPr>
      </w:pPr>
    </w:p>
    <w:p>
      <w:pPr>
        <w:jc w:val="both"/>
        <w:ind w:firstLine="1090"/>
        <w:spacing w:after="0" w:line="283" w:lineRule="auto"/>
        <w:rPr>
          <w:sz w:val="20"/>
          <w:szCs w:val="20"/>
          <w:color w:val="auto"/>
        </w:rPr>
      </w:pPr>
      <w:r>
        <w:rPr>
          <w:rFonts w:ascii="Times New Roman" w:cs="Times New Roman" w:eastAsia="Times New Roman" w:hAnsi="Times New Roman"/>
          <w:sz w:val="18"/>
          <w:szCs w:val="18"/>
          <w:color w:val="auto"/>
        </w:rPr>
        <w:t>The prevailing party shall be entitled to reasonable attorney’s fees, costs and necessary disbursements in addition to any other relief to which such party may be entitled.</w:t>
      </w:r>
    </w:p>
    <w:p>
      <w:pPr>
        <w:spacing w:after="0" w:line="80"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1218" w:right="31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COMPANY:</w:t>
      </w:r>
    </w:p>
    <w:p>
      <w:pPr>
        <w:spacing w:after="0" w:line="191" w:lineRule="exact"/>
        <w:rPr>
          <w:sz w:val="20"/>
          <w:szCs w:val="20"/>
          <w:color w:val="auto"/>
        </w:rPr>
      </w:pPr>
    </w:p>
    <w:tbl>
      <w:tblPr>
        <w:tblLayout w:type="fixed"/>
        <w:tblInd w:w="4560" w:type="dxa"/>
        <w:tblCellMar>
          <w:top w:w="0" w:type="dxa"/>
          <w:left w:w="0" w:type="dxa"/>
          <w:bottom w:w="0" w:type="dxa"/>
          <w:right w:w="0" w:type="dxa"/>
        </w:tblCellMar>
      </w:tblP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w w:val="99"/>
              </w:rPr>
              <w:t>SEER, INC.</w:t>
            </w:r>
          </w:p>
        </w:tc>
        <w:tc>
          <w:tcPr>
            <w:tcW w:w="4720" w:type="dxa"/>
            <w:vAlign w:val="bottom"/>
          </w:tcPr>
          <w:p>
            <w:pPr>
              <w:spacing w:after="0"/>
              <w:rPr>
                <w:sz w:val="20"/>
                <w:szCs w:val="20"/>
                <w:color w:val="auto"/>
              </w:rPr>
            </w:pP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4"/>
                <w:szCs w:val="24"/>
                <w:color w:val="auto"/>
              </w:rPr>
            </w:pPr>
          </w:p>
        </w:tc>
      </w:tr>
      <w:tr>
        <w:trPr>
          <w:trHeight w:val="2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0180"/>
          </w:cols>
          <w:pgMar w:left="1400" w:top="1218" w:right="31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INVESTORS:</w:t>
      </w:r>
    </w:p>
    <w:p>
      <w:pPr>
        <w:spacing w:after="0" w:line="19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27305</wp:posOffset>
            </wp:positionV>
            <wp:extent cx="299275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92755" cy="6985"/>
                    </a:xfrm>
                    <a:prstGeom prst="rect">
                      <a:avLst/>
                    </a:prstGeom>
                    <a:noFill/>
                  </pic:spPr>
                </pic:pic>
              </a:graphicData>
            </a:graphic>
          </wp:anchor>
        </w:drawing>
      </w:r>
    </w:p>
    <w:p>
      <w:pPr>
        <w:spacing w:after="0" w:line="17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27305</wp:posOffset>
            </wp:positionV>
            <wp:extent cx="299275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92755" cy="6985"/>
                    </a:xfrm>
                    <a:prstGeom prst="rect">
                      <a:avLst/>
                    </a:prstGeom>
                    <a:noFill/>
                  </pic:spPr>
                </pic:pic>
              </a:graphicData>
            </a:graphic>
          </wp:anchor>
        </w:drawing>
      </w:r>
    </w:p>
    <w:p>
      <w:pPr>
        <w:spacing w:after="0" w:line="1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27305</wp:posOffset>
            </wp:positionV>
            <wp:extent cx="299275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927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EER</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9059"/>
          </w:cols>
          <w:pgMar w:left="1400" w:top="1218" w:right="1440" w:bottom="1440" w:gutter="0" w:footer="0" w:header="0"/>
        </w:sectPr>
      </w:pPr>
    </w:p>
    <w:bookmarkStart w:id="397" w:name="page398"/>
    <w:bookmarkEnd w:id="397"/>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SVF II AIV-1 (DE)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 Investment Advisers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 Grosvenor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W1K 3JP,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legal@softbank.com</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SB Investment Advisers (US) Inc.</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Legal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Circle Star Way, 3F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Fund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BNY Mellon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One BNY Mellon Center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Grant Street AIM 151-2700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Pittsburgh, Pa 15258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GCEAmericas@bnymellon.com</w:t>
      </w:r>
    </w:p>
    <w:p>
      <w:pPr>
        <w:spacing w:after="0" w:line="125" w:lineRule="exact"/>
        <w:rPr>
          <w:sz w:val="20"/>
          <w:szCs w:val="20"/>
          <w:color w:val="auto"/>
        </w:rPr>
      </w:pPr>
    </w:p>
    <w:p>
      <w:pPr>
        <w:ind w:right="4899"/>
        <w:spacing w:after="0" w:line="261" w:lineRule="auto"/>
        <w:rPr>
          <w:sz w:val="20"/>
          <w:szCs w:val="20"/>
          <w:color w:val="auto"/>
        </w:rPr>
      </w:pPr>
      <w:r>
        <w:rPr>
          <w:rFonts w:ascii="Times New Roman" w:cs="Times New Roman" w:eastAsia="Times New Roman" w:hAnsi="Times New Roman"/>
          <w:sz w:val="18"/>
          <w:szCs w:val="18"/>
          <w:color w:val="auto"/>
        </w:rPr>
        <w:t>Fidelity Mt. Vernon Street Trust: Fidelity Series Growth Company Fund Mag &amp;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BBH.Fidelity.CA.Notifications@BBH.com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Growth Company Commingled Pool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BBH.Fidelity.CA.Notifications@BBH.com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K6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BNY Mellon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Grant Street AIM 151-2700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 15258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GCEAmericas@bnymellon.com</w:t>
      </w:r>
    </w:p>
    <w:p>
      <w:pPr>
        <w:sectPr>
          <w:pgSz w:w="11900" w:h="16838" w:orient="portrait"/>
          <w:cols w:equalWidth="0" w:num="1">
            <w:col w:w="10139"/>
          </w:cols>
          <w:pgMar w:left="320" w:top="1214" w:right="1440" w:bottom="1440" w:gutter="0" w:footer="0" w:header="0"/>
        </w:sectPr>
      </w:pPr>
    </w:p>
    <w:bookmarkStart w:id="398" w:name="page399"/>
    <w:bookmarkEnd w:id="398"/>
    <w:p>
      <w:pPr>
        <w:ind w:right="4619"/>
        <w:spacing w:after="0" w:line="261" w:lineRule="auto"/>
        <w:rPr>
          <w:sz w:val="20"/>
          <w:szCs w:val="20"/>
          <w:color w:val="auto"/>
        </w:rPr>
      </w:pPr>
      <w:r>
        <w:rPr>
          <w:rFonts w:ascii="Times New Roman" w:cs="Times New Roman" w:eastAsia="Times New Roman" w:hAnsi="Times New Roman"/>
          <w:sz w:val="18"/>
          <w:szCs w:val="18"/>
          <w:color w:val="auto"/>
        </w:rPr>
        <w:t>Fidelity Select Portfolios: Select Medical Technology and Devices Portfolio Mag &amp;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Brown Brothers Harriman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/Vault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BBH.Fidelity.CA.Notifications@BBH.com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Select Portfolios: Health Care Portfolio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Select Portfolios: Biotechnology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Advisor Series VII: Fidelity Advisor Health Care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Insurance Products Fund IV: Health Care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Central Investment Portfolios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U.S. Equity Central Fund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Aju Life Science 3.0 Venture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Teheran-ro,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Gangnam-gu, Seoul, Korea 06141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Aju Good Venture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Teheran-ro,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Gangnam-gu, Seoul, Korea 06141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aMoon 2 Fund, Limited Partnership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aMoon Co-Investment SPV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Yerushalaim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Beit Gamla,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Ra’anana, 4350110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Invus Public Equities,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Invus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cc to: Philippe Amouyal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Emerson Collective Investments,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Contact: Steve McDermid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Contact: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PO Box 61239, Dept 1173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Palo Alto, CA 94306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steve@emersoncollective.com, with a copy to legal@emersoncollective.com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Contact: Tina Rosado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Contact: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Rosewood Family Advisors LLP</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PO Box 61239</w:t>
      </w:r>
    </w:p>
    <w:p>
      <w:pPr>
        <w:sectPr>
          <w:pgSz w:w="11900" w:h="16838" w:orient="portrait"/>
          <w:cols w:equalWidth="0" w:num="1">
            <w:col w:w="10139"/>
          </w:cols>
          <w:pgMar w:left="320" w:top="1218" w:right="1440" w:bottom="1440" w:gutter="0" w:footer="0" w:header="0"/>
        </w:sectPr>
      </w:pPr>
    </w:p>
    <w:bookmarkStart w:id="399" w:name="page400"/>
    <w:bookmarkEnd w:id="399"/>
    <w:p>
      <w:pPr>
        <w:ind w:left="540"/>
        <w:spacing w:after="0"/>
        <w:rPr>
          <w:sz w:val="20"/>
          <w:szCs w:val="20"/>
          <w:color w:val="auto"/>
        </w:rPr>
      </w:pPr>
      <w:r>
        <w:rPr>
          <w:rFonts w:ascii="Times New Roman" w:cs="Times New Roman" w:eastAsia="Times New Roman" w:hAnsi="Times New Roman"/>
          <w:sz w:val="18"/>
          <w:szCs w:val="18"/>
          <w:color w:val="auto"/>
        </w:rPr>
        <w:t>Dept 1173</w: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Palo Alto, CA 94306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 650-210-5118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tina@rfallp.com with a copy to LAKFOS@rfallp.com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Advisors Fund,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Maverick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1900 N. Pearl Street, 20th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Investment Fund,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Maverick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1900 N. Pearl Street, 20th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Fund,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Mutual Funds - TD Health Sciences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VALIC Company I - Health Sciences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Portfolio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New Horizons Fund,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New Horizons Trust</w:t>
      </w:r>
    </w:p>
    <w:p>
      <w:pPr>
        <w:spacing w:after="0" w:line="237" w:lineRule="auto"/>
        <w:rPr>
          <w:sz w:val="20"/>
          <w:szCs w:val="20"/>
          <w:color w:val="auto"/>
        </w:rPr>
      </w:pPr>
      <w:r>
        <w:rPr>
          <w:rFonts w:ascii="Times New Roman" w:cs="Times New Roman" w:eastAsia="Times New Roman" w:hAnsi="Times New Roman"/>
          <w:sz w:val="18"/>
          <w:szCs w:val="18"/>
          <w:color w:val="auto"/>
        </w:rPr>
        <w:t>T. Rowe Price U.S. Equities Trust</w:t>
      </w:r>
    </w:p>
    <w:p>
      <w:pPr>
        <w:spacing w:after="0" w:line="237" w:lineRule="auto"/>
        <w:rPr>
          <w:sz w:val="20"/>
          <w:szCs w:val="20"/>
          <w:color w:val="auto"/>
        </w:rPr>
      </w:pPr>
      <w:r>
        <w:rPr>
          <w:rFonts w:ascii="Times New Roman" w:cs="Times New Roman" w:eastAsia="Times New Roman" w:hAnsi="Times New Roman"/>
          <w:sz w:val="18"/>
          <w:szCs w:val="18"/>
          <w:color w:val="auto"/>
        </w:rPr>
        <w:t>MassMutual Select Funds - MassMutual Select T. Rowe Price Small and Mid Cap Blend Fund</w:t>
      </w:r>
    </w:p>
    <w:p>
      <w:pPr>
        <w:spacing w:after="0" w:line="237" w:lineRule="auto"/>
        <w:rPr>
          <w:sz w:val="20"/>
          <w:szCs w:val="20"/>
          <w:color w:val="auto"/>
        </w:rPr>
      </w:pPr>
      <w:r>
        <w:rPr>
          <w:rFonts w:ascii="Times New Roman" w:cs="Times New Roman" w:eastAsia="Times New Roman" w:hAnsi="Times New Roman"/>
          <w:sz w:val="18"/>
          <w:szCs w:val="18"/>
          <w:color w:val="auto"/>
        </w:rPr>
        <w:t>New York City Deferred Compensation Plan</w:t>
      </w:r>
    </w:p>
    <w:p>
      <w:pPr>
        <w:spacing w:after="0" w:line="237" w:lineRule="auto"/>
        <w:rPr>
          <w:sz w:val="20"/>
          <w:szCs w:val="20"/>
          <w:color w:val="auto"/>
        </w:rPr>
      </w:pPr>
      <w:r>
        <w:rPr>
          <w:rFonts w:ascii="Times New Roman" w:cs="Times New Roman" w:eastAsia="Times New Roman" w:hAnsi="Times New Roman"/>
          <w:sz w:val="18"/>
          <w:szCs w:val="18"/>
          <w:color w:val="auto"/>
        </w:rPr>
        <w:t>T. Rowe Price Small-Cap Stock Fund, Inc.</w:t>
      </w:r>
    </w:p>
    <w:p>
      <w:pPr>
        <w:spacing w:after="0" w:line="237" w:lineRule="auto"/>
        <w:rPr>
          <w:sz w:val="20"/>
          <w:szCs w:val="20"/>
          <w:color w:val="auto"/>
        </w:rPr>
      </w:pPr>
      <w:r>
        <w:rPr>
          <w:rFonts w:ascii="Times New Roman" w:cs="Times New Roman" w:eastAsia="Times New Roman" w:hAnsi="Times New Roman"/>
          <w:sz w:val="18"/>
          <w:szCs w:val="18"/>
          <w:color w:val="auto"/>
        </w:rPr>
        <w:t>T. Rowe Price Institutional Small-Cap Stock Fund</w:t>
      </w:r>
    </w:p>
    <w:p>
      <w:pPr>
        <w:spacing w:after="0" w:line="237" w:lineRule="auto"/>
        <w:rPr>
          <w:sz w:val="20"/>
          <w:szCs w:val="20"/>
          <w:color w:val="auto"/>
        </w:rPr>
      </w:pPr>
      <w:r>
        <w:rPr>
          <w:rFonts w:ascii="Times New Roman" w:cs="Times New Roman" w:eastAsia="Times New Roman" w:hAnsi="Times New Roman"/>
          <w:sz w:val="18"/>
          <w:szCs w:val="18"/>
          <w:color w:val="auto"/>
        </w:rPr>
        <w:t>T. Rowe Price Spectrum Conservative Allocation Fund</w:t>
      </w:r>
    </w:p>
    <w:p>
      <w:pPr>
        <w:spacing w:after="0" w:line="237" w:lineRule="auto"/>
        <w:rPr>
          <w:sz w:val="20"/>
          <w:szCs w:val="20"/>
          <w:color w:val="auto"/>
        </w:rPr>
      </w:pPr>
      <w:r>
        <w:rPr>
          <w:rFonts w:ascii="Times New Roman" w:cs="Times New Roman" w:eastAsia="Times New Roman" w:hAnsi="Times New Roman"/>
          <w:sz w:val="18"/>
          <w:szCs w:val="18"/>
          <w:color w:val="auto"/>
        </w:rPr>
        <w:t>T. Rowe Price Spectrum Moderate Allocation Fund</w:t>
      </w:r>
    </w:p>
    <w:p>
      <w:pPr>
        <w:spacing w:after="0" w:line="237" w:lineRule="auto"/>
        <w:rPr>
          <w:sz w:val="20"/>
          <w:szCs w:val="20"/>
          <w:color w:val="auto"/>
        </w:rPr>
      </w:pPr>
      <w:r>
        <w:rPr>
          <w:rFonts w:ascii="Times New Roman" w:cs="Times New Roman" w:eastAsia="Times New Roman" w:hAnsi="Times New Roman"/>
          <w:sz w:val="18"/>
          <w:szCs w:val="18"/>
          <w:color w:val="auto"/>
        </w:rPr>
        <w:t>T. Rowe Price Spectrum Moderate Growth Allocation Fund</w:t>
      </w:r>
    </w:p>
    <w:p>
      <w:pPr>
        <w:spacing w:after="0" w:line="237" w:lineRule="auto"/>
        <w:rPr>
          <w:sz w:val="20"/>
          <w:szCs w:val="20"/>
          <w:color w:val="auto"/>
        </w:rPr>
      </w:pPr>
      <w:r>
        <w:rPr>
          <w:rFonts w:ascii="Times New Roman" w:cs="Times New Roman" w:eastAsia="Times New Roman" w:hAnsi="Times New Roman"/>
          <w:sz w:val="18"/>
          <w:szCs w:val="18"/>
          <w:color w:val="auto"/>
        </w:rPr>
        <w:t>T. Rowe Price Moderate Allocation Portfolio</w:t>
      </w:r>
    </w:p>
    <w:p>
      <w:pPr>
        <w:spacing w:after="0" w:line="237" w:lineRule="auto"/>
        <w:rPr>
          <w:sz w:val="20"/>
          <w:szCs w:val="20"/>
          <w:color w:val="auto"/>
        </w:rPr>
      </w:pPr>
      <w:r>
        <w:rPr>
          <w:rFonts w:ascii="Times New Roman" w:cs="Times New Roman" w:eastAsia="Times New Roman" w:hAnsi="Times New Roman"/>
          <w:sz w:val="18"/>
          <w:szCs w:val="18"/>
          <w:color w:val="auto"/>
        </w:rPr>
        <w:t>U.S. Small-Cap Stock Trust</w:t>
      </w:r>
    </w:p>
    <w:p>
      <w:pPr>
        <w:spacing w:after="0" w:line="237" w:lineRule="auto"/>
        <w:rPr>
          <w:sz w:val="20"/>
          <w:szCs w:val="20"/>
          <w:color w:val="auto"/>
        </w:rPr>
      </w:pPr>
      <w:r>
        <w:rPr>
          <w:rFonts w:ascii="Times New Roman" w:cs="Times New Roman" w:eastAsia="Times New Roman" w:hAnsi="Times New Roman"/>
          <w:sz w:val="18"/>
          <w:szCs w:val="18"/>
          <w:color w:val="auto"/>
        </w:rPr>
        <w:t>VALIC Company I - Small Cap Fund</w:t>
      </w:r>
    </w:p>
    <w:p>
      <w:pPr>
        <w:spacing w:after="0" w:line="237" w:lineRule="auto"/>
        <w:rPr>
          <w:sz w:val="20"/>
          <w:szCs w:val="20"/>
          <w:color w:val="auto"/>
        </w:rPr>
      </w:pPr>
      <w:r>
        <w:rPr>
          <w:rFonts w:ascii="Times New Roman" w:cs="Times New Roman" w:eastAsia="Times New Roman" w:hAnsi="Times New Roman"/>
          <w:sz w:val="18"/>
          <w:szCs w:val="18"/>
          <w:color w:val="auto"/>
        </w:rPr>
        <w:t>TD Mutual Funds - TD U.S. Small-Cap Equity Fund</w:t>
      </w:r>
    </w:p>
    <w:p>
      <w:pPr>
        <w:spacing w:after="0" w:line="237" w:lineRule="auto"/>
        <w:rPr>
          <w:sz w:val="20"/>
          <w:szCs w:val="20"/>
          <w:color w:val="auto"/>
        </w:rPr>
      </w:pPr>
      <w:r>
        <w:rPr>
          <w:rFonts w:ascii="Times New Roman" w:cs="Times New Roman" w:eastAsia="Times New Roman" w:hAnsi="Times New Roman"/>
          <w:sz w:val="18"/>
          <w:szCs w:val="18"/>
          <w:color w:val="auto"/>
        </w:rPr>
        <w:t>T. Rowe Price U.S. Small-Cap Core Equity Trust</w:t>
      </w:r>
    </w:p>
    <w:p>
      <w:pPr>
        <w:spacing w:after="0" w:line="237" w:lineRule="auto"/>
        <w:rPr>
          <w:sz w:val="20"/>
          <w:szCs w:val="20"/>
          <w:color w:val="auto"/>
        </w:rPr>
      </w:pPr>
      <w:r>
        <w:rPr>
          <w:rFonts w:ascii="Times New Roman" w:cs="Times New Roman" w:eastAsia="Times New Roman" w:hAnsi="Times New Roman"/>
          <w:sz w:val="18"/>
          <w:szCs w:val="18"/>
          <w:color w:val="auto"/>
        </w:rPr>
        <w:t>Minnesota Life Insurance Company</w:t>
      </w:r>
    </w:p>
    <w:p>
      <w:pPr>
        <w:spacing w:after="0" w:line="237" w:lineRule="auto"/>
        <w:rPr>
          <w:sz w:val="20"/>
          <w:szCs w:val="20"/>
          <w:color w:val="auto"/>
        </w:rPr>
      </w:pPr>
      <w:r>
        <w:rPr>
          <w:rFonts w:ascii="Times New Roman" w:cs="Times New Roman" w:eastAsia="Times New Roman" w:hAnsi="Times New Roman"/>
          <w:sz w:val="18"/>
          <w:szCs w:val="18"/>
          <w:color w:val="auto"/>
        </w:rPr>
        <w:t>Costco 401(k) Retirement Plan</w:t>
      </w:r>
    </w:p>
    <w:p>
      <w:pPr>
        <w:ind w:right="3259"/>
        <w:spacing w:after="0" w:line="237" w:lineRule="auto"/>
        <w:rPr>
          <w:sz w:val="20"/>
          <w:szCs w:val="20"/>
          <w:color w:val="auto"/>
        </w:rPr>
      </w:pPr>
      <w:r>
        <w:rPr>
          <w:rFonts w:ascii="Times New Roman" w:cs="Times New Roman" w:eastAsia="Times New Roman" w:hAnsi="Times New Roman"/>
          <w:sz w:val="18"/>
          <w:szCs w:val="18"/>
          <w:color w:val="auto"/>
        </w:rPr>
        <w:t>MassMutual Select Funds - MassMutual Select T. Rowe Price Small and Mid Cap Blend Fund T. Rowe Price Small-Cap Value Fund, Inc.</w:t>
      </w:r>
    </w:p>
    <w:p>
      <w:pPr>
        <w:spacing w:after="0" w:line="237" w:lineRule="auto"/>
        <w:rPr>
          <w:sz w:val="20"/>
          <w:szCs w:val="20"/>
          <w:color w:val="auto"/>
        </w:rPr>
      </w:pPr>
      <w:r>
        <w:rPr>
          <w:rFonts w:ascii="Times New Roman" w:cs="Times New Roman" w:eastAsia="Times New Roman" w:hAnsi="Times New Roman"/>
          <w:sz w:val="18"/>
          <w:szCs w:val="18"/>
          <w:color w:val="auto"/>
        </w:rPr>
        <w:t>T. Rowe Price U.S. Small-Cap Value Equity Trust</w:t>
      </w:r>
    </w:p>
    <w:p>
      <w:pPr>
        <w:spacing w:after="0" w:line="237" w:lineRule="auto"/>
        <w:rPr>
          <w:sz w:val="20"/>
          <w:szCs w:val="20"/>
          <w:color w:val="auto"/>
        </w:rPr>
      </w:pPr>
      <w:r>
        <w:rPr>
          <w:rFonts w:ascii="Times New Roman" w:cs="Times New Roman" w:eastAsia="Times New Roman" w:hAnsi="Times New Roman"/>
          <w:sz w:val="18"/>
          <w:szCs w:val="18"/>
          <w:color w:val="auto"/>
        </w:rPr>
        <w:t>T. Rowe Price U.S. Equities Trust</w:t>
      </w:r>
    </w:p>
    <w:p>
      <w:pPr>
        <w:spacing w:after="0"/>
        <w:rPr>
          <w:sz w:val="20"/>
          <w:szCs w:val="20"/>
          <w:color w:val="auto"/>
        </w:rPr>
      </w:pPr>
      <w:r>
        <w:rPr>
          <w:rFonts w:ascii="Times New Roman" w:cs="Times New Roman" w:eastAsia="Times New Roman" w:hAnsi="Times New Roman"/>
          <w:sz w:val="18"/>
          <w:szCs w:val="18"/>
          <w:color w:val="auto"/>
        </w:rPr>
        <w:t>MassMutual Select Funds - MassMutual Select T. Rowe Price Small and Mid Cap Blend Fund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 and Senior Legal Counsel</w:t>
      </w:r>
    </w:p>
    <w:p>
      <w:pPr>
        <w:sectPr>
          <w:pgSz w:w="11900" w:h="16838" w:orient="portrait"/>
          <w:cols w:equalWidth="0" w:num="1">
            <w:col w:w="10139"/>
          </w:cols>
          <w:pgMar w:left="320" w:top="1218" w:right="1440"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color w:val="auto"/>
        </w:rPr>
        <w:t>Phone: 410-345-2090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andrew.baek@troweprice.com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Dynamics Group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Laura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Waban, MA 02468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S. Langer, Jr.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Montvale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Newton, MA 02459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Ma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Palm Haven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Soulbrain Co.,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Pangyo-Ro 255 Beon-Gil, Bundang-Gu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Seongnam-Si, Gyenggi-Do, Republic of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Dr. Nam Huh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Strong Bridge,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 Star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880 Winter Street,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Mostafa Ronaghi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Stern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Atherton, CA 94027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HBM Genomics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Governors Square, Suite #4-212-2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Lime Tree Bay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Cayman Islands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HBM Healthcare Investments (Cayman)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Governors Square, Suite #4-212-2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Lime Tree Bay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Cayman Islands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Omead Ostadan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11238 Wheatland Pl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Epstein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17121 Collins Ave, Apt 2105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 Isles Beach, Florida 33160</w:t>
      </w:r>
    </w:p>
    <w:p>
      <w:pPr>
        <w:sectPr>
          <w:pgSz w:w="11900" w:h="16838" w:orient="portrait"/>
          <w:cols w:equalWidth="0" w:num="1">
            <w:col w:w="10139"/>
          </w:cols>
          <w:pgMar w:left="320" w:top="1218" w:right="1440"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color w:val="auto"/>
        </w:rPr>
        <w:t>WS Investment Company, LLC (2017A)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James Terranova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Wilson Sonsini Goodrich &amp; Rosati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 Investment Company, LLC (2018A)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James Terranova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Wilson Sonsini Goodrich &amp; Rosati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Alfred Sandrock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Rochester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Newton, MA 02458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Randolph Scott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Newmark Cornish &amp; Carey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Lytton Avenue, Suite 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 Ma Family Living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Palm Haven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OCF 2014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Laura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Waban, MA 02468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SAF-BND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Laura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Waban, MA 02468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Wing Two,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Lytton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AG Investments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1928 Alcova Ridge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NV 89135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 Hellewell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6662 Mayhews Landing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 94560</w:t>
      </w:r>
    </w:p>
    <w:p>
      <w:pPr>
        <w:sectPr>
          <w:pgSz w:w="11900" w:h="16838" w:orient="portrait"/>
          <w:cols w:equalWidth="0" w:num="1">
            <w:col w:w="10139"/>
          </w:cols>
          <w:pgMar w:left="320" w:top="1218" w:right="1440" w:bottom="1440" w:gutter="0" w:footer="0" w:header="0"/>
        </w:sectPr>
      </w:pPr>
    </w:p>
    <w:bookmarkStart w:id="402" w:name="page403"/>
    <w:bookmarkEnd w:id="40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Key 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 Farokhzad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Laura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Waban, MA 02468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S. Langer, Jr.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Montvale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Newton, MA 02459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Ma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Palm Haven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Dynamics Group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Laura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Waban, MA 02468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 Ma Family Living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Palm Haven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OCF 2014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Laura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Waban, MA 02468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SAF-BND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Laura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Waban, MA 02468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SVF II AIV-1 (DE)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 Investment Advisers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 Grosvenor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W1K 3JP,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legal@softbank.com</w:t>
      </w:r>
    </w:p>
    <w:p>
      <w:pPr>
        <w:sectPr>
          <w:pgSz w:w="11900" w:h="16838" w:orient="portrait"/>
          <w:cols w:equalWidth="0" w:num="1">
            <w:col w:w="10139"/>
          </w:cols>
          <w:pgMar w:left="320" w:top="1214" w:right="1440"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[_______, 2020] and is between Seer, Inc., a Delaware corporation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indemnitee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95" w:lineRule="exact"/>
        <w:rPr>
          <w:sz w:val="20"/>
          <w:szCs w:val="20"/>
          <w:color w:val="auto"/>
        </w:rPr>
      </w:pPr>
    </w:p>
    <w:p>
      <w:pPr>
        <w:ind w:left="900" w:hanging="364"/>
        <w:spacing w:after="0"/>
        <w:tabs>
          <w:tab w:leader="none" w:pos="9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Indemnitee’s service to the Company substantially benefits the Company.</w:t>
      </w:r>
    </w:p>
    <w:p>
      <w:pPr>
        <w:spacing w:after="0" w:line="190" w:lineRule="exact"/>
        <w:rPr>
          <w:rFonts w:ascii="Times New Roman" w:cs="Times New Roman" w:eastAsia="Times New Roman" w:hAnsi="Times New Roman"/>
          <w:sz w:val="18"/>
          <w:szCs w:val="18"/>
          <w:color w:val="auto"/>
        </w:rPr>
      </w:pPr>
    </w:p>
    <w:p>
      <w:pPr>
        <w:jc w:val="both"/>
        <w:ind w:firstLine="536"/>
        <w:spacing w:after="0" w:line="266" w:lineRule="auto"/>
        <w:tabs>
          <w:tab w:leader="none" w:pos="92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 to and activities on behalf of the Company.</w:t>
      </w:r>
    </w:p>
    <w:p>
      <w:pPr>
        <w:spacing w:after="0" w:line="140" w:lineRule="exact"/>
        <w:rPr>
          <w:rFonts w:ascii="Times New Roman" w:cs="Times New Roman" w:eastAsia="Times New Roman" w:hAnsi="Times New Roman"/>
          <w:sz w:val="18"/>
          <w:szCs w:val="18"/>
          <w:color w:val="auto"/>
        </w:rPr>
      </w:pPr>
    </w:p>
    <w:p>
      <w:pPr>
        <w:ind w:firstLine="536"/>
        <w:spacing w:after="0" w:line="283" w:lineRule="auto"/>
        <w:tabs>
          <w:tab w:leader="none" w:pos="94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25" w:lineRule="exact"/>
        <w:rPr>
          <w:rFonts w:ascii="Times New Roman" w:cs="Times New Roman" w:eastAsia="Times New Roman" w:hAnsi="Times New Roman"/>
          <w:sz w:val="18"/>
          <w:szCs w:val="18"/>
          <w:color w:val="auto"/>
        </w:rPr>
      </w:pPr>
    </w:p>
    <w:p>
      <w:pPr>
        <w:ind w:right="20" w:firstLine="536"/>
        <w:spacing w:after="0" w:line="283" w:lineRule="auto"/>
        <w:tabs>
          <w:tab w:leader="none" w:pos="96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25" w:lineRule="exact"/>
        <w:rPr>
          <w:rFonts w:ascii="Times New Roman" w:cs="Times New Roman" w:eastAsia="Times New Roman" w:hAnsi="Times New Roman"/>
          <w:sz w:val="18"/>
          <w:szCs w:val="18"/>
          <w:color w:val="auto"/>
        </w:rPr>
      </w:pPr>
    </w:p>
    <w:p>
      <w:pPr>
        <w:ind w:left="880" w:hanging="344"/>
        <w:spacing w:after="0"/>
        <w:tabs>
          <w:tab w:leader="none" w:pos="8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supersede any prior indemnification agreement between the Company and the Indemnitee, which is hereby terminated.</w:t>
      </w:r>
    </w:p>
    <w:p>
      <w:pPr>
        <w:spacing w:after="0" w:line="190" w:lineRule="exact"/>
        <w:rPr>
          <w:rFonts w:ascii="Times New Roman" w:cs="Times New Roman" w:eastAsia="Times New Roman" w:hAnsi="Times New Roman"/>
          <w:sz w:val="18"/>
          <w:szCs w:val="18"/>
          <w:color w:val="auto"/>
        </w:rPr>
      </w:pPr>
    </w:p>
    <w:p>
      <w:pPr>
        <w:jc w:val="both"/>
        <w:ind w:firstLine="536"/>
        <w:spacing w:after="0" w:line="266" w:lineRule="auto"/>
        <w:tabs>
          <w:tab w:leader="none" w:pos="94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40" w:lineRule="exact"/>
        <w:rPr>
          <w:rFonts w:ascii="Times New Roman" w:cs="Times New Roman" w:eastAsia="Times New Roman" w:hAnsi="Times New Roman"/>
          <w:sz w:val="18"/>
          <w:szCs w:val="18"/>
          <w:color w:val="auto"/>
        </w:rPr>
      </w:pPr>
    </w:p>
    <w:p>
      <w:pPr>
        <w:ind w:firstLine="536"/>
        <w:spacing w:after="0" w:line="283" w:lineRule="auto"/>
        <w:tabs>
          <w:tab w:leader="none" w:pos="76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125" w:lineRule="exact"/>
        <w:rPr>
          <w:sz w:val="20"/>
          <w:szCs w:val="20"/>
          <w:color w:val="auto"/>
        </w:rPr>
      </w:pPr>
    </w:p>
    <w:p>
      <w:pPr>
        <w:ind w:firstLine="545"/>
        <w:spacing w:after="0" w:line="261" w:lineRule="auto"/>
        <w:rPr>
          <w:sz w:val="20"/>
          <w:szCs w:val="20"/>
          <w:color w:val="auto"/>
        </w:rPr>
      </w:pPr>
      <w:r>
        <w:rPr>
          <w:rFonts w:ascii="Times New Roman" w:cs="Times New Roman" w:eastAsia="Times New Roman" w:hAnsi="Times New Roman"/>
          <w:sz w:val="18"/>
          <w:szCs w:val="18"/>
          <w:color w:val="auto"/>
        </w:rPr>
        <w:t>In consideration of Indemnitee’s agreement to serve as a director or officer of the Company after the date hereof, the parties hereto agree as follows:</w:t>
      </w:r>
    </w:p>
    <w:p>
      <w:pPr>
        <w:spacing w:after="0" w:line="384" w:lineRule="exact"/>
        <w:rPr>
          <w:sz w:val="20"/>
          <w:szCs w:val="20"/>
          <w:color w:val="auto"/>
        </w:rPr>
      </w:pPr>
    </w:p>
    <w:p>
      <w:pPr>
        <w:ind w:left="1080" w:hanging="54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ectPr>
          <w:pgSz w:w="11900" w:h="16838" w:orient="portrait"/>
          <w:cols w:equalWidth="0" w:num="1">
            <w:col w:w="11260"/>
          </w:cols>
          <w:pgMar w:left="320" w:top="121" w:right="319" w:bottom="1440" w:gutter="0" w:footer="0" w:header="0"/>
        </w:sectPr>
      </w:pPr>
    </w:p>
    <w:bookmarkStart w:id="404" w:name="page405"/>
    <w:bookmarkEnd w:id="404"/>
    <w:p>
      <w:pPr>
        <w:jc w:val="both"/>
        <w:ind w:firstLine="1727"/>
        <w:spacing w:after="0" w:line="268" w:lineRule="auto"/>
        <w:tabs>
          <w:tab w:leader="none" w:pos="21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of Stock by Third Party</w:t>
      </w:r>
      <w:r>
        <w:rPr>
          <w:rFonts w:ascii="Times New Roman" w:cs="Times New Roman" w:eastAsia="Times New Roman" w:hAnsi="Times New Roman"/>
          <w:sz w:val="18"/>
          <w:szCs w:val="18"/>
          <w:color w:val="auto"/>
        </w:rPr>
        <w:t>. Any Person (as defined below) is or becomes the Beneficial Owner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of securities of the Company representing fifteen percent (15%) or more of the combined voting power of the Company’s then outstanding securities;</w:t>
      </w:r>
    </w:p>
    <w:p>
      <w:pPr>
        <w:spacing w:after="0" w:line="135" w:lineRule="exact"/>
        <w:rPr>
          <w:rFonts w:ascii="Times New Roman" w:cs="Times New Roman" w:eastAsia="Times New Roman" w:hAnsi="Times New Roman"/>
          <w:sz w:val="18"/>
          <w:szCs w:val="18"/>
          <w:color w:val="auto"/>
        </w:rPr>
      </w:pPr>
    </w:p>
    <w:p>
      <w:pPr>
        <w:jc w:val="both"/>
        <w:ind w:firstLine="1677"/>
        <w:spacing w:after="0" w:line="257" w:lineRule="auto"/>
        <w:tabs>
          <w:tab w:leader="none" w:pos="21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Board Composition</w:t>
      </w:r>
      <w:r>
        <w:rPr>
          <w:rFonts w:ascii="Times New Roman" w:cs="Times New Roman" w:eastAsia="Times New Roman" w:hAnsi="Times New Roman"/>
          <w:sz w:val="18"/>
          <w:szCs w:val="18"/>
          <w:color w:val="auto"/>
        </w:rPr>
        <w:t>. During any period of two consecutive years (not including any period prior to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 (iv)) whose election by the board of directors or nomination for election by the Company’s stockholders was approved by a vote of at least two 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46" w:lineRule="exact"/>
        <w:rPr>
          <w:rFonts w:ascii="Times New Roman" w:cs="Times New Roman" w:eastAsia="Times New Roman" w:hAnsi="Times New Roman"/>
          <w:sz w:val="18"/>
          <w:szCs w:val="18"/>
          <w:color w:val="auto"/>
        </w:rPr>
      </w:pPr>
    </w:p>
    <w:p>
      <w:pPr>
        <w:jc w:val="both"/>
        <w:ind w:firstLine="1627"/>
        <w:spacing w:after="0" w:line="257" w:lineRule="auto"/>
        <w:tabs>
          <w:tab w:leader="none" w:pos="21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effective date of a merger or consolidation of the Company with any other entity,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or its ultimate parent, as applicable) more than 50% of the combined voting power of the voting securities of the surviving entity or its ultimate parent, as applicable, outstanding immediately after such merger or consolidation and with the power to elect at least a majority of the board of directors or other governing body of such surviving entity or its ultimate parent, as applicable;</w:t>
      </w:r>
    </w:p>
    <w:p>
      <w:pPr>
        <w:spacing w:after="0" w:line="146" w:lineRule="exact"/>
        <w:rPr>
          <w:rFonts w:ascii="Times New Roman" w:cs="Times New Roman" w:eastAsia="Times New Roman" w:hAnsi="Times New Roman"/>
          <w:sz w:val="18"/>
          <w:szCs w:val="18"/>
          <w:color w:val="auto"/>
        </w:rPr>
      </w:pPr>
    </w:p>
    <w:p>
      <w:pPr>
        <w:ind w:firstLine="1637"/>
        <w:spacing w:after="0" w:line="286" w:lineRule="auto"/>
        <w:tabs>
          <w:tab w:leader="none" w:pos="21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sale or disposition by the Company of all or substantially all of the Company’s assets; and</w:t>
      </w:r>
    </w:p>
    <w:p>
      <w:pPr>
        <w:spacing w:after="0" w:line="119" w:lineRule="exact"/>
        <w:rPr>
          <w:rFonts w:ascii="Times New Roman" w:cs="Times New Roman" w:eastAsia="Times New Roman" w:hAnsi="Times New Roman"/>
          <w:sz w:val="18"/>
          <w:szCs w:val="18"/>
          <w:color w:val="auto"/>
        </w:rPr>
      </w:pPr>
    </w:p>
    <w:p>
      <w:pPr>
        <w:jc w:val="both"/>
        <w:ind w:firstLine="1687"/>
        <w:spacing w:after="0" w:line="268" w:lineRule="auto"/>
        <w:tabs>
          <w:tab w:leader="none" w:pos="218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Events</w:t>
      </w:r>
      <w:r>
        <w:rPr>
          <w:rFonts w:ascii="Times New Roman" w:cs="Times New Roman" w:eastAsia="Times New Roman" w:hAnsi="Times New Roman"/>
          <w:sz w:val="18"/>
          <w:szCs w:val="18"/>
          <w:color w:val="auto"/>
        </w:rPr>
        <w:t>. Any other event of a nature that would be required to be reported in response to Item 6(e) of Schedule 14A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14A (or in response to any similar item on any similar schedule or form) promulgated under the Securities Exchange Act of 1934, as amended, whether or not the Company is then subject to such reporting requirement.</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purposes of this Section 1(a), the following terms shall have the following meanings:</w:t>
      </w:r>
    </w:p>
    <w:p>
      <w:pPr>
        <w:spacing w:after="0" w:line="187" w:lineRule="exact"/>
        <w:rPr>
          <w:sz w:val="20"/>
          <w:szCs w:val="20"/>
          <w:color w:val="auto"/>
        </w:rPr>
      </w:pPr>
    </w:p>
    <w:p>
      <w:pPr>
        <w:jc w:val="both"/>
        <w:ind w:firstLine="2171"/>
        <w:spacing w:after="0" w:line="262" w:lineRule="auto"/>
        <w:tabs>
          <w:tab w:leader="none" w:pos="272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shall have the meaning as set forth in Sections 13(d) and 14(d) of the Securities Exchange Act of 1934, as amended;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41" w:lineRule="exact"/>
        <w:rPr>
          <w:rFonts w:ascii="Times New Roman" w:cs="Times New Roman" w:eastAsia="Times New Roman" w:hAnsi="Times New Roman"/>
          <w:sz w:val="18"/>
          <w:szCs w:val="18"/>
          <w:color w:val="auto"/>
        </w:rPr>
      </w:pPr>
    </w:p>
    <w:p>
      <w:pPr>
        <w:ind w:right="20" w:firstLine="2171"/>
        <w:spacing w:after="0" w:line="288" w:lineRule="auto"/>
        <w:tabs>
          <w:tab w:leader="none" w:pos="272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xml:space="preserve">” shall have the meaning given to such term in Rule 13d-3 under the Securities Exchange Act of 1934, as amended;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20" w:top="1398" w:right="319" w:bottom="1440" w:gutter="0" w:footer="0" w:header="0"/>
        </w:sectPr>
      </w:pPr>
    </w:p>
    <w:bookmarkStart w:id="405" w:name="page406"/>
    <w:bookmarkEnd w:id="405"/>
    <w:p>
      <w:pPr>
        <w:ind w:right="20"/>
        <w:spacing w:after="0" w:line="288" w:lineRule="auto"/>
        <w:rPr>
          <w:sz w:val="20"/>
          <w:szCs w:val="20"/>
          <w:color w:val="auto"/>
        </w:rPr>
      </w:pPr>
      <w:r>
        <w:rPr>
          <w:rFonts w:ascii="Times New Roman" w:cs="Times New Roman" w:eastAsia="Times New Roman" w:hAnsi="Times New Roman"/>
          <w:sz w:val="18"/>
          <w:szCs w:val="18"/>
          <w:color w:val="auto"/>
        </w:rPr>
        <w:t>that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17" w:lineRule="exact"/>
        <w:rPr>
          <w:sz w:val="20"/>
          <w:szCs w:val="20"/>
          <w:color w:val="auto"/>
        </w:rPr>
      </w:pPr>
    </w:p>
    <w:p>
      <w:pPr>
        <w:ind w:firstLine="1081"/>
        <w:spacing w:after="0" w:line="288" w:lineRule="auto"/>
        <w:tabs>
          <w:tab w:leader="none" w:pos="168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trustee, general partner, managing member, officer, employee, agent or fiduciary of the Company or any other Enterprise.</w:t>
      </w:r>
    </w:p>
    <w:p>
      <w:pPr>
        <w:spacing w:after="0" w:line="116"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90" w:lineRule="exact"/>
        <w:rPr>
          <w:rFonts w:ascii="Times New Roman" w:cs="Times New Roman" w:eastAsia="Times New Roman" w:hAnsi="Times New Roman"/>
          <w:sz w:val="18"/>
          <w:szCs w:val="18"/>
          <w:color w:val="auto"/>
        </w:rPr>
      </w:pPr>
    </w:p>
    <w:p>
      <w:pPr>
        <w:ind w:right="20" w:firstLine="1081"/>
        <w:spacing w:after="0" w:line="288" w:lineRule="auto"/>
        <w:tabs>
          <w:tab w:leader="none" w:pos="1632"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16" w:lineRule="exact"/>
        <w:rPr>
          <w:rFonts w:ascii="Times New Roman" w:cs="Times New Roman" w:eastAsia="Times New Roman" w:hAnsi="Times New Roman"/>
          <w:sz w:val="18"/>
          <w:szCs w:val="18"/>
          <w:color w:val="auto"/>
        </w:rPr>
      </w:pPr>
    </w:p>
    <w:p>
      <w:pPr>
        <w:jc w:val="both"/>
        <w:ind w:firstLine="1081"/>
        <w:spacing w:after="0" w:line="269" w:lineRule="auto"/>
        <w:tabs>
          <w:tab w:leader="none" w:pos="163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means the Company, including without limitation any direct or indirect subsidiary of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33" w:lineRule="exact"/>
        <w:rPr>
          <w:rFonts w:ascii="Times New Roman" w:cs="Times New Roman" w:eastAsia="Times New Roman" w:hAnsi="Times New Roman"/>
          <w:sz w:val="18"/>
          <w:szCs w:val="18"/>
          <w:color w:val="auto"/>
        </w:rPr>
      </w:pPr>
    </w:p>
    <w:p>
      <w:pPr>
        <w:jc w:val="both"/>
        <w:ind w:firstLine="1081"/>
        <w:spacing w:after="0" w:line="255" w:lineRule="auto"/>
        <w:tabs>
          <w:tab w:leader="none" w:pos="163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13(d),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48" w:lineRule="exact"/>
        <w:rPr>
          <w:rFonts w:ascii="Times New Roman" w:cs="Times New Roman" w:eastAsia="Times New Roman" w:hAnsi="Times New Roman"/>
          <w:sz w:val="18"/>
          <w:szCs w:val="18"/>
          <w:color w:val="auto"/>
        </w:rPr>
      </w:pPr>
    </w:p>
    <w:p>
      <w:pPr>
        <w:jc w:val="both"/>
        <w:ind w:firstLine="1081"/>
        <w:spacing w:after="0" w:line="257" w:lineRule="auto"/>
        <w:tabs>
          <w:tab w:leader="none" w:pos="1632"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20" w:top="1396" w:right="319" w:bottom="1440" w:gutter="0" w:footer="0" w:header="0"/>
        </w:sectPr>
      </w:pPr>
    </w:p>
    <w:bookmarkStart w:id="406" w:name="page407"/>
    <w:bookmarkEnd w:id="406"/>
    <w:p>
      <w:pPr>
        <w:jc w:val="both"/>
        <w:ind w:firstLine="1081"/>
        <w:spacing w:after="0" w:line="255" w:lineRule="auto"/>
        <w:tabs>
          <w:tab w:leader="none" w:pos="1632"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 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48" w:lineRule="exact"/>
        <w:rPr>
          <w:rFonts w:ascii="Times New Roman" w:cs="Times New Roman" w:eastAsia="Times New Roman" w:hAnsi="Times New Roman"/>
          <w:sz w:val="18"/>
          <w:szCs w:val="18"/>
          <w:color w:val="auto"/>
        </w:rPr>
      </w:pPr>
    </w:p>
    <w:p>
      <w:pPr>
        <w:jc w:val="both"/>
        <w:ind w:firstLine="1081"/>
        <w:spacing w:after="0" w:line="257" w:lineRule="auto"/>
        <w:tabs>
          <w:tab w:leader="none" w:pos="1625"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t>
      </w:r>
      <w:r>
        <w:rPr>
          <w:rFonts w:ascii="Times New Roman" w:cs="Times New Roman" w:eastAsia="Times New Roman" w:hAnsi="Times New Roman"/>
          <w:sz w:val="18"/>
          <w:szCs w:val="18"/>
          <w:b w:val="1"/>
          <w:bCs w:val="1"/>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any employee benefit plan; 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 of the Company</w:t>
      </w:r>
      <w:r>
        <w:rPr>
          <w:rFonts w:ascii="Times New Roman" w:cs="Times New Roman" w:eastAsia="Times New Roman" w:hAnsi="Times New Roman"/>
          <w:sz w:val="18"/>
          <w:szCs w:val="18"/>
          <w:color w:val="auto"/>
        </w:rPr>
        <w:t>” as referred to in this Agreement.</w:t>
      </w:r>
    </w:p>
    <w:p>
      <w:pPr>
        <w:spacing w:after="0" w:line="146" w:lineRule="exact"/>
        <w:rPr>
          <w:rFonts w:ascii="Times New Roman" w:cs="Times New Roman" w:eastAsia="Times New Roman" w:hAnsi="Times New Roman"/>
          <w:sz w:val="18"/>
          <w:szCs w:val="18"/>
          <w:color w:val="auto"/>
        </w:rPr>
      </w:pPr>
    </w:p>
    <w:p>
      <w:pPr>
        <w:jc w:val="both"/>
        <w:ind w:firstLine="536"/>
        <w:spacing w:after="0" w:line="256" w:lineRule="auto"/>
        <w:tabs>
          <w:tab w:leader="none" w:pos="109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The Company shall indemnify Indemnitee in accordance with the provisions of this Section 2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w:t>
      </w:r>
      <w:r>
        <w:rPr>
          <w:rFonts w:ascii="Times New Roman" w:cs="Times New Roman" w:eastAsia="Times New Roman" w:hAnsi="Times New Roman"/>
          <w:sz w:val="18"/>
          <w:szCs w:val="18"/>
          <w:i w:val="1"/>
          <w:iCs w:val="1"/>
          <w:color w:val="auto"/>
        </w:rPr>
        <w:t>opposed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best </w:t>
      </w:r>
      <w:r>
        <w:rPr>
          <w:rFonts w:ascii="Times New Roman" w:cs="Times New Roman" w:eastAsia="Times New Roman" w:hAnsi="Times New Roman"/>
          <w:sz w:val="18"/>
          <w:szCs w:val="18"/>
          <w:color w:val="auto"/>
        </w:rPr>
        <w:t>interests of the Company and, with respect to any criminal action or proceeding, had no reasonable cause to believe that his or her conduct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unlawful.</w:t>
      </w:r>
    </w:p>
    <w:p>
      <w:pPr>
        <w:spacing w:after="0" w:line="146" w:lineRule="exact"/>
        <w:rPr>
          <w:rFonts w:ascii="Times New Roman" w:cs="Times New Roman" w:eastAsia="Times New Roman" w:hAnsi="Times New Roman"/>
          <w:sz w:val="18"/>
          <w:szCs w:val="18"/>
          <w:color w:val="auto"/>
        </w:rPr>
      </w:pPr>
    </w:p>
    <w:p>
      <w:pPr>
        <w:jc w:val="both"/>
        <w:ind w:firstLine="536"/>
        <w:spacing w:after="0" w:line="257" w:lineRule="auto"/>
        <w:tabs>
          <w:tab w:leader="none" w:pos="109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The Company shall indemnify Indemnitee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0"/>
          </w:cols>
          <w:pgMar w:left="320" w:top="1396" w:right="319" w:bottom="1440" w:gutter="0" w:footer="0" w:header="0"/>
        </w:sectPr>
      </w:pPr>
    </w:p>
    <w:bookmarkStart w:id="407" w:name="page408"/>
    <w:bookmarkEnd w:id="407"/>
    <w:p>
      <w:pPr>
        <w:jc w:val="both"/>
        <w:spacing w:after="0" w:line="261" w:lineRule="auto"/>
        <w:rPr>
          <w:sz w:val="20"/>
          <w:szCs w:val="20"/>
          <w:color w:val="auto"/>
        </w:rPr>
      </w:pPr>
      <w:r>
        <w:rPr>
          <w:rFonts w:ascii="Times New Roman" w:cs="Times New Roman" w:eastAsia="Times New Roman" w:hAnsi="Times New Roman"/>
          <w:sz w:val="18"/>
          <w:szCs w:val="18"/>
          <w:color w:val="auto"/>
        </w:rPr>
        <w:t>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40" w:lineRule="exact"/>
        <w:rPr>
          <w:sz w:val="20"/>
          <w:szCs w:val="20"/>
          <w:color w:val="auto"/>
        </w:rPr>
      </w:pPr>
    </w:p>
    <w:p>
      <w:pPr>
        <w:jc w:val="both"/>
        <w:ind w:firstLine="536"/>
        <w:spacing w:after="0" w:line="255" w:lineRule="auto"/>
        <w:tabs>
          <w:tab w:leader="none" w:pos="109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To the extent that Indemnitee is a party to or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48" w:lineRule="exact"/>
        <w:rPr>
          <w:rFonts w:ascii="Times New Roman" w:cs="Times New Roman" w:eastAsia="Times New Roman" w:hAnsi="Times New Roman"/>
          <w:sz w:val="18"/>
          <w:szCs w:val="18"/>
          <w:color w:val="auto"/>
        </w:rPr>
      </w:pPr>
    </w:p>
    <w:p>
      <w:pPr>
        <w:jc w:val="both"/>
        <w:ind w:firstLine="536"/>
        <w:spacing w:after="0" w:line="269" w:lineRule="auto"/>
        <w:tabs>
          <w:tab w:leader="none" w:pos="109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Expenses, but not, however, for the total amount thereof, the Company shall nevertheless indemnify Indemnitee for the portion thereof to which Indemnitee is entitled.</w:t>
      </w:r>
    </w:p>
    <w:p>
      <w:pPr>
        <w:spacing w:after="0" w:line="133" w:lineRule="exact"/>
        <w:rPr>
          <w:rFonts w:ascii="Times New Roman" w:cs="Times New Roman" w:eastAsia="Times New Roman" w:hAnsi="Times New Roman"/>
          <w:sz w:val="18"/>
          <w:szCs w:val="18"/>
          <w:color w:val="auto"/>
        </w:rPr>
      </w:pPr>
    </w:p>
    <w:p>
      <w:pPr>
        <w:jc w:val="both"/>
        <w:ind w:firstLine="536"/>
        <w:spacing w:after="0" w:line="269" w:lineRule="auto"/>
        <w:tabs>
          <w:tab w:leader="none" w:pos="109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To the extent that Indemnitee is, by reason of his or her Corporate Status, a witness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133"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3"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4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7(a), the meaning of the phrase “</w:t>
      </w:r>
      <w:r>
        <w:rPr>
          <w:rFonts w:ascii="Times New Roman" w:cs="Times New Roman" w:eastAsia="Times New Roman" w:hAnsi="Times New Roman"/>
          <w:sz w:val="18"/>
          <w:szCs w:val="18"/>
          <w:b w:val="1"/>
          <w:bCs w:val="1"/>
          <w:i w:val="1"/>
          <w:iCs w:val="1"/>
          <w:color w:val="auto"/>
        </w:rPr>
        <w:t>to the fullest extent permitted by applicable law</w:t>
      </w:r>
      <w:r>
        <w:rPr>
          <w:rFonts w:ascii="Times New Roman" w:cs="Times New Roman" w:eastAsia="Times New Roman" w:hAnsi="Times New Roman"/>
          <w:sz w:val="18"/>
          <w:szCs w:val="18"/>
          <w:color w:val="auto"/>
        </w:rPr>
        <w:t>” shall include, but not be</w:t>
      </w:r>
    </w:p>
    <w:p>
      <w:pPr>
        <w:spacing w:after="0" w:line="3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20" w:top="1400" w:right="319" w:bottom="1440" w:gutter="0" w:footer="0" w:header="0"/>
        </w:sectPr>
      </w:pPr>
    </w:p>
    <w:bookmarkStart w:id="408" w:name="page409"/>
    <w:bookmarkEnd w:id="408"/>
    <w:p>
      <w:pPr>
        <w:ind w:right="20" w:firstLine="1727"/>
        <w:spacing w:after="0" w:line="283" w:lineRule="auto"/>
        <w:tabs>
          <w:tab w:leader="none" w:pos="2181"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125" w:lineRule="exact"/>
        <w:rPr>
          <w:rFonts w:ascii="Times New Roman" w:cs="Times New Roman" w:eastAsia="Times New Roman" w:hAnsi="Times New Roman"/>
          <w:sz w:val="18"/>
          <w:szCs w:val="18"/>
          <w:color w:val="auto"/>
        </w:rPr>
      </w:pPr>
    </w:p>
    <w:p>
      <w:pPr>
        <w:ind w:firstLine="1677"/>
        <w:spacing w:after="0" w:line="283" w:lineRule="auto"/>
        <w:tabs>
          <w:tab w:leader="none" w:pos="2181"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21" w:lineRule="exact"/>
        <w:rPr>
          <w:rFonts w:ascii="Times New Roman" w:cs="Times New Roman" w:eastAsia="Times New Roman" w:hAnsi="Times New Roman"/>
          <w:sz w:val="18"/>
          <w:szCs w:val="18"/>
          <w:color w:val="auto"/>
        </w:rPr>
      </w:pPr>
    </w:p>
    <w:p>
      <w:pPr>
        <w:ind w:firstLine="536"/>
        <w:spacing w:after="0" w:line="288" w:lineRule="auto"/>
        <w:tabs>
          <w:tab w:leader="none" w:pos="109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the Company shall not be obligated under this Agreement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in connection with any Proceeding (or any part of any Proceeding):</w:t>
      </w:r>
    </w:p>
    <w:p>
      <w:pPr>
        <w:spacing w:after="0" w:line="120" w:lineRule="exact"/>
        <w:rPr>
          <w:rFonts w:ascii="Times New Roman" w:cs="Times New Roman" w:eastAsia="Times New Roman" w:hAnsi="Times New Roman"/>
          <w:sz w:val="18"/>
          <w:szCs w:val="18"/>
          <w:color w:val="auto"/>
        </w:rPr>
      </w:pPr>
    </w:p>
    <w:p>
      <w:pPr>
        <w:ind w:right="20" w:firstLine="1081"/>
        <w:spacing w:after="0" w:line="283" w:lineRule="auto"/>
        <w:tabs>
          <w:tab w:leader="none" w:pos="163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125" w:lineRule="exact"/>
        <w:rPr>
          <w:rFonts w:ascii="Times New Roman" w:cs="Times New Roman" w:eastAsia="Times New Roman" w:hAnsi="Times New Roman"/>
          <w:sz w:val="18"/>
          <w:szCs w:val="18"/>
          <w:color w:val="auto"/>
        </w:rPr>
      </w:pPr>
    </w:p>
    <w:p>
      <w:pPr>
        <w:ind w:firstLine="1081"/>
        <w:spacing w:after="0" w:line="283" w:lineRule="auto"/>
        <w:tabs>
          <w:tab w:leader="none" w:pos="163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Securities Exchange Act of 1934, as amended, or similar provisions of federal, state or local statutory law or common law, if Indemnitee is held liable therefor;</w:t>
      </w:r>
    </w:p>
    <w:p>
      <w:pPr>
        <w:spacing w:after="0" w:line="125" w:lineRule="exact"/>
        <w:rPr>
          <w:rFonts w:ascii="Times New Roman" w:cs="Times New Roman" w:eastAsia="Times New Roman" w:hAnsi="Times New Roman"/>
          <w:sz w:val="18"/>
          <w:szCs w:val="18"/>
          <w:color w:val="auto"/>
        </w:rPr>
      </w:pPr>
    </w:p>
    <w:p>
      <w:pPr>
        <w:jc w:val="both"/>
        <w:ind w:firstLine="1081"/>
        <w:spacing w:after="0" w:line="258" w:lineRule="auto"/>
        <w:tabs>
          <w:tab w:leader="none" w:pos="163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 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 Sarbanes Oxley Act), if Indemnitee is held liable therefor;</w:t>
      </w:r>
    </w:p>
    <w:p>
      <w:pPr>
        <w:spacing w:after="0" w:line="148"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Indemnitee and not by way of defense,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13(d) or (iv) otherwise required by applicable law; or</w:t>
      </w:r>
    </w:p>
    <w:p>
      <w:pPr>
        <w:spacing w:after="0" w:line="144"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186"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advance the Expenses incurred by Indemnitee in connection with any Proceeding prior to its final resolution, and 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0"/>
          </w:cols>
          <w:pgMar w:left="320" w:top="1399" w:right="319" w:bottom="1440" w:gutter="0" w:footer="0" w:header="0"/>
        </w:sectPr>
      </w:pPr>
    </w:p>
    <w:bookmarkStart w:id="409" w:name="page410"/>
    <w:bookmarkEnd w:id="409"/>
    <w:p>
      <w:pPr>
        <w:jc w:val="both"/>
        <w:ind w:left="9"/>
        <w:spacing w:after="0" w:line="256" w:lineRule="auto"/>
        <w:rPr>
          <w:sz w:val="20"/>
          <w:szCs w:val="20"/>
          <w:color w:val="auto"/>
        </w:rPr>
      </w:pPr>
      <w:r>
        <w:rPr>
          <w:rFonts w:ascii="Times New Roman" w:cs="Times New Roman" w:eastAsia="Times New Roman" w:hAnsi="Times New Roman"/>
          <w:sz w:val="18"/>
          <w:szCs w:val="18"/>
          <w:color w:val="auto"/>
        </w:rPr>
        <w:t>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9 shall not apply to the extent advancement is prohibited by law and shall not apply to any Proceeding for which indemnity is not permitted under this Agreement, but shall apply to any Proceeding referenced in Section 8(b) or 8(c) prior to a determination that Indemnitee is not entitled to be indemnified by the Company.</w:t>
      </w:r>
    </w:p>
    <w:p>
      <w:pPr>
        <w:spacing w:after="0" w:line="148" w:lineRule="exact"/>
        <w:rPr>
          <w:sz w:val="20"/>
          <w:szCs w:val="20"/>
          <w:color w:val="auto"/>
        </w:rPr>
      </w:pPr>
    </w:p>
    <w:p>
      <w:pPr>
        <w:ind w:left="1089" w:hanging="544"/>
        <w:spacing w:after="0"/>
        <w:tabs>
          <w:tab w:leader="none" w:pos="108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 for Notification and Defense of Claim</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9" w:firstLine="1081"/>
        <w:spacing w:after="0" w:line="258" w:lineRule="auto"/>
        <w:tabs>
          <w:tab w:leader="none" w:pos="1642"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or delay by Indemnitee to notify the Company will not relieve the Company from any liability which it may have to Indemnitee hereunder or otherwise than under this Agreement, except to the extent that such failure or delay materially prejudices the Company.</w:t>
      </w:r>
    </w:p>
    <w:p>
      <w:pPr>
        <w:spacing w:after="0" w:line="148" w:lineRule="exact"/>
        <w:rPr>
          <w:rFonts w:ascii="Times New Roman" w:cs="Times New Roman" w:eastAsia="Times New Roman" w:hAnsi="Times New Roman"/>
          <w:sz w:val="18"/>
          <w:szCs w:val="18"/>
          <w:color w:val="auto"/>
        </w:rPr>
      </w:pPr>
    </w:p>
    <w:p>
      <w:pPr>
        <w:jc w:val="both"/>
        <w:ind w:left="9" w:firstLine="1081"/>
        <w:spacing w:after="0" w:line="261" w:lineRule="auto"/>
        <w:tabs>
          <w:tab w:leader="none" w:pos="1641"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44" w:lineRule="exact"/>
        <w:rPr>
          <w:rFonts w:ascii="Times New Roman" w:cs="Times New Roman" w:eastAsia="Times New Roman" w:hAnsi="Times New Roman"/>
          <w:sz w:val="18"/>
          <w:szCs w:val="18"/>
          <w:color w:val="auto"/>
        </w:rPr>
      </w:pPr>
    </w:p>
    <w:p>
      <w:pPr>
        <w:jc w:val="both"/>
        <w:ind w:left="9" w:firstLine="1081"/>
        <w:spacing w:after="0" w:line="254" w:lineRule="auto"/>
        <w:tabs>
          <w:tab w:leader="none" w:pos="1642"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may be obligated to make any indemnity in connection with a Proceeding, the Company shall be entitled to assume the defense of such Proceeding with counsel approved by Indemnitee, which approval shall not be unreasonably withheld. After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w:t>
      </w:r>
    </w:p>
    <w:p>
      <w:pPr>
        <w:spacing w:after="0" w:line="3" w:lineRule="exact"/>
        <w:rPr>
          <w:rFonts w:ascii="Times New Roman" w:cs="Times New Roman" w:eastAsia="Times New Roman" w:hAnsi="Times New Roman"/>
          <w:sz w:val="18"/>
          <w:szCs w:val="18"/>
          <w:color w:val="auto"/>
        </w:rPr>
      </w:pPr>
    </w:p>
    <w:p>
      <w:pPr>
        <w:jc w:val="both"/>
        <w:ind w:left="9" w:hanging="9"/>
        <w:spacing w:after="0" w:line="252" w:lineRule="auto"/>
        <w:tabs>
          <w:tab w:leader="none" w:pos="27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for the Company or Indemnitee shall have reasonably concluded that there is a conflict of interest between the Company and Indemnitee in the conduct of any such defense such that Indemnitee needs to be separately represented, (iii) the fees and expenses are non 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9"/>
          </w:cols>
          <w:pgMar w:left="311" w:top="1399" w:right="319" w:bottom="1440" w:gutter="0" w:footer="0" w:header="0"/>
        </w:sectPr>
      </w:pPr>
    </w:p>
    <w:bookmarkStart w:id="410" w:name="page411"/>
    <w:bookmarkEnd w:id="410"/>
    <w:p>
      <w:pPr>
        <w:spacing w:after="0" w:line="283" w:lineRule="auto"/>
        <w:rPr>
          <w:sz w:val="20"/>
          <w:szCs w:val="20"/>
          <w:color w:val="auto"/>
        </w:rPr>
      </w:pPr>
      <w:r>
        <w:rPr>
          <w:rFonts w:ascii="Times New Roman" w:cs="Times New Roman" w:eastAsia="Times New Roman" w:hAnsi="Times New Roman"/>
          <w:sz w:val="18"/>
          <w:szCs w:val="18"/>
          <w:color w:val="auto"/>
        </w:rPr>
        <w:t>counsel in any Proceeding at Indemnitee’s personal expense. The Company shall not be entitled, without the consent of Indemnitee, to assume the defense of any claim brought by or in the right of the Company.</w:t>
      </w:r>
    </w:p>
    <w:p>
      <w:pPr>
        <w:spacing w:after="0" w:line="125" w:lineRule="exact"/>
        <w:rPr>
          <w:sz w:val="20"/>
          <w:szCs w:val="20"/>
          <w:color w:val="auto"/>
        </w:rPr>
      </w:pPr>
    </w:p>
    <w:p>
      <w:pPr>
        <w:ind w:left="1620" w:hanging="539"/>
        <w:spacing w:after="0"/>
        <w:tabs>
          <w:tab w:leader="none" w:pos="16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give the Company such information and cooperation in connection with the Proceeding as may be reasonably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w:t>
      </w:r>
    </w:p>
    <w:p>
      <w:pPr>
        <w:spacing w:after="0" w:line="171" w:lineRule="exact"/>
        <w:rPr>
          <w:sz w:val="20"/>
          <w:szCs w:val="20"/>
          <w:color w:val="auto"/>
        </w:rPr>
      </w:pPr>
    </w:p>
    <w:p>
      <w:pPr>
        <w:ind w:firstLine="1081"/>
        <w:spacing w:after="0" w:line="283" w:lineRule="auto"/>
        <w:tabs>
          <w:tab w:leader="none" w:pos="1633"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for any settlement of any Proceeding (or any part thereof) without the Company’s prior written consent, which shall not be unreasonably withheld.</w:t>
      </w:r>
    </w:p>
    <w:p>
      <w:pPr>
        <w:spacing w:after="0" w:line="125" w:lineRule="exact"/>
        <w:rPr>
          <w:rFonts w:ascii="Times New Roman" w:cs="Times New Roman" w:eastAsia="Times New Roman" w:hAnsi="Times New Roman"/>
          <w:sz w:val="18"/>
          <w:szCs w:val="18"/>
          <w:color w:val="auto"/>
        </w:rPr>
      </w:pPr>
    </w:p>
    <w:p>
      <w:pPr>
        <w:ind w:right="20" w:firstLine="1081"/>
        <w:spacing w:after="0" w:line="283" w:lineRule="auto"/>
        <w:tabs>
          <w:tab w:leader="none" w:pos="1635"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Proceeding (or any part thereof) in a manner that imposes any penalty or liability on Indemnitee without Indemnitee’s prior written consent, which shall not be unreasonably withheld.</w:t>
      </w:r>
    </w:p>
    <w:p>
      <w:pPr>
        <w:spacing w:after="0" w:line="121"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 upon Application for Indemnification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3"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obtain indemnification, Indemnitee shall submit to the Company a written request, including therein or therewith such documentation and information as is reasonably available to Indemnitee </w:t>
      </w:r>
      <w:r>
        <w:rPr>
          <w:rFonts w:ascii="Times New Roman" w:cs="Times New Roman" w:eastAsia="Times New Roman" w:hAnsi="Times New Roman"/>
          <w:sz w:val="18"/>
          <w:szCs w:val="18"/>
          <w:i w:val="1"/>
          <w:iCs w:val="1"/>
          <w:color w:val="auto"/>
        </w:rPr>
        <w:t>and as is reasonably</w:t>
      </w:r>
      <w:r>
        <w:rPr>
          <w:rFonts w:ascii="Times New Roman" w:cs="Times New Roman" w:eastAsia="Times New Roman" w:hAnsi="Times New Roman"/>
          <w:sz w:val="18"/>
          <w:szCs w:val="18"/>
          <w:color w:val="auto"/>
        </w:rPr>
        <w:t xml:space="preserve"> necessary to determine whether and to what extent Indemnitee is entitled to indemnification following the final disposition of the Proceeding. Any delay in providing the request will not relieve the Company from its obligations under this Agreement, except to the extent such delay is prejudicial.</w:t>
      </w:r>
    </w:p>
    <w:p>
      <w:pPr>
        <w:spacing w:after="0" w:line="144" w:lineRule="exact"/>
        <w:rPr>
          <w:rFonts w:ascii="Times New Roman" w:cs="Times New Roman" w:eastAsia="Times New Roman" w:hAnsi="Times New Roman"/>
          <w:sz w:val="18"/>
          <w:szCs w:val="18"/>
          <w:color w:val="auto"/>
        </w:rPr>
      </w:pPr>
    </w:p>
    <w:p>
      <w:pPr>
        <w:jc w:val="both"/>
        <w:ind w:firstLine="1081"/>
        <w:spacing w:after="0" w:line="253" w:lineRule="auto"/>
        <w:tabs>
          <w:tab w:leader="none" w:pos="1632"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Indemnitee for indemnification pursuant to Section 11(a),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if required by applicable law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20" w:top="1400" w:right="319" w:bottom="1440" w:gutter="0" w:footer="0" w:header="0"/>
        </w:sectPr>
      </w:pPr>
    </w:p>
    <w:bookmarkStart w:id="411" w:name="page412"/>
    <w:bookmarkEnd w:id="411"/>
    <w:p>
      <w:pPr>
        <w:jc w:val="both"/>
        <w:ind w:firstLine="1081"/>
        <w:spacing w:after="0" w:line="252" w:lineRule="auto"/>
        <w:tabs>
          <w:tab w:leader="none" w:pos="163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determination of entitlement to indemnification is to be made by Independent Counsel pursuant to Section 11(b), the Independent Counsel shall be selected as provided in this Section 11(c).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11(a)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11(b) hereof. Upon the due commencement of any judicial proceeding or arbitration pursuant to Section 13(a) of this Agreement, the Independent Counsel shall be discharged and relieved of any further responsibility in such capacity (subject to the applicable standards of professional conduct then prevailing). The Company shall pay the reasonable fees and expenses of any Independent Counsel.</w:t>
      </w:r>
    </w:p>
    <w:p>
      <w:pPr>
        <w:spacing w:after="0" w:line="148"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3"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140" w:lineRule="exact"/>
        <w:rPr>
          <w:rFonts w:ascii="Times New Roman" w:cs="Times New Roman" w:eastAsia="Times New Roman" w:hAnsi="Times New Roman"/>
          <w:sz w:val="18"/>
          <w:szCs w:val="18"/>
          <w:color w:val="auto"/>
        </w:rPr>
      </w:pPr>
    </w:p>
    <w:p>
      <w:pPr>
        <w:jc w:val="both"/>
        <w:ind w:right="20" w:firstLine="1081"/>
        <w:spacing w:after="0" w:line="266" w:lineRule="auto"/>
        <w:tabs>
          <w:tab w:leader="none" w:pos="1632"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create a presumption that Indemnitee did not act in good faith and in a manner which he or she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20" w:top="1400" w:right="319" w:bottom="1440" w:gutter="0" w:footer="0" w:header="0"/>
        </w:sectPr>
      </w:pPr>
    </w:p>
    <w:bookmarkStart w:id="412" w:name="page413"/>
    <w:bookmarkEnd w:id="412"/>
    <w:p>
      <w:pPr>
        <w:ind w:left="9" w:right="20"/>
        <w:spacing w:after="0" w:line="283" w:lineRule="auto"/>
        <w:rPr>
          <w:sz w:val="20"/>
          <w:szCs w:val="20"/>
          <w:color w:val="auto"/>
        </w:rPr>
      </w:pPr>
      <w:r>
        <w:rPr>
          <w:rFonts w:ascii="Times New Roman" w:cs="Times New Roman" w:eastAsia="Times New Roman" w:hAnsi="Times New Roman"/>
          <w:sz w:val="18"/>
          <w:szCs w:val="18"/>
          <w:color w:val="auto"/>
        </w:rPr>
        <w:t>reasonably believed to be in or not opposed to the best interests of the Company or, with respect to any criminal Proceeding, that Indemnitee had reasonable cause to believe that his or her conduct was unlawful.</w:t>
      </w:r>
    </w:p>
    <w:p>
      <w:pPr>
        <w:spacing w:after="0" w:line="125" w:lineRule="exact"/>
        <w:rPr>
          <w:sz w:val="20"/>
          <w:szCs w:val="20"/>
          <w:color w:val="auto"/>
        </w:rPr>
      </w:pPr>
    </w:p>
    <w:p>
      <w:pPr>
        <w:ind w:left="9" w:firstLine="1081"/>
        <w:spacing w:after="0" w:line="283" w:lineRule="auto"/>
        <w:tabs>
          <w:tab w:leader="none" w:pos="1642"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21" w:lineRule="exact"/>
        <w:rPr>
          <w:rFonts w:ascii="Times New Roman" w:cs="Times New Roman" w:eastAsia="Times New Roman" w:hAnsi="Times New Roman"/>
          <w:sz w:val="18"/>
          <w:szCs w:val="18"/>
          <w:color w:val="auto"/>
        </w:rPr>
      </w:pPr>
    </w:p>
    <w:p>
      <w:pPr>
        <w:ind w:left="1089" w:hanging="544"/>
        <w:spacing w:after="0"/>
        <w:tabs>
          <w:tab w:leader="none" w:pos="108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9" w:right="20" w:firstLine="1081"/>
        <w:spacing w:after="0" w:line="261" w:lineRule="auto"/>
        <w:tabs>
          <w:tab w:leader="none" w:pos="1642"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13(e), in the event that (i) a determination is made pursuant to Section 11 of this Agreement that Indemnitee is not entitled to indemnification under this Agreement, (ii) advancement of Expenses is not timely made pursuant to Section 9 or 13(d) of this Agreement,</w:t>
      </w:r>
    </w:p>
    <w:p>
      <w:pPr>
        <w:spacing w:after="0" w:line="1"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32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determination of entitlement to indemnification shall have been made pursuant to Section 11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13(d)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13(a);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152" w:lineRule="exact"/>
        <w:rPr>
          <w:rFonts w:ascii="Times New Roman" w:cs="Times New Roman" w:eastAsia="Times New Roman" w:hAnsi="Times New Roman"/>
          <w:sz w:val="18"/>
          <w:szCs w:val="18"/>
          <w:color w:val="auto"/>
        </w:rPr>
      </w:pPr>
    </w:p>
    <w:p>
      <w:pPr>
        <w:jc w:val="both"/>
        <w:ind w:left="9" w:firstLine="1081"/>
        <w:spacing w:after="0" w:line="255" w:lineRule="auto"/>
        <w:tabs>
          <w:tab w:leader="none" w:pos="1641"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11 of this Agreement that Indemnitee is not entitled to indemnification, any judicial proceeding or arbitration </w:t>
      </w:r>
      <w:r>
        <w:rPr>
          <w:rFonts w:ascii="Times New Roman" w:cs="Times New Roman" w:eastAsia="Times New Roman" w:hAnsi="Times New Roman"/>
          <w:sz w:val="18"/>
          <w:szCs w:val="18"/>
          <w:i w:val="1"/>
          <w:iCs w:val="1"/>
          <w:color w:val="auto"/>
        </w:rPr>
        <w:t>commenced pursuant</w:t>
      </w:r>
      <w:r>
        <w:rPr>
          <w:rFonts w:ascii="Times New Roman" w:cs="Times New Roman" w:eastAsia="Times New Roman" w:hAnsi="Times New Roman"/>
          <w:sz w:val="18"/>
          <w:szCs w:val="18"/>
          <w:color w:val="auto"/>
        </w:rPr>
        <w:t xml:space="preserve"> to this Section 13 shall be conducted in all respects as a </w:t>
      </w:r>
      <w:r>
        <w:rPr>
          <w:rFonts w:ascii="Times New Roman" w:cs="Times New Roman" w:eastAsia="Times New Roman" w:hAnsi="Times New Roman"/>
          <w:sz w:val="18"/>
          <w:szCs w:val="18"/>
          <w:i w:val="1"/>
          <w:iCs w:val="1"/>
          <w:color w:val="auto"/>
        </w:rPr>
        <w:t>de novo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69"/>
          </w:cols>
          <w:pgMar w:left="311" w:top="1400" w:right="319" w:bottom="1440" w:gutter="0" w:footer="0" w:header="0"/>
        </w:sectPr>
      </w:pPr>
    </w:p>
    <w:bookmarkStart w:id="413" w:name="page414"/>
    <w:bookmarkEnd w:id="413"/>
    <w:p>
      <w:pPr>
        <w:jc w:val="both"/>
        <w:spacing w:after="0" w:line="266" w:lineRule="auto"/>
        <w:rPr>
          <w:sz w:val="20"/>
          <w:szCs w:val="20"/>
          <w:color w:val="auto"/>
        </w:rPr>
      </w:pPr>
      <w:r>
        <w:rPr>
          <w:rFonts w:ascii="Times New Roman" w:cs="Times New Roman" w:eastAsia="Times New Roman" w:hAnsi="Times New Roman"/>
          <w:sz w:val="18"/>
          <w:szCs w:val="18"/>
          <w:color w:val="auto"/>
        </w:rPr>
        <w:t>trial, or arbitration, on the merits, and Indemnitee shall not be prejudiced by reason of that adverse determination. In any judicial proceeding or arbitration commenced pursuant to this Section 13, the Company shall, to the fullest extent not prohibited by law, have the burden of proving Indemnitee is not entitled to indemnification or advancement of Expenses, as the case may be.</w:t>
      </w:r>
    </w:p>
    <w:p>
      <w:pPr>
        <w:spacing w:after="0" w:line="141" w:lineRule="exact"/>
        <w:rPr>
          <w:sz w:val="20"/>
          <w:szCs w:val="20"/>
          <w:color w:val="auto"/>
        </w:rPr>
      </w:pPr>
    </w:p>
    <w:p>
      <w:pPr>
        <w:jc w:val="both"/>
        <w:ind w:firstLine="1081"/>
        <w:spacing w:after="0" w:line="255" w:lineRule="auto"/>
        <w:tabs>
          <w:tab w:leader="none" w:pos="1633"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not prohibited by law, the Company shall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11 of this Agreement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52" w:lineRule="exact"/>
        <w:rPr>
          <w:rFonts w:ascii="Times New Roman" w:cs="Times New Roman" w:eastAsia="Times New Roman" w:hAnsi="Times New Roman"/>
          <w:sz w:val="18"/>
          <w:szCs w:val="18"/>
          <w:color w:val="auto"/>
        </w:rPr>
      </w:pPr>
    </w:p>
    <w:p>
      <w:pPr>
        <w:jc w:val="both"/>
        <w:ind w:firstLine="1081"/>
        <w:spacing w:after="0" w:line="255" w:lineRule="auto"/>
        <w:tabs>
          <w:tab w:leader="none" w:pos="1632"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unless the court (or arbitrator) finds that each material argument or defense advanced by Indemnitee in such action or arbitration was either frivolous or not made in good faith. Further, if requested by Indemnitee, the Company shall (as soon as reasonably practicable, but in any event no later than 60 days, after receipt by the Company of a written request therefor) advance such Expenses to Indemnitee, subject to the provisions of Section 8, subject to Indemnitee’s agreement to repay the sums advanced if the court (or arbitrator) finds that each material argument or defense advanced by Indemnitee in such action or arbitration was either frivolous or not made in good faith.</w:t>
      </w:r>
    </w:p>
    <w:p>
      <w:pPr>
        <w:spacing w:after="0" w:line="152" w:lineRule="exact"/>
        <w:rPr>
          <w:rFonts w:ascii="Times New Roman" w:cs="Times New Roman" w:eastAsia="Times New Roman" w:hAnsi="Times New Roman"/>
          <w:sz w:val="18"/>
          <w:szCs w:val="18"/>
          <w:color w:val="auto"/>
        </w:rPr>
      </w:pPr>
    </w:p>
    <w:p>
      <w:pPr>
        <w:ind w:right="20" w:firstLine="1081"/>
        <w:spacing w:after="0" w:line="283" w:lineRule="auto"/>
        <w:tabs>
          <w:tab w:leader="none" w:pos="1633"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shall be required to be made prior to the final disposition of the Proceeding.</w:t>
      </w:r>
    </w:p>
    <w:p>
      <w:pPr>
        <w:spacing w:after="0" w:line="121" w:lineRule="exact"/>
        <w:rPr>
          <w:rFonts w:ascii="Times New Roman" w:cs="Times New Roman" w:eastAsia="Times New Roman" w:hAnsi="Times New Roman"/>
          <w:sz w:val="18"/>
          <w:szCs w:val="18"/>
          <w:color w:val="auto"/>
        </w:rPr>
      </w:pPr>
    </w:p>
    <w:p>
      <w:pPr>
        <w:jc w:val="both"/>
        <w:ind w:firstLine="536"/>
        <w:spacing w:after="0" w:line="257" w:lineRule="auto"/>
        <w:tabs>
          <w:tab w:leader="none" w:pos="109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20" w:top="1400" w:right="319" w:bottom="1440" w:gutter="0" w:footer="0" w:header="0"/>
        </w:sectPr>
      </w:pPr>
    </w:p>
    <w:bookmarkStart w:id="414" w:name="page415"/>
    <w:bookmarkEnd w:id="414"/>
    <w:p>
      <w:pPr>
        <w:jc w:val="both"/>
        <w:ind w:firstLine="536"/>
        <w:spacing w:after="0" w:line="254" w:lineRule="auto"/>
        <w:tabs>
          <w:tab w:leader="none" w:pos="109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w:t>
      </w:r>
      <w:r>
        <w:rPr>
          <w:rFonts w:ascii="Times New Roman" w:cs="Times New Roman" w:eastAsia="Times New Roman" w:hAnsi="Times New Roman"/>
          <w:sz w:val="18"/>
          <w:szCs w:val="18"/>
          <w:color w:val="auto"/>
        </w:rPr>
        <w:t>. The rights of indemnification and to receive advancement of Expenses as provided by this Agreement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w:t>
      </w:r>
      <w:r>
        <w:rPr>
          <w:rFonts w:ascii="Times New Roman" w:cs="Times New Roman" w:eastAsia="Times New Roman" w:hAnsi="Times New Roman"/>
          <w:sz w:val="18"/>
          <w:szCs w:val="18"/>
          <w:i w:val="1"/>
          <w:iCs w:val="1"/>
          <w:color w:val="auto"/>
        </w:rPr>
        <w:t>assertion</w:t>
      </w:r>
      <w:r>
        <w:rPr>
          <w:rFonts w:ascii="Times New Roman" w:cs="Times New Roman" w:eastAsia="Times New Roman" w:hAnsi="Times New Roman"/>
          <w:sz w:val="18"/>
          <w:szCs w:val="18"/>
          <w:color w:val="auto"/>
        </w:rPr>
        <w:t xml:space="preserve"> or employment of any right or remedy hereunder, or otherwise, shall not prevent the concurrent assertion or employment of any other right or remedy.</w:t>
      </w:r>
    </w:p>
    <w:p>
      <w:pPr>
        <w:spacing w:after="0" w:line="152" w:lineRule="exact"/>
        <w:rPr>
          <w:rFonts w:ascii="Times New Roman" w:cs="Times New Roman" w:eastAsia="Times New Roman" w:hAnsi="Times New Roman"/>
          <w:sz w:val="18"/>
          <w:szCs w:val="18"/>
          <w:color w:val="auto"/>
        </w:rPr>
      </w:pPr>
    </w:p>
    <w:p>
      <w:pPr>
        <w:jc w:val="both"/>
        <w:ind w:firstLine="536"/>
        <w:spacing w:after="0" w:line="253" w:lineRule="auto"/>
        <w:tabs>
          <w:tab w:leader="none" w:pos="109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Primary Responsibility</w:t>
      </w:r>
      <w:r>
        <w:rPr>
          <w:rFonts w:ascii="Times New Roman" w:cs="Times New Roman" w:eastAsia="Times New Roman" w:hAnsi="Times New Roman"/>
          <w:sz w:val="18"/>
          <w:szCs w:val="18"/>
          <w:color w:val="auto"/>
        </w:rPr>
        <w:t>. The Company acknowledges that to the extent Indemnitee is serving as a director on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at the request or direction of a venture capital fund or other entity and/or certain of its affiliates (collectively, the “</w:t>
      </w:r>
      <w:r>
        <w:rPr>
          <w:rFonts w:ascii="Times New Roman" w:cs="Times New Roman" w:eastAsia="Times New Roman" w:hAnsi="Times New Roman"/>
          <w:sz w:val="18"/>
          <w:szCs w:val="18"/>
          <w:b w:val="1"/>
          <w:bCs w:val="1"/>
          <w:i w:val="1"/>
          <w:iCs w:val="1"/>
          <w:color w:val="auto"/>
        </w:rPr>
        <w:t>Secondary Indemnitors</w:t>
      </w:r>
      <w:r>
        <w:rPr>
          <w:rFonts w:ascii="Times New Roman" w:cs="Times New Roman" w:eastAsia="Times New Roman" w:hAnsi="Times New Roman"/>
          <w:sz w:val="18"/>
          <w:szCs w:val="18"/>
          <w:color w:val="auto"/>
        </w:rPr>
        <w:t>”),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16.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 party beneficiaries of the terms of this Section 16.</w:t>
      </w:r>
    </w:p>
    <w:p>
      <w:pPr>
        <w:spacing w:after="0" w:line="147" w:lineRule="exact"/>
        <w:rPr>
          <w:rFonts w:ascii="Times New Roman" w:cs="Times New Roman" w:eastAsia="Times New Roman" w:hAnsi="Times New Roman"/>
          <w:sz w:val="18"/>
          <w:szCs w:val="18"/>
          <w:color w:val="auto"/>
        </w:rPr>
      </w:pPr>
    </w:p>
    <w:p>
      <w:pPr>
        <w:jc w:val="both"/>
        <w:ind w:firstLine="536"/>
        <w:spacing w:after="0" w:line="269" w:lineRule="auto"/>
        <w:tabs>
          <w:tab w:leader="none" w:pos="109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of amounts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60"/>
          </w:cols>
          <w:pgMar w:left="320" w:top="1396" w:right="319" w:bottom="1440" w:gutter="0" w:footer="0" w:header="0"/>
        </w:sectPr>
      </w:pPr>
    </w:p>
    <w:bookmarkStart w:id="415" w:name="page416"/>
    <w:bookmarkEnd w:id="415"/>
    <w:p>
      <w:pPr>
        <w:jc w:val="both"/>
        <w:ind w:right="20" w:firstLine="536"/>
        <w:spacing w:after="0" w:line="269" w:lineRule="auto"/>
        <w:tabs>
          <w:tab w:leader="none" w:pos="109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To the extent that the Company maintains an insurance policy or policies providing liability insurance for directors,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33" w:lineRule="exact"/>
        <w:rPr>
          <w:rFonts w:ascii="Times New Roman" w:cs="Times New Roman" w:eastAsia="Times New Roman" w:hAnsi="Times New Roman"/>
          <w:sz w:val="18"/>
          <w:szCs w:val="18"/>
          <w:color w:val="auto"/>
        </w:rPr>
      </w:pPr>
    </w:p>
    <w:p>
      <w:pPr>
        <w:jc w:val="both"/>
        <w:ind w:firstLine="536"/>
        <w:spacing w:after="0" w:line="269" w:lineRule="auto"/>
        <w:tabs>
          <w:tab w:leader="none" w:pos="109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Subrogation</w:t>
      </w:r>
      <w:r>
        <w:rPr>
          <w:rFonts w:ascii="Times New Roman" w:cs="Times New Roman" w:eastAsia="Times New Roman" w:hAnsi="Times New Roman"/>
          <w:sz w:val="18"/>
          <w:szCs w:val="18"/>
          <w:color w:val="auto"/>
        </w:rPr>
        <w:t>. In the event of any payment under this Agreement, the Company shall be subrogated to the extent of such payment to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33" w:lineRule="exact"/>
        <w:rPr>
          <w:rFonts w:ascii="Times New Roman" w:cs="Times New Roman" w:eastAsia="Times New Roman" w:hAnsi="Times New Roman"/>
          <w:sz w:val="18"/>
          <w:szCs w:val="18"/>
          <w:color w:val="auto"/>
        </w:rPr>
      </w:pPr>
    </w:p>
    <w:p>
      <w:pPr>
        <w:jc w:val="both"/>
        <w:ind w:firstLine="536"/>
        <w:spacing w:after="0" w:line="254" w:lineRule="auto"/>
        <w:tabs>
          <w:tab w:leader="none" w:pos="109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agrees to serve as a director or officer of the Company or, at the request of the Company,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48" w:lineRule="exact"/>
        <w:rPr>
          <w:rFonts w:ascii="Times New Roman" w:cs="Times New Roman" w:eastAsia="Times New Roman" w:hAnsi="Times New Roman"/>
          <w:sz w:val="18"/>
          <w:szCs w:val="18"/>
          <w:color w:val="auto"/>
        </w:rPr>
      </w:pPr>
    </w:p>
    <w:p>
      <w:pPr>
        <w:jc w:val="both"/>
        <w:ind w:firstLine="536"/>
        <w:spacing w:after="0" w:line="259" w:lineRule="auto"/>
        <w:tabs>
          <w:tab w:leader="none" w:pos="109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w:t>
      </w:r>
      <w:r>
        <w:rPr>
          <w:rFonts w:ascii="Times New Roman" w:cs="Times New Roman" w:eastAsia="Times New Roman" w:hAnsi="Times New Roman"/>
          <w:sz w:val="18"/>
          <w:szCs w:val="18"/>
          <w:color w:val="auto"/>
        </w:rPr>
        <w:t>. This Agreement shall continue until and terminate upon the later of (a) ten years after the date that Indemnitee shall have ceased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13 of this Agreement relating thereto.</w:t>
      </w:r>
    </w:p>
    <w:p>
      <w:pPr>
        <w:spacing w:after="0" w:line="143" w:lineRule="exact"/>
        <w:rPr>
          <w:rFonts w:ascii="Times New Roman" w:cs="Times New Roman" w:eastAsia="Times New Roman" w:hAnsi="Times New Roman"/>
          <w:sz w:val="18"/>
          <w:szCs w:val="18"/>
          <w:color w:val="auto"/>
        </w:rPr>
      </w:pPr>
    </w:p>
    <w:p>
      <w:pPr>
        <w:jc w:val="both"/>
        <w:ind w:firstLine="536"/>
        <w:spacing w:after="0" w:line="262" w:lineRule="auto"/>
        <w:tabs>
          <w:tab w:leader="none" w:pos="109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Agreement shall be binding upon the Company and its successors and assigns, including any direct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successor by purchase, merger, consolidation or otherwise to all or substantially all of the business or assets of the Company, and shall inure to the benefit of Indemnitee and Indemnitee’s personal or legal representatives, heirs, executors, administrators, distributees, legatees and other successors. The Company shall require and cause any successor (whether direct or indirect by purchase, merger, consolidation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60"/>
          </w:cols>
          <w:pgMar w:left="320" w:top="1396" w:right="319" w:bottom="1440" w:gutter="0" w:footer="0" w:header="0"/>
        </w:sectPr>
      </w:pPr>
    </w:p>
    <w:bookmarkStart w:id="416" w:name="page417"/>
    <w:bookmarkEnd w:id="416"/>
    <w:p>
      <w:pPr>
        <w:ind w:left="9"/>
        <w:spacing w:after="0" w:line="283" w:lineRule="auto"/>
        <w:rPr>
          <w:sz w:val="20"/>
          <w:szCs w:val="20"/>
          <w:color w:val="auto"/>
        </w:rPr>
      </w:pPr>
      <w:r>
        <w:rPr>
          <w:rFonts w:ascii="Times New Roman" w:cs="Times New Roman" w:eastAsia="Times New Roman" w:hAnsi="Times New Roman"/>
          <w:sz w:val="18"/>
          <w:szCs w:val="18"/>
          <w:color w:val="auto"/>
        </w:rPr>
        <w:t>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21" w:lineRule="exact"/>
        <w:rPr>
          <w:sz w:val="20"/>
          <w:szCs w:val="20"/>
          <w:color w:val="auto"/>
        </w:rPr>
      </w:pPr>
    </w:p>
    <w:p>
      <w:pPr>
        <w:jc w:val="both"/>
        <w:ind w:left="9" w:firstLine="536"/>
        <w:spacing w:after="0" w:line="254" w:lineRule="auto"/>
        <w:tabs>
          <w:tab w:leader="none" w:pos="11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w:t>
      </w:r>
    </w:p>
    <w:p>
      <w:pPr>
        <w:spacing w:after="0" w:line="1" w:lineRule="exact"/>
        <w:rPr>
          <w:rFonts w:ascii="Times New Roman" w:cs="Times New Roman" w:eastAsia="Times New Roman" w:hAnsi="Times New Roman"/>
          <w:sz w:val="18"/>
          <w:szCs w:val="18"/>
          <w:color w:val="auto"/>
        </w:rPr>
      </w:pPr>
    </w:p>
    <w:p>
      <w:pPr>
        <w:jc w:val="both"/>
        <w:ind w:left="9" w:hanging="9"/>
        <w:spacing w:after="0" w:line="255" w:lineRule="auto"/>
        <w:tabs>
          <w:tab w:leader="none" w:pos="32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45" w:lineRule="exact"/>
        <w:rPr>
          <w:rFonts w:ascii="Times New Roman" w:cs="Times New Roman" w:eastAsia="Times New Roman" w:hAnsi="Times New Roman"/>
          <w:sz w:val="18"/>
          <w:szCs w:val="18"/>
          <w:color w:val="auto"/>
        </w:rPr>
      </w:pPr>
    </w:p>
    <w:p>
      <w:pPr>
        <w:jc w:val="both"/>
        <w:ind w:left="9" w:firstLine="536"/>
        <w:spacing w:after="0" w:line="269" w:lineRule="auto"/>
        <w:tabs>
          <w:tab w:leader="none" w:pos="110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w:t>
      </w:r>
      <w:r>
        <w:rPr>
          <w:rFonts w:ascii="Times New Roman" w:cs="Times New Roman" w:eastAsia="Times New Roman" w:hAnsi="Times New Roman"/>
          <w:sz w:val="18"/>
          <w:szCs w:val="18"/>
          <w:color w:val="auto"/>
        </w:rPr>
        <w:t>. The Company expressly confirms and agrees that it has entered into this Agreement and assumed the obligations imposed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it hereby in order to induce Indemnitee to serve as a director or officer of the Company, and the Company acknowledges that Indemnitee is relying upon this Agreement in serving as a director or officer of the Company.</w:t>
      </w:r>
    </w:p>
    <w:p>
      <w:pPr>
        <w:spacing w:after="0" w:line="133" w:lineRule="exact"/>
        <w:rPr>
          <w:rFonts w:ascii="Times New Roman" w:cs="Times New Roman" w:eastAsia="Times New Roman" w:hAnsi="Times New Roman"/>
          <w:sz w:val="18"/>
          <w:szCs w:val="18"/>
          <w:color w:val="auto"/>
        </w:rPr>
      </w:pPr>
    </w:p>
    <w:p>
      <w:pPr>
        <w:jc w:val="both"/>
        <w:ind w:left="9" w:right="20" w:firstLine="536"/>
        <w:spacing w:after="0" w:line="269" w:lineRule="auto"/>
        <w:tabs>
          <w:tab w:leader="none" w:pos="110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Agreement is a supplement to and in furtherance of the Company’s certificate of incorporation and bylaws and applicable law.</w:t>
      </w:r>
    </w:p>
    <w:p>
      <w:pPr>
        <w:spacing w:after="0" w:line="133" w:lineRule="exact"/>
        <w:rPr>
          <w:rFonts w:ascii="Times New Roman" w:cs="Times New Roman" w:eastAsia="Times New Roman" w:hAnsi="Times New Roman"/>
          <w:sz w:val="18"/>
          <w:szCs w:val="18"/>
          <w:color w:val="auto"/>
        </w:rPr>
      </w:pPr>
    </w:p>
    <w:p>
      <w:pPr>
        <w:jc w:val="both"/>
        <w:ind w:left="9" w:firstLine="536"/>
        <w:spacing w:after="0" w:line="261" w:lineRule="auto"/>
        <w:tabs>
          <w:tab w:leader="none" w:pos="110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to this Agreement shall be binding unless executed in writing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69"/>
          </w:cols>
          <w:pgMar w:left="311" w:top="1400" w:right="319" w:bottom="1440" w:gutter="0" w:footer="0" w:header="0"/>
        </w:sectPr>
      </w:pPr>
    </w:p>
    <w:bookmarkStart w:id="417" w:name="page418"/>
    <w:bookmarkEnd w:id="417"/>
    <w:p>
      <w:pPr>
        <w:ind w:firstLine="536"/>
        <w:spacing w:after="0" w:line="288" w:lineRule="auto"/>
        <w:tabs>
          <w:tab w:leader="none" w:pos="109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other communications required or permitted hereunder shall be in writing and shall be mailed by registered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mail, postage prepaid, or otherwise delivered by hand, messenger or courier service addressed:</w:t>
      </w:r>
    </w:p>
    <w:p>
      <w:pPr>
        <w:spacing w:after="0" w:line="120" w:lineRule="exact"/>
        <w:rPr>
          <w:rFonts w:ascii="Times New Roman" w:cs="Times New Roman" w:eastAsia="Times New Roman" w:hAnsi="Times New Roman"/>
          <w:sz w:val="18"/>
          <w:szCs w:val="18"/>
          <w:color w:val="auto"/>
        </w:rPr>
      </w:pPr>
    </w:p>
    <w:p>
      <w:pPr>
        <w:ind w:right="20" w:firstLine="1081"/>
        <w:spacing w:after="0" w:line="283" w:lineRule="auto"/>
        <w:tabs>
          <w:tab w:leader="none" w:pos="1633"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Indemnitee’s address, as shown on the signature page of this Agreement or in the Company’s records, as may be updated in accordance with the provisions hereof; or</w:t>
      </w:r>
    </w:p>
    <w:p>
      <w:pPr>
        <w:spacing w:after="0" w:line="125"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attention of the Chief Executive Officer or Chief Financial Officer of the Company at 3800 Bridge Parkway, Suite 102, Redwood City, California 94065, or at such other current address as the Company shall have furnished to Indemnitee, with a copy (which shall not constitute notice) to Tony Jeffries and Christina Poulsen at Wilson Sonsini Goodrich &amp; Rosati, P.C., 650 Page Mill Road, Palo Alto, California 94304.</w:t>
      </w:r>
    </w:p>
    <w:p>
      <w:pPr>
        <w:spacing w:after="0" w:line="144"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a nationally-recognized overnight courier service, freight prepaid, specifying next-business-day delivery, one business day after deposit with the courier), or (ii)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mail, at the earlier of its receipt or five days after the same has been deposited in a regularly-maintained receptacle for the deposit of the United States mail, addressed and mailed as aforesaid.</w:t>
      </w:r>
    </w:p>
    <w:p>
      <w:pPr>
        <w:spacing w:after="0" w:line="140" w:lineRule="exact"/>
        <w:rPr>
          <w:sz w:val="20"/>
          <w:szCs w:val="20"/>
          <w:color w:val="auto"/>
        </w:rPr>
      </w:pPr>
    </w:p>
    <w:p>
      <w:pPr>
        <w:jc w:val="both"/>
        <w:ind w:firstLine="536"/>
        <w:spacing w:after="0" w:line="253" w:lineRule="auto"/>
        <w:tabs>
          <w:tab w:leader="none" w:pos="109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13(a) of this Agreement, or except as mutually agreed by the parties in writing,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52" w:lineRule="exact"/>
        <w:rPr>
          <w:rFonts w:ascii="Times New Roman" w:cs="Times New Roman" w:eastAsia="Times New Roman" w:hAnsi="Times New Roman"/>
          <w:sz w:val="18"/>
          <w:szCs w:val="18"/>
          <w:color w:val="auto"/>
        </w:rPr>
      </w:pPr>
    </w:p>
    <w:p>
      <w:pPr>
        <w:jc w:val="both"/>
        <w:ind w:firstLine="536"/>
        <w:spacing w:after="0" w:line="262" w:lineRule="auto"/>
        <w:tabs>
          <w:tab w:leader="none" w:pos="109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60"/>
          </w:cols>
          <w:pgMar w:left="320" w:top="1395" w:right="31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color w:val="auto"/>
        </w:rPr>
        <w:t>counterpart signed by the party against whom enforceability is sought needs to be produced to evidence the existence of this Agreement.</w:t>
      </w:r>
    </w:p>
    <w:p>
      <w:pPr>
        <w:spacing w:after="0" w:line="187" w:lineRule="exact"/>
        <w:rPr>
          <w:sz w:val="20"/>
          <w:szCs w:val="20"/>
          <w:color w:val="auto"/>
        </w:rPr>
      </w:pPr>
    </w:p>
    <w:p>
      <w:pPr>
        <w:ind w:firstLine="536"/>
        <w:spacing w:after="0" w:line="288" w:lineRule="auto"/>
        <w:tabs>
          <w:tab w:leader="none" w:pos="109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Captions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to affect the construction thereof.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60"/>
          </w:cols>
          <w:pgMar w:left="320" w:top="1399" w:right="319" w:bottom="1440" w:gutter="0" w:footer="0" w:header="0"/>
        </w:sectPr>
      </w:pPr>
    </w:p>
    <w:bookmarkStart w:id="419" w:name="page420"/>
    <w:bookmarkEnd w:id="41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are signing this Indemnification Agreement as of the date stated in the introductory sentence.</w:t>
      </w:r>
    </w:p>
    <w:p>
      <w:pPr>
        <w:spacing w:after="0" w:line="2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318135</wp:posOffset>
            </wp:positionV>
            <wp:extent cx="38150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15080"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316865</wp:posOffset>
            </wp:positionV>
            <wp:extent cx="381508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1508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316865</wp:posOffset>
            </wp:positionV>
            <wp:extent cx="381508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1508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200" w:lineRule="exact"/>
        <w:rPr>
          <w:sz w:val="20"/>
          <w:szCs w:val="20"/>
          <w:color w:val="auto"/>
        </w:rPr>
      </w:pPr>
    </w:p>
    <w:p>
      <w:pPr>
        <w:spacing w:after="0" w:line="3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318135</wp:posOffset>
            </wp:positionV>
            <wp:extent cx="381508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15080"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316865</wp:posOffset>
            </wp:positionV>
            <wp:extent cx="381508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1508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316865</wp:posOffset>
            </wp:positionV>
            <wp:extent cx="381508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1508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i w:val="1"/>
          <w:iCs w:val="1"/>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316865</wp:posOffset>
            </wp:positionV>
            <wp:extent cx="381508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1508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8"/>
          <w:szCs w:val="18"/>
          <w:i w:val="1"/>
          <w:iCs w:val="1"/>
          <w:color w:val="auto"/>
        </w:rPr>
        <w:t>(City, State, and 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9599"/>
          </w:cols>
          <w:pgMar w:left="860" w:top="1440" w:right="1440" w:bottom="1440" w:gutter="0" w:footer="0" w:header="0"/>
        </w:sectPr>
      </w:pPr>
    </w:p>
    <w:bookmarkStart w:id="420" w:name="page421"/>
    <w:bookmarkEnd w:id="420"/>
    <w:p>
      <w:pPr>
        <w:jc w:val="right"/>
        <w:spacing w:after="0"/>
        <w:rPr>
          <w:sz w:val="20"/>
          <w:szCs w:val="20"/>
          <w:color w:val="auto"/>
        </w:rPr>
      </w:pPr>
      <w:r>
        <w:rPr>
          <w:rFonts w:ascii="Times New Roman" w:cs="Times New Roman" w:eastAsia="Times New Roman" w:hAnsi="Times New Roman"/>
          <w:sz w:val="15"/>
          <w:szCs w:val="15"/>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BIOSCIENCES, INC.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191" w:lineRule="exact"/>
        <w:rPr>
          <w:sz w:val="20"/>
          <w:szCs w:val="20"/>
          <w:color w:val="auto"/>
        </w:rPr>
      </w:pPr>
    </w:p>
    <w:p>
      <w:pPr>
        <w:ind w:left="1080" w:hanging="544"/>
        <w:spacing w:after="0"/>
        <w:tabs>
          <w:tab w:leader="none" w:pos="108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95" w:lineRule="exact"/>
        <w:rPr>
          <w:sz w:val="20"/>
          <w:szCs w:val="20"/>
          <w:color w:val="auto"/>
        </w:rPr>
      </w:pPr>
    </w:p>
    <w:p>
      <w:pPr>
        <w:ind w:firstLine="545"/>
        <w:spacing w:after="0" w:line="254" w:lineRule="auto"/>
        <w:rPr>
          <w:sz w:val="20"/>
          <w:szCs w:val="20"/>
          <w:color w:val="auto"/>
        </w:rPr>
      </w:pPr>
      <w:r>
        <w:rPr>
          <w:rFonts w:ascii="Times New Roman" w:cs="Times New Roman" w:eastAsia="Times New Roman" w:hAnsi="Times New Roman"/>
          <w:sz w:val="18"/>
          <w:szCs w:val="18"/>
          <w:color w:val="auto"/>
        </w:rPr>
        <w:t>The purpose of this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secure for Seer Biosciences,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shareholders the benefits arising from capital stock ownership by employees, officers and directors of, and consultants or advisors to, the Company and its parent and subsidiary corporations who are expected to contribute to the Company’s future growth and success. Under the Plan recipients may be awarded both (i) Options (as defined in Section 2.1) to purchase the Company’s Class A Common Stock, par value $0.00001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(ii) shares of Class A Common Stock (“</w:t>
      </w: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Except where the context otherwise requires,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include any parent and all present and future subsidiaries of the Company as defined in Sections 424(e) and 424(f) of the Internal Revenue Code of 1986, as amended or replaced from time to time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Those provisions of the Plan which make express reference to Section 422 of the Code shall apply only to Incentive Stock Options (as that term is defined below).</w:t>
      </w:r>
    </w:p>
    <w:p>
      <w:pPr>
        <w:spacing w:after="0" w:line="152" w:lineRule="exact"/>
        <w:rPr>
          <w:sz w:val="20"/>
          <w:szCs w:val="20"/>
          <w:color w:val="auto"/>
        </w:rPr>
      </w:pPr>
    </w:p>
    <w:p>
      <w:pPr>
        <w:ind w:left="1080" w:hanging="544"/>
        <w:spacing w:after="0"/>
        <w:tabs>
          <w:tab w:leader="none" w:pos="108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Types of Awards and Administration.</w:t>
      </w:r>
    </w:p>
    <w:p>
      <w:pPr>
        <w:spacing w:after="0" w:line="191" w:lineRule="exact"/>
        <w:rPr>
          <w:sz w:val="20"/>
          <w:szCs w:val="20"/>
          <w:color w:val="auto"/>
        </w:rPr>
      </w:pPr>
    </w:p>
    <w:p>
      <w:pPr>
        <w:ind w:right="80" w:firstLine="109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xml:space="preserve"> Options granted pursuant to the Plan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shall be authorized by action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may be either incentive stock options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meeting the requirements of Section 422 of the Code or non-statutory Options which are not intended to meet the requirements of Section 422. All Options when granted are intended to be non-statutory Options, unless the applicable Option Agreement (as defined in Section 5.1) explicitly states that the Option is intended to be an Incentive Stock Option. The vesting of Options may be conditioned upon the completion of a specified period of employment with the Company and/or such other conditions or events as the Board may determine. The Board may also provide that Options are immediately exercisable subject to certain repurchase rights in the Company dependent upon the continued employment of the optionee and/or such other conditions or events as the Board may determine.</w:t>
      </w:r>
    </w:p>
    <w:p>
      <w:pPr>
        <w:spacing w:after="0" w:line="147" w:lineRule="exact"/>
        <w:rPr>
          <w:sz w:val="20"/>
          <w:szCs w:val="20"/>
          <w:color w:val="auto"/>
        </w:rPr>
      </w:pPr>
    </w:p>
    <w:p>
      <w:pPr>
        <w:ind w:right="20" w:firstLine="1635"/>
        <w:spacing w:after="0" w:line="255"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Incentive Stock Options.</w:t>
      </w:r>
      <w:r>
        <w:rPr>
          <w:rFonts w:ascii="Times New Roman" w:cs="Times New Roman" w:eastAsia="Times New Roman" w:hAnsi="Times New Roman"/>
          <w:sz w:val="18"/>
          <w:szCs w:val="18"/>
          <w:color w:val="auto"/>
        </w:rPr>
        <w:t xml:space="preserve"> Incentive Stock Options may only be granted to employees of the Company. For so long as the Code shall so provide, Options granted to any employee under the Plan (and any other incentive stock option plans of the Company) which are intended to constitute Incentive Stock Options shall not constitute Incentive Stock Options to the extent that such Options, in the aggregate, become exercisable for the first time in any one calendar year for shares of Class A Common Stock with an aggregate fair market value (determined as of the respective date or dates of grant) of more than $100,000. If an Option is intended to be an Incentive Stock Option, and if for any reason such Option (or any portion thereof) shall not qualify as an Incentive Stock Option, then, to the extent of such nonqualification, such Option (or portion thereof) shall be regarded as a non-statutory Option appropriately granted under the Plan provided that such Option (or portion thereof) otherwise meets the Plan’s requirements relating to non-statutory Options.</w:t>
      </w:r>
    </w:p>
    <w:p>
      <w:pPr>
        <w:sectPr>
          <w:pgSz w:w="11900" w:h="16838" w:orient="portrait"/>
          <w:cols w:equalWidth="0" w:num="1">
            <w:col w:w="11260"/>
          </w:cols>
          <w:pgMar w:left="320" w:top="121" w:right="319" w:bottom="1440" w:gutter="0" w:footer="0" w:header="0"/>
        </w:sectPr>
      </w:pPr>
    </w:p>
    <w:bookmarkStart w:id="421" w:name="page422"/>
    <w:bookmarkEnd w:id="421"/>
    <w:p>
      <w:pPr>
        <w:jc w:val="both"/>
        <w:ind w:right="180" w:firstLine="1090"/>
        <w:spacing w:after="0" w:line="26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 xml:space="preserve"> The Board in its discretion may grant Restricted Stock Awards, entitling the recipient to acquire, for a purchase price determined by the Board, shares of Class A Common Stock subject to such restrictions and conditions as the Board may determine at the time of grant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including continued employment and/or achievement of pre-established performance goals and objectives.</w:t>
      </w:r>
    </w:p>
    <w:p>
      <w:pPr>
        <w:spacing w:after="0" w:line="133" w:lineRule="exact"/>
        <w:rPr>
          <w:sz w:val="20"/>
          <w:szCs w:val="20"/>
          <w:color w:val="auto"/>
        </w:rPr>
      </w:pPr>
    </w:p>
    <w:p>
      <w:pPr>
        <w:ind w:firstLine="1090"/>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xml:space="preserve"> The Plan shall be administered by the Board, whose construction and interpretation of the terms and provisions of the Plan shall be final and conclusive. The Board may in its sole discretion authorize issuance of Restricted Stock, the grant of Options and the issuance of shares upon exercise of such Options as provided in the Plan. The Board shall have authority, subject to the express provisions of the Plan, to construe Restricted Stock Agreements, Option Agreements and the Plan, to prescribe, amend and rescind rules and regulations relating to the Plan, to determine the terms and provisions of Restricted Stock Agreements and Option Agreements, and to make all other determinations in the judgment of the Board necessary or desirable for the administration of the Plan. The Board may correct any defect or supply any omission or reconcile any inconsistency in the Plan or in any Restricted Stock Agreement or Option Agreement in the manner and to the extent it shall deem expedient to carry the Plan into effect and it shall be the sole and final judge of such expediency. No director or person acting pursuant to authority delegated by the Board shall be liable for any action or determination under the Plan made in good faith. The Board may, to the full extent permitted by or consistent with applicable laws or regulations, delegate any or all of its powers under the Plan to a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appointed by the Board, and if the Committee is so appointed, to the extent of such delegation, all references to the Board in the Plan shall mean and relate to such Committee, other than references to the Board in this sentence and in Section 18 (as to amendment or termination of the Plan) and Section 22.</w:t>
      </w:r>
    </w:p>
    <w:p>
      <w:pPr>
        <w:spacing w:after="0" w:line="153" w:lineRule="exact"/>
        <w:rPr>
          <w:sz w:val="20"/>
          <w:szCs w:val="20"/>
          <w:color w:val="auto"/>
        </w:rPr>
      </w:pPr>
    </w:p>
    <w:p>
      <w:pPr>
        <w:ind w:left="1080" w:hanging="544"/>
        <w:spacing w:after="0"/>
        <w:tabs>
          <w:tab w:leader="none" w:pos="108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95" w:lineRule="exact"/>
        <w:rPr>
          <w:sz w:val="20"/>
          <w:szCs w:val="20"/>
          <w:color w:val="auto"/>
        </w:rPr>
      </w:pPr>
    </w:p>
    <w:p>
      <w:pPr>
        <w:jc w:val="both"/>
        <w:ind w:right="360" w:firstLine="545"/>
        <w:spacing w:after="0" w:line="266" w:lineRule="auto"/>
        <w:rPr>
          <w:sz w:val="20"/>
          <w:szCs w:val="20"/>
          <w:color w:val="auto"/>
        </w:rPr>
      </w:pPr>
      <w:r>
        <w:rPr>
          <w:rFonts w:ascii="Times New Roman" w:cs="Times New Roman" w:eastAsia="Times New Roman" w:hAnsi="Times New Roman"/>
          <w:sz w:val="18"/>
          <w:szCs w:val="18"/>
          <w:color w:val="auto"/>
        </w:rPr>
        <w:t xml:space="preserve">Options may be granted, and Restricted Stock may be issued, to persons who are, at the time of such grant or issuance, employees, officers or directors of, or consultants or advisors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class of persons to whom Incentive Stock Options may be granted shall be limited to employees of the Company.</w:t>
      </w:r>
    </w:p>
    <w:p>
      <w:pPr>
        <w:spacing w:after="0" w:line="137" w:lineRule="exact"/>
        <w:rPr>
          <w:sz w:val="20"/>
          <w:szCs w:val="20"/>
          <w:color w:val="auto"/>
        </w:rPr>
      </w:pPr>
    </w:p>
    <w:p>
      <w:pPr>
        <w:ind w:right="80" w:firstLine="1090"/>
        <w:spacing w:after="0" w:line="25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10% Shareholder</w:t>
      </w:r>
      <w:r>
        <w:rPr>
          <w:rFonts w:ascii="Times New Roman" w:cs="Times New Roman" w:eastAsia="Times New Roman" w:hAnsi="Times New Roman"/>
          <w:sz w:val="18"/>
          <w:szCs w:val="18"/>
          <w:color w:val="auto"/>
        </w:rPr>
        <w:t>. If any employee to whom an Incentive Stock Option is to be granted is, at the time of the grant of such Option, the owner of stock possessing more than 10% of the total combined voting power of all classes of stock of the Company (after taking into account the attribution of stock ownership rules of Section 424(d) of the Code) (a “</w:t>
      </w:r>
      <w:r>
        <w:rPr>
          <w:rFonts w:ascii="Times New Roman" w:cs="Times New Roman" w:eastAsia="Times New Roman" w:hAnsi="Times New Roman"/>
          <w:sz w:val="18"/>
          <w:szCs w:val="18"/>
          <w:u w:val="single" w:color="auto"/>
          <w:color w:val="auto"/>
        </w:rPr>
        <w:t>Greater Than 10% Shareholder</w:t>
      </w:r>
      <w:r>
        <w:rPr>
          <w:rFonts w:ascii="Times New Roman" w:cs="Times New Roman" w:eastAsia="Times New Roman" w:hAnsi="Times New Roman"/>
          <w:sz w:val="18"/>
          <w:szCs w:val="18"/>
          <w:color w:val="auto"/>
        </w:rPr>
        <w:t>”), any Incentive Stock Option granted to such individual must: (i) have an exercise price per share of not less than 110% of the fair market value of one share of Class A Common Stock at the time of grant; and (ii) expire by its terms not more than five years from the date of grant.</w:t>
      </w:r>
    </w:p>
    <w:p>
      <w:pPr>
        <w:spacing w:after="0" w:line="144" w:lineRule="exact"/>
        <w:rPr>
          <w:sz w:val="20"/>
          <w:szCs w:val="20"/>
          <w:color w:val="auto"/>
        </w:rPr>
      </w:pPr>
    </w:p>
    <w:p>
      <w:pPr>
        <w:ind w:left="1080" w:hanging="544"/>
        <w:spacing w:after="0"/>
        <w:tabs>
          <w:tab w:leader="none" w:pos="108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Subject to Plan.</w:t>
      </w:r>
    </w:p>
    <w:p>
      <w:pPr>
        <w:spacing w:after="0" w:line="195" w:lineRule="exact"/>
        <w:rPr>
          <w:sz w:val="20"/>
          <w:szCs w:val="20"/>
          <w:color w:val="auto"/>
        </w:rPr>
      </w:pPr>
    </w:p>
    <w:p>
      <w:pPr>
        <w:ind w:right="200" w:firstLine="545"/>
        <w:spacing w:after="0" w:line="283" w:lineRule="auto"/>
        <w:rPr>
          <w:sz w:val="20"/>
          <w:szCs w:val="20"/>
          <w:color w:val="auto"/>
        </w:rPr>
      </w:pPr>
      <w:r>
        <w:rPr>
          <w:rFonts w:ascii="Times New Roman" w:cs="Times New Roman" w:eastAsia="Times New Roman" w:hAnsi="Times New Roman"/>
          <w:sz w:val="18"/>
          <w:szCs w:val="18"/>
          <w:color w:val="auto"/>
        </w:rPr>
        <w:t>Subject to adjustment as provided in Section 14.2 below, the maximum number of shares of Class A Common Stock which may be issued under the Plan is 25,283,351 shares, all of</w:t>
      </w:r>
    </w:p>
    <w:p>
      <w:pPr>
        <w:sectPr>
          <w:pgSz w:w="11900" w:h="16838" w:orient="portrait"/>
          <w:cols w:equalWidth="0" w:num="1">
            <w:col w:w="11220"/>
          </w:cols>
          <w:pgMar w:left="320" w:top="1214" w:right="359" w:bottom="1440" w:gutter="0" w:footer="0" w:header="0"/>
        </w:sectPr>
      </w:pPr>
    </w:p>
    <w:bookmarkStart w:id="422" w:name="page423"/>
    <w:bookmarkEnd w:id="422"/>
    <w:p>
      <w:pPr>
        <w:ind w:right="140"/>
        <w:spacing w:after="0" w:line="256" w:lineRule="auto"/>
        <w:rPr>
          <w:sz w:val="20"/>
          <w:szCs w:val="20"/>
          <w:color w:val="auto"/>
        </w:rPr>
      </w:pPr>
      <w:r>
        <w:rPr>
          <w:rFonts w:ascii="Times New Roman" w:cs="Times New Roman" w:eastAsia="Times New Roman" w:hAnsi="Times New Roman"/>
          <w:sz w:val="18"/>
          <w:szCs w:val="18"/>
          <w:color w:val="auto"/>
        </w:rPr>
        <w:t>which may be issued with respect to Incentive Stock Options. If an Option shall expire or terminate for any reason without having been exercised in full, the unpurchased shares subject to such Option shall again be available for subsequent Option grants or Restricted Stock Awards under the Plan. If shares of Restricted Stock shall be forfeited to, or otherwise repurchased by, the Company pursuant to a Restricted Stock Agreement, such repurchased shares shall again be available for subsequent Option grants or Restricted Stock Awards under the Plan. If shares otherwise issuable upon exercise of an Option are withheld by the Company in payment of the exercise price of an Option or to satisfy tax withholding obligations with respect to such exercise, such withheld shares shall again be available for subsequent Option grants or Restricted Stock Awards under the Plan.</w:t>
      </w:r>
    </w:p>
    <w:p>
      <w:pPr>
        <w:spacing w:after="0" w:line="148" w:lineRule="exact"/>
        <w:rPr>
          <w:sz w:val="20"/>
          <w:szCs w:val="20"/>
          <w:color w:val="auto"/>
        </w:rPr>
      </w:pPr>
    </w:p>
    <w:p>
      <w:pPr>
        <w:ind w:left="1080" w:hanging="544"/>
        <w:spacing w:after="0"/>
        <w:tabs>
          <w:tab w:leader="none" w:pos="1080"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Forms of Restricted Stock Agreements and Option Agreements.</w:t>
      </w:r>
    </w:p>
    <w:p>
      <w:pPr>
        <w:spacing w:after="0" w:line="191" w:lineRule="exact"/>
        <w:rPr>
          <w:sz w:val="20"/>
          <w:szCs w:val="20"/>
          <w:color w:val="auto"/>
        </w:rPr>
      </w:pPr>
    </w:p>
    <w:p>
      <w:pPr>
        <w:ind w:right="620" w:firstLine="1090"/>
        <w:spacing w:after="0" w:line="28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xml:space="preserve"> Each recipient of an Option shall execute an option agreement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in such form not inconsistent with the Plan as may be approved by the Board of Directors. Such Option Agreements may differ among recipients.</w:t>
      </w:r>
    </w:p>
    <w:p>
      <w:pPr>
        <w:spacing w:after="0" w:line="117" w:lineRule="exact"/>
        <w:rPr>
          <w:sz w:val="20"/>
          <w:szCs w:val="20"/>
          <w:color w:val="auto"/>
        </w:rPr>
      </w:pPr>
    </w:p>
    <w:p>
      <w:pPr>
        <w:ind w:right="320" w:firstLine="1090"/>
        <w:spacing w:after="0" w:line="26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xml:space="preserve"> Each recipient of a grant of Restricted Stock shall execute an agreement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such form not inconsistent with the Plan as may be approved by the Board of Directors. Such Restricted Stock Agreements may differ among recipients.</w:t>
      </w:r>
    </w:p>
    <w:p>
      <w:pPr>
        <w:spacing w:after="0" w:line="133" w:lineRule="exact"/>
        <w:rPr>
          <w:sz w:val="20"/>
          <w:szCs w:val="20"/>
          <w:color w:val="auto"/>
        </w:rPr>
      </w:pPr>
    </w:p>
    <w:p>
      <w:pPr>
        <w:ind w:right="120" w:firstLine="1090"/>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Unless the Board specifies otherwise, each Restricted Stock Agreement and Option Agreement shall provide that upon the request of the Company or the managing underwriter(s) of any offering of securities of the Company that is the subject of a registration statement filed under the United States Securities Act of 1933, as amended from time to time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holder of any Option or the purchaser of any Restricted Stock shall, in connection therewith, agree in writing (in such form as the Company or such managing underwriter(s) shall request) to the general effect that for a period of time (not to exceed 180 days) from the effective date of the registration statement under the Act for such offering, the holder or purchaser will not sell, make any short sale of, loan, grant any option for the purchase of, or otherwise dispose of any shares of the common stock of the Company owned or controlled by him or her.</w:t>
      </w:r>
    </w:p>
    <w:p>
      <w:pPr>
        <w:spacing w:after="0" w:line="147" w:lineRule="exact"/>
        <w:rPr>
          <w:sz w:val="20"/>
          <w:szCs w:val="20"/>
          <w:color w:val="auto"/>
        </w:rPr>
      </w:pPr>
    </w:p>
    <w:p>
      <w:pPr>
        <w:ind w:left="1080" w:hanging="544"/>
        <w:spacing w:after="0"/>
        <w:tabs>
          <w:tab w:leader="none" w:pos="108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191" w:lineRule="exact"/>
        <w:rPr>
          <w:sz w:val="20"/>
          <w:szCs w:val="20"/>
          <w:color w:val="auto"/>
        </w:rPr>
      </w:pPr>
    </w:p>
    <w:p>
      <w:pPr>
        <w:ind w:firstLine="1090"/>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The purchase price per share of Restricted Stock and per share of stock deliverable upon the exercise of an Option shall be determined by the Board, provided, however, that in the case of any Option, the exercise price shall not be less than 100% of the fair market value of such stock, as determined by the Board, at the time of grant of such Option, or less than 110% of such fair market value in the case of any Incentive Stock Option granted to a Greater Than 10% Shareholder.</w:t>
      </w:r>
    </w:p>
    <w:p>
      <w:pPr>
        <w:spacing w:after="0" w:line="141" w:lineRule="exact"/>
        <w:rPr>
          <w:sz w:val="20"/>
          <w:szCs w:val="20"/>
          <w:color w:val="auto"/>
        </w:rPr>
      </w:pPr>
    </w:p>
    <w:p>
      <w:pPr>
        <w:ind w:right="100" w:firstLine="1090"/>
        <w:spacing w:after="0" w:line="28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Payment of Purchase Price.</w:t>
      </w:r>
      <w:r>
        <w:rPr>
          <w:rFonts w:ascii="Times New Roman" w:cs="Times New Roman" w:eastAsia="Times New Roman" w:hAnsi="Times New Roman"/>
          <w:sz w:val="18"/>
          <w:szCs w:val="18"/>
          <w:color w:val="auto"/>
        </w:rPr>
        <w:t xml:space="preserve"> Option Agreements may provide for the payment of the exercise price by delivery of cash or a check to the order of the Company in an</w:t>
      </w:r>
    </w:p>
    <w:p>
      <w:pPr>
        <w:sectPr>
          <w:pgSz w:w="11900" w:h="16838" w:orient="portrait"/>
          <w:cols w:equalWidth="0" w:num="1">
            <w:col w:w="11240"/>
          </w:cols>
          <w:pgMar w:left="320" w:top="1218" w:right="3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color w:val="auto"/>
        </w:rPr>
        <w:t>amount equal to the exercise price of such Options, or, to the extent provided in the applicable Option Agreement, by one of the following methods:</w:t>
      </w:r>
    </w:p>
    <w:p>
      <w:pPr>
        <w:spacing w:after="0" w:line="191" w:lineRule="exact"/>
        <w:rPr>
          <w:sz w:val="20"/>
          <w:szCs w:val="20"/>
          <w:color w:val="auto"/>
        </w:rPr>
      </w:pPr>
    </w:p>
    <w:p>
      <w:pPr>
        <w:ind w:left="540" w:right="340" w:firstLine="1086"/>
        <w:spacing w:after="0" w:line="283" w:lineRule="auto"/>
        <w:tabs>
          <w:tab w:leader="none" w:pos="216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Board, by delivery to the Company of shares of the Company’s common stock; such surrendered shares shall have a fair market value equal in amount to the exercise price of the Options being exercised,</w:t>
      </w:r>
    </w:p>
    <w:p>
      <w:pPr>
        <w:spacing w:after="0" w:line="125" w:lineRule="exact"/>
        <w:rPr>
          <w:rFonts w:ascii="Times New Roman" w:cs="Times New Roman" w:eastAsia="Times New Roman" w:hAnsi="Times New Roman"/>
          <w:sz w:val="18"/>
          <w:szCs w:val="18"/>
          <w:color w:val="auto"/>
        </w:rPr>
      </w:pPr>
    </w:p>
    <w:p>
      <w:pPr>
        <w:jc w:val="both"/>
        <w:ind w:left="540" w:right="160" w:firstLine="1086"/>
        <w:spacing w:after="0" w:line="261" w:lineRule="auto"/>
        <w:tabs>
          <w:tab w:leader="none" w:pos="217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Board, a personal recourse note issued by the optionee to the Company in a principal amount equal to such aggregate exercise price and with such other terms, including interest rate and maturity, as the Company may determine in its discretion; provided, however, that the interest rate borne by such note shall not be less than the lowest applicable federal rate, as defined in Section 1274(d) of the Code,</w:t>
      </w:r>
    </w:p>
    <w:p>
      <w:pPr>
        <w:spacing w:after="0" w:line="144" w:lineRule="exact"/>
        <w:rPr>
          <w:rFonts w:ascii="Times New Roman" w:cs="Times New Roman" w:eastAsia="Times New Roman" w:hAnsi="Times New Roman"/>
          <w:sz w:val="18"/>
          <w:szCs w:val="18"/>
          <w:color w:val="auto"/>
        </w:rPr>
      </w:pPr>
    </w:p>
    <w:p>
      <w:pPr>
        <w:ind w:left="540" w:firstLine="1086"/>
        <w:spacing w:after="0" w:line="264" w:lineRule="auto"/>
        <w:tabs>
          <w:tab w:leader="none" w:pos="217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Board, if the Class A Common Stock is registered under the Securities Exchange Act of 1934 at such time, subject to rules as may be established by the Board, by delivery to the Company of a properly executed exercise notice along with irrevocable instructions to a broker to promptly deliver to the Company cash or a check payable and acceptable to the Company for the purchase price,</w:t>
      </w:r>
    </w:p>
    <w:p>
      <w:pPr>
        <w:spacing w:after="0" w:line="361" w:lineRule="exact"/>
        <w:rPr>
          <w:rFonts w:ascii="Times New Roman" w:cs="Times New Roman" w:eastAsia="Times New Roman" w:hAnsi="Times New Roman"/>
          <w:sz w:val="18"/>
          <w:szCs w:val="18"/>
          <w:color w:val="auto"/>
        </w:rPr>
      </w:pPr>
    </w:p>
    <w:p>
      <w:pPr>
        <w:ind w:left="540" w:right="120" w:firstLine="1086"/>
        <w:spacing w:after="0" w:line="283" w:lineRule="auto"/>
        <w:tabs>
          <w:tab w:leader="none" w:pos="216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Board, by reducing the number of Option shares otherwise issuable to the optionee upon exercise of the Option by a number of shares of Class A Common Stock having a fair market value equal to such aggregate exercise price,</w:t>
      </w:r>
    </w:p>
    <w:p>
      <w:pPr>
        <w:spacing w:after="0" w:line="125" w:lineRule="exact"/>
        <w:rPr>
          <w:rFonts w:ascii="Times New Roman" w:cs="Times New Roman" w:eastAsia="Times New Roman" w:hAnsi="Times New Roman"/>
          <w:sz w:val="18"/>
          <w:szCs w:val="18"/>
          <w:color w:val="auto"/>
        </w:rPr>
      </w:pPr>
    </w:p>
    <w:p>
      <w:pPr>
        <w:ind w:left="2160" w:hanging="534"/>
        <w:spacing w:after="0"/>
        <w:tabs>
          <w:tab w:leader="none" w:pos="21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Board, by any combination of such methods of payment.</w:t>
      </w:r>
    </w:p>
    <w:p>
      <w:pPr>
        <w:spacing w:after="0" w:line="191" w:lineRule="exact"/>
        <w:rPr>
          <w:sz w:val="20"/>
          <w:szCs w:val="20"/>
          <w:color w:val="auto"/>
        </w:rPr>
      </w:pPr>
    </w:p>
    <w:p>
      <w:pPr>
        <w:ind w:firstLine="545"/>
        <w:spacing w:after="0" w:line="266" w:lineRule="auto"/>
        <w:rPr>
          <w:sz w:val="20"/>
          <w:szCs w:val="20"/>
          <w:color w:val="auto"/>
        </w:rPr>
      </w:pPr>
      <w:r>
        <w:rPr>
          <w:rFonts w:ascii="Times New Roman" w:cs="Times New Roman" w:eastAsia="Times New Roman" w:hAnsi="Times New Roman"/>
          <w:sz w:val="18"/>
          <w:szCs w:val="18"/>
          <w:color w:val="auto"/>
        </w:rPr>
        <w:t>The fair market value of any shares of Class A Common Stock or other non-cash consideration which may be delivered upon exercise of an Option shall be determined by the Board of Directors. Restricted Stock Agreements may provide for the payment of any purchase price in any manner approved by the Board of Directors at the time of authorizing the issuance thereof.</w:t>
      </w:r>
    </w:p>
    <w:p>
      <w:pPr>
        <w:spacing w:after="0" w:line="137" w:lineRule="exact"/>
        <w:rPr>
          <w:sz w:val="20"/>
          <w:szCs w:val="20"/>
          <w:color w:val="auto"/>
        </w:rPr>
      </w:pPr>
    </w:p>
    <w:p>
      <w:pPr>
        <w:ind w:left="1080" w:hanging="544"/>
        <w:spacing w:after="0"/>
        <w:tabs>
          <w:tab w:leader="none" w:pos="108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Period.</w:t>
      </w:r>
    </w:p>
    <w:p>
      <w:pPr>
        <w:spacing w:after="0" w:line="195" w:lineRule="exact"/>
        <w:rPr>
          <w:sz w:val="20"/>
          <w:szCs w:val="20"/>
          <w:color w:val="auto"/>
        </w:rPr>
      </w:pPr>
    </w:p>
    <w:p>
      <w:pPr>
        <w:jc w:val="both"/>
        <w:ind w:right="20" w:firstLine="545"/>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Plan or any Option Agreement, each Option and all rights thereunder shall expire on the date specified in the applicable Option Agreement, provided that such date shall not be later than ten years after the date on which the Option is granted (or five years in the case of an Incentive Stock Option granted to a Greater Than 10% Shareholder), and in either case, shall be subject to earlier termination as provided in the Plan or Option Agreement.</w:t>
      </w:r>
    </w:p>
    <w:p>
      <w:pPr>
        <w:sectPr>
          <w:pgSz w:w="11900" w:h="16838" w:orient="portrait"/>
          <w:cols w:equalWidth="0" w:num="1">
            <w:col w:w="11240"/>
          </w:cols>
          <w:pgMar w:left="320" w:top="1218" w:right="339" w:bottom="1440" w:gutter="0" w:footer="0" w:header="0"/>
        </w:sectPr>
      </w:pPr>
    </w:p>
    <w:bookmarkStart w:id="424" w:name="page425"/>
    <w:bookmarkEnd w:id="424"/>
    <w:p>
      <w:pPr>
        <w:ind w:left="1080" w:hanging="544"/>
        <w:spacing w:after="0"/>
        <w:tabs>
          <w:tab w:leader="none" w:pos="108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Options.</w:t>
      </w:r>
    </w:p>
    <w:p>
      <w:pPr>
        <w:spacing w:after="0" w:line="191" w:lineRule="exact"/>
        <w:rPr>
          <w:sz w:val="20"/>
          <w:szCs w:val="20"/>
          <w:color w:val="auto"/>
        </w:rPr>
      </w:pPr>
    </w:p>
    <w:p>
      <w:pPr>
        <w:ind w:right="60" w:firstLine="1090"/>
        <w:spacing w:after="0" w:line="26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Each Option shall be exercisable either in full or in installments at such time or times and during such period as shall be set forth in the Option Agreement evidencing such Option, subject to the provisions of the Plan. To the extent not exercised, installments shall accumulate and be exercisable, in whole or in part, at any time after becoming exercisable, but not later than the date the Option expires.</w:t>
      </w:r>
    </w:p>
    <w:p>
      <w:pPr>
        <w:spacing w:after="0" w:line="133" w:lineRule="exact"/>
        <w:rPr>
          <w:sz w:val="20"/>
          <w:szCs w:val="20"/>
          <w:color w:val="auto"/>
        </w:rPr>
      </w:pPr>
    </w:p>
    <w:p>
      <w:pPr>
        <w:ind w:firstLine="1090"/>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xml:space="preserve"> An Option may be exercised by the optionee by delivering to the Company on any business day a written notice specifying the number of shares of Class A Common Stock the optionee then desires to purchase and specifying the address to which the certificates for such shares are to be mailed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accompanied by payment for such shares. In addition, the Company may require any individual to whom an Option is granted, as a condition of exercising such Option, to give written assurances (the “</w:t>
      </w:r>
      <w:r>
        <w:rPr>
          <w:rFonts w:ascii="Times New Roman" w:cs="Times New Roman" w:eastAsia="Times New Roman" w:hAnsi="Times New Roman"/>
          <w:sz w:val="18"/>
          <w:szCs w:val="18"/>
          <w:u w:val="single" w:color="auto"/>
          <w:color w:val="auto"/>
        </w:rPr>
        <w:t>Investment Letter</w:t>
      </w:r>
      <w:r>
        <w:rPr>
          <w:rFonts w:ascii="Times New Roman" w:cs="Times New Roman" w:eastAsia="Times New Roman" w:hAnsi="Times New Roman"/>
          <w:sz w:val="18"/>
          <w:szCs w:val="18"/>
          <w:color w:val="auto"/>
        </w:rPr>
        <w:t>”) in a substance and form satisfactory to the Company to the effect that such individual is acquiring the Class A Common Stock subject to the Option for his or her own account for investment and not with a view to the resale or distribution thereof, and to such other effects as the Company deems necessary or advisable in order to comply with any securities law(s).</w:t>
      </w:r>
    </w:p>
    <w:p>
      <w:pPr>
        <w:spacing w:after="0" w:line="147" w:lineRule="exact"/>
        <w:rPr>
          <w:sz w:val="20"/>
          <w:szCs w:val="20"/>
          <w:color w:val="auto"/>
        </w:rPr>
      </w:pPr>
    </w:p>
    <w:p>
      <w:pPr>
        <w:ind w:right="20" w:firstLine="1090"/>
        <w:spacing w:after="0" w:line="26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xml:space="preserve"> As promptly as practicable after receipt of the Notice, the Investment Letter (if required) and payment, the Company shall deliver or cause to be delivered to the optionee certificates for the number of shares with respect to which such Option has been so exercised, issued in the optionee’s name; provided, however, that such delivery shall be deemed effected for all purposes when the Company or a stock transfer agent shall have deposited such certificates in the United States mail, addressed to the optionee, at the address specified in the Notice.</w:t>
      </w:r>
    </w:p>
    <w:p>
      <w:pPr>
        <w:spacing w:after="0" w:line="141" w:lineRule="exact"/>
        <w:rPr>
          <w:sz w:val="20"/>
          <w:szCs w:val="20"/>
          <w:color w:val="auto"/>
        </w:rPr>
      </w:pPr>
    </w:p>
    <w:p>
      <w:pPr>
        <w:ind w:left="1080" w:hanging="544"/>
        <w:spacing w:after="0"/>
        <w:tabs>
          <w:tab w:leader="none" w:pos="108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Options.</w:t>
      </w:r>
    </w:p>
    <w:p>
      <w:pPr>
        <w:spacing w:after="0" w:line="195" w:lineRule="exact"/>
        <w:rPr>
          <w:sz w:val="20"/>
          <w:szCs w:val="20"/>
          <w:color w:val="auto"/>
        </w:rPr>
      </w:pPr>
    </w:p>
    <w:p>
      <w:pPr>
        <w:ind w:right="240" w:firstLine="545"/>
        <w:spacing w:after="0" w:line="283" w:lineRule="auto"/>
        <w:rPr>
          <w:sz w:val="20"/>
          <w:szCs w:val="20"/>
          <w:color w:val="auto"/>
        </w:rPr>
      </w:pPr>
      <w:r>
        <w:rPr>
          <w:rFonts w:ascii="Times New Roman" w:cs="Times New Roman" w:eastAsia="Times New Roman" w:hAnsi="Times New Roman"/>
          <w:sz w:val="18"/>
          <w:szCs w:val="18"/>
          <w:color w:val="auto"/>
        </w:rPr>
        <w:t>No Option shall be assignable or transferable by the person to whom it is granted, either voluntarily or by operation of law, except by will or the laws of descent and distribution. During the life of an optionee, an Option shall be exercisable only by the optionee.</w:t>
      </w:r>
    </w:p>
    <w:p>
      <w:pPr>
        <w:spacing w:after="0" w:line="121" w:lineRule="exact"/>
        <w:rPr>
          <w:sz w:val="20"/>
          <w:szCs w:val="20"/>
          <w:color w:val="auto"/>
        </w:rPr>
      </w:pPr>
    </w:p>
    <w:p>
      <w:pPr>
        <w:ind w:right="540" w:firstLine="536"/>
        <w:spacing w:after="0" w:line="288" w:lineRule="auto"/>
        <w:tabs>
          <w:tab w:leader="none" w:pos="109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Disability; Death. </w:t>
      </w:r>
      <w:r>
        <w:rPr>
          <w:rFonts w:ascii="Times New Roman" w:cs="Times New Roman" w:eastAsia="Times New Roman" w:hAnsi="Times New Roman"/>
          <w:sz w:val="18"/>
          <w:szCs w:val="18"/>
          <w:color w:val="auto"/>
        </w:rPr>
        <w:t>Except as may be otherwise expressly provided in the terms and conditions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Agreement, Options shall terminate on the earliest to occur of:</w:t>
      </w:r>
    </w:p>
    <w:p>
      <w:pPr>
        <w:spacing w:after="0" w:line="120" w:lineRule="exact"/>
        <w:rPr>
          <w:rFonts w:ascii="Times New Roman" w:cs="Times New Roman" w:eastAsia="Times New Roman" w:hAnsi="Times New Roman"/>
          <w:sz w:val="18"/>
          <w:szCs w:val="18"/>
          <w:b w:val="1"/>
          <w:bCs w:val="1"/>
          <w:color w:val="auto"/>
        </w:rPr>
      </w:pPr>
    </w:p>
    <w:p>
      <w:pPr>
        <w:ind w:left="1620" w:hanging="539"/>
        <w:spacing w:after="0"/>
        <w:tabs>
          <w:tab w:leader="none" w:pos="162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expiration thereof;</w:t>
      </w:r>
    </w:p>
    <w:p>
      <w:pPr>
        <w:spacing w:after="0" w:line="190" w:lineRule="exact"/>
        <w:rPr>
          <w:rFonts w:ascii="Times New Roman" w:cs="Times New Roman" w:eastAsia="Times New Roman" w:hAnsi="Times New Roman"/>
          <w:sz w:val="18"/>
          <w:szCs w:val="18"/>
          <w:color w:val="auto"/>
        </w:rPr>
      </w:pPr>
    </w:p>
    <w:p>
      <w:pPr>
        <w:ind w:left="1620" w:hanging="539"/>
        <w:spacing w:after="0" w:line="283" w:lineRule="auto"/>
        <w:tabs>
          <w:tab w:leader="none" w:pos="1615"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termination of the optionee’s employment with, or provision of services to, the Company by the Company for Cause (as hereinafter defined);</w:t>
      </w:r>
    </w:p>
    <w:p>
      <w:pPr>
        <w:spacing w:after="0" w:line="125"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date of voluntary termination of the optionee’s employment with, or provision of services to, the Company by the</w:t>
      </w:r>
    </w:p>
    <w:p>
      <w:pPr>
        <w:sectPr>
          <w:pgSz w:w="11900" w:h="16838" w:orient="portrait"/>
          <w:cols w:equalWidth="0" w:num="1">
            <w:col w:w="11260"/>
          </w:cols>
          <w:pgMar w:left="320" w:top="1214" w:right="319" w:bottom="1440" w:gutter="0" w:footer="0" w:header="0"/>
        </w:sectPr>
      </w:pPr>
    </w:p>
    <w:bookmarkStart w:id="425" w:name="page426"/>
    <w:bookmarkEnd w:id="425"/>
    <w:p>
      <w:pPr>
        <w:ind w:left="1620"/>
        <w:spacing w:after="0"/>
        <w:rPr>
          <w:sz w:val="20"/>
          <w:szCs w:val="20"/>
          <w:color w:val="auto"/>
        </w:rPr>
      </w:pPr>
      <w:r>
        <w:rPr>
          <w:rFonts w:ascii="Times New Roman" w:cs="Times New Roman" w:eastAsia="Times New Roman" w:hAnsi="Times New Roman"/>
          <w:sz w:val="18"/>
          <w:szCs w:val="18"/>
          <w:color w:val="auto"/>
        </w:rPr>
        <w:t>optionee (other than for death or permanent disability as defined below); or</w:t>
      </w:r>
    </w:p>
    <w:p>
      <w:pPr>
        <w:spacing w:after="0" w:line="191" w:lineRule="exact"/>
        <w:rPr>
          <w:sz w:val="20"/>
          <w:szCs w:val="20"/>
          <w:color w:val="auto"/>
        </w:rPr>
      </w:pPr>
    </w:p>
    <w:p>
      <w:pPr>
        <w:ind w:left="1620" w:hanging="539"/>
        <w:spacing w:after="0" w:line="283" w:lineRule="auto"/>
        <w:tabs>
          <w:tab w:leader="none" w:pos="161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date of termination of the optionee’s employment with, or provision of services to, the Company by the Company without Cause (other than for death or permanent disability as defined below).</w:t>
      </w:r>
    </w:p>
    <w:p>
      <w:pPr>
        <w:spacing w:after="0" w:line="125" w:lineRule="exact"/>
        <w:rPr>
          <w:sz w:val="20"/>
          <w:szCs w:val="20"/>
          <w:color w:val="auto"/>
        </w:rPr>
      </w:pPr>
    </w:p>
    <w:p>
      <w:pPr>
        <w:ind w:right="540" w:firstLine="545"/>
        <w:spacing w:after="0" w:line="283" w:lineRule="auto"/>
        <w:rPr>
          <w:sz w:val="20"/>
          <w:szCs w:val="20"/>
          <w:color w:val="auto"/>
        </w:rPr>
      </w:pPr>
      <w:r>
        <w:rPr>
          <w:rFonts w:ascii="Times New Roman" w:cs="Times New Roman" w:eastAsia="Times New Roman" w:hAnsi="Times New Roman"/>
          <w:sz w:val="18"/>
          <w:szCs w:val="18"/>
          <w:color w:val="auto"/>
        </w:rPr>
        <w:t>Until the date on which the Option so expires, the optionee may exercise that portion of his or her Option which is exercisable at the time of termination of the employment or service relationship.</w:t>
      </w:r>
    </w:p>
    <w:p>
      <w:pPr>
        <w:spacing w:after="0" w:line="125" w:lineRule="exact"/>
        <w:rPr>
          <w:sz w:val="20"/>
          <w:szCs w:val="20"/>
          <w:color w:val="auto"/>
        </w:rPr>
      </w:pPr>
    </w:p>
    <w:p>
      <w:pPr>
        <w:ind w:right="220" w:firstLine="545"/>
        <w:spacing w:after="0" w:line="261" w:lineRule="auto"/>
        <w:rPr>
          <w:sz w:val="20"/>
          <w:szCs w:val="20"/>
          <w:color w:val="auto"/>
        </w:rPr>
      </w:pPr>
      <w:r>
        <w:rPr>
          <w:rFonts w:ascii="Times New Roman" w:cs="Times New Roman" w:eastAsia="Times New Roman" w:hAnsi="Times New Roman"/>
          <w:sz w:val="18"/>
          <w:szCs w:val="18"/>
          <w:color w:val="auto"/>
        </w:rPr>
        <w:t>An employment or service relationship between the Company and the optionee shall be deemed to exist during any period during which the optionee is employed by or providing services to the Company. Whether an authorized leave of absence or an absence due to military or government service shall constitute termination of the employment relationship between the Company and the optionee shall be determined by the Board at the time thereof.</w:t>
      </w:r>
    </w:p>
    <w:p>
      <w:pPr>
        <w:spacing w:after="0" w:line="144" w:lineRule="exact"/>
        <w:rPr>
          <w:sz w:val="20"/>
          <w:szCs w:val="20"/>
          <w:color w:val="auto"/>
        </w:rPr>
      </w:pPr>
    </w:p>
    <w:p>
      <w:pPr>
        <w:ind w:right="100" w:firstLine="545"/>
        <w:spacing w:after="0" w:line="256" w:lineRule="auto"/>
        <w:rPr>
          <w:sz w:val="20"/>
          <w:szCs w:val="20"/>
          <w:color w:val="auto"/>
        </w:rPr>
      </w:pPr>
      <w:r>
        <w:rPr>
          <w:rFonts w:ascii="Times New Roman" w:cs="Times New Roman" w:eastAsia="Times New Roman" w:hAnsi="Times New Roman"/>
          <w:sz w:val="18"/>
          <w:szCs w:val="18"/>
          <w:color w:val="auto"/>
        </w:rPr>
        <w:t>For purposes of this Section 10,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any material breach by the optionee of any agreement to which the optionee and the Company are both parties, (b) any act (other than retirement) or omission to act by the optionee which may have a material and adverse effect on the Company’s business or on the optionee’s ability to perform services for the Company, including, without limitation, the commission of any crime (other than minor traffic violations), or (c) any material misconduct or material neglect of duties by the optionee in connection with the business or affairs of the Company. An optionee’s employment shall be deemed to have been terminated for Cause if the Company determines within thirty (30) days of the termination of employment (whether such termination was voluntary or involuntary) that termination for Cause was warranted.</w:t>
      </w:r>
    </w:p>
    <w:p>
      <w:pPr>
        <w:spacing w:after="0" w:line="152" w:lineRule="exact"/>
        <w:rPr>
          <w:sz w:val="20"/>
          <w:szCs w:val="20"/>
          <w:color w:val="auto"/>
        </w:rPr>
      </w:pPr>
    </w:p>
    <w:p>
      <w:pPr>
        <w:ind w:right="100" w:firstLine="545"/>
        <w:spacing w:after="0" w:line="254" w:lineRule="auto"/>
        <w:rPr>
          <w:sz w:val="20"/>
          <w:szCs w:val="20"/>
          <w:color w:val="auto"/>
        </w:rPr>
      </w:pPr>
      <w:r>
        <w:rPr>
          <w:rFonts w:ascii="Times New Roman" w:cs="Times New Roman" w:eastAsia="Times New Roman" w:hAnsi="Times New Roman"/>
          <w:sz w:val="18"/>
          <w:szCs w:val="18"/>
          <w:color w:val="auto"/>
        </w:rPr>
        <w:t>In the event of the permanent and total disability or death of an optionee while in an employment or other relationship with the Company, any Option held by such optionee shall terminate on the earlier of the date of expiration of the Option or 180 days following the date of such disability or death. After disability or death, the optionee (or in the case of death, his or her executor, administrator or any person or persons to whom this option may be transferred by will or by laws of descent and distribution) shall have the right, at any time prior to such termination of an Option , to exercise the Option to the extent the optionee was entitled to exercise such Option as of the date of his or her disability or death. An optionee is permanently and totally disabled if he or she is unable to engage in any substantial gainful activity by reason of any medically determinable physical or mental impairment which can be expected to last for a continuous period of not less than 12 months; permanent and total disability shall be determined in accordance with Section 22(e)(3) of the Code and the regulations issued thereunder.</w:t>
      </w:r>
    </w:p>
    <w:p>
      <w:pPr>
        <w:spacing w:after="0" w:line="152" w:lineRule="exact"/>
        <w:rPr>
          <w:sz w:val="20"/>
          <w:szCs w:val="20"/>
          <w:color w:val="auto"/>
        </w:rPr>
      </w:pPr>
    </w:p>
    <w:p>
      <w:pPr>
        <w:ind w:right="240" w:firstLine="536"/>
        <w:spacing w:after="0" w:line="269" w:lineRule="auto"/>
        <w:tabs>
          <w:tab w:leader="none" w:pos="108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a Shareholder. </w:t>
      </w:r>
      <w:r>
        <w:rPr>
          <w:rFonts w:ascii="Times New Roman" w:cs="Times New Roman" w:eastAsia="Times New Roman" w:hAnsi="Times New Roman"/>
          <w:sz w:val="18"/>
          <w:szCs w:val="18"/>
          <w:color w:val="auto"/>
        </w:rPr>
        <w:t>The holder of an Option shall have no rights as a shareholder with respect to any shares covered by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any rights to receive dividends or non-cash distributions with respect to such shares) until the date of issue of a stock certificate to him or her for such shares. No adjustment shall be made for</w:t>
      </w:r>
    </w:p>
    <w:p>
      <w:pPr>
        <w:sectPr>
          <w:pgSz w:w="11900" w:h="16838" w:orient="portrait"/>
          <w:cols w:equalWidth="0" w:num="1">
            <w:col w:w="11260"/>
          </w:cols>
          <w:pgMar w:left="320" w:top="1218" w:right="31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color w:val="auto"/>
        </w:rPr>
        <w:t>dividends or other rights for which the record date is prior to the date such stock certificate is issued.</w:t>
      </w:r>
    </w:p>
    <w:p>
      <w:pPr>
        <w:spacing w:after="0" w:line="187" w:lineRule="exact"/>
        <w:rPr>
          <w:sz w:val="20"/>
          <w:szCs w:val="20"/>
          <w:color w:val="auto"/>
        </w:rPr>
      </w:pPr>
    </w:p>
    <w:p>
      <w:pPr>
        <w:ind w:right="40" w:firstLine="536"/>
        <w:spacing w:after="0" w:line="257" w:lineRule="auto"/>
        <w:tabs>
          <w:tab w:leader="none" w:pos="109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Provisions. </w:t>
      </w:r>
      <w:r>
        <w:rPr>
          <w:rFonts w:ascii="Times New Roman" w:cs="Times New Roman" w:eastAsia="Times New Roman" w:hAnsi="Times New Roman"/>
          <w:sz w:val="18"/>
          <w:szCs w:val="18"/>
          <w:color w:val="auto"/>
        </w:rPr>
        <w:t>The Board of Directors may, in its sole discretion, include additional provisions in Restricted Stock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Option Agreements, including, without limitation, restrictions on transfer, rights of the Company to repurchase shares of Restricted Stock or shares of Class A Common Stock acquired upon exercise of Options, commitments to pay cash bonuses, to make, arrange for or guaranty loans or to transfer other property to optionees upon exercise of Options, or such other provisions as shall be determined by the Board of Directors;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additional provisions shall not be inconsistent with any other term or condition of the Plan and such additional provisions shall not be such as to cause any Incentive Stock Option to fail to qualify as an Incentive Stock Option within the meaning of Section 422 of the Code.</w:t>
      </w:r>
    </w:p>
    <w:p>
      <w:pPr>
        <w:spacing w:after="0" w:line="146" w:lineRule="exact"/>
        <w:rPr>
          <w:rFonts w:ascii="Times New Roman" w:cs="Times New Roman" w:eastAsia="Times New Roman" w:hAnsi="Times New Roman"/>
          <w:sz w:val="18"/>
          <w:szCs w:val="18"/>
          <w:b w:val="1"/>
          <w:bCs w:val="1"/>
          <w:color w:val="auto"/>
        </w:rPr>
      </w:pPr>
    </w:p>
    <w:p>
      <w:pPr>
        <w:ind w:right="260" w:firstLine="536"/>
        <w:spacing w:after="0" w:line="269" w:lineRule="auto"/>
        <w:tabs>
          <w:tab w:leader="none" w:pos="109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Acceleration, Extension, Etc. </w:t>
      </w:r>
      <w:r>
        <w:rPr>
          <w:rFonts w:ascii="Times New Roman" w:cs="Times New Roman" w:eastAsia="Times New Roman" w:hAnsi="Times New Roman"/>
          <w:sz w:val="18"/>
          <w:szCs w:val="18"/>
          <w:color w:val="auto"/>
        </w:rPr>
        <w:t>The Board of Directors may, in its sole discretion, (i) accelerate the date or dates on which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Option or Options may be exercised or (ii) extend the period or periods of time during which all, or any particular, Option or Options may be exercised.</w:t>
      </w:r>
    </w:p>
    <w:p>
      <w:pPr>
        <w:spacing w:after="0" w:line="133" w:lineRule="exact"/>
        <w:rPr>
          <w:rFonts w:ascii="Times New Roman" w:cs="Times New Roman" w:eastAsia="Times New Roman" w:hAnsi="Times New Roman"/>
          <w:sz w:val="18"/>
          <w:szCs w:val="18"/>
          <w:b w:val="1"/>
          <w:bCs w:val="1"/>
          <w:color w:val="auto"/>
        </w:rPr>
      </w:pPr>
    </w:p>
    <w:p>
      <w:pPr>
        <w:ind w:left="1080" w:hanging="544"/>
        <w:spacing w:after="0"/>
        <w:tabs>
          <w:tab w:leader="none" w:pos="108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Upon Changes in Capitalization</w:t>
      </w:r>
    </w:p>
    <w:p>
      <w:pPr>
        <w:spacing w:after="0" w:line="191" w:lineRule="exact"/>
        <w:rPr>
          <w:sz w:val="20"/>
          <w:szCs w:val="20"/>
          <w:color w:val="auto"/>
        </w:rPr>
      </w:pPr>
    </w:p>
    <w:p>
      <w:pPr>
        <w:ind w:right="20" w:firstLine="1090"/>
        <w:spacing w:after="0" w:line="259"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No Effect of Options upon Certain Corporate Transactions.</w:t>
      </w:r>
      <w:r>
        <w:rPr>
          <w:rFonts w:ascii="Times New Roman" w:cs="Times New Roman" w:eastAsia="Times New Roman" w:hAnsi="Times New Roman"/>
          <w:sz w:val="18"/>
          <w:szCs w:val="18"/>
          <w:color w:val="auto"/>
        </w:rPr>
        <w:t xml:space="preserve"> The existence of outstanding Options shall not affect in any way the right or power of the Company to make or authorize any or all adjustments, recapitalizations, reorganizations or other changes in the Company’s capital structure or its business, or any merger or consolidation, or any issue of Class A Common Stock, or any issue of bonds, debentures, preferred or prior preference stock ahead of or affecting the Class A Common Stock or the rights thereof, or the dissolution or liquidation of the Company, or any sale or transfer of all or any part of its assets or business, or any other corporate act or proceeding, whether of a similar character or otherwise.</w:t>
      </w:r>
    </w:p>
    <w:p>
      <w:pPr>
        <w:spacing w:after="0" w:line="144" w:lineRule="exact"/>
        <w:rPr>
          <w:sz w:val="20"/>
          <w:szCs w:val="20"/>
          <w:color w:val="auto"/>
        </w:rPr>
      </w:pPr>
    </w:p>
    <w:p>
      <w:pPr>
        <w:ind w:firstLine="1090"/>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color w:val="auto"/>
        </w:rPr>
        <w:t>Adjustment Provisions.</w:t>
      </w:r>
      <w:r>
        <w:rPr>
          <w:rFonts w:ascii="Times New Roman" w:cs="Times New Roman" w:eastAsia="Times New Roman" w:hAnsi="Times New Roman"/>
          <w:sz w:val="18"/>
          <w:szCs w:val="18"/>
          <w:color w:val="auto"/>
        </w:rPr>
        <w:t xml:space="preserve"> If, through or as a result of any merger, consolidation, sale of all or substantially all of the assets of the Company, reorganization, recapitalization, reclassification, stock dividend, stock split, reverse stock split or other similar transaction, (i) the outstanding shares of Class A Common Stock are increased, decreased or exchanged for a different number or kind of shares or other securities of the Company, or (ii) additional shares or new or different shares or other securities of the Company or other non-cash assets are distributed with respect to such shares of Class A Common Stock or other securities, an appropriate and proportionate adjustment shall be made in (x) the maximum number and kind of shares reserved for issuance under the Plan, (y) the number and kind of shares or other securities subject to any then outstanding Options, and (z) the price for each share or other security subject to any then outstanding Options, so that upon exercise of such Options, in lieu of the shares of Class A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Class A Common Stock immediately prior to the event requiring adjustment would own as a result of the event. If any such event shall occur, appropriate</w:t>
      </w:r>
    </w:p>
    <w:p>
      <w:pPr>
        <w:sectPr>
          <w:pgSz w:w="11900" w:h="16838" w:orient="portrait"/>
          <w:cols w:equalWidth="0" w:num="1">
            <w:col w:w="11240"/>
          </w:cols>
          <w:pgMar w:left="320" w:top="1218" w:right="339" w:bottom="1440" w:gutter="0" w:footer="0" w:header="0"/>
        </w:sectPr>
      </w:pPr>
    </w:p>
    <w:bookmarkStart w:id="427" w:name="page428"/>
    <w:bookmarkEnd w:id="427"/>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adjustment shall also be made in the application of the provisions of this Section 14 and Section 15 with respect to Options and the rights of optionees after the event so that the provisions of such Sections shall be applicable after the event and be as nearly equivalent as practicable in operation after the event as they were before the event.</w:t>
      </w:r>
    </w:p>
    <w:p>
      <w:pPr>
        <w:spacing w:after="0" w:line="137" w:lineRule="exact"/>
        <w:rPr>
          <w:sz w:val="20"/>
          <w:szCs w:val="20"/>
          <w:color w:val="auto"/>
        </w:rPr>
      </w:pPr>
    </w:p>
    <w:p>
      <w:pPr>
        <w:ind w:right="80" w:firstLine="1090"/>
        <w:spacing w:after="0" w:line="259"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b w:val="1"/>
          <w:bCs w:val="1"/>
          <w:color w:val="auto"/>
        </w:rPr>
        <w:t>No Adjustment in Certain Cases.</w:t>
      </w:r>
      <w:r>
        <w:rPr>
          <w:rFonts w:ascii="Times New Roman" w:cs="Times New Roman" w:eastAsia="Times New Roman" w:hAnsi="Times New Roman"/>
          <w:sz w:val="18"/>
          <w:szCs w:val="18"/>
          <w:color w:val="auto"/>
        </w:rPr>
        <w:t xml:space="preserve"> Except as hereinbefore expressly provided, the issue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price of shares of Class A Common Stock then subject to outstanding options.</w:t>
      </w:r>
    </w:p>
    <w:p>
      <w:pPr>
        <w:spacing w:after="0" w:line="144" w:lineRule="exact"/>
        <w:rPr>
          <w:sz w:val="20"/>
          <w:szCs w:val="20"/>
          <w:color w:val="auto"/>
        </w:rPr>
      </w:pPr>
    </w:p>
    <w:p>
      <w:pPr>
        <w:ind w:right="120" w:firstLine="1090"/>
        <w:spacing w:after="0" w:line="269"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b w:val="1"/>
          <w:bCs w:val="1"/>
          <w:color w:val="auto"/>
        </w:rPr>
        <w:t>Board Authority to Make Adjustments.</w:t>
      </w:r>
      <w:r>
        <w:rPr>
          <w:rFonts w:ascii="Times New Roman" w:cs="Times New Roman" w:eastAsia="Times New Roman" w:hAnsi="Times New Roman"/>
          <w:sz w:val="18"/>
          <w:szCs w:val="18"/>
          <w:color w:val="auto"/>
        </w:rPr>
        <w:t xml:space="preserve"> Any adjustments under this Section 14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133" w:lineRule="exact"/>
        <w:rPr>
          <w:sz w:val="20"/>
          <w:szCs w:val="20"/>
          <w:color w:val="auto"/>
        </w:rPr>
      </w:pPr>
    </w:p>
    <w:p>
      <w:pPr>
        <w:ind w:left="1080" w:hanging="544"/>
        <w:spacing w:after="0"/>
        <w:tabs>
          <w:tab w:leader="none" w:pos="108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Certain Transactions</w:t>
      </w:r>
    </w:p>
    <w:p>
      <w:pPr>
        <w:spacing w:after="0" w:line="191" w:lineRule="exact"/>
        <w:rPr>
          <w:sz w:val="20"/>
          <w:szCs w:val="20"/>
          <w:color w:val="auto"/>
        </w:rPr>
      </w:pPr>
    </w:p>
    <w:p>
      <w:pPr>
        <w:ind w:firstLine="1090"/>
        <w:spacing w:after="0" w:line="25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Except as provided in any Option Agreement or Restricted Stock Agreement to the contrary, if the Company is merged with or into or consolidated with another corporation under circumstances where the stockholders of the Company immediately prior to such merger or consolidation do not own after such merger or consolidation shares representing at least fifty percent (50%) of the voting power of the Company or the surviving or resulting corporation, as the case may be, or if shares representing fifty percent (50%) or more of the voting power of the Company are transferred to an Unrelated Third Party, as hereinafter defined, or if the Company is liquidated, or sells or otherwise disposes of all or substantially all its assets (each such transaction is referred to herein as a “</w:t>
      </w:r>
      <w:r>
        <w:rPr>
          <w:rFonts w:ascii="Times New Roman" w:cs="Times New Roman" w:eastAsia="Times New Roman" w:hAnsi="Times New Roman"/>
          <w:sz w:val="18"/>
          <w:szCs w:val="18"/>
          <w:u w:val="single" w:color="auto"/>
          <w:color w:val="auto"/>
        </w:rPr>
        <w:t>Change in Control Transaction</w:t>
      </w:r>
      <w:r>
        <w:rPr>
          <w:rFonts w:ascii="Times New Roman" w:cs="Times New Roman" w:eastAsia="Times New Roman" w:hAnsi="Times New Roman"/>
          <w:sz w:val="18"/>
          <w:szCs w:val="18"/>
          <w:color w:val="auto"/>
        </w:rPr>
        <w:t xml:space="preserve">”), the Board, or the board of directors of any corporation assuming the obligations of the Company, may, in its discretion, take any one or more of the following actions, as to some or all outstanding Options or Restricted Stock Awards (and need not take the same action as to each such Option or Restricted Stock Award): (i) provide that such Options shall be assumed, or equivalent Options shall be substituted, by the acquiring or succeeding corporation (or an affiliate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Options substituted for Incentive Stock Options shall meet the requirements of Section 424(a) of the Code, (ii) upon written notice to the optionees, provide that all unexercised Options (whether vested or unvested) will terminate immediately prior to the consummation of the Change in Control Transaction unless exercised by the optionee to the extent otherwise then exercisable within a specified period following the date of such notice, (iii) 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Class A Common Stock will receive upon consummation of the Change in Control Transaction (the “</w:t>
      </w:r>
      <w:r>
        <w:rPr>
          <w:rFonts w:ascii="Times New Roman" w:cs="Times New Roman" w:eastAsia="Times New Roman" w:hAnsi="Times New Roman"/>
          <w:sz w:val="18"/>
          <w:szCs w:val="18"/>
          <w:u w:val="single" w:color="auto"/>
          <w:color w:val="auto"/>
        </w:rPr>
        <w:t>Per Share Transaction Price</w:t>
      </w:r>
      <w:r>
        <w:rPr>
          <w:rFonts w:ascii="Times New Roman" w:cs="Times New Roman" w:eastAsia="Times New Roman" w:hAnsi="Times New Roman"/>
          <w:sz w:val="18"/>
          <w:szCs w:val="18"/>
          <w:color w:val="auto"/>
        </w:rPr>
        <w:t>”) times the number of shares of Class A Common Stock subject to outstanding vested Options (to the</w:t>
      </w:r>
    </w:p>
    <w:p>
      <w:pPr>
        <w:sectPr>
          <w:pgSz w:w="11900" w:h="16838" w:orient="portrait"/>
          <w:cols w:equalWidth="0" w:num="1">
            <w:col w:w="11260"/>
          </w:cols>
          <w:pgMar w:left="320" w:top="1218" w:right="319" w:bottom="1440" w:gutter="0" w:footer="0" w:header="0"/>
        </w:sectPr>
      </w:pPr>
    </w:p>
    <w:bookmarkStart w:id="428" w:name="page429"/>
    <w:bookmarkEnd w:id="428"/>
    <w:p>
      <w:pPr>
        <w:spacing w:after="0" w:line="256" w:lineRule="auto"/>
        <w:rPr>
          <w:sz w:val="20"/>
          <w:szCs w:val="20"/>
          <w:color w:val="auto"/>
        </w:rPr>
      </w:pPr>
      <w:r>
        <w:rPr>
          <w:rFonts w:ascii="Times New Roman" w:cs="Times New Roman" w:eastAsia="Times New Roman" w:hAnsi="Times New Roman"/>
          <w:sz w:val="18"/>
          <w:szCs w:val="18"/>
          <w:color w:val="auto"/>
        </w:rPr>
        <w:t>extent then exercisable at prices not equal to or in excess of the Per Share Transaction Price) and (B) the aggregate exercise price of such outstanding vested Options, in exchange for the termination of such Options, or (v) provide that all or any outstanding Options shall become exercisable and all or any outstanding Restricted Stock Awards shall vest in part or in full immediately prior to such event. To the extent that any Options are exercisable at a price equal to or in excess of the Per Share Transaction Price, the Board may provide that such Options shall terminate immediately upon the consummation of the Change in Control Transaction without any payment being made to the holders of such Options. “</w:t>
      </w:r>
      <w:r>
        <w:rPr>
          <w:rFonts w:ascii="Times New Roman" w:cs="Times New Roman" w:eastAsia="Times New Roman" w:hAnsi="Times New Roman"/>
          <w:sz w:val="18"/>
          <w:szCs w:val="18"/>
          <w:u w:val="single" w:color="auto"/>
          <w:color w:val="auto"/>
        </w:rPr>
        <w:t>Unrelated Third Party</w:t>
      </w:r>
      <w:r>
        <w:rPr>
          <w:rFonts w:ascii="Times New Roman" w:cs="Times New Roman" w:eastAsia="Times New Roman" w:hAnsi="Times New Roman"/>
          <w:sz w:val="18"/>
          <w:szCs w:val="18"/>
          <w:color w:val="auto"/>
        </w:rPr>
        <w:t>” shall mean any person who is not, on the date of adoption of this Plan by the Board, a holder of stock of any class or preference or any stock option of the Company</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20" w:firstLine="1090"/>
        <w:spacing w:after="0" w:line="259"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Substitute Options.</w:t>
      </w:r>
      <w:r>
        <w:rPr>
          <w:rFonts w:ascii="Times New Roman" w:cs="Times New Roman" w:eastAsia="Times New Roman" w:hAnsi="Times New Roman"/>
          <w:sz w:val="18"/>
          <w:szCs w:val="18"/>
          <w:color w:val="auto"/>
        </w:rPr>
        <w:t xml:space="preserve"> The Company may grant Options in substitution for options held by employees, officers or directors of, or consultants or advisors to, another corporation who become employees, officers or directors of, or consultants or advisors to, the Company, as the result of a merger or consolidation of the employing corporation with the Company or as a result of the acquisition by the Company of property or stock of the employing corporation. The Company may direct that substitute Options be granted on such terms and conditions as the Board considers appropriate in the circumstances.</w:t>
      </w:r>
    </w:p>
    <w:p>
      <w:pPr>
        <w:spacing w:after="0" w:line="144" w:lineRule="exact"/>
        <w:rPr>
          <w:sz w:val="20"/>
          <w:szCs w:val="20"/>
          <w:color w:val="auto"/>
        </w:rPr>
      </w:pPr>
    </w:p>
    <w:p>
      <w:pPr>
        <w:ind w:right="280" w:firstLine="1090"/>
        <w:spacing w:after="0" w:line="262"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In the event of a business combination or other transaction of the type detailed in Section 15.1, any securities, cash or other property received in exchange for shares of Restricted Stock shall continue to be governed by the provisions of any Restricted Stock Agreement pursuant to which they were issued, including any provision regarding vesting, and such securities, cash, or other property may be held in escrow on such terms as the Board of Directors may direct, to insure compliance with the terms of any such Restricted Stock Agreement.</w:t>
      </w:r>
    </w:p>
    <w:p>
      <w:pPr>
        <w:spacing w:after="0" w:line="141" w:lineRule="exact"/>
        <w:rPr>
          <w:sz w:val="20"/>
          <w:szCs w:val="20"/>
          <w:color w:val="auto"/>
        </w:rPr>
      </w:pPr>
    </w:p>
    <w:p>
      <w:pPr>
        <w:jc w:val="both"/>
        <w:ind w:right="200" w:firstLine="536"/>
        <w:spacing w:after="0" w:line="269" w:lineRule="auto"/>
        <w:tabs>
          <w:tab w:leader="none" w:pos="109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Special Employment Rights. </w:t>
      </w:r>
      <w:r>
        <w:rPr>
          <w:rFonts w:ascii="Times New Roman" w:cs="Times New Roman" w:eastAsia="Times New Roman" w:hAnsi="Times New Roman"/>
          <w:sz w:val="18"/>
          <w:szCs w:val="18"/>
          <w:color w:val="auto"/>
        </w:rPr>
        <w:t>Nothing contained in the Plan or in any Option Agreement or Restricted Stock Agreement shall confer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optionee or holder of Restricted Stock any right with respect to the continuation of his or her employment by the Company or interfere in any way with the right of the Company at any time to terminate such employment or to increase or decrease his or her compensation.</w:t>
      </w:r>
    </w:p>
    <w:p>
      <w:pPr>
        <w:spacing w:after="0" w:line="133" w:lineRule="exact"/>
        <w:rPr>
          <w:rFonts w:ascii="Times New Roman" w:cs="Times New Roman" w:eastAsia="Times New Roman" w:hAnsi="Times New Roman"/>
          <w:sz w:val="18"/>
          <w:szCs w:val="18"/>
          <w:b w:val="1"/>
          <w:bCs w:val="1"/>
          <w:color w:val="auto"/>
        </w:rPr>
      </w:pPr>
    </w:p>
    <w:p>
      <w:pPr>
        <w:ind w:right="20" w:firstLine="536"/>
        <w:spacing w:after="0" w:line="259" w:lineRule="auto"/>
        <w:tabs>
          <w:tab w:leader="none" w:pos="109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Employee Benefits. </w:t>
      </w:r>
      <w:r>
        <w:rPr>
          <w:rFonts w:ascii="Times New Roman" w:cs="Times New Roman" w:eastAsia="Times New Roman" w:hAnsi="Times New Roman"/>
          <w:sz w:val="18"/>
          <w:szCs w:val="18"/>
          <w:color w:val="auto"/>
        </w:rPr>
        <w:t>The amount of any compensation deemed to be received by an employee as a result of the issuance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or the grant or exercise of an Option or the sale of shares received upon issuance of a Restricted Stock Award or exercise of an Option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43" w:lineRule="exact"/>
        <w:rPr>
          <w:rFonts w:ascii="Times New Roman" w:cs="Times New Roman" w:eastAsia="Times New Roman" w:hAnsi="Times New Roman"/>
          <w:sz w:val="18"/>
          <w:szCs w:val="18"/>
          <w:b w:val="1"/>
          <w:bCs w:val="1"/>
          <w:color w:val="auto"/>
        </w:rPr>
      </w:pPr>
    </w:p>
    <w:p>
      <w:pPr>
        <w:ind w:left="1080" w:hanging="544"/>
        <w:spacing w:after="0"/>
        <w:tabs>
          <w:tab w:leader="none" w:pos="108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Plan.</w:t>
      </w:r>
    </w:p>
    <w:p>
      <w:pPr>
        <w:spacing w:after="0" w:line="195" w:lineRule="exact"/>
        <w:rPr>
          <w:sz w:val="20"/>
          <w:szCs w:val="20"/>
          <w:color w:val="auto"/>
        </w:rPr>
      </w:pPr>
    </w:p>
    <w:p>
      <w:pPr>
        <w:ind w:right="40" w:firstLine="1090"/>
        <w:spacing w:after="0" w:line="283" w:lineRule="auto"/>
        <w:rPr>
          <w:sz w:val="20"/>
          <w:szCs w:val="20"/>
          <w:color w:val="auto"/>
        </w:rPr>
      </w:pPr>
      <w:r>
        <w:rPr>
          <w:rFonts w:ascii="Times New Roman" w:cs="Times New Roman" w:eastAsia="Times New Roman" w:hAnsi="Times New Roman"/>
          <w:sz w:val="18"/>
          <w:szCs w:val="18"/>
          <w:color w:val="auto"/>
        </w:rPr>
        <w:t>18.1 The Board may at any time, and from time to time, modify or amend in any respect or terminate the Plan. If shareholder approval is not obtained within twelve months after any amendment increasing the number of shares authorized under the Plan or changing the</w:t>
      </w:r>
    </w:p>
    <w:p>
      <w:pPr>
        <w:sectPr>
          <w:pgSz w:w="11900" w:h="16838" w:orient="portrait"/>
          <w:cols w:equalWidth="0" w:num="1">
            <w:col w:w="11240"/>
          </w:cols>
          <w:pgMar w:left="320" w:top="1218" w:right="339" w:bottom="1440" w:gutter="0" w:footer="0" w:header="0"/>
        </w:sectPr>
      </w:pPr>
    </w:p>
    <w:bookmarkStart w:id="429" w:name="page430"/>
    <w:bookmarkEnd w:id="429"/>
    <w:p>
      <w:pPr>
        <w:ind w:right="560"/>
        <w:spacing w:after="0" w:line="283" w:lineRule="auto"/>
        <w:rPr>
          <w:sz w:val="20"/>
          <w:szCs w:val="20"/>
          <w:color w:val="auto"/>
        </w:rPr>
      </w:pPr>
      <w:r>
        <w:rPr>
          <w:rFonts w:ascii="Times New Roman" w:cs="Times New Roman" w:eastAsia="Times New Roman" w:hAnsi="Times New Roman"/>
          <w:sz w:val="18"/>
          <w:szCs w:val="18"/>
          <w:color w:val="auto"/>
        </w:rPr>
        <w:t>class of persons eligible to receive Options under the Plan, no Options granted pursuant to such amendments shall be deemed to be Incentive Stock Options and no Incentive Stock Options shall be issued pursuant to such amendments thereafter.</w:t>
      </w:r>
    </w:p>
    <w:p>
      <w:pPr>
        <w:spacing w:after="0" w:line="125" w:lineRule="exact"/>
        <w:rPr>
          <w:sz w:val="20"/>
          <w:szCs w:val="20"/>
          <w:color w:val="auto"/>
        </w:rPr>
      </w:pPr>
    </w:p>
    <w:p>
      <w:pPr>
        <w:ind w:right="100" w:firstLine="1090"/>
        <w:spacing w:after="0" w:line="261" w:lineRule="auto"/>
        <w:rPr>
          <w:sz w:val="20"/>
          <w:szCs w:val="20"/>
          <w:color w:val="auto"/>
        </w:rPr>
      </w:pPr>
      <w:r>
        <w:rPr>
          <w:rFonts w:ascii="Times New Roman" w:cs="Times New Roman" w:eastAsia="Times New Roman" w:hAnsi="Times New Roman"/>
          <w:sz w:val="18"/>
          <w:szCs w:val="18"/>
          <w:color w:val="auto"/>
        </w:rPr>
        <w:t>18.2 The termination or any modification or amendment of the Plan shall not, without the consent of an optionee or the holder of Restricted Stock, adversely affect his or her rights under an Option or Restricted Stock Award previously granted to him or her. With the consent of the recipient of Restricted Stock or optionee affected, the Board may amend outstanding Restricted Stock Agreements or Option Agreements in a manner not inconsistent with the Plan.</w:t>
      </w:r>
    </w:p>
    <w:p>
      <w:pPr>
        <w:spacing w:after="0" w:line="140" w:lineRule="exact"/>
        <w:rPr>
          <w:sz w:val="20"/>
          <w:szCs w:val="20"/>
          <w:color w:val="auto"/>
        </w:rPr>
      </w:pPr>
    </w:p>
    <w:p>
      <w:pPr>
        <w:ind w:firstLine="536"/>
        <w:spacing w:after="0" w:line="254" w:lineRule="auto"/>
        <w:tabs>
          <w:tab w:leader="none" w:pos="109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The Company shall have the right to deduct from payments of any kind otherwise due to the optionee or recipient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any federal, state or local taxes of any kind required by law to be withheld with respect to issuance of any shares of Restricted Stock or shares issued upon exercise of Options. Prior to delivery of any Class A Common Stock pursuant to the terms of this Plan, the Board has the right to require that the optionee or recipient of Restricted Stock remit to the Company an amount sufficient to satisfy any minimum tax withholding obligation. Subject to the prior approval of the Company, which may be withheld by the Company in its sole discretion, the obligor may elect to satisfy any minimum withholding obligations, in whole or in part, (i) by causing the Company to withhold shares of Class A Common Stock otherwise issuable, or (ii) by delivering to the Company a sufficient number of shares of Class A Common Stock. The shares so withheld shall have a fair market value equal to such minimum withholding obligation. The fair market value of the shares used to satisfy such minimum withholding obligation shall be determined by the Company as of the date that the amount of tax to be withheld is to be determined. A person who has made an election pursuant to this Section 19 may only satisfy his or her withholding obligation with shares of Class A Common Stock which are not subject to any repurchase, forfeiture, unfulfilled vesting or other similar restrictions.</w:t>
      </w:r>
    </w:p>
    <w:p>
      <w:pPr>
        <w:spacing w:after="0" w:line="145" w:lineRule="exact"/>
        <w:rPr>
          <w:rFonts w:ascii="Times New Roman" w:cs="Times New Roman" w:eastAsia="Times New Roman" w:hAnsi="Times New Roman"/>
          <w:sz w:val="18"/>
          <w:szCs w:val="18"/>
          <w:b w:val="1"/>
          <w:bCs w:val="1"/>
          <w:color w:val="auto"/>
        </w:rPr>
      </w:pPr>
    </w:p>
    <w:p>
      <w:pPr>
        <w:ind w:left="1080" w:hanging="544"/>
        <w:spacing w:after="0"/>
        <w:tabs>
          <w:tab w:leader="none" w:pos="108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Duration of the Plan.</w:t>
      </w:r>
    </w:p>
    <w:p>
      <w:pPr>
        <w:spacing w:after="0" w:line="191" w:lineRule="exact"/>
        <w:rPr>
          <w:sz w:val="20"/>
          <w:szCs w:val="20"/>
          <w:color w:val="auto"/>
        </w:rPr>
      </w:pPr>
    </w:p>
    <w:p>
      <w:pPr>
        <w:ind w:right="80" w:firstLine="1090"/>
        <w:spacing w:after="0" w:line="25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The Plan shall become effective when adopted by the Board of Directors. If shareholder approval is not obtained within twelve months after the date of the Board’s adoption of the Plan, no Options previously granted under the Plan shall be deemed to be Incentive Stock Options and no Incentive Stock Options shall be granted thereafter. Amendments to the Plan not requiring shareholder approval shall become effective when adopted by the Board. Amendments requiring shareholder approval shall become effective when adopted by the Board, but if shareholder approval is not obtained within twelve months of the Board’s adoption of such amendment, any Incentive Stock Options granted pursuant to such amendment shall be deemed to be non-statutory Options provided that such Options are authorized by the Plan. Subject to this limitation, Options may be granted under the Plan at any time after the effective date and before the date fixed for termination of the Plan.</w:t>
      </w:r>
    </w:p>
    <w:p>
      <w:pPr>
        <w:spacing w:after="0" w:line="147" w:lineRule="exact"/>
        <w:rPr>
          <w:sz w:val="20"/>
          <w:szCs w:val="20"/>
          <w:color w:val="auto"/>
        </w:rPr>
      </w:pPr>
    </w:p>
    <w:p>
      <w:pPr>
        <w:ind w:right="160" w:firstLine="1090"/>
        <w:spacing w:after="0" w:line="288"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Unless sooner terminated by action of the Board of Directors, the Plan shall terminate upon the close of business on the day next preceding the tenth anniversary of the date of its adoption by the Board of Directors.</w:t>
      </w:r>
    </w:p>
    <w:p>
      <w:pPr>
        <w:sectPr>
          <w:pgSz w:w="11900" w:h="16838" w:orient="portrait"/>
          <w:cols w:equalWidth="0" w:num="1">
            <w:col w:w="11260"/>
          </w:cols>
          <w:pgMar w:left="320" w:top="1218" w:right="319" w:bottom="1440" w:gutter="0" w:footer="0" w:header="0"/>
        </w:sectPr>
      </w:pPr>
    </w:p>
    <w:bookmarkStart w:id="430" w:name="page431"/>
    <w:bookmarkEnd w:id="430"/>
    <w:p>
      <w:pPr>
        <w:ind w:left="-536" w:right="160" w:firstLine="536"/>
        <w:spacing w:after="0" w:line="262" w:lineRule="auto"/>
        <w:tabs>
          <w:tab w:leader="none" w:pos="554"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 for Foreign Participants. </w:t>
      </w:r>
      <w:r>
        <w:rPr>
          <w:rFonts w:ascii="Times New Roman" w:cs="Times New Roman" w:eastAsia="Times New Roman" w:hAnsi="Times New Roman"/>
          <w:sz w:val="18"/>
          <w:szCs w:val="18"/>
          <w:color w:val="auto"/>
        </w:rPr>
        <w:t>The Board of Directors may, without amending the Plan, modify the terms of Option Agreements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Agreements to differ from those specified in the Plan with respect to participants who are foreign nationals or employed outside the United States to recognize differences in laws, rules, regulations or customs of such foreign jurisdictions with respect to tax, securities, currency, employee benefit or other matters.</w:t>
      </w:r>
    </w:p>
    <w:p>
      <w:pPr>
        <w:spacing w:after="0" w:line="141" w:lineRule="exact"/>
        <w:rPr>
          <w:rFonts w:ascii="Times New Roman" w:cs="Times New Roman" w:eastAsia="Times New Roman" w:hAnsi="Times New Roman"/>
          <w:sz w:val="18"/>
          <w:szCs w:val="18"/>
          <w:b w:val="1"/>
          <w:bCs w:val="1"/>
          <w:color w:val="auto"/>
        </w:rPr>
      </w:pPr>
    </w:p>
    <w:p>
      <w:pPr>
        <w:ind w:left="-536" w:firstLine="536"/>
        <w:spacing w:after="0" w:line="253" w:lineRule="auto"/>
        <w:tabs>
          <w:tab w:leader="none" w:pos="554"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Requirements of Law. </w:t>
      </w:r>
      <w:r>
        <w:rPr>
          <w:rFonts w:ascii="Times New Roman" w:cs="Times New Roman" w:eastAsia="Times New Roman" w:hAnsi="Times New Roman"/>
          <w:sz w:val="18"/>
          <w:szCs w:val="18"/>
          <w:color w:val="auto"/>
        </w:rPr>
        <w:t>The Company shall not be required to sell or issue any shares under any Option or Restricted Stock Award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such shares shall constitute a violation by the optionee, the Restricted Stock Award recipient, or by the Company of any provision of any law or regulation of any governmental authority. In addition, in connection with the Act, the Company shall not be required to issue any shares upon exercise of any Option unless the Company has received evidence satisfactory to it to the effect that the holder of such Option will not transfer such shares except pursuant to a registration statement in effect under the Act or unless an opinion of counsel satisfactory to the Company has been received by the Company to the effect that such registration is not required in connection with any such transfer. Any determination in this connection by the Board shall be final, binding and conclusive. In the event the shares issuable on exercise of an Option are not registered under the Act or under the securities laws of each relevant state or other jurisdiction, the Company may imprint on the certificate(s) appropriate legends that counsel for the Company considers necessary or advisable to comply with the Act or any such state or other securities law. The Company may register, but in no event shall be obligated to register, any securities covered by the Plan pursuant to the Act; and in the event any shares are so registered the Company may remove any legend on certificates representing such shares. The Company shall not be obligated to take any affirmative action in order to cause the exercise of an Option, the grant of any Restricted Stock Award or the issuance of shares pursuant thereto to comply with any law or regulation of any governmental authority.</w:t>
      </w:r>
    </w:p>
    <w:p>
      <w:pPr>
        <w:spacing w:after="0" w:line="152" w:lineRule="exact"/>
        <w:rPr>
          <w:rFonts w:ascii="Times New Roman" w:cs="Times New Roman" w:eastAsia="Times New Roman" w:hAnsi="Times New Roman"/>
          <w:sz w:val="18"/>
          <w:szCs w:val="18"/>
          <w:b w:val="1"/>
          <w:bCs w:val="1"/>
          <w:color w:val="auto"/>
        </w:rPr>
      </w:pPr>
    </w:p>
    <w:p>
      <w:pPr>
        <w:ind w:left="-536" w:right="120" w:firstLine="536"/>
        <w:spacing w:after="0" w:line="254" w:lineRule="auto"/>
        <w:tabs>
          <w:tab w:leader="none" w:pos="554"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Conversion of Incentive Stock Options into Non-Qualified Options; Termination. </w:t>
      </w:r>
      <w:r>
        <w:rPr>
          <w:rFonts w:ascii="Times New Roman" w:cs="Times New Roman" w:eastAsia="Times New Roman" w:hAnsi="Times New Roman"/>
          <w:sz w:val="18"/>
          <w:szCs w:val="18"/>
          <w:color w:val="auto"/>
        </w:rPr>
        <w:t>The Board of Directors, with the consent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may in its discretion take such actions as may be necessary to convert such optionee’s Incentive Stock Options (or any installments or portions of installments thereof) that have not been exercised on the date of conversion into non-statutory Options at any time prior to the expiration of such Incentive Stock Options, regardless of whether the optionee is an employee of the Company or a parent or subsidiary of the Company at the time of such conversion. At the time of such conversion, the Board of Directors (with the consent of the optionee) may impose such conditions on the exercise of the resulting non-statutory Options as the Board of Directors in its discretion may determine, provided that such conditions shall not be inconsistent with this Plan. Nothing in this Plan shall be deemed to give any optionee the right to have such optionee’s Incentive Stock Options converted into non-statutory Options, and no such conversion shall occur until and unless the Board of Directors takes appropriate action. The Board of Directors, with the consent of the optionee, may also terminate any portion of any Incentive Stock Option that has not been exercised at the time of such termination.</w:t>
      </w:r>
    </w:p>
    <w:p>
      <w:pPr>
        <w:spacing w:after="0" w:line="152" w:lineRule="exact"/>
        <w:rPr>
          <w:rFonts w:ascii="Times New Roman" w:cs="Times New Roman" w:eastAsia="Times New Roman" w:hAnsi="Times New Roman"/>
          <w:sz w:val="18"/>
          <w:szCs w:val="18"/>
          <w:b w:val="1"/>
          <w:bCs w:val="1"/>
          <w:color w:val="auto"/>
        </w:rPr>
      </w:pPr>
    </w:p>
    <w:p>
      <w:pPr>
        <w:ind w:left="-536" w:right="20" w:firstLine="536"/>
        <w:spacing w:after="0" w:line="288" w:lineRule="auto"/>
        <w:tabs>
          <w:tab w:leader="none" w:pos="554"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this Plan; Non-Uniform Determinations. </w:t>
      </w:r>
      <w:r>
        <w:rPr>
          <w:rFonts w:ascii="Times New Roman" w:cs="Times New Roman" w:eastAsia="Times New Roman" w:hAnsi="Times New Roman"/>
          <w:sz w:val="18"/>
          <w:szCs w:val="18"/>
          <w:color w:val="auto"/>
        </w:rPr>
        <w:t>Neither the adoption of this Plan by the Board of Directors nor the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by the stockholders</w:t>
      </w:r>
    </w:p>
    <w:p>
      <w:pPr>
        <w:sectPr>
          <w:pgSz w:w="11900" w:h="16838" w:orient="portrait"/>
          <w:cols w:equalWidth="0" w:num="1">
            <w:col w:w="10724"/>
          </w:cols>
          <w:pgMar w:left="856" w:top="1214" w:right="319" w:bottom="1440" w:gutter="0" w:footer="0" w:header="0"/>
        </w:sectPr>
      </w:pPr>
    </w:p>
    <w:bookmarkStart w:id="431" w:name="page432"/>
    <w:bookmarkEnd w:id="431"/>
    <w:p>
      <w:pPr>
        <w:ind w:right="40"/>
        <w:spacing w:after="0" w:line="266" w:lineRule="auto"/>
        <w:rPr>
          <w:sz w:val="20"/>
          <w:szCs w:val="20"/>
          <w:color w:val="auto"/>
        </w:rPr>
      </w:pPr>
      <w:r>
        <w:rPr>
          <w:rFonts w:ascii="Times New Roman" w:cs="Times New Roman" w:eastAsia="Times New Roman" w:hAnsi="Times New Roman"/>
          <w:sz w:val="18"/>
          <w:szCs w:val="18"/>
          <w:color w:val="auto"/>
        </w:rPr>
        <w:t>of the Company shall be construed as creating any limitations on the power of the Board of Directors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41"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8"/>
          <w:szCs w:val="18"/>
          <w:color w:val="auto"/>
        </w:rPr>
        <w:t>The determinations of the Board of Directors under this Plan need not be uniform and may be made by it selectively among persons who receive or are eligible to receive Options or Restricted Stock Awards under this Plan (whether or not such persons are similarly situated). Without limiting the generality of the foregoing, the Board of Directors shall be entitled, among other things, to make non-uniform and selective determinations, and to enter into non-uniform and selective Option Agreements and Restricted Stock Agreements, as to (a) the persons to receive Options or Restricted Stock Awards under this Plan, (b) the terms and provisions of Options or Restricted Stock Awards, (c) the exercise by the Board of Directors of its discretion in respect of the exercise of Options pursuant to the terms of this Plan, and (d) the treatment of leaves of absence pursuant to Section 10 hereof.</w:t>
      </w:r>
    </w:p>
    <w:p>
      <w:pPr>
        <w:spacing w:after="0" w:line="148" w:lineRule="exact"/>
        <w:rPr>
          <w:sz w:val="20"/>
          <w:szCs w:val="20"/>
          <w:color w:val="auto"/>
        </w:rPr>
      </w:pPr>
    </w:p>
    <w:p>
      <w:pPr>
        <w:ind w:right="920" w:firstLine="536"/>
        <w:spacing w:after="0" w:line="288" w:lineRule="auto"/>
        <w:tabs>
          <w:tab w:leader="none" w:pos="109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Plan and each Option or Restricted Stock Award shall be governed by the laws of the Commonwealth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Massachusetts, without regard to its principles of conflicts of law.</w:t>
      </w:r>
    </w:p>
    <w:p>
      <w:pPr>
        <w:sectPr>
          <w:pgSz w:w="11900" w:h="16838" w:orient="portrait"/>
          <w:cols w:equalWidth="0" w:num="1">
            <w:col w:w="11260"/>
          </w:cols>
          <w:pgMar w:left="320" w:top="1218" w:right="319" w:bottom="1440" w:gutter="0" w:footer="0" w:header="0"/>
        </w:sectPr>
      </w:pPr>
    </w:p>
    <w:bookmarkStart w:id="432" w:name="page433"/>
    <w:bookmarkEnd w:id="432"/>
    <w:p>
      <w:pPr>
        <w:jc w:val="center"/>
        <w:ind w:right="-108"/>
        <w:spacing w:after="0"/>
        <w:rPr>
          <w:sz w:val="20"/>
          <w:szCs w:val="20"/>
          <w:color w:val="auto"/>
        </w:rPr>
      </w:pPr>
      <w:r>
        <w:rPr>
          <w:rFonts w:ascii="Times New Roman" w:cs="Times New Roman" w:eastAsia="Times New Roman" w:hAnsi="Times New Roman"/>
          <w:sz w:val="18"/>
          <w:szCs w:val="18"/>
          <w:b w:val="1"/>
          <w:bCs w:val="1"/>
          <w:color w:val="auto"/>
        </w:rPr>
        <w:t>INCENTIVE STOCK OPTION</w:t>
      </w:r>
    </w:p>
    <w:p>
      <w:pPr>
        <w:spacing w:after="0" w:line="104"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8"/>
          <w:szCs w:val="18"/>
          <w:color w:val="auto"/>
        </w:rPr>
        <w:t>Granted by</w:t>
      </w:r>
    </w:p>
    <w:p>
      <w:pPr>
        <w:spacing w:after="0" w:line="100"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8"/>
          <w:szCs w:val="18"/>
          <w:color w:val="auto"/>
        </w:rPr>
        <w:t>Seer,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8"/>
          <w:szCs w:val="18"/>
          <w:color w:val="auto"/>
        </w:rPr>
        <w:t>Under the 2017 Stock Incentive Plan</w:t>
      </w:r>
    </w:p>
    <w:p>
      <w:pPr>
        <w:spacing w:after="0" w:line="372" w:lineRule="exact"/>
        <w:rPr>
          <w:sz w:val="20"/>
          <w:szCs w:val="20"/>
          <w:color w:val="auto"/>
        </w:rPr>
      </w:pPr>
    </w:p>
    <w:p>
      <w:pPr>
        <w:ind w:left="9" w:firstLine="545"/>
        <w:spacing w:after="0" w:line="256" w:lineRule="auto"/>
        <w:rPr>
          <w:sz w:val="20"/>
          <w:szCs w:val="20"/>
          <w:color w:val="auto"/>
        </w:rPr>
      </w:pPr>
      <w:r>
        <w:rPr>
          <w:rFonts w:ascii="Times New Roman" w:cs="Times New Roman" w:eastAsia="Times New Roman" w:hAnsi="Times New Roman"/>
          <w:sz w:val="18"/>
          <w:szCs w:val="18"/>
          <w:color w:val="auto"/>
        </w:rPr>
        <w:t>This Option is and shall be subject in every respect to the provisions of the Company’s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is incorporated herein by reference and made a part hereof. The holder of this Option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 Capitalized terms used but not otherwise defined in this Option shall have the respective meanings ascribed to such terms in the Plan.</w:t>
      </w:r>
    </w:p>
    <w:p>
      <w:pPr>
        <w:spacing w:after="0" w:line="148" w:lineRule="exact"/>
        <w:rPr>
          <w:sz w:val="20"/>
          <w:szCs w:val="20"/>
          <w:color w:val="auto"/>
        </w:rPr>
      </w:pPr>
    </w:p>
    <w:p>
      <w:pPr>
        <w:ind w:left="549" w:hanging="549"/>
        <w:spacing w:after="0"/>
        <w:tabs>
          <w:tab w:leader="none" w:pos="54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Name of Holder: </w:t>
      </w:r>
      <w:r>
        <w:rPr>
          <w:rFonts w:ascii="Times New Roman" w:cs="Times New Roman" w:eastAsia="Times New Roman" w:hAnsi="Times New Roman"/>
          <w:sz w:val="18"/>
          <w:szCs w:val="18"/>
          <w:color w:val="auto"/>
        </w:rPr>
        <w:t>[See Carta]</w:t>
      </w:r>
    </w:p>
    <w:p>
      <w:pPr>
        <w:spacing w:after="0" w:line="190"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Date of Grant: </w:t>
      </w:r>
      <w:r>
        <w:rPr>
          <w:rFonts w:ascii="Times New Roman" w:cs="Times New Roman" w:eastAsia="Times New Roman" w:hAnsi="Times New Roman"/>
          <w:sz w:val="18"/>
          <w:szCs w:val="18"/>
          <w:color w:val="auto"/>
        </w:rPr>
        <w:t>[See Carta]</w:t>
      </w:r>
    </w:p>
    <w:p>
      <w:pPr>
        <w:spacing w:after="0" w:line="190"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Start Date</w:t>
      </w:r>
      <w:r>
        <w:rPr>
          <w:rFonts w:ascii="Times New Roman" w:cs="Times New Roman" w:eastAsia="Times New Roman" w:hAnsi="Times New Roman"/>
          <w:sz w:val="18"/>
          <w:szCs w:val="18"/>
          <w:color w:val="auto"/>
        </w:rPr>
        <w:t>: [See Carta]</w:t>
      </w:r>
    </w:p>
    <w:p>
      <w:pPr>
        <w:spacing w:after="0" w:line="190"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Maximum number of shares for</w:t>
      </w:r>
    </w:p>
    <w:p>
      <w:pPr>
        <w:spacing w:after="0" w:line="32" w:lineRule="exact"/>
        <w:rPr>
          <w:rFonts w:ascii="Times New Roman" w:cs="Times New Roman" w:eastAsia="Times New Roman" w:hAnsi="Times New Roman"/>
          <w:sz w:val="18"/>
          <w:szCs w:val="18"/>
          <w:color w:val="auto"/>
        </w:rPr>
      </w:pPr>
    </w:p>
    <w:p>
      <w:pPr>
        <w:ind w:left="5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which this Option is exercisable: </w:t>
      </w:r>
      <w:r>
        <w:rPr>
          <w:rFonts w:ascii="Times New Roman" w:cs="Times New Roman" w:eastAsia="Times New Roman" w:hAnsi="Times New Roman"/>
          <w:sz w:val="18"/>
          <w:szCs w:val="18"/>
          <w:color w:val="auto"/>
        </w:rPr>
        <w:t>[See Carta]</w:t>
      </w:r>
    </w:p>
    <w:p>
      <w:pPr>
        <w:spacing w:after="0" w:line="166"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(purchase) price per share: </w:t>
      </w:r>
      <w:r>
        <w:rPr>
          <w:rFonts w:ascii="Times New Roman" w:cs="Times New Roman" w:eastAsia="Times New Roman" w:hAnsi="Times New Roman"/>
          <w:sz w:val="18"/>
          <w:szCs w:val="18"/>
          <w:color w:val="auto"/>
        </w:rPr>
        <w:t>$[See Carta]</w:t>
      </w:r>
    </w:p>
    <w:p>
      <w:pPr>
        <w:spacing w:after="0" w:line="190" w:lineRule="exact"/>
        <w:rPr>
          <w:rFonts w:ascii="Times New Roman" w:cs="Times New Roman" w:eastAsia="Times New Roman" w:hAnsi="Times New Roman"/>
          <w:sz w:val="18"/>
          <w:szCs w:val="18"/>
          <w:color w:val="auto"/>
        </w:rPr>
      </w:pPr>
    </w:p>
    <w:p>
      <w:pPr>
        <w:ind w:left="549" w:right="360" w:hanging="549"/>
        <w:spacing w:after="0" w:line="288" w:lineRule="auto"/>
        <w:tabs>
          <w:tab w:leader="none" w:pos="54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 of Exercise: </w:t>
      </w:r>
      <w:r>
        <w:rPr>
          <w:rFonts w:ascii="Times New Roman" w:cs="Times New Roman" w:eastAsia="Times New Roman" w:hAnsi="Times New Roman"/>
          <w:sz w:val="18"/>
          <w:szCs w:val="18"/>
          <w:color w:val="auto"/>
        </w:rPr>
        <w:t>This Option may be exercised by the delivery of written notice to the Company setting forth the number of shares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the Option is to be exercised, together with payment by one of the following methods:</w:t>
      </w:r>
    </w:p>
    <w:p>
      <w:pPr>
        <w:spacing w:after="0" w:line="121" w:lineRule="exact"/>
        <w:rPr>
          <w:sz w:val="20"/>
          <w:szCs w:val="20"/>
          <w:color w:val="auto"/>
        </w:rPr>
      </w:pPr>
    </w:p>
    <w:p>
      <w:pPr>
        <w:ind w:left="1089" w:right="680"/>
        <w:spacing w:after="0" w:line="283" w:lineRule="auto"/>
        <w:rPr>
          <w:sz w:val="20"/>
          <w:szCs w:val="20"/>
          <w:color w:val="auto"/>
        </w:rPr>
      </w:pPr>
      <w:r>
        <w:rPr>
          <w:rFonts w:ascii="Times New Roman" w:cs="Times New Roman" w:eastAsia="Times New Roman" w:hAnsi="Times New Roman"/>
          <w:sz w:val="18"/>
          <w:szCs w:val="18"/>
          <w:color w:val="auto"/>
        </w:rPr>
        <w:t>cash or a personal, certified or bank check or postal money order payable to the order of the Company for an amount equal to the exercise price of the shares being purchased; or</w:t>
      </w:r>
    </w:p>
    <w:p>
      <w:pPr>
        <w:spacing w:after="0" w:line="125"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8"/>
          <w:szCs w:val="18"/>
          <w:color w:val="auto"/>
        </w:rPr>
        <w:t>with the consent of the Company, any of the other methods set forth in the Plan.</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As an additional condition to exercise of this Option:</w:t>
      </w:r>
    </w:p>
    <w:p>
      <w:pPr>
        <w:spacing w:after="0" w:line="191" w:lineRule="exact"/>
        <w:rPr>
          <w:sz w:val="20"/>
          <w:szCs w:val="20"/>
          <w:color w:val="auto"/>
        </w:rPr>
      </w:pPr>
    </w:p>
    <w:p>
      <w:pPr>
        <w:ind w:left="1089" w:right="480" w:hanging="544"/>
        <w:spacing w:after="0" w:line="283" w:lineRule="auto"/>
        <w:tabs>
          <w:tab w:leader="none" w:pos="107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Holder is purchasing any unvested shares, the terms and conditions of such purchase shall be as set forth in a restricted stock purchase agreement signed by the Holder and the Company; and</w:t>
      </w:r>
    </w:p>
    <w:p>
      <w:pPr>
        <w:spacing w:after="0" w:line="125" w:lineRule="exact"/>
        <w:rPr>
          <w:rFonts w:ascii="Times New Roman" w:cs="Times New Roman" w:eastAsia="Times New Roman" w:hAnsi="Times New Roman"/>
          <w:sz w:val="18"/>
          <w:szCs w:val="18"/>
          <w:color w:val="auto"/>
        </w:rPr>
      </w:pPr>
    </w:p>
    <w:p>
      <w:pPr>
        <w:ind w:left="1089" w:right="180" w:hanging="544"/>
        <w:spacing w:after="0" w:line="283" w:lineRule="auto"/>
        <w:tabs>
          <w:tab w:leader="none" w:pos="108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Holder is purchasing any vested shares, the Holder shall deliver to the Company an investment letter in form and substance satisfactory to</w:t>
      </w:r>
    </w:p>
    <w:p>
      <w:pPr>
        <w:sectPr>
          <w:pgSz w:w="11900" w:h="16838" w:orient="portrait"/>
          <w:cols w:equalWidth="0" w:num="1">
            <w:col w:w="11149"/>
          </w:cols>
          <w:pgMar w:left="311" w:top="1214" w:right="439" w:bottom="1440" w:gutter="0" w:footer="0" w:header="0"/>
        </w:sectPr>
      </w:pPr>
    </w:p>
    <w:bookmarkStart w:id="433" w:name="page434"/>
    <w:bookmarkEnd w:id="433"/>
    <w:p>
      <w:pPr>
        <w:jc w:val="both"/>
        <w:ind w:left="1089" w:right="60"/>
        <w:spacing w:after="0" w:line="266" w:lineRule="auto"/>
        <w:rPr>
          <w:sz w:val="20"/>
          <w:szCs w:val="20"/>
          <w:color w:val="auto"/>
        </w:rPr>
      </w:pPr>
      <w:r>
        <w:rPr>
          <w:rFonts w:ascii="Times New Roman" w:cs="Times New Roman" w:eastAsia="Times New Roman" w:hAnsi="Times New Roman"/>
          <w:sz w:val="18"/>
          <w:szCs w:val="18"/>
          <w:color w:val="auto"/>
        </w:rPr>
        <w:t>the Company and its counsel. No such investment letter shall be required as a condition to such exercise at any time when there shall be an effective registration statement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covering the vested shares for which this Option may be exercised.</w:t>
      </w:r>
    </w:p>
    <w:p>
      <w:pPr>
        <w:spacing w:after="0" w:line="137" w:lineRule="exact"/>
        <w:rPr>
          <w:sz w:val="20"/>
          <w:szCs w:val="20"/>
          <w:color w:val="auto"/>
        </w:rPr>
      </w:pPr>
    </w:p>
    <w:p>
      <w:pPr>
        <w:ind w:left="549" w:right="280" w:hanging="549"/>
        <w:spacing w:after="0" w:line="288" w:lineRule="auto"/>
        <w:tabs>
          <w:tab w:leader="none" w:pos="54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Expiration Date of Option</w:t>
      </w:r>
      <w:r>
        <w:rPr>
          <w:rFonts w:ascii="Times New Roman" w:cs="Times New Roman" w:eastAsia="Times New Roman" w:hAnsi="Times New Roman"/>
          <w:sz w:val="18"/>
          <w:szCs w:val="18"/>
          <w:color w:val="auto"/>
        </w:rPr>
        <w:t>: [See Carta] [Note: for ISO, cannot be longer than 10 years from date of grant, or 5 years in case of a Greater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Shareholder]</w:t>
      </w:r>
    </w:p>
    <w:p>
      <w:pPr>
        <w:spacing w:after="0" w:line="116"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Schedule:</w:t>
      </w:r>
    </w:p>
    <w:p>
      <w:pPr>
        <w:spacing w:after="0" w:line="195"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8"/>
          <w:szCs w:val="18"/>
          <w:color w:val="auto"/>
        </w:rPr>
        <w:t>[See Carta]</w:t>
      </w:r>
    </w:p>
    <w:p>
      <w:pPr>
        <w:spacing w:after="0" w:line="191" w:lineRule="exact"/>
        <w:rPr>
          <w:sz w:val="20"/>
          <w:szCs w:val="20"/>
          <w:color w:val="auto"/>
        </w:rPr>
      </w:pPr>
    </w:p>
    <w:p>
      <w:pPr>
        <w:ind w:left="549" w:firstLine="545"/>
        <w:spacing w:after="0" w:line="253" w:lineRule="auto"/>
        <w:rPr>
          <w:sz w:val="20"/>
          <w:szCs w:val="20"/>
          <w:color w:val="auto"/>
        </w:rPr>
      </w:pPr>
      <w:r>
        <w:rPr>
          <w:rFonts w:ascii="Times New Roman" w:cs="Times New Roman" w:eastAsia="Times New Roman" w:hAnsi="Times New Roman"/>
          <w:sz w:val="18"/>
          <w:szCs w:val="18"/>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restricted stock purchase agreement containing a “reverse vesting” schedule effectively equivalent to the Vesting Schedule set forth herein, pursuant to which the Holder agrees to sell back any unvested shares at the exercise price paid for such shares should he or she cease to perform services for the Company prior to full vesting. The Holder understands that he or she may make an election under Section 83(b) of the Code (an “</w:t>
      </w:r>
      <w:r>
        <w:rPr>
          <w:rFonts w:ascii="Times New Roman" w:cs="Times New Roman" w:eastAsia="Times New Roman" w:hAnsi="Times New Roman"/>
          <w:sz w:val="18"/>
          <w:szCs w:val="18"/>
          <w:u w:val="single" w:color="auto"/>
          <w:color w:val="auto"/>
        </w:rPr>
        <w:t>83(b) Election</w:t>
      </w:r>
      <w:r>
        <w:rPr>
          <w:rFonts w:ascii="Times New Roman" w:cs="Times New Roman" w:eastAsia="Times New Roman" w:hAnsi="Times New Roman"/>
          <w:sz w:val="18"/>
          <w:szCs w:val="18"/>
          <w:color w:val="auto"/>
        </w:rPr>
        <w:t xml:space="preserve">”) with respect to the unvested shares to be issued, and that if he or she chooses to make such election, it must be made </w:t>
      </w:r>
      <w:r>
        <w:rPr>
          <w:rFonts w:ascii="Times New Roman" w:cs="Times New Roman" w:eastAsia="Times New Roman" w:hAnsi="Times New Roman"/>
          <w:sz w:val="18"/>
          <w:szCs w:val="18"/>
          <w:u w:val="single" w:color="auto"/>
          <w:color w:val="auto"/>
        </w:rPr>
        <w:t>within 30 days</w:t>
      </w:r>
      <w:r>
        <w:rPr>
          <w:rFonts w:ascii="Times New Roman" w:cs="Times New Roman" w:eastAsia="Times New Roman" w:hAnsi="Times New Roman"/>
          <w:sz w:val="18"/>
          <w:szCs w:val="18"/>
          <w:color w:val="auto"/>
        </w:rPr>
        <w:t xml:space="preserve"> of the date of execution of such restricted stock agreement, and such filing will be solely the Holder’s responsibility. </w:t>
      </w:r>
      <w:r>
        <w:rPr>
          <w:rFonts w:ascii="Times New Roman" w:cs="Times New Roman" w:eastAsia="Times New Roman" w:hAnsi="Times New Roman"/>
          <w:sz w:val="18"/>
          <w:szCs w:val="18"/>
          <w:b w:val="1"/>
          <w:bCs w:val="1"/>
          <w:i w:val="1"/>
          <w:iCs w:val="1"/>
          <w:color w:val="auto"/>
        </w:rPr>
        <w:t>If this option is an incentive stock option at the time of exercise, however, an 83(b) Election will be effective only with respect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the “alternative minimum tax” and </w:t>
      </w:r>
      <w:r>
        <w:rPr>
          <w:rFonts w:ascii="Times New Roman" w:cs="Times New Roman" w:eastAsia="Times New Roman" w:hAnsi="Times New Roman"/>
          <w:sz w:val="18"/>
          <w:szCs w:val="18"/>
          <w:b w:val="1"/>
          <w:bCs w:val="1"/>
          <w:i w:val="1"/>
          <w:iCs w:val="1"/>
          <w:u w:val="single" w:color="auto"/>
          <w:color w:val="auto"/>
        </w:rPr>
        <w:t>not</w:t>
      </w:r>
      <w:r>
        <w:rPr>
          <w:rFonts w:ascii="Times New Roman" w:cs="Times New Roman" w:eastAsia="Times New Roman" w:hAnsi="Times New Roman"/>
          <w:sz w:val="18"/>
          <w:szCs w:val="18"/>
          <w:b w:val="1"/>
          <w:bCs w:val="1"/>
          <w:i w:val="1"/>
          <w:iCs w:val="1"/>
          <w:color w:val="auto"/>
        </w:rPr>
        <w:t xml:space="preserve"> with respect to income tax. </w:t>
      </w:r>
      <w:r>
        <w:rPr>
          <w:rFonts w:ascii="Times New Roman" w:cs="Times New Roman" w:eastAsia="Times New Roman" w:hAnsi="Times New Roman"/>
          <w:sz w:val="18"/>
          <w:szCs w:val="18"/>
          <w:color w:val="auto"/>
        </w:rPr>
        <w:t>The Holder is advised to consult a personal tax adviser with respect to the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consequences of early exercise of an ISO, including filing or not filing an 83(b) Election.</w:t>
      </w:r>
    </w:p>
    <w:p>
      <w:pPr>
        <w:spacing w:after="0" w:line="154" w:lineRule="exact"/>
        <w:rPr>
          <w:sz w:val="20"/>
          <w:szCs w:val="20"/>
          <w:color w:val="auto"/>
        </w:rPr>
      </w:pPr>
    </w:p>
    <w:p>
      <w:pPr>
        <w:ind w:left="549" w:hanging="549"/>
        <w:spacing w:after="0"/>
        <w:tabs>
          <w:tab w:leader="none" w:pos="54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 This Option shall terminate on the earliest to occur of:</w:t>
      </w:r>
    </w:p>
    <w:p>
      <w:pPr>
        <w:spacing w:after="0" w:line="194" w:lineRule="exact"/>
        <w:rPr>
          <w:rFonts w:ascii="Times New Roman" w:cs="Times New Roman" w:eastAsia="Times New Roman" w:hAnsi="Times New Roman"/>
          <w:sz w:val="18"/>
          <w:szCs w:val="18"/>
          <w:color w:val="auto"/>
        </w:rPr>
      </w:pPr>
    </w:p>
    <w:p>
      <w:pPr>
        <w:ind w:left="2169" w:hanging="534"/>
        <w:spacing w:after="0"/>
        <w:tabs>
          <w:tab w:leader="none" w:pos="216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expiration hereof;</w:t>
      </w:r>
    </w:p>
    <w:p>
      <w:pPr>
        <w:spacing w:after="0" w:line="190" w:lineRule="exact"/>
        <w:rPr>
          <w:rFonts w:ascii="Times New Roman" w:cs="Times New Roman" w:eastAsia="Times New Roman" w:hAnsi="Times New Roman"/>
          <w:sz w:val="18"/>
          <w:szCs w:val="18"/>
          <w:color w:val="auto"/>
        </w:rPr>
      </w:pPr>
    </w:p>
    <w:p>
      <w:pPr>
        <w:ind w:left="2189" w:right="100" w:hanging="554"/>
        <w:spacing w:after="0" w:line="283" w:lineRule="auto"/>
        <w:tabs>
          <w:tab w:leader="none" w:pos="218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termination of the Holder’s employment with the Company by the Company for Cause (as defined in the Plan);</w:t>
      </w:r>
    </w:p>
    <w:p>
      <w:pPr>
        <w:spacing w:after="0" w:line="125" w:lineRule="exact"/>
        <w:rPr>
          <w:rFonts w:ascii="Times New Roman" w:cs="Times New Roman" w:eastAsia="Times New Roman" w:hAnsi="Times New Roman"/>
          <w:sz w:val="18"/>
          <w:szCs w:val="18"/>
          <w:color w:val="auto"/>
        </w:rPr>
      </w:pPr>
    </w:p>
    <w:p>
      <w:pPr>
        <w:ind w:left="2189" w:right="280" w:hanging="554"/>
        <w:spacing w:after="0" w:line="283" w:lineRule="auto"/>
        <w:tabs>
          <w:tab w:leader="none" w:pos="218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date of voluntary termination of employment by the Holder (other than for death or permanent and total disability as defined in the Plan);</w:t>
      </w:r>
    </w:p>
    <w:p>
      <w:pPr>
        <w:spacing w:after="0" w:line="125" w:lineRule="exact"/>
        <w:rPr>
          <w:rFonts w:ascii="Times New Roman" w:cs="Times New Roman" w:eastAsia="Times New Roman" w:hAnsi="Times New Roman"/>
          <w:sz w:val="18"/>
          <w:szCs w:val="18"/>
          <w:color w:val="auto"/>
        </w:rPr>
      </w:pPr>
    </w:p>
    <w:p>
      <w:pPr>
        <w:ind w:left="2189" w:right="140" w:hanging="554"/>
        <w:spacing w:after="0" w:line="283" w:lineRule="auto"/>
        <w:tabs>
          <w:tab w:leader="none" w:pos="217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date of termination of the Holder’s employment with the Company by the Company without Cause (other than for death or permanent and total disability as defined in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9"/>
          </w:cols>
          <w:pgMar w:left="311" w:top="1218" w:right="339" w:bottom="1440" w:gutter="0" w:footer="0" w:header="0"/>
        </w:sectPr>
      </w:pPr>
    </w:p>
    <w:bookmarkStart w:id="434" w:name="page435"/>
    <w:bookmarkEnd w:id="434"/>
    <w:p>
      <w:pPr>
        <w:ind w:left="2169" w:hanging="534"/>
        <w:spacing w:after="0"/>
        <w:tabs>
          <w:tab w:leader="none" w:pos="216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“permanent and total disability”(as defined at Section 10 of the Plan) or death of the Holder.</w:t>
      </w:r>
    </w:p>
    <w:p>
      <w:pPr>
        <w:spacing w:after="0" w:line="186" w:lineRule="exact"/>
        <w:rPr>
          <w:rFonts w:ascii="Times New Roman" w:cs="Times New Roman" w:eastAsia="Times New Roman" w:hAnsi="Times New Roman"/>
          <w:sz w:val="18"/>
          <w:szCs w:val="18"/>
          <w:color w:val="auto"/>
        </w:rPr>
      </w:pPr>
    </w:p>
    <w:p>
      <w:pPr>
        <w:ind w:left="549" w:right="360" w:hanging="549"/>
        <w:spacing w:after="0" w:line="288" w:lineRule="auto"/>
        <w:tabs>
          <w:tab w:leader="none" w:pos="54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Company’s Right of First Refusal</w:t>
      </w:r>
      <w:r>
        <w:rPr>
          <w:rFonts w:ascii="Times New Roman" w:cs="Times New Roman" w:eastAsia="Times New Roman" w:hAnsi="Times New Roman"/>
          <w:sz w:val="18"/>
          <w:szCs w:val="18"/>
          <w:color w:val="auto"/>
        </w:rPr>
        <w:t>. Prior to the effective date of a registration statement under the Act, any shares of stock issued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this Option shall be subject to the Company’s right of first refusal as set forth at Appendix A.</w:t>
      </w:r>
    </w:p>
    <w:p>
      <w:pPr>
        <w:spacing w:after="0" w:line="116" w:lineRule="exact"/>
        <w:rPr>
          <w:rFonts w:ascii="Times New Roman" w:cs="Times New Roman" w:eastAsia="Times New Roman" w:hAnsi="Times New Roman"/>
          <w:sz w:val="18"/>
          <w:szCs w:val="18"/>
          <w:color w:val="auto"/>
        </w:rPr>
      </w:pPr>
    </w:p>
    <w:p>
      <w:pPr>
        <w:ind w:left="549" w:right="80" w:hanging="549"/>
        <w:spacing w:after="0" w:line="259" w:lineRule="auto"/>
        <w:tabs>
          <w:tab w:leader="none" w:pos="542"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The Holder agrees that upon the request of the Company or the managing underwriter(s) of any offering of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is the subject of a registration statement filed under the Act, for a period of time (not to exceed 180 days) from the effective date of the registration statement under the Act for such offering, the Holder will not sell, make any short sale of, loan, grant any option for the purchase of, or otherwise dispose of any shares of Class A Common Stock issued pursuant to the exercise of this Option, without the prior written consent of the Company and such underwriters.</w:t>
      </w:r>
    </w:p>
    <w:p>
      <w:pPr>
        <w:spacing w:after="0" w:line="143" w:lineRule="exact"/>
        <w:rPr>
          <w:rFonts w:ascii="Times New Roman" w:cs="Times New Roman" w:eastAsia="Times New Roman" w:hAnsi="Times New Roman"/>
          <w:sz w:val="18"/>
          <w:szCs w:val="18"/>
          <w:color w:val="auto"/>
        </w:rPr>
      </w:pPr>
    </w:p>
    <w:p>
      <w:pPr>
        <w:ind w:left="549" w:right="20" w:hanging="549"/>
        <w:spacing w:after="0" w:line="254" w:lineRule="auto"/>
        <w:tabs>
          <w:tab w:leader="none" w:pos="54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Incentive Stock Option; Disqualifying Disposition</w:t>
      </w:r>
      <w:r>
        <w:rPr>
          <w:rFonts w:ascii="Times New Roman" w:cs="Times New Roman" w:eastAsia="Times New Roman" w:hAnsi="Times New Roman"/>
          <w:sz w:val="18"/>
          <w:szCs w:val="18"/>
          <w:color w:val="auto"/>
        </w:rPr>
        <w:t>. Although this Option is intended to qualify as an incentive stock option under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of 1986 (the “Code”), the Company makes no representation as to the tax treatment upon exercise of this Option or sale or other disposition of the shares covered by this Option, and the Holder is advised to consult a personal tax advisor. Upon a Disqualifying Disposition of shares received upon exercise of this Option, the Holder will forfeit the favorable income tax treatment otherwise available with respect to the exercise of this Option. A “Disqualifying Disposition” shall have the meaning specified in Section 421(b) of the Code; as of the date of grant of this Option a Disqualifying Disposition is any disposition (including any sale) of such shares before the later of (a) the second anniversary of the date of grant of this Option and (b) the first anniversary of the date on which the Holder acquired such shares by exercising this Option, provided that such holding period requirements terminate upon the death of the Holder. The Holder shall notify the Company in writing immediately upon making a Disqualifying Disposition of any shares of Class A Common Stock received pursuant to the exercise of this Option, and shall provide the Company with any information that the Company shall request concerning any such Disqualifying Disposition.</w:t>
      </w:r>
    </w:p>
    <w:p>
      <w:pPr>
        <w:spacing w:after="0" w:line="148" w:lineRule="exact"/>
        <w:rPr>
          <w:rFonts w:ascii="Times New Roman" w:cs="Times New Roman" w:eastAsia="Times New Roman" w:hAnsi="Times New Roman"/>
          <w:sz w:val="18"/>
          <w:szCs w:val="18"/>
          <w:color w:val="auto"/>
        </w:rPr>
      </w:pPr>
    </w:p>
    <w:p>
      <w:pPr>
        <w:jc w:val="both"/>
        <w:ind w:left="549" w:hanging="549"/>
        <w:spacing w:after="0" w:line="269" w:lineRule="auto"/>
        <w:tabs>
          <w:tab w:leader="none" w:pos="54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to be given to the Company hereunder shall be deemed sufficient if addressed to the Company and delivered to the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Seer, Inc., 3800 Bridge Parkway, Suite 102, Redwood City, CA 94065, attention of the President, or such other address as the Company may hereafter designate.</w:t>
      </w:r>
    </w:p>
    <w:p>
      <w:pPr>
        <w:spacing w:after="0" w:line="137" w:lineRule="exact"/>
        <w:rPr>
          <w:rFonts w:ascii="Times New Roman" w:cs="Times New Roman" w:eastAsia="Times New Roman" w:hAnsi="Times New Roman"/>
          <w:sz w:val="18"/>
          <w:szCs w:val="18"/>
          <w:color w:val="auto"/>
        </w:rPr>
      </w:pPr>
    </w:p>
    <w:p>
      <w:pPr>
        <w:ind w:left="549" w:right="56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9"/>
          </w:cols>
          <w:pgMar w:left="311" w:top="1218" w:right="339" w:bottom="1440" w:gutter="0" w:footer="0" w:header="0"/>
        </w:sectPr>
      </w:pPr>
    </w:p>
    <w:bookmarkStart w:id="435" w:name="page436"/>
    <w:bookmarkEnd w:id="435"/>
    <w:p>
      <w:pPr>
        <w:ind w:left="540"/>
        <w:spacing w:after="0"/>
        <w:rPr>
          <w:sz w:val="20"/>
          <w:szCs w:val="20"/>
          <w:color w:val="auto"/>
        </w:rPr>
      </w:pPr>
      <w:r>
        <w:rPr>
          <w:rFonts w:ascii="Times New Roman" w:cs="Times New Roman" w:eastAsia="Times New Roman" w:hAnsi="Times New Roman"/>
          <w:sz w:val="18"/>
          <w:szCs w:val="18"/>
          <w:color w:val="auto"/>
        </w:rPr>
        <w:t>IN WITNESS WHEREOF, the parties have executed this Option, or caused this Option to be executed, as of the Date of Grant.</w:t>
      </w:r>
    </w:p>
    <w:p>
      <w:pPr>
        <w:spacing w:after="0" w:line="2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00" w:lineRule="exact"/>
        <w:rPr>
          <w:sz w:val="20"/>
          <w:szCs w:val="20"/>
          <w:color w:val="auto"/>
        </w:rPr>
      </w:pPr>
    </w:p>
    <w:p>
      <w:pPr>
        <w:spacing w:after="0" w:line="31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27305</wp:posOffset>
            </wp:positionV>
            <wp:extent cx="293497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34970" cy="6985"/>
                    </a:xfrm>
                    <a:prstGeom prst="rect">
                      <a:avLst/>
                    </a:prstGeom>
                    <a:noFill/>
                  </pic:spPr>
                </pic:pic>
              </a:graphicData>
            </a:graphic>
          </wp:anchor>
        </w:drawing>
      </w:r>
    </w:p>
    <w:p>
      <w:pPr>
        <w:spacing w:after="0" w:line="20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838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83840" cy="6985"/>
                    </a:xfrm>
                    <a:prstGeom prst="rect">
                      <a:avLst/>
                    </a:prstGeom>
                    <a:noFill/>
                  </pic:spPr>
                </pic:pic>
              </a:graphicData>
            </a:graphic>
          </wp:anchor>
        </w:drawing>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[Seer, Inc. ISO Option Grant]</w:t>
      </w:r>
    </w:p>
    <w:p>
      <w:pPr>
        <w:sectPr>
          <w:pgSz w:w="11900" w:h="16838" w:orient="portrait"/>
          <w:cols w:equalWidth="0" w:num="1">
            <w:col w:w="11200"/>
          </w:cols>
          <w:pgMar w:left="320" w:top="1218" w:right="37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372" w:lineRule="exact"/>
        <w:rPr>
          <w:sz w:val="20"/>
          <w:szCs w:val="20"/>
          <w:color w:val="auto"/>
        </w:rPr>
      </w:pPr>
    </w:p>
    <w:p>
      <w:pPr>
        <w:ind w:right="20" w:firstLine="1081"/>
        <w:spacing w:after="0" w:line="257" w:lineRule="auto"/>
        <w:tabs>
          <w:tab w:leader="none" w:pos="1635"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Prior to the effective date of a registration statement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covering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of the Company’s Class A Common Stock and until such time as the Company shall have effected a public offering of its Class A Common Stock registered under the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46" w:lineRule="exact"/>
        <w:rPr>
          <w:rFonts w:ascii="Times New Roman" w:cs="Times New Roman" w:eastAsia="Times New Roman" w:hAnsi="Times New Roman"/>
          <w:sz w:val="18"/>
          <w:szCs w:val="18"/>
          <w:b w:val="1"/>
          <w:bCs w:val="1"/>
          <w:color w:val="auto"/>
        </w:rPr>
      </w:pPr>
    </w:p>
    <w:p>
      <w:pPr>
        <w:ind w:right="200" w:firstLine="1081"/>
        <w:spacing w:after="0" w:line="262" w:lineRule="auto"/>
        <w:tabs>
          <w:tab w:leader="none" w:pos="1635"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Intended Transfer. </w:t>
      </w:r>
      <w:r>
        <w:rPr>
          <w:rFonts w:ascii="Times New Roman" w:cs="Times New Roman" w:eastAsia="Times New Roman" w:hAnsi="Times New Roman"/>
          <w:sz w:val="18"/>
          <w:szCs w:val="18"/>
          <w:color w:val="auto"/>
        </w:rPr>
        <w:t>The notice shall state the number of shares offered, the name of the person or persons to whom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41" w:lineRule="exact"/>
        <w:rPr>
          <w:rFonts w:ascii="Times New Roman" w:cs="Times New Roman" w:eastAsia="Times New Roman" w:hAnsi="Times New Roman"/>
          <w:sz w:val="18"/>
          <w:szCs w:val="18"/>
          <w:b w:val="1"/>
          <w:bCs w:val="1"/>
          <w:color w:val="auto"/>
        </w:rPr>
      </w:pPr>
    </w:p>
    <w:p>
      <w:pPr>
        <w:ind w:right="40" w:firstLine="1081"/>
        <w:spacing w:after="0" w:line="256" w:lineRule="auto"/>
        <w:tabs>
          <w:tab w:leader="none" w:pos="1635"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to Accept or Decline Within 30 Days. </w:t>
      </w:r>
      <w:r>
        <w:rPr>
          <w:rFonts w:ascii="Times New Roman" w:cs="Times New Roman" w:eastAsia="Times New Roman" w:hAnsi="Times New Roman"/>
          <w:sz w:val="18"/>
          <w:szCs w:val="18"/>
          <w:color w:val="auto"/>
        </w:rPr>
        <w:t>The Company may accept the offer as to all, but not less than all, such shares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notifying the Holder in writing within 30 days after receipt of such notice of its acceptance of the offer. If the offer is accepted, the Company shall have 60 days after such acceptance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46" w:lineRule="exact"/>
        <w:rPr>
          <w:rFonts w:ascii="Times New Roman" w:cs="Times New Roman" w:eastAsia="Times New Roman" w:hAnsi="Times New Roman"/>
          <w:sz w:val="18"/>
          <w:szCs w:val="18"/>
          <w:b w:val="1"/>
          <w:bCs w:val="1"/>
          <w:color w:val="auto"/>
        </w:rPr>
      </w:pPr>
    </w:p>
    <w:p>
      <w:pPr>
        <w:ind w:right="260" w:firstLine="1081"/>
        <w:spacing w:after="0" w:line="269" w:lineRule="auto"/>
        <w:tabs>
          <w:tab w:leader="none" w:pos="1635"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Transferred Shares to Remain Subject to Right of First Refusal. </w:t>
      </w:r>
      <w:r>
        <w:rPr>
          <w:rFonts w:ascii="Times New Roman" w:cs="Times New Roman" w:eastAsia="Times New Roman" w:hAnsi="Times New Roman"/>
          <w:sz w:val="18"/>
          <w:szCs w:val="18"/>
          <w:color w:val="auto"/>
        </w:rPr>
        <w:t>Shares that are so transferred to such transferee shall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33" w:lineRule="exact"/>
        <w:rPr>
          <w:rFonts w:ascii="Times New Roman" w:cs="Times New Roman" w:eastAsia="Times New Roman" w:hAnsi="Times New Roman"/>
          <w:sz w:val="18"/>
          <w:szCs w:val="18"/>
          <w:b w:val="1"/>
          <w:bCs w:val="1"/>
          <w:color w:val="auto"/>
        </w:rPr>
      </w:pPr>
    </w:p>
    <w:p>
      <w:pPr>
        <w:ind w:right="40" w:firstLine="1081"/>
        <w:spacing w:after="0" w:line="262" w:lineRule="auto"/>
        <w:tabs>
          <w:tab w:leader="none" w:pos="1635"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of Company. </w:t>
      </w:r>
      <w:r>
        <w:rPr>
          <w:rFonts w:ascii="Times New Roman" w:cs="Times New Roman" w:eastAsia="Times New Roman" w:hAnsi="Times New Roman"/>
          <w:sz w:val="18"/>
          <w:szCs w:val="18"/>
          <w:color w:val="auto"/>
        </w:rPr>
        <w:t>No sale, assignment, pledge or other transfer of any of the shares covered by this Option shall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w:t>
      </w:r>
    </w:p>
    <w:p>
      <w:pPr>
        <w:sectPr>
          <w:pgSz w:w="11900" w:h="16838" w:orient="portrait"/>
          <w:cols w:equalWidth="0" w:num="1">
            <w:col w:w="11260"/>
          </w:cols>
          <w:pgMar w:left="320" w:top="1218" w:right="319" w:bottom="1440" w:gutter="0" w:footer="0" w:header="0"/>
        </w:sectPr>
      </w:pPr>
    </w:p>
    <w:bookmarkStart w:id="437" w:name="page438"/>
    <w:bookmarkEnd w:id="437"/>
    <w:p>
      <w:pPr>
        <w:ind w:right="120"/>
        <w:spacing w:after="0" w:line="258" w:lineRule="auto"/>
        <w:rPr>
          <w:sz w:val="20"/>
          <w:szCs w:val="20"/>
          <w:color w:val="auto"/>
        </w:rPr>
      </w:pPr>
      <w:r>
        <w:rPr>
          <w:rFonts w:ascii="Times New Roman" w:cs="Times New Roman" w:eastAsia="Times New Roman" w:hAnsi="Times New Roman"/>
          <w:sz w:val="18"/>
          <w:szCs w:val="18"/>
          <w:color w:val="auto"/>
        </w:rPr>
        <w:t>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 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44" w:lineRule="exact"/>
        <w:rPr>
          <w:sz w:val="20"/>
          <w:szCs w:val="20"/>
          <w:color w:val="auto"/>
        </w:rPr>
      </w:pPr>
    </w:p>
    <w:p>
      <w:pPr>
        <w:ind w:left="1620" w:hanging="539"/>
        <w:spacing w:after="0"/>
        <w:tabs>
          <w:tab w:leader="none" w:pos="162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Subject to Right of First Refusal. </w:t>
      </w:r>
      <w:r>
        <w:rPr>
          <w:rFonts w:ascii="Times New Roman" w:cs="Times New Roman" w:eastAsia="Times New Roman" w:hAnsi="Times New Roman"/>
          <w:sz w:val="18"/>
          <w:szCs w:val="18"/>
          <w:color w:val="auto"/>
        </w:rPr>
        <w:t>For purposes of the Right of First Refusal pursuant to this Appendix A, the term</w:t>
      </w:r>
    </w:p>
    <w:p>
      <w:pPr>
        <w:spacing w:after="0" w:line="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any and all new, substituted or additional securities or other property issued to the Holder, by reason of his or her ownership of Class A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48" w:lineRule="exact"/>
        <w:rPr>
          <w:sz w:val="20"/>
          <w:szCs w:val="20"/>
          <w:color w:val="auto"/>
        </w:rPr>
      </w:pPr>
    </w:p>
    <w:p>
      <w:pPr>
        <w:ind w:right="60" w:firstLine="1081"/>
        <w:spacing w:after="0" w:line="288" w:lineRule="auto"/>
        <w:tabs>
          <w:tab w:leader="none" w:pos="1635"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Legends on Stock Certificates. </w:t>
      </w:r>
      <w:r>
        <w:rPr>
          <w:rFonts w:ascii="Times New Roman" w:cs="Times New Roman" w:eastAsia="Times New Roman" w:hAnsi="Times New Roman"/>
          <w:sz w:val="18"/>
          <w:szCs w:val="18"/>
          <w:color w:val="auto"/>
        </w:rPr>
        <w:t>Any certificate representing shares of stock subject to the provisions of this Appendix A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endorsed thereon one or more legends, substantially as follows:</w:t>
      </w:r>
    </w:p>
    <w:p>
      <w:pPr>
        <w:spacing w:after="0" w:line="121" w:lineRule="exact"/>
        <w:rPr>
          <w:sz w:val="20"/>
          <w:szCs w:val="20"/>
          <w:color w:val="auto"/>
        </w:rPr>
      </w:pPr>
    </w:p>
    <w:p>
      <w:pPr>
        <w:ind w:left="1620" w:right="120" w:hanging="539"/>
        <w:spacing w:after="0" w:line="261" w:lineRule="auto"/>
        <w:tabs>
          <w:tab w:leader="none" w:pos="161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44" w:lineRule="exact"/>
        <w:rPr>
          <w:rFonts w:ascii="Times New Roman" w:cs="Times New Roman" w:eastAsia="Times New Roman" w:hAnsi="Times New Roman"/>
          <w:sz w:val="18"/>
          <w:szCs w:val="18"/>
          <w:color w:val="auto"/>
        </w:rPr>
      </w:pPr>
    </w:p>
    <w:p>
      <w:pPr>
        <w:ind w:left="1620" w:hanging="539"/>
        <w:spacing w:after="0" w:line="261" w:lineRule="auto"/>
        <w:tabs>
          <w:tab w:leader="none" w:pos="161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40" w:lineRule="exact"/>
        <w:rPr>
          <w:sz w:val="20"/>
          <w:szCs w:val="20"/>
          <w:color w:val="auto"/>
        </w:rPr>
      </w:pPr>
    </w:p>
    <w:p>
      <w:pPr>
        <w:ind w:right="220" w:firstLine="1081"/>
        <w:spacing w:after="0" w:line="288" w:lineRule="auto"/>
        <w:tabs>
          <w:tab w:leader="none" w:pos="1635"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 of First Refusal to Lapse Upon Registration. </w:t>
      </w:r>
      <w:r>
        <w:rPr>
          <w:rFonts w:ascii="Times New Roman" w:cs="Times New Roman" w:eastAsia="Times New Roman" w:hAnsi="Times New Roman"/>
          <w:sz w:val="18"/>
          <w:szCs w:val="18"/>
          <w:color w:val="auto"/>
        </w:rPr>
        <w:t>The restrictions imposed by this Appendix A shall terminate in all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effective date of a registration statement under the Act covering any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A</w:t>
      </w:r>
    </w:p>
    <w:p>
      <w:pPr>
        <w:sectPr>
          <w:pgSz w:w="11900" w:h="16838" w:orient="portrait"/>
          <w:cols w:equalWidth="0" w:num="1">
            <w:col w:w="11240"/>
          </w:cols>
          <w:pgMar w:left="320" w:top="1218" w:right="339" w:bottom="1440" w:gutter="0" w:footer="0" w:header="0"/>
        </w:sectPr>
      </w:pPr>
    </w:p>
    <w:bookmarkStart w:id="438" w:name="page439"/>
    <w:bookmarkEnd w:id="438"/>
    <w:p>
      <w:pPr>
        <w:jc w:val="center"/>
        <w:ind w:right="-108"/>
        <w:spacing w:after="0"/>
        <w:rPr>
          <w:sz w:val="20"/>
          <w:szCs w:val="20"/>
          <w:color w:val="auto"/>
        </w:rPr>
      </w:pPr>
      <w:r>
        <w:rPr>
          <w:rFonts w:ascii="Times New Roman" w:cs="Times New Roman" w:eastAsia="Times New Roman" w:hAnsi="Times New Roman"/>
          <w:sz w:val="18"/>
          <w:szCs w:val="18"/>
          <w:b w:val="1"/>
          <w:bCs w:val="1"/>
          <w:color w:val="auto"/>
        </w:rPr>
        <w:t>NON-STATUTORY STOCK OPTION</w:t>
      </w:r>
    </w:p>
    <w:p>
      <w:pPr>
        <w:spacing w:after="0" w:line="104"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8"/>
          <w:szCs w:val="18"/>
          <w:color w:val="auto"/>
        </w:rPr>
        <w:t>Granted by</w:t>
      </w:r>
    </w:p>
    <w:p>
      <w:pPr>
        <w:spacing w:after="0" w:line="100"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8"/>
          <w:szCs w:val="18"/>
          <w:color w:val="auto"/>
        </w:rPr>
        <w:t>Seer,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8"/>
          <w:szCs w:val="18"/>
          <w:color w:val="auto"/>
        </w:rPr>
        <w:t>Under the 2017 Stock Incentive Plan</w:t>
      </w:r>
    </w:p>
    <w:p>
      <w:pPr>
        <w:spacing w:after="0" w:line="372" w:lineRule="exact"/>
        <w:rPr>
          <w:sz w:val="20"/>
          <w:szCs w:val="20"/>
          <w:color w:val="auto"/>
        </w:rPr>
      </w:pPr>
    </w:p>
    <w:p>
      <w:pPr>
        <w:ind w:left="9" w:firstLine="545"/>
        <w:spacing w:after="0" w:line="256" w:lineRule="auto"/>
        <w:rPr>
          <w:sz w:val="20"/>
          <w:szCs w:val="20"/>
          <w:color w:val="auto"/>
        </w:rPr>
      </w:pPr>
      <w:r>
        <w:rPr>
          <w:rFonts w:ascii="Times New Roman" w:cs="Times New Roman" w:eastAsia="Times New Roman" w:hAnsi="Times New Roman"/>
          <w:sz w:val="18"/>
          <w:szCs w:val="18"/>
          <w:color w:val="auto"/>
        </w:rPr>
        <w:t>This Option is and shall be subject in every respect to the provisions of the Company’s 2017 Stock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is incorporated herein by reference and made a part hereof. The holder of this Option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 Capitalized terms used but not otherwise defined in this Option shall have the respective meanings ascribed to such terms in the Plan.</w:t>
      </w:r>
    </w:p>
    <w:p>
      <w:pPr>
        <w:spacing w:after="0" w:line="148" w:lineRule="exact"/>
        <w:rPr>
          <w:sz w:val="20"/>
          <w:szCs w:val="20"/>
          <w:color w:val="auto"/>
        </w:rPr>
      </w:pPr>
    </w:p>
    <w:p>
      <w:pPr>
        <w:ind w:left="549" w:hanging="549"/>
        <w:spacing w:after="0"/>
        <w:tabs>
          <w:tab w:leader="none" w:pos="54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Name of Holder: </w:t>
      </w:r>
      <w:r>
        <w:rPr>
          <w:rFonts w:ascii="Times New Roman" w:cs="Times New Roman" w:eastAsia="Times New Roman" w:hAnsi="Times New Roman"/>
          <w:sz w:val="18"/>
          <w:szCs w:val="18"/>
          <w:color w:val="auto"/>
        </w:rPr>
        <w:t>[See Carta]</w:t>
      </w:r>
    </w:p>
    <w:p>
      <w:pPr>
        <w:spacing w:after="0" w:line="190"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Date of Grant: </w:t>
      </w:r>
      <w:r>
        <w:rPr>
          <w:rFonts w:ascii="Times New Roman" w:cs="Times New Roman" w:eastAsia="Times New Roman" w:hAnsi="Times New Roman"/>
          <w:sz w:val="18"/>
          <w:szCs w:val="18"/>
          <w:color w:val="auto"/>
        </w:rPr>
        <w:t>[See Carta]</w:t>
      </w:r>
    </w:p>
    <w:p>
      <w:pPr>
        <w:spacing w:after="0" w:line="190"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Start Date: </w:t>
      </w:r>
      <w:r>
        <w:rPr>
          <w:rFonts w:ascii="Times New Roman" w:cs="Times New Roman" w:eastAsia="Times New Roman" w:hAnsi="Times New Roman"/>
          <w:sz w:val="18"/>
          <w:szCs w:val="18"/>
          <w:color w:val="auto"/>
        </w:rPr>
        <w:t>[See Carta]</w:t>
      </w:r>
    </w:p>
    <w:p>
      <w:pPr>
        <w:spacing w:after="0" w:line="190"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Maximum number of shares for</w:t>
      </w:r>
    </w:p>
    <w:p>
      <w:pPr>
        <w:spacing w:after="0" w:line="32" w:lineRule="exact"/>
        <w:rPr>
          <w:rFonts w:ascii="Times New Roman" w:cs="Times New Roman" w:eastAsia="Times New Roman" w:hAnsi="Times New Roman"/>
          <w:sz w:val="18"/>
          <w:szCs w:val="18"/>
          <w:color w:val="auto"/>
        </w:rPr>
      </w:pPr>
    </w:p>
    <w:p>
      <w:pPr>
        <w:ind w:left="5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which this Option is exercisable: </w:t>
      </w:r>
      <w:r>
        <w:rPr>
          <w:rFonts w:ascii="Times New Roman" w:cs="Times New Roman" w:eastAsia="Times New Roman" w:hAnsi="Times New Roman"/>
          <w:sz w:val="18"/>
          <w:szCs w:val="18"/>
          <w:color w:val="auto"/>
        </w:rPr>
        <w:t>[See Carta]</w:t>
      </w:r>
    </w:p>
    <w:p>
      <w:pPr>
        <w:spacing w:after="0" w:line="166"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(purchase) price per share: </w:t>
      </w:r>
      <w:r>
        <w:rPr>
          <w:rFonts w:ascii="Times New Roman" w:cs="Times New Roman" w:eastAsia="Times New Roman" w:hAnsi="Times New Roman"/>
          <w:sz w:val="18"/>
          <w:szCs w:val="18"/>
          <w:color w:val="auto"/>
        </w:rPr>
        <w:t>$[See Carta]</w:t>
      </w:r>
    </w:p>
    <w:p>
      <w:pPr>
        <w:spacing w:after="0" w:line="190" w:lineRule="exact"/>
        <w:rPr>
          <w:rFonts w:ascii="Times New Roman" w:cs="Times New Roman" w:eastAsia="Times New Roman" w:hAnsi="Times New Roman"/>
          <w:sz w:val="18"/>
          <w:szCs w:val="18"/>
          <w:color w:val="auto"/>
        </w:rPr>
      </w:pPr>
    </w:p>
    <w:p>
      <w:pPr>
        <w:ind w:left="549" w:right="380" w:hanging="549"/>
        <w:spacing w:after="0" w:line="288" w:lineRule="auto"/>
        <w:tabs>
          <w:tab w:leader="none" w:pos="54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Exercise</w:t>
      </w:r>
      <w:r>
        <w:rPr>
          <w:rFonts w:ascii="Times New Roman" w:cs="Times New Roman" w:eastAsia="Times New Roman" w:hAnsi="Times New Roman"/>
          <w:sz w:val="18"/>
          <w:szCs w:val="18"/>
          <w:color w:val="auto"/>
        </w:rPr>
        <w:t>: This Option may be exercised by the delivery of written notice to the Company setting forth the number of shares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the Option is to be exercised, together with payment by one of the following methods:</w:t>
      </w:r>
    </w:p>
    <w:p>
      <w:pPr>
        <w:spacing w:after="0" w:line="121" w:lineRule="exact"/>
        <w:rPr>
          <w:sz w:val="20"/>
          <w:szCs w:val="20"/>
          <w:color w:val="auto"/>
        </w:rPr>
      </w:pPr>
    </w:p>
    <w:p>
      <w:pPr>
        <w:ind w:left="1089" w:right="680"/>
        <w:spacing w:after="0" w:line="283" w:lineRule="auto"/>
        <w:rPr>
          <w:sz w:val="20"/>
          <w:szCs w:val="20"/>
          <w:color w:val="auto"/>
        </w:rPr>
      </w:pPr>
      <w:r>
        <w:rPr>
          <w:rFonts w:ascii="Times New Roman" w:cs="Times New Roman" w:eastAsia="Times New Roman" w:hAnsi="Times New Roman"/>
          <w:sz w:val="18"/>
          <w:szCs w:val="18"/>
          <w:color w:val="auto"/>
        </w:rPr>
        <w:t>cash or a personal, certified or bank check or postal money order payable to the order of the Company for an amount equal to the exercise price of the shares being purchased; or</w:t>
      </w:r>
    </w:p>
    <w:p>
      <w:pPr>
        <w:spacing w:after="0" w:line="125"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8"/>
          <w:szCs w:val="18"/>
          <w:color w:val="auto"/>
        </w:rPr>
        <w:t>with the consent of the Company, any of the other methods set forth in the Plan.</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As an additional condition to exercise of this Option:</w:t>
      </w:r>
    </w:p>
    <w:p>
      <w:pPr>
        <w:spacing w:after="0" w:line="191" w:lineRule="exact"/>
        <w:rPr>
          <w:sz w:val="20"/>
          <w:szCs w:val="20"/>
          <w:color w:val="auto"/>
        </w:rPr>
      </w:pPr>
    </w:p>
    <w:p>
      <w:pPr>
        <w:ind w:left="1089" w:right="480" w:hanging="544"/>
        <w:spacing w:after="0" w:line="283" w:lineRule="auto"/>
        <w:tabs>
          <w:tab w:leader="none" w:pos="107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Holder is purchasing any unvested shares, the terms and conditions of such purchase shall be as set forth in a restricted stock purchase agreement signed by the Holder and the Company; and</w:t>
      </w:r>
    </w:p>
    <w:p>
      <w:pPr>
        <w:spacing w:after="0" w:line="125" w:lineRule="exact"/>
        <w:rPr>
          <w:rFonts w:ascii="Times New Roman" w:cs="Times New Roman" w:eastAsia="Times New Roman" w:hAnsi="Times New Roman"/>
          <w:sz w:val="18"/>
          <w:szCs w:val="18"/>
          <w:color w:val="auto"/>
        </w:rPr>
      </w:pPr>
    </w:p>
    <w:p>
      <w:pPr>
        <w:ind w:left="1089" w:right="180" w:hanging="544"/>
        <w:spacing w:after="0" w:line="283" w:lineRule="auto"/>
        <w:tabs>
          <w:tab w:leader="none" w:pos="108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Holder is purchasing any vested shares, the Holder shall deliver to the Company an investment letter in form and substance satisfactory to</w:t>
      </w:r>
    </w:p>
    <w:p>
      <w:pPr>
        <w:sectPr>
          <w:pgSz w:w="11900" w:h="16838" w:orient="portrait"/>
          <w:cols w:equalWidth="0" w:num="1">
            <w:col w:w="11149"/>
          </w:cols>
          <w:pgMar w:left="311" w:top="1214" w:right="439" w:bottom="1440" w:gutter="0" w:footer="0" w:header="0"/>
        </w:sectPr>
      </w:pPr>
    </w:p>
    <w:bookmarkStart w:id="439" w:name="page440"/>
    <w:bookmarkEnd w:id="439"/>
    <w:p>
      <w:pPr>
        <w:jc w:val="both"/>
        <w:ind w:left="1089" w:right="80"/>
        <w:spacing w:after="0" w:line="266" w:lineRule="auto"/>
        <w:rPr>
          <w:sz w:val="20"/>
          <w:szCs w:val="20"/>
          <w:color w:val="auto"/>
        </w:rPr>
      </w:pPr>
      <w:r>
        <w:rPr>
          <w:rFonts w:ascii="Times New Roman" w:cs="Times New Roman" w:eastAsia="Times New Roman" w:hAnsi="Times New Roman"/>
          <w:sz w:val="18"/>
          <w:szCs w:val="18"/>
          <w:color w:val="auto"/>
        </w:rPr>
        <w:t>the Company and its counsel. No such investment letter shall be required as a condition to such exercise at any time when there shall be an effective registration statement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covering the vested shares for which this Option may be exercised.</w:t>
      </w:r>
    </w:p>
    <w:p>
      <w:pPr>
        <w:spacing w:after="0" w:line="137" w:lineRule="exact"/>
        <w:rPr>
          <w:sz w:val="20"/>
          <w:szCs w:val="20"/>
          <w:color w:val="auto"/>
        </w:rPr>
      </w:pPr>
    </w:p>
    <w:p>
      <w:pPr>
        <w:ind w:left="549" w:hanging="549"/>
        <w:spacing w:after="0"/>
        <w:tabs>
          <w:tab w:leader="none" w:pos="5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Expiration Date of Option: [See Carta]</w:t>
      </w:r>
    </w:p>
    <w:p>
      <w:pPr>
        <w:spacing w:after="0" w:line="190"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Schedule:</w:t>
      </w:r>
    </w:p>
    <w:p>
      <w:pPr>
        <w:spacing w:after="0" w:line="195"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8"/>
          <w:szCs w:val="18"/>
          <w:color w:val="auto"/>
        </w:rPr>
        <w:t>[See Carta]</w:t>
      </w:r>
    </w:p>
    <w:p>
      <w:pPr>
        <w:spacing w:after="0" w:line="191" w:lineRule="exact"/>
        <w:rPr>
          <w:sz w:val="20"/>
          <w:szCs w:val="20"/>
          <w:color w:val="auto"/>
        </w:rPr>
      </w:pPr>
    </w:p>
    <w:p>
      <w:pPr>
        <w:ind w:left="549" w:firstLine="545"/>
        <w:spacing w:after="0" w:line="254" w:lineRule="auto"/>
        <w:rPr>
          <w:sz w:val="20"/>
          <w:szCs w:val="20"/>
          <w:color w:val="auto"/>
        </w:rPr>
      </w:pPr>
      <w:r>
        <w:rPr>
          <w:rFonts w:ascii="Times New Roman" w:cs="Times New Roman" w:eastAsia="Times New Roman" w:hAnsi="Times New Roman"/>
          <w:sz w:val="18"/>
          <w:szCs w:val="18"/>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restricted stock purchase containing a “reverse vesting” schedule effectively equivalent to the Vesting Schedule set forth herein, pursuant to which the Holder agrees to sell back any unvested shares at the exercise price paid for such shares should he or she cease to perform services for the Company prior to full vesting. The Holder understands that he or she may make an election under Section 83(b) of the Code (an “</w:t>
      </w:r>
      <w:r>
        <w:rPr>
          <w:rFonts w:ascii="Times New Roman" w:cs="Times New Roman" w:eastAsia="Times New Roman" w:hAnsi="Times New Roman"/>
          <w:sz w:val="18"/>
          <w:szCs w:val="18"/>
          <w:u w:val="single" w:color="auto"/>
          <w:color w:val="auto"/>
        </w:rPr>
        <w:t>83(b) Election</w:t>
      </w:r>
      <w:r>
        <w:rPr>
          <w:rFonts w:ascii="Times New Roman" w:cs="Times New Roman" w:eastAsia="Times New Roman" w:hAnsi="Times New Roman"/>
          <w:sz w:val="18"/>
          <w:szCs w:val="18"/>
          <w:color w:val="auto"/>
        </w:rPr>
        <w:t xml:space="preserve">”) with respect to the unvested shares to be issued, and that if he or she chooses to make such election, it must be made </w:t>
      </w:r>
      <w:r>
        <w:rPr>
          <w:rFonts w:ascii="Times New Roman" w:cs="Times New Roman" w:eastAsia="Times New Roman" w:hAnsi="Times New Roman"/>
          <w:sz w:val="18"/>
          <w:szCs w:val="18"/>
          <w:u w:val="single" w:color="auto"/>
          <w:color w:val="auto"/>
        </w:rPr>
        <w:t>within 30 days</w:t>
      </w:r>
      <w:r>
        <w:rPr>
          <w:rFonts w:ascii="Times New Roman" w:cs="Times New Roman" w:eastAsia="Times New Roman" w:hAnsi="Times New Roman"/>
          <w:sz w:val="18"/>
          <w:szCs w:val="18"/>
          <w:color w:val="auto"/>
        </w:rPr>
        <w:t xml:space="preserve"> of the date of execution of such restricted stock agreement. The Holder is advised to consult a personal tax adviser with respect to the tax consequences of filing or not filing an 83(b) Election, and understands that such filing is solely the Holder’s responsibility.</w:t>
      </w:r>
    </w:p>
    <w:p>
      <w:pPr>
        <w:spacing w:after="0" w:line="152" w:lineRule="exact"/>
        <w:rPr>
          <w:sz w:val="20"/>
          <w:szCs w:val="20"/>
          <w:color w:val="auto"/>
        </w:rPr>
      </w:pPr>
    </w:p>
    <w:p>
      <w:pPr>
        <w:ind w:left="549" w:hanging="549"/>
        <w:spacing w:after="0"/>
        <w:tabs>
          <w:tab w:leader="none" w:pos="54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Option. </w:t>
      </w:r>
      <w:r>
        <w:rPr>
          <w:rFonts w:ascii="Times New Roman" w:cs="Times New Roman" w:eastAsia="Times New Roman" w:hAnsi="Times New Roman"/>
          <w:sz w:val="18"/>
          <w:szCs w:val="18"/>
          <w:color w:val="auto"/>
        </w:rPr>
        <w:t>This Option shall terminate on the earliest to occur of:</w:t>
      </w:r>
    </w:p>
    <w:p>
      <w:pPr>
        <w:spacing w:after="0" w:line="194" w:lineRule="exact"/>
        <w:rPr>
          <w:rFonts w:ascii="Times New Roman" w:cs="Times New Roman" w:eastAsia="Times New Roman" w:hAnsi="Times New Roman"/>
          <w:sz w:val="18"/>
          <w:szCs w:val="18"/>
          <w:color w:val="auto"/>
        </w:rPr>
      </w:pPr>
    </w:p>
    <w:p>
      <w:pPr>
        <w:ind w:left="2169" w:hanging="534"/>
        <w:spacing w:after="0"/>
        <w:tabs>
          <w:tab w:leader="none" w:pos="216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expiration hereof;</w:t>
      </w:r>
    </w:p>
    <w:p>
      <w:pPr>
        <w:spacing w:after="0" w:line="190" w:lineRule="exact"/>
        <w:rPr>
          <w:rFonts w:ascii="Times New Roman" w:cs="Times New Roman" w:eastAsia="Times New Roman" w:hAnsi="Times New Roman"/>
          <w:sz w:val="18"/>
          <w:szCs w:val="18"/>
          <w:color w:val="auto"/>
        </w:rPr>
      </w:pPr>
    </w:p>
    <w:p>
      <w:pPr>
        <w:ind w:left="2189" w:right="140" w:hanging="554"/>
        <w:spacing w:after="0" w:line="283" w:lineRule="auto"/>
        <w:tabs>
          <w:tab w:leader="none" w:pos="218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termination of the Holder’s employment with or services to the Company by the Company for Cause (as defined in the Plan);</w:t>
      </w:r>
    </w:p>
    <w:p>
      <w:pPr>
        <w:spacing w:after="0" w:line="125" w:lineRule="exact"/>
        <w:rPr>
          <w:rFonts w:ascii="Times New Roman" w:cs="Times New Roman" w:eastAsia="Times New Roman" w:hAnsi="Times New Roman"/>
          <w:sz w:val="18"/>
          <w:szCs w:val="18"/>
          <w:color w:val="auto"/>
        </w:rPr>
      </w:pPr>
    </w:p>
    <w:p>
      <w:pPr>
        <w:ind w:left="2189" w:right="140" w:hanging="554"/>
        <w:spacing w:after="0" w:line="283" w:lineRule="auto"/>
        <w:tabs>
          <w:tab w:leader="none" w:pos="218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date of voluntary termination of employment or services by the Holder (other than for death or permanent and total disability as defined in the Plan);</w:t>
      </w:r>
    </w:p>
    <w:p>
      <w:pPr>
        <w:spacing w:after="0" w:line="125" w:lineRule="exact"/>
        <w:rPr>
          <w:rFonts w:ascii="Times New Roman" w:cs="Times New Roman" w:eastAsia="Times New Roman" w:hAnsi="Times New Roman"/>
          <w:sz w:val="18"/>
          <w:szCs w:val="18"/>
          <w:color w:val="auto"/>
        </w:rPr>
      </w:pPr>
    </w:p>
    <w:p>
      <w:pPr>
        <w:ind w:left="2189" w:right="120" w:hanging="554"/>
        <w:spacing w:after="0" w:line="283" w:lineRule="auto"/>
        <w:tabs>
          <w:tab w:leader="none" w:pos="217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date of termination of the Holder’s employment with or services to the Company by the Company without Cause (other than for death or permanent and total disability as defined in the Plan); or</w:t>
      </w:r>
    </w:p>
    <w:p>
      <w:pPr>
        <w:spacing w:after="0" w:line="125" w:lineRule="exact"/>
        <w:rPr>
          <w:rFonts w:ascii="Times New Roman" w:cs="Times New Roman" w:eastAsia="Times New Roman" w:hAnsi="Times New Roman"/>
          <w:sz w:val="18"/>
          <w:szCs w:val="18"/>
          <w:color w:val="auto"/>
        </w:rPr>
      </w:pPr>
    </w:p>
    <w:p>
      <w:pPr>
        <w:ind w:left="2169" w:hanging="534"/>
        <w:spacing w:after="0"/>
        <w:tabs>
          <w:tab w:leader="none" w:pos="216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“permanent and total disability” (as defined at Section 10 of the Plan) or death of the Holder.</w:t>
      </w:r>
    </w:p>
    <w:p>
      <w:pPr>
        <w:sectPr>
          <w:pgSz w:w="11900" w:h="16838" w:orient="portrait"/>
          <w:cols w:equalWidth="0" w:num="1">
            <w:col w:w="11269"/>
          </w:cols>
          <w:pgMar w:left="311" w:top="1218" w:right="319" w:bottom="1440" w:gutter="0" w:footer="0" w:header="0"/>
        </w:sectPr>
      </w:pPr>
    </w:p>
    <w:bookmarkStart w:id="440" w:name="page441"/>
    <w:bookmarkEnd w:id="440"/>
    <w:p>
      <w:pPr>
        <w:ind w:left="549" w:right="360" w:hanging="549"/>
        <w:spacing w:after="0" w:line="288" w:lineRule="auto"/>
        <w:tabs>
          <w:tab w:leader="none" w:pos="54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Company’s Right of First Refusal. </w:t>
      </w:r>
      <w:r>
        <w:rPr>
          <w:rFonts w:ascii="Times New Roman" w:cs="Times New Roman" w:eastAsia="Times New Roman" w:hAnsi="Times New Roman"/>
          <w:sz w:val="18"/>
          <w:szCs w:val="18"/>
          <w:color w:val="auto"/>
        </w:rPr>
        <w:t>Prior to the effective date of a registration statement under the Act, any shares of stock issued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this Option shall be subject to the Company’s right of first refusal as set forth at Appendix A.</w:t>
      </w:r>
    </w:p>
    <w:p>
      <w:pPr>
        <w:spacing w:after="0" w:line="116" w:lineRule="exact"/>
        <w:rPr>
          <w:rFonts w:ascii="Times New Roman" w:cs="Times New Roman" w:eastAsia="Times New Roman" w:hAnsi="Times New Roman"/>
          <w:sz w:val="18"/>
          <w:szCs w:val="18"/>
          <w:color w:val="auto"/>
        </w:rPr>
      </w:pPr>
    </w:p>
    <w:p>
      <w:pPr>
        <w:ind w:left="549" w:right="80" w:hanging="549"/>
        <w:spacing w:after="0" w:line="259" w:lineRule="auto"/>
        <w:tabs>
          <w:tab w:leader="none" w:pos="54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The Holder agrees that upon the request of the Company or the managing underwriter(s) of any offering of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is the subject of a registration statement filed under the Act, for a period of time (not to exceed 180 days) from the effective date of the registration statement under the Act for such offering, the Holder will not sell, make any short sale of, loan, grant any option for the purchase of, or otherwise dispose of any shares of Class A Common Stock issued pursuant to the exercise of this Option, without the prior written consent of the Company and such underwriters.</w:t>
      </w:r>
    </w:p>
    <w:p>
      <w:pPr>
        <w:spacing w:after="0" w:line="143" w:lineRule="exact"/>
        <w:rPr>
          <w:rFonts w:ascii="Times New Roman" w:cs="Times New Roman" w:eastAsia="Times New Roman" w:hAnsi="Times New Roman"/>
          <w:sz w:val="18"/>
          <w:szCs w:val="18"/>
          <w:color w:val="auto"/>
        </w:rPr>
      </w:pPr>
    </w:p>
    <w:p>
      <w:pPr>
        <w:ind w:left="549" w:right="200" w:hanging="549"/>
        <w:spacing w:after="0" w:line="288" w:lineRule="auto"/>
        <w:tabs>
          <w:tab w:leader="none" w:pos="54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 The Company’s obligation to deliver shares shall be subject to the Holder’s satisfaction of any federal, state and local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employment tax withholding requirements.</w:t>
      </w:r>
    </w:p>
    <w:p>
      <w:pPr>
        <w:spacing w:after="0" w:line="116" w:lineRule="exact"/>
        <w:rPr>
          <w:rFonts w:ascii="Times New Roman" w:cs="Times New Roman" w:eastAsia="Times New Roman" w:hAnsi="Times New Roman"/>
          <w:sz w:val="18"/>
          <w:szCs w:val="18"/>
          <w:color w:val="auto"/>
        </w:rPr>
      </w:pPr>
    </w:p>
    <w:p>
      <w:pPr>
        <w:jc w:val="both"/>
        <w:ind w:left="549" w:hanging="549"/>
        <w:spacing w:after="0" w:line="269" w:lineRule="auto"/>
        <w:tabs>
          <w:tab w:leader="none" w:pos="54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to be given to the Company hereunder shall be deemed sufficient if addressed to the Company and delivered to the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Seer, Inc., 3800 Bridge Parkway, Suite 102, Redwood City, CA 94065, attention of the President, or such other address as the Company may hereafter designate.</w:t>
      </w:r>
    </w:p>
    <w:p>
      <w:pPr>
        <w:spacing w:after="0" w:line="137" w:lineRule="exact"/>
        <w:rPr>
          <w:rFonts w:ascii="Times New Roman" w:cs="Times New Roman" w:eastAsia="Times New Roman" w:hAnsi="Times New Roman"/>
          <w:sz w:val="18"/>
          <w:szCs w:val="18"/>
          <w:color w:val="auto"/>
        </w:rPr>
      </w:pPr>
    </w:p>
    <w:p>
      <w:pPr>
        <w:ind w:left="549" w:right="56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ectPr>
          <w:pgSz w:w="11900" w:h="16838" w:orient="portrait"/>
          <w:cols w:equalWidth="0" w:num="1">
            <w:col w:w="11249"/>
          </w:cols>
          <w:pgMar w:left="311" w:top="1214" w:right="339" w:bottom="1440" w:gutter="0" w:footer="0" w:header="0"/>
        </w:sectPr>
      </w:pPr>
    </w:p>
    <w:bookmarkStart w:id="441" w:name="page442"/>
    <w:bookmarkEnd w:id="441"/>
    <w:p>
      <w:pPr>
        <w:ind w:left="540"/>
        <w:spacing w:after="0"/>
        <w:rPr>
          <w:sz w:val="20"/>
          <w:szCs w:val="20"/>
          <w:color w:val="auto"/>
        </w:rPr>
      </w:pPr>
      <w:r>
        <w:rPr>
          <w:rFonts w:ascii="Times New Roman" w:cs="Times New Roman" w:eastAsia="Times New Roman" w:hAnsi="Times New Roman"/>
          <w:sz w:val="18"/>
          <w:szCs w:val="18"/>
          <w:color w:val="auto"/>
        </w:rPr>
        <w:t>IN WITNESS WHEREOF, the parties have executed this Option, or caused this Option to be executed, as of the Date of Grant.</w:t>
      </w:r>
    </w:p>
    <w:p>
      <w:pPr>
        <w:spacing w:after="0" w:line="2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27305</wp:posOffset>
            </wp:positionV>
            <wp:extent cx="293497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34970" cy="6985"/>
                    </a:xfrm>
                    <a:prstGeom prst="rect">
                      <a:avLst/>
                    </a:prstGeom>
                    <a:noFill/>
                  </pic:spPr>
                </pic:pic>
              </a:graphicData>
            </a:graphic>
          </wp:anchor>
        </w:drawing>
      </w:r>
    </w:p>
    <w:p>
      <w:pPr>
        <w:spacing w:after="0" w:line="20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8384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83840" cy="6985"/>
                    </a:xfrm>
                    <a:prstGeom prst="rect">
                      <a:avLst/>
                    </a:prstGeom>
                    <a:noFill/>
                  </pic:spPr>
                </pic:pic>
              </a:graphicData>
            </a:graphic>
          </wp:anchor>
        </w:drawing>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[Seer, Inc. NSO Option Grant]</w:t>
      </w:r>
    </w:p>
    <w:p>
      <w:pPr>
        <w:sectPr>
          <w:pgSz w:w="11900" w:h="16838" w:orient="portrait"/>
          <w:cols w:equalWidth="0" w:num="1">
            <w:col w:w="11200"/>
          </w:cols>
          <w:pgMar w:left="320" w:top="1218" w:right="379"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372" w:lineRule="exact"/>
        <w:rPr>
          <w:sz w:val="20"/>
          <w:szCs w:val="20"/>
          <w:color w:val="auto"/>
        </w:rPr>
      </w:pPr>
    </w:p>
    <w:p>
      <w:pPr>
        <w:ind w:right="20" w:firstLine="1149"/>
        <w:spacing w:after="0" w:line="257" w:lineRule="auto"/>
        <w:tabs>
          <w:tab w:leader="none" w:pos="1635"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Prior to the effective date of a registration statement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covering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of the Company’s Class A Common Stock and until such time as the Company shall have effected a public offering of its Class A Common Stock registered under the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46" w:lineRule="exact"/>
        <w:rPr>
          <w:rFonts w:ascii="Times New Roman" w:cs="Times New Roman" w:eastAsia="Times New Roman" w:hAnsi="Times New Roman"/>
          <w:sz w:val="18"/>
          <w:szCs w:val="18"/>
          <w:b w:val="1"/>
          <w:bCs w:val="1"/>
          <w:color w:val="auto"/>
        </w:rPr>
      </w:pPr>
    </w:p>
    <w:p>
      <w:pPr>
        <w:ind w:right="200" w:firstLine="1149"/>
        <w:spacing w:after="0" w:line="262" w:lineRule="auto"/>
        <w:tabs>
          <w:tab w:leader="none" w:pos="1635"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Intended Transfer. </w:t>
      </w:r>
      <w:r>
        <w:rPr>
          <w:rFonts w:ascii="Times New Roman" w:cs="Times New Roman" w:eastAsia="Times New Roman" w:hAnsi="Times New Roman"/>
          <w:sz w:val="18"/>
          <w:szCs w:val="18"/>
          <w:color w:val="auto"/>
        </w:rPr>
        <w:t>The notice shall state the number of shares offered, the name of the person or persons to whom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41" w:lineRule="exact"/>
        <w:rPr>
          <w:rFonts w:ascii="Times New Roman" w:cs="Times New Roman" w:eastAsia="Times New Roman" w:hAnsi="Times New Roman"/>
          <w:sz w:val="18"/>
          <w:szCs w:val="18"/>
          <w:b w:val="1"/>
          <w:bCs w:val="1"/>
          <w:color w:val="auto"/>
        </w:rPr>
      </w:pPr>
    </w:p>
    <w:p>
      <w:pPr>
        <w:ind w:right="40" w:firstLine="1149"/>
        <w:spacing w:after="0" w:line="256" w:lineRule="auto"/>
        <w:tabs>
          <w:tab w:leader="none" w:pos="1635"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to Accept or Decline Within 30 Days. </w:t>
      </w:r>
      <w:r>
        <w:rPr>
          <w:rFonts w:ascii="Times New Roman" w:cs="Times New Roman" w:eastAsia="Times New Roman" w:hAnsi="Times New Roman"/>
          <w:sz w:val="18"/>
          <w:szCs w:val="18"/>
          <w:color w:val="auto"/>
        </w:rPr>
        <w:t>The Company may accept the offer as to all, but not less than all, such shares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notifying the Holder in writing within 30 days after receipt of such notice of its acceptance of the offer. If the offer is accepted, the Company shall have 60 days after such acceptance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46" w:lineRule="exact"/>
        <w:rPr>
          <w:rFonts w:ascii="Times New Roman" w:cs="Times New Roman" w:eastAsia="Times New Roman" w:hAnsi="Times New Roman"/>
          <w:sz w:val="18"/>
          <w:szCs w:val="18"/>
          <w:b w:val="1"/>
          <w:bCs w:val="1"/>
          <w:color w:val="auto"/>
        </w:rPr>
      </w:pPr>
    </w:p>
    <w:p>
      <w:pPr>
        <w:ind w:right="260" w:firstLine="1149"/>
        <w:spacing w:after="0" w:line="269" w:lineRule="auto"/>
        <w:tabs>
          <w:tab w:leader="none" w:pos="1635"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Transferred Shares to Remain Subject to Right of First Refusal. </w:t>
      </w:r>
      <w:r>
        <w:rPr>
          <w:rFonts w:ascii="Times New Roman" w:cs="Times New Roman" w:eastAsia="Times New Roman" w:hAnsi="Times New Roman"/>
          <w:sz w:val="18"/>
          <w:szCs w:val="18"/>
          <w:color w:val="auto"/>
        </w:rPr>
        <w:t>Shares that are so transferred to such transferee shall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33" w:lineRule="exact"/>
        <w:rPr>
          <w:rFonts w:ascii="Times New Roman" w:cs="Times New Roman" w:eastAsia="Times New Roman" w:hAnsi="Times New Roman"/>
          <w:sz w:val="18"/>
          <w:szCs w:val="18"/>
          <w:b w:val="1"/>
          <w:bCs w:val="1"/>
          <w:color w:val="auto"/>
        </w:rPr>
      </w:pPr>
    </w:p>
    <w:p>
      <w:pPr>
        <w:ind w:right="40" w:firstLine="1149"/>
        <w:spacing w:after="0" w:line="262" w:lineRule="auto"/>
        <w:tabs>
          <w:tab w:leader="none" w:pos="1635"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of Company. </w:t>
      </w:r>
      <w:r>
        <w:rPr>
          <w:rFonts w:ascii="Times New Roman" w:cs="Times New Roman" w:eastAsia="Times New Roman" w:hAnsi="Times New Roman"/>
          <w:sz w:val="18"/>
          <w:szCs w:val="18"/>
          <w:color w:val="auto"/>
        </w:rPr>
        <w:t>No sale, assignment, pledge or other transfer of any of the shares covered by this Option shall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w:t>
      </w:r>
    </w:p>
    <w:p>
      <w:pPr>
        <w:sectPr>
          <w:pgSz w:w="11900" w:h="16838" w:orient="portrait"/>
          <w:cols w:equalWidth="0" w:num="1">
            <w:col w:w="11260"/>
          </w:cols>
          <w:pgMar w:left="320" w:top="1218" w:right="319" w:bottom="1440" w:gutter="0" w:footer="0" w:header="0"/>
        </w:sectPr>
      </w:pPr>
    </w:p>
    <w:bookmarkStart w:id="443" w:name="page444"/>
    <w:bookmarkEnd w:id="443"/>
    <w:p>
      <w:pPr>
        <w:ind w:right="60"/>
        <w:spacing w:after="0" w:line="258" w:lineRule="auto"/>
        <w:rPr>
          <w:sz w:val="20"/>
          <w:szCs w:val="20"/>
          <w:color w:val="auto"/>
        </w:rPr>
      </w:pPr>
      <w:r>
        <w:rPr>
          <w:rFonts w:ascii="Times New Roman" w:cs="Times New Roman" w:eastAsia="Times New Roman" w:hAnsi="Times New Roman"/>
          <w:sz w:val="18"/>
          <w:szCs w:val="18"/>
          <w:color w:val="auto"/>
        </w:rPr>
        <w:t>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 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44" w:lineRule="exact"/>
        <w:rPr>
          <w:sz w:val="20"/>
          <w:szCs w:val="20"/>
          <w:color w:val="auto"/>
        </w:rPr>
      </w:pPr>
    </w:p>
    <w:p>
      <w:pPr>
        <w:ind w:left="1620" w:hanging="471"/>
        <w:spacing w:after="0"/>
        <w:tabs>
          <w:tab w:leader="none" w:pos="162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Subject to Right of First Refusal. </w:t>
      </w:r>
      <w:r>
        <w:rPr>
          <w:rFonts w:ascii="Times New Roman" w:cs="Times New Roman" w:eastAsia="Times New Roman" w:hAnsi="Times New Roman"/>
          <w:sz w:val="18"/>
          <w:szCs w:val="18"/>
          <w:color w:val="auto"/>
        </w:rPr>
        <w:t>For purposes of the Right of First Refusal pursuant to this Appendix A, the term</w:t>
      </w:r>
    </w:p>
    <w:p>
      <w:pPr>
        <w:spacing w:after="0" w:line="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any and all new, substituted or additional securities or other property issued to the Holder, by reason of his or her ownership of Class A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48" w:lineRule="exact"/>
        <w:rPr>
          <w:sz w:val="20"/>
          <w:szCs w:val="20"/>
          <w:color w:val="auto"/>
        </w:rPr>
      </w:pPr>
    </w:p>
    <w:p>
      <w:pPr>
        <w:ind w:firstLine="1149"/>
        <w:spacing w:after="0" w:line="288" w:lineRule="auto"/>
        <w:tabs>
          <w:tab w:leader="none" w:pos="1635" w:val="left"/>
        </w:tabs>
        <w:numPr>
          <w:ilvl w:val="1"/>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Legends on Stock Certificates. </w:t>
      </w:r>
      <w:r>
        <w:rPr>
          <w:rFonts w:ascii="Times New Roman" w:cs="Times New Roman" w:eastAsia="Times New Roman" w:hAnsi="Times New Roman"/>
          <w:sz w:val="18"/>
          <w:szCs w:val="18"/>
          <w:color w:val="auto"/>
        </w:rPr>
        <w:t>Any certificate representing shares of stock subject to the provisions of this Appendix A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endorsed thereon one or more legends, substantially as follows:</w:t>
      </w:r>
    </w:p>
    <w:p>
      <w:pPr>
        <w:spacing w:after="0" w:line="120" w:lineRule="exact"/>
        <w:rPr>
          <w:rFonts w:ascii="Times New Roman" w:cs="Times New Roman" w:eastAsia="Times New Roman" w:hAnsi="Times New Roman"/>
          <w:sz w:val="18"/>
          <w:szCs w:val="18"/>
          <w:b w:val="1"/>
          <w:bCs w:val="1"/>
          <w:color w:val="auto"/>
        </w:rPr>
      </w:pPr>
    </w:p>
    <w:p>
      <w:pPr>
        <w:ind w:left="2180" w:right="40" w:hanging="554"/>
        <w:spacing w:after="0" w:line="261" w:lineRule="auto"/>
        <w:tabs>
          <w:tab w:leader="none" w:pos="2170"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44" w:lineRule="exact"/>
        <w:rPr>
          <w:rFonts w:ascii="Times New Roman" w:cs="Times New Roman" w:eastAsia="Times New Roman" w:hAnsi="Times New Roman"/>
          <w:sz w:val="18"/>
          <w:szCs w:val="18"/>
          <w:color w:val="auto"/>
        </w:rPr>
      </w:pPr>
    </w:p>
    <w:p>
      <w:pPr>
        <w:ind w:left="2180" w:right="200" w:hanging="554"/>
        <w:spacing w:after="0" w:line="261" w:lineRule="auto"/>
        <w:tabs>
          <w:tab w:leader="none" w:pos="2175"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40" w:lineRule="exact"/>
        <w:rPr>
          <w:rFonts w:ascii="Times New Roman" w:cs="Times New Roman" w:eastAsia="Times New Roman" w:hAnsi="Times New Roman"/>
          <w:sz w:val="18"/>
          <w:szCs w:val="18"/>
          <w:color w:val="auto"/>
        </w:rPr>
      </w:pPr>
    </w:p>
    <w:p>
      <w:pPr>
        <w:ind w:right="160" w:firstLine="1081"/>
        <w:spacing w:after="0" w:line="288" w:lineRule="auto"/>
        <w:tabs>
          <w:tab w:leader="none" w:pos="1635"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 of First Refusal to Lapse Upon Registration. </w:t>
      </w:r>
      <w:r>
        <w:rPr>
          <w:rFonts w:ascii="Times New Roman" w:cs="Times New Roman" w:eastAsia="Times New Roman" w:hAnsi="Times New Roman"/>
          <w:sz w:val="18"/>
          <w:szCs w:val="18"/>
          <w:color w:val="auto"/>
        </w:rPr>
        <w:t>The restrictions imposed by this Appendix A shall terminate in all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effective date of a registration statement under the Act covering any of the Company’s Class A Common Stock.</w:t>
      </w:r>
    </w:p>
    <w:p>
      <w:pPr>
        <w:sectPr>
          <w:pgSz w:w="11900" w:h="16838" w:orient="portrait"/>
          <w:cols w:equalWidth="0" w:num="1">
            <w:col w:w="11180"/>
          </w:cols>
          <w:pgMar w:left="320" w:top="1218" w:right="399" w:bottom="1440" w:gutter="0" w:footer="0" w:header="0"/>
        </w:sectPr>
      </w:pPr>
    </w:p>
    <w:bookmarkStart w:id="444" w:name="page445"/>
    <w:bookmarkEnd w:id="444"/>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778510</wp:posOffset>
            </wp:positionV>
            <wp:extent cx="7159625" cy="61785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61785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PURCHASE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Seer, Inc. 2017 Stock Incentive Plan)</w:t>
      </w:r>
    </w:p>
    <w:p>
      <w:pPr>
        <w:spacing w:after="0" w:line="191" w:lineRule="exact"/>
        <w:rPr>
          <w:sz w:val="20"/>
          <w:szCs w:val="20"/>
          <w:color w:val="auto"/>
        </w:rPr>
      </w:pPr>
    </w:p>
    <w:p>
      <w:pPr>
        <w:jc w:val="both"/>
        <w:ind w:firstLine="545"/>
        <w:spacing w:after="0" w:line="255" w:lineRule="auto"/>
        <w:rPr>
          <w:sz w:val="20"/>
          <w:szCs w:val="20"/>
          <w:color w:val="auto"/>
        </w:rPr>
      </w:pPr>
      <w:r>
        <w:rPr>
          <w:rFonts w:ascii="Times New Roman" w:cs="Times New Roman" w:eastAsia="Times New Roman" w:hAnsi="Times New Roman"/>
          <w:sz w:val="18"/>
          <w:szCs w:val="18"/>
          <w:color w:val="auto"/>
        </w:rPr>
        <w:t>This Restricted Stock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by and between Seer,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the undersigned Purchaser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In consideration of the mutual promises and covenants contained in this Agreement, and for other good and valuable consideration, the receipt and sufficiency of which are hereby acknowledged, the parties hereto agree as follows in connection with the issuance of shares of Class A Common Stock, par value $0.00001 per share, of the Company specified below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subject to the terms and conditions stated below and those attached hereto, all of which terms and conditions are incorporated herein and made a part hereof. The Shares are being purchased pursuant to the Purchaser’s exercise of an option granted under the Company’s 2017 Stock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pursuant to [See Carta] Stock Option Agreement dated [See Carta]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w:t>
      </w:r>
    </w:p>
    <w:p>
      <w:pPr>
        <w:sectPr>
          <w:pgSz w:w="11900" w:h="16838" w:orient="portrait"/>
          <w:cols w:equalWidth="0" w:num="1">
            <w:col w:w="10140"/>
          </w:cols>
          <w:pgMar w:left="880" w:top="1440" w:right="879" w:bottom="1440" w:gutter="0" w:footer="0" w:header="0"/>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of Purchaser:</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this Agreement:</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 per Share:</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Purchase Price:</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Price per Share:</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Shares that are Vested Shares on the Vesting Start Date:</w:t>
      </w:r>
    </w:p>
    <w:p>
      <w:pPr>
        <w:spacing w:after="0" w:line="111" w:lineRule="exact"/>
        <w:rPr>
          <w:sz w:val="20"/>
          <w:szCs w:val="20"/>
          <w:color w:val="auto"/>
        </w:rPr>
      </w:pPr>
    </w:p>
    <w:p>
      <w:pPr>
        <w:ind w:left="20" w:right="3860"/>
        <w:spacing w:after="0" w:line="283" w:lineRule="auto"/>
        <w:rPr>
          <w:sz w:val="20"/>
          <w:szCs w:val="20"/>
          <w:color w:val="auto"/>
        </w:rPr>
      </w:pPr>
      <w:r>
        <w:rPr>
          <w:rFonts w:ascii="Times New Roman" w:cs="Times New Roman" w:eastAsia="Times New Roman" w:hAnsi="Times New Roman"/>
          <w:sz w:val="18"/>
          <w:szCs w:val="18"/>
          <w:color w:val="auto"/>
        </w:rPr>
        <w:t>Number of Shares that are Unvested Shares on the Vesting Start Date: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Vesting Start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Unvested Shares shall vest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Carta]</w:t>
      </w:r>
    </w:p>
    <w:p>
      <w:pPr>
        <w:spacing w:after="0" w:line="1421" w:lineRule="exact"/>
        <w:rPr>
          <w:sz w:val="20"/>
          <w:szCs w:val="20"/>
          <w:color w:val="auto"/>
        </w:rPr>
      </w:pPr>
    </w:p>
    <w:p>
      <w:pPr>
        <w:sectPr>
          <w:pgSz w:w="11900" w:h="16838" w:orient="portrait"/>
          <w:cols w:equalWidth="0" w:num="2">
            <w:col w:w="8520" w:space="720"/>
            <w:col w:w="900"/>
          </w:cols>
          <w:pgMar w:left="880" w:top="1440" w:right="87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vesting is dependent on the Purchaser serving the Company in one or more Qualified Positions (as hereafter defined) continuously from the date hereof through such vesting date, as provided herein. Unvested Shares and Vested Shares are subject to certain transfer restrictions set forth herein.</w:t>
      </w:r>
    </w:p>
    <w:p>
      <w:pPr>
        <w:sectPr>
          <w:pgSz w:w="11900" w:h="16838" w:orient="portrait"/>
          <w:cols w:equalWidth="0" w:num="1">
            <w:col w:w="10140"/>
          </w:cols>
          <w:pgMar w:left="880" w:top="1440" w:right="879" w:bottom="1440" w:gutter="0" w:footer="0" w:header="0"/>
          <w:type w:val="continuous"/>
        </w:sectPr>
      </w:pPr>
    </w:p>
    <w:bookmarkStart w:id="445" w:name="page446"/>
    <w:bookmarkEnd w:id="445"/>
    <w:p>
      <w:pPr>
        <w:spacing w:after="0" w:line="3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778510</wp:posOffset>
            </wp:positionV>
            <wp:extent cx="7159625" cy="4714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714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auto"/>
        </w:rPr>
        <w:t>Acknowledgement</w:t>
      </w:r>
    </w:p>
    <w:p>
      <w:pPr>
        <w:spacing w:after="0" w:line="19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 xml:space="preserve">The Purchaser acknowledges having read the terms and conditions set forth above and in the Incorporated Terms and Conditions attached hereto, including the subsection entitled “Section 83(b) Election,” and having had an opportunity to discuss them with counsel of the Purchaser’s choosing. </w:t>
      </w:r>
      <w:r>
        <w:rPr>
          <w:rFonts w:ascii="Times New Roman" w:cs="Times New Roman" w:eastAsia="Times New Roman" w:hAnsi="Times New Roman"/>
          <w:sz w:val="18"/>
          <w:szCs w:val="18"/>
          <w:b w:val="1"/>
          <w:bCs w:val="1"/>
          <w:i w:val="1"/>
          <w:iCs w:val="1"/>
          <w:color w:val="auto"/>
        </w:rPr>
        <w:t>The Purchaser further acknowledges that if the Option Agreement is an incentive stock option as of the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hereof, an 83(b) Election will be effective only with respect to the “alternative minimum tax” and </w:t>
      </w:r>
      <w:r>
        <w:rPr>
          <w:rFonts w:ascii="Times New Roman" w:cs="Times New Roman" w:eastAsia="Times New Roman" w:hAnsi="Times New Roman"/>
          <w:sz w:val="18"/>
          <w:szCs w:val="18"/>
          <w:b w:val="1"/>
          <w:bCs w:val="1"/>
          <w:i w:val="1"/>
          <w:iCs w:val="1"/>
          <w:u w:val="single" w:color="auto"/>
          <w:color w:val="auto"/>
        </w:rPr>
        <w:t>not</w:t>
      </w:r>
      <w:r>
        <w:rPr>
          <w:rFonts w:ascii="Times New Roman" w:cs="Times New Roman" w:eastAsia="Times New Roman" w:hAnsi="Times New Roman"/>
          <w:sz w:val="18"/>
          <w:szCs w:val="18"/>
          <w:b w:val="1"/>
          <w:bCs w:val="1"/>
          <w:i w:val="1"/>
          <w:iCs w:val="1"/>
          <w:color w:val="auto"/>
        </w:rPr>
        <w:t xml:space="preserve"> with respect to income tax.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Purchaser has consulted has or her tax adviser with respect to the tax consequences of early exercise of an ISO, including filing or not filing an 83(b) Election.</w:t>
      </w:r>
    </w:p>
    <w:p>
      <w:pPr>
        <w:spacing w:after="0" w:line="152" w:lineRule="exact"/>
        <w:rPr>
          <w:sz w:val="20"/>
          <w:szCs w:val="20"/>
          <w:color w:val="auto"/>
        </w:rPr>
      </w:pPr>
    </w:p>
    <w:p>
      <w:pPr>
        <w:jc w:val="both"/>
        <w:ind w:left="20"/>
        <w:spacing w:after="0" w:line="283" w:lineRule="auto"/>
        <w:rPr>
          <w:sz w:val="20"/>
          <w:szCs w:val="20"/>
          <w:color w:val="auto"/>
        </w:rPr>
      </w:pPr>
      <w:r>
        <w:rPr>
          <w:rFonts w:ascii="Times New Roman" w:cs="Times New Roman" w:eastAsia="Times New Roman" w:hAnsi="Times New Roman"/>
          <w:sz w:val="18"/>
          <w:szCs w:val="18"/>
          <w:color w:val="auto"/>
        </w:rPr>
        <w:t>By signing below, the Purchaser agrees to purchase the Number of Shares set forth above for the Aggregate Purchase Price set forth above, and further agrees to and accepts the terms and conditions set forth above and attached hereto.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Signed as an agreement under seal as of the Date of this Agreement.</w:t>
            </w:r>
          </w:p>
        </w:tc>
        <w:tc>
          <w:tcPr>
            <w:tcW w:w="7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43"/>
        </w:trPr>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723"/>
        </w:trPr>
        <w:tc>
          <w:tcPr>
            <w:tcW w:w="10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4"/>
                <w:szCs w:val="24"/>
                <w:color w:val="auto"/>
              </w:rPr>
            </w:pPr>
          </w:p>
        </w:tc>
      </w:tr>
      <w:tr>
        <w:trPr>
          <w:trHeight w:val="245"/>
        </w:trPr>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[See Carta]</w:t>
            </w:r>
          </w:p>
        </w:tc>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Name:</w:t>
            </w:r>
          </w:p>
        </w:tc>
      </w:tr>
      <w:tr>
        <w:trPr>
          <w:trHeight w:val="261"/>
        </w:trPr>
        <w:tc>
          <w:tcPr>
            <w:tcW w:w="10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Title:</w:t>
            </w:r>
          </w:p>
        </w:tc>
      </w:tr>
      <w:tr>
        <w:trPr>
          <w:trHeight w:val="495"/>
        </w:trPr>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9"/>
        </w:trPr>
        <w:tc>
          <w:tcPr>
            <w:tcW w:w="1060" w:type="dxa"/>
            <w:vAlign w:val="bottom"/>
          </w:tcPr>
          <w:p>
            <w:pPr>
              <w:spacing w:after="0"/>
              <w:rPr>
                <w:sz w:val="24"/>
                <w:szCs w:val="24"/>
                <w:color w:val="auto"/>
              </w:rPr>
            </w:pPr>
          </w:p>
        </w:tc>
        <w:tc>
          <w:tcPr>
            <w:tcW w:w="3560" w:type="dxa"/>
            <w:vAlign w:val="bottom"/>
            <w:tcBorders>
              <w:top w:val="single" w:sz="8" w:color="auto"/>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2"/>
        </w:trPr>
        <w:tc>
          <w:tcPr>
            <w:tcW w:w="1060" w:type="dxa"/>
            <w:vAlign w:val="bottom"/>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10160"/>
          </w:cols>
          <w:pgMar w:left="860" w:top="1440" w:right="879" w:bottom="1440" w:gutter="0" w:footer="0" w:header="0"/>
        </w:sectPr>
      </w:pPr>
    </w:p>
    <w:bookmarkStart w:id="446" w:name="page447"/>
    <w:bookmarkEnd w:id="446"/>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19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Purchase Agreement – Incorporated Terms and Conditions</w:t>
      </w:r>
    </w:p>
    <w:p>
      <w:pPr>
        <w:spacing w:after="0" w:line="195" w:lineRule="exact"/>
        <w:rPr>
          <w:sz w:val="20"/>
          <w:szCs w:val="20"/>
          <w:color w:val="auto"/>
        </w:rPr>
      </w:pPr>
    </w:p>
    <w:p>
      <w:pPr>
        <w:ind w:left="549" w:hanging="549"/>
        <w:spacing w:after="0"/>
        <w:tabs>
          <w:tab w:leader="none" w:pos="54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Subject to Stock Incentive Plan</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9" w:right="100" w:firstLine="545"/>
        <w:spacing w:after="0" w:line="258" w:lineRule="auto"/>
        <w:rPr>
          <w:sz w:val="20"/>
          <w:szCs w:val="20"/>
          <w:color w:val="auto"/>
        </w:rPr>
      </w:pPr>
      <w:r>
        <w:rPr>
          <w:rFonts w:ascii="Times New Roman" w:cs="Times New Roman" w:eastAsia="Times New Roman" w:hAnsi="Times New Roman"/>
          <w:sz w:val="18"/>
          <w:szCs w:val="18"/>
          <w:color w:val="auto"/>
        </w:rPr>
        <w:t>This Agreement is and shall be subject in every respect to the provisions of the Plan, which is incorporated herein by reference and made a part hereof. The Purchaser acknowledges that this Agreement shall be subject to all the terms and provisions of the Plan and agrees that (a) in the event of any conflict between the terms hereof and those of the Plan, the latter shall prevail, and (b) decisions under and interpretations of the Plan by the Board of Directors of the Company (or any committee thereof) shall be final, binding and conclusive upon the Purchaser and the Purchaser’s heirs and legal representatives.</w:t>
      </w:r>
    </w:p>
    <w:p>
      <w:pPr>
        <w:spacing w:after="0" w:line="148" w:lineRule="exact"/>
        <w:rPr>
          <w:sz w:val="20"/>
          <w:szCs w:val="20"/>
          <w:color w:val="auto"/>
        </w:rPr>
      </w:pPr>
    </w:p>
    <w:p>
      <w:pPr>
        <w:ind w:left="549" w:hanging="549"/>
        <w:spacing w:after="0"/>
        <w:tabs>
          <w:tab w:leader="none" w:pos="54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Shares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9" w:right="120" w:firstLine="536"/>
        <w:spacing w:after="0" w:line="258" w:lineRule="auto"/>
        <w:tabs>
          <w:tab w:leader="none" w:pos="1097"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Simultaneously with the execution and delivery of this Agreement, the Purchaser is purchasing from the Company the Number of Shares listed on the signature page hereto for the Aggregate Purchase Price listed on the signature page hereto, subject to the Purchaser’s delivery obligations set forth in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The Purchaser shall deliver to the Company: (a) the Aggregate Purchase Price by check payable to the order of the Company; and (b) a stock power, duly executed by the Purchaser in blank as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The Company will hold the executed stock certificate representing the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9" w:firstLine="536"/>
        <w:spacing w:after="0" w:line="262" w:lineRule="auto"/>
        <w:tabs>
          <w:tab w:leader="none" w:pos="109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(as defined on the signature page hereto) shall also include any shares of capital stock of the Company issued to the Purchaser by virtue of his or her ownership of the Shares, by stock dividend, stock split, recapitalization, merger, combination, reorganization or otherwise. Shares that are subject to the Company’s repurchase right as described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are referred to as “</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and Shares that are not subject to such repurchase right, or as to which such repurchase right has lapsed, are referred to as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The Purchaser represents and warrants to the Company as follows:</w:t>
      </w:r>
    </w:p>
    <w:p>
      <w:pPr>
        <w:spacing w:after="0" w:line="186" w:lineRule="exact"/>
        <w:rPr>
          <w:rFonts w:ascii="Times New Roman" w:cs="Times New Roman" w:eastAsia="Times New Roman" w:hAnsi="Times New Roman"/>
          <w:sz w:val="18"/>
          <w:szCs w:val="18"/>
          <w:color w:val="auto"/>
        </w:rPr>
      </w:pPr>
    </w:p>
    <w:p>
      <w:pPr>
        <w:ind w:left="9" w:right="100" w:firstLine="536"/>
        <w:spacing w:after="0" w:line="259" w:lineRule="auto"/>
        <w:tabs>
          <w:tab w:leader="none" w:pos="1097"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the Shares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registered or qualified under the securities or “Blue Sky” laws of any jurisdiction, and are being sold pursuant to exemptions contained in the Act and exemptions contained in other applicable securities or “Blue Sky” laws. The Purchaser understands further that the Company’s reliance on these exemptions is based in part on the representations made by the Purchaser in this Agreement. The offer and sale of the Shares is being made to the Purchaser solely in the state shown in the address set forth below the Purchaser’s name on the signature page hereto.</w:t>
      </w:r>
    </w:p>
    <w:p>
      <w:pPr>
        <w:spacing w:after="0" w:line="147" w:lineRule="exact"/>
        <w:rPr>
          <w:rFonts w:ascii="Times New Roman" w:cs="Times New Roman" w:eastAsia="Times New Roman" w:hAnsi="Times New Roman"/>
          <w:sz w:val="18"/>
          <w:szCs w:val="18"/>
          <w:color w:val="auto"/>
        </w:rPr>
      </w:pPr>
    </w:p>
    <w:p>
      <w:pPr>
        <w:ind w:left="9" w:right="40" w:firstLine="536"/>
        <w:spacing w:after="0" w:line="283" w:lineRule="auto"/>
        <w:tabs>
          <w:tab w:leader="none" w:pos="109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acquiring the Shares for the Purchaser’s own account for investment, and not for, with a view to, or in connection with the resale or distribution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9"/>
          </w:cols>
          <w:pgMar w:left="311" w:top="1214" w:right="319" w:bottom="1440" w:gutter="0" w:footer="0" w:header="0"/>
        </w:sectPr>
      </w:pPr>
    </w:p>
    <w:bookmarkStart w:id="447" w:name="page448"/>
    <w:bookmarkEnd w:id="447"/>
    <w:p>
      <w:pPr>
        <w:ind w:left="9" w:right="120"/>
        <w:spacing w:after="0" w:line="259" w:lineRule="auto"/>
        <w:rPr>
          <w:sz w:val="20"/>
          <w:szCs w:val="20"/>
          <w:color w:val="auto"/>
        </w:rPr>
      </w:pPr>
      <w:r>
        <w:rPr>
          <w:rFonts w:ascii="Times New Roman" w:cs="Times New Roman" w:eastAsia="Times New Roman" w:hAnsi="Times New Roman"/>
          <w:sz w:val="18"/>
          <w:szCs w:val="18"/>
          <w:color w:val="auto"/>
        </w:rPr>
        <w:t>The Purchaser has no present intention to sell, hypothecate, distribute or otherwise transfer (hereafter,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any of the Shares or any interest therein. The nature and amount of the Purchaser’s investment in the Shares are consistent with the Purchaser’s investment objectives, abilities and resources. The Purchaser understands that the Shares are an illiquid investment, which will not become freely transferable by reason of any change of circumstances whatsoever. The Purchaser has adequate means of providing for the Purchaser’s current needs and possible contingencies and has no need for liquidity in the Purchaser’s investment.</w:t>
      </w:r>
    </w:p>
    <w:p>
      <w:pPr>
        <w:spacing w:after="0" w:line="148" w:lineRule="exact"/>
        <w:rPr>
          <w:sz w:val="20"/>
          <w:szCs w:val="20"/>
          <w:color w:val="auto"/>
        </w:rPr>
      </w:pPr>
    </w:p>
    <w:p>
      <w:pPr>
        <w:ind w:left="9" w:firstLine="536"/>
        <w:spacing w:after="0" w:line="255" w:lineRule="auto"/>
        <w:tabs>
          <w:tab w:leader="none" w:pos="1097"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the Shares will constitute “restricted securities” within the meaning of Rule 144 promulgated under the Act and that, as such, the Shares must be held indefinitely unless they are subsequently registered under the Act or unless an exemption from the registration requirements thereof is available. The Purchaser has been advised that Rule 144, which permits the resale, subject to various terms and conditions, of such “restricted securities” after they have been held for specified periods of time does not now apply to the Company, because the Company is not now required to file, and does not file, periodic reports under the Securities Exchange Act of 1934, as amended, and because information concerning the Company substantially equivalent to that which would be available if the Company were required to file such reports is not now publicly available. The Company may become a reporting entity at some future date, but no assurance can be given that it will do so.</w:t>
      </w:r>
    </w:p>
    <w:p>
      <w:pPr>
        <w:spacing w:after="0" w:line="152" w:lineRule="exact"/>
        <w:rPr>
          <w:rFonts w:ascii="Times New Roman" w:cs="Times New Roman" w:eastAsia="Times New Roman" w:hAnsi="Times New Roman"/>
          <w:sz w:val="18"/>
          <w:szCs w:val="18"/>
          <w:color w:val="auto"/>
        </w:rPr>
      </w:pPr>
    </w:p>
    <w:p>
      <w:pPr>
        <w:ind w:left="9" w:right="40" w:firstLine="536"/>
        <w:spacing w:after="0" w:line="283" w:lineRule="auto"/>
        <w:tabs>
          <w:tab w:leader="none" w:pos="109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accepts the condition that the Company will maintain stop transfer orders with respect to the Shares and that each certificate or other document evidencing the Shares will bear a conspicuous legend in substantially the form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w:t>
      </w:r>
    </w:p>
    <w:p>
      <w:pPr>
        <w:spacing w:after="0" w:line="125" w:lineRule="exact"/>
        <w:rPr>
          <w:rFonts w:ascii="Times New Roman" w:cs="Times New Roman" w:eastAsia="Times New Roman" w:hAnsi="Times New Roman"/>
          <w:sz w:val="18"/>
          <w:szCs w:val="18"/>
          <w:color w:val="auto"/>
        </w:rPr>
      </w:pPr>
    </w:p>
    <w:p>
      <w:pPr>
        <w:ind w:left="9" w:right="40" w:firstLine="536"/>
        <w:spacing w:after="0" w:line="256" w:lineRule="auto"/>
        <w:tabs>
          <w:tab w:leader="none" w:pos="1097"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consulted the Purchaser’s attorney or the Purchaser’s accountant with respect to the Purchaser’s purchase of the Shares. The Purchaser and such attorney or accountant have fully investigated the Company and its business and financial condition and have knowledge of the Company’s current activities. The Company has granted the Purchaser and the Purchaser’s attorney or accountant access to all information about the Company which they have requested and has offered each of them access to all further information which they deemed relevant to an investment decision with respect to the Shares. The Purchaser and the Purchaser’s attorney or accountant have had the opportunity to ask questions of, and receive answers from, representatives of the Company concerning such information and the Company’s financial condition and prospects.</w:t>
      </w:r>
    </w:p>
    <w:p>
      <w:pPr>
        <w:spacing w:after="0" w:line="151" w:lineRule="exact"/>
        <w:rPr>
          <w:rFonts w:ascii="Times New Roman" w:cs="Times New Roman" w:eastAsia="Times New Roman" w:hAnsi="Times New Roman"/>
          <w:sz w:val="18"/>
          <w:szCs w:val="18"/>
          <w:color w:val="auto"/>
        </w:rPr>
      </w:pPr>
    </w:p>
    <w:p>
      <w:pPr>
        <w:ind w:left="9" w:right="140" w:hanging="9"/>
        <w:spacing w:after="0" w:line="283" w:lineRule="auto"/>
        <w:tabs>
          <w:tab w:leader="none" w:pos="55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The terms and conditions of this Section 4 shall apply to any Transfer or proposed transfer of the Shares and such terms and conditions shall govern to the extent of any conflict with any provision of the Option Agreement.</w:t>
      </w:r>
    </w:p>
    <w:p>
      <w:pPr>
        <w:spacing w:after="0" w:line="125" w:lineRule="exact"/>
        <w:rPr>
          <w:rFonts w:ascii="Times New Roman" w:cs="Times New Roman" w:eastAsia="Times New Roman" w:hAnsi="Times New Roman"/>
          <w:sz w:val="18"/>
          <w:szCs w:val="18"/>
          <w:color w:val="auto"/>
        </w:rPr>
      </w:pPr>
    </w:p>
    <w:p>
      <w:pPr>
        <w:ind w:left="9" w:right="420" w:firstLine="536"/>
        <w:spacing w:after="0" w:line="261" w:lineRule="auto"/>
        <w:tabs>
          <w:tab w:leader="none" w:pos="1097"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or any interest therein, may be Transferred at any time or under any circumstances unless (i) the Shares proposed to be Transferred have been registered under the Act and registered or qualified under applicable state securities laws, or (ii) the Company has received an opinion of counsel acceptable to the Company to the effect that such Transfer may be effected without registration under the Act and registration or qualification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9"/>
          </w:cols>
          <w:pgMar w:left="311" w:top="1214" w:right="359" w:bottom="1440" w:gutter="0" w:footer="0" w:header="0"/>
        </w:sectPr>
      </w:pPr>
    </w:p>
    <w:bookmarkStart w:id="448" w:name="page449"/>
    <w:bookmarkEnd w:id="448"/>
    <w:p>
      <w:pPr>
        <w:ind w:right="520"/>
        <w:spacing w:after="0" w:line="283" w:lineRule="auto"/>
        <w:rPr>
          <w:sz w:val="20"/>
          <w:szCs w:val="20"/>
          <w:color w:val="auto"/>
        </w:rPr>
      </w:pPr>
      <w:r>
        <w:rPr>
          <w:rFonts w:ascii="Times New Roman" w:cs="Times New Roman" w:eastAsia="Times New Roman" w:hAnsi="Times New Roman"/>
          <w:sz w:val="18"/>
          <w:szCs w:val="18"/>
          <w:color w:val="auto"/>
        </w:rPr>
        <w:t>securities laws of relevant states and the proposed transferee has made such representations and agreements as the Company shall require to assure compliance with the Act and such laws.</w:t>
      </w:r>
    </w:p>
    <w:p>
      <w:pPr>
        <w:spacing w:after="0" w:line="125" w:lineRule="exact"/>
        <w:rPr>
          <w:sz w:val="20"/>
          <w:szCs w:val="20"/>
          <w:color w:val="auto"/>
        </w:rPr>
      </w:pPr>
    </w:p>
    <w:p>
      <w:pPr>
        <w:ind w:left="1080" w:hanging="544"/>
        <w:spacing w:after="0"/>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Unvested Share, and no interest in an Unvested Share, may be Transferred except to the Company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70"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firstLine="1081"/>
        <w:spacing w:after="0" w:line="256" w:lineRule="auto"/>
        <w:tabs>
          <w:tab w:leader="none" w:pos="1625"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of Sale; Notice of Proposed Sale or Transfer</w:t>
      </w:r>
      <w:r>
        <w:rPr>
          <w:rFonts w:ascii="Times New Roman" w:cs="Times New Roman" w:eastAsia="Times New Roman" w:hAnsi="Times New Roman"/>
          <w:sz w:val="18"/>
          <w:szCs w:val="18"/>
          <w:color w:val="auto"/>
        </w:rPr>
        <w:t>. In the event that at any time the Purchaser desires to Transfer any Vested Shares or any interest therein, the Purchaser shall first deliver written notice of the Purchaser’s desire to do so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Company. The Notice must specify the number of Vested Shares proposed to be Transferred, the name of the person or persons to whom the Purchaser proposes to Transfer such Shares, the price at which such Shares are intended to be Transferred and all other terms of the transaction, which must be bona fide. The Notice shall constitute an offer by the Purchaser to the Company for the Company to purchase such Shares on such terms and at a price per share equal to the price stated in the Notice.</w:t>
      </w:r>
    </w:p>
    <w:p>
      <w:pPr>
        <w:spacing w:after="0" w:line="151" w:lineRule="exact"/>
        <w:rPr>
          <w:rFonts w:ascii="Times New Roman" w:cs="Times New Roman" w:eastAsia="Times New Roman" w:hAnsi="Times New Roman"/>
          <w:sz w:val="18"/>
          <w:szCs w:val="18"/>
          <w:color w:val="auto"/>
        </w:rPr>
      </w:pPr>
    </w:p>
    <w:p>
      <w:pPr>
        <w:ind w:right="140" w:firstLine="1081"/>
        <w:spacing w:after="0" w:line="266" w:lineRule="auto"/>
        <w:tabs>
          <w:tab w:leader="none" w:pos="163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Option to Purchase</w:t>
      </w:r>
      <w:r>
        <w:rPr>
          <w:rFonts w:ascii="Times New Roman" w:cs="Times New Roman" w:eastAsia="Times New Roman" w:hAnsi="Times New Roman"/>
          <w:sz w:val="18"/>
          <w:szCs w:val="18"/>
          <w:color w:val="auto"/>
        </w:rPr>
        <w:t>. The Company shall have the option to purchase all or any part of the Shares offered in the Notice for the price and on the terms specified in such Notice. The Company must exercise such option by giving written notice to the Purchaser no later than fifteen (15) business days after receipt of such Notice.</w:t>
      </w:r>
    </w:p>
    <w:p>
      <w:pPr>
        <w:spacing w:after="0" w:line="140" w:lineRule="exact"/>
        <w:rPr>
          <w:rFonts w:ascii="Times New Roman" w:cs="Times New Roman" w:eastAsia="Times New Roman" w:hAnsi="Times New Roman"/>
          <w:sz w:val="18"/>
          <w:szCs w:val="18"/>
          <w:color w:val="auto"/>
        </w:rPr>
      </w:pPr>
    </w:p>
    <w:p>
      <w:pPr>
        <w:ind w:right="40" w:firstLine="1081"/>
        <w:spacing w:after="0" w:line="258" w:lineRule="auto"/>
        <w:tabs>
          <w:tab w:leader="none" w:pos="1635"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Purchase by Company</w:t>
      </w:r>
      <w:r>
        <w:rPr>
          <w:rFonts w:ascii="Times New Roman" w:cs="Times New Roman" w:eastAsia="Times New Roman" w:hAnsi="Times New Roman"/>
          <w:sz w:val="18"/>
          <w:szCs w:val="18"/>
          <w:color w:val="auto"/>
        </w:rPr>
        <w:t>. In the event the Company duly exercises its option to purchase all or a portion of the Shares, the closing of such purchase shall take place at the offices of the Company on the fifth business day after the expiration of the fifteen-day period. Upon the occurrence of the closing, the Purchaser shall transfer to the Company the number of Shares specified in the Company’s notice, free of all liens, encumbrances and rights of others, and shall deliver the certificate(s) representing the number of Shares that the Company has elected to repurchase, as well as the duly executed stock powers accompanying such certificate(s).</w:t>
      </w:r>
    </w:p>
    <w:p>
      <w:pPr>
        <w:spacing w:after="0" w:line="148" w:lineRule="exact"/>
        <w:rPr>
          <w:rFonts w:ascii="Times New Roman" w:cs="Times New Roman" w:eastAsia="Times New Roman" w:hAnsi="Times New Roman"/>
          <w:sz w:val="18"/>
          <w:szCs w:val="18"/>
          <w:color w:val="auto"/>
        </w:rPr>
      </w:pPr>
    </w:p>
    <w:p>
      <w:pPr>
        <w:ind w:firstLine="1081"/>
        <w:spacing w:after="0" w:line="257" w:lineRule="auto"/>
        <w:tabs>
          <w:tab w:leader="none" w:pos="1625"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Fully Exercise Option to Purchase</w:t>
      </w:r>
      <w:r>
        <w:rPr>
          <w:rFonts w:ascii="Times New Roman" w:cs="Times New Roman" w:eastAsia="Times New Roman" w:hAnsi="Times New Roman"/>
          <w:sz w:val="18"/>
          <w:szCs w:val="18"/>
          <w:color w:val="auto"/>
        </w:rPr>
        <w:t>. If within the applicable time period, the Purchaser does not receive notice of the Company’s intention to purchase the offered Shares, the offer shall be deemed to have been rejected. In such event, the Purchaser may Transfer title to the offered Shares within ninety (90) days from the date of the Notice, but such Transfer shall be made only to the proposed transferee or transferees and at the proposed price and on such other terms as stated in such Notice. Shares that are so Transferred shall remain subject to this Agreement and, as a condition to any Transfer, the Purchaser shall obtain a written agreement from the transferee by which the transferee agrees to be bound by this Agreement.</w:t>
      </w:r>
    </w:p>
    <w:p>
      <w:pPr>
        <w:spacing w:after="0" w:line="368" w:lineRule="exact"/>
        <w:rPr>
          <w:rFonts w:ascii="Times New Roman" w:cs="Times New Roman" w:eastAsia="Times New Roman" w:hAnsi="Times New Roman"/>
          <w:sz w:val="18"/>
          <w:szCs w:val="18"/>
          <w:color w:val="auto"/>
        </w:rPr>
      </w:pPr>
    </w:p>
    <w:p>
      <w:pPr>
        <w:ind w:firstLine="536"/>
        <w:spacing w:after="0" w:line="261" w:lineRule="auto"/>
        <w:tabs>
          <w:tab w:leader="none" w:pos="108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the Plan, if the Purchaser is a natural person, all, or any portion of, the Shares may, without compliance with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be Transferred by the Purchaser for bona fide estate planning purposes to a member of the Purchaser’s immediate family, to a family partnership or to a family trust or, on the Purchaser’s death, may be Transferred to the Purchaser’s estate or to those entitled to a distribution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218" w:right="399" w:bottom="1440" w:gutter="0" w:footer="0" w:header="0"/>
        </w:sectPr>
      </w:pPr>
    </w:p>
    <w:bookmarkStart w:id="449" w:name="page450"/>
    <w:bookmarkEnd w:id="449"/>
    <w:p>
      <w:pPr>
        <w:ind w:left="9"/>
        <w:spacing w:after="0" w:line="266" w:lineRule="auto"/>
        <w:rPr>
          <w:sz w:val="20"/>
          <w:szCs w:val="20"/>
          <w:color w:val="auto"/>
        </w:rPr>
      </w:pPr>
      <w:r>
        <w:rPr>
          <w:rFonts w:ascii="Times New Roman" w:cs="Times New Roman" w:eastAsia="Times New Roman" w:hAnsi="Times New Roman"/>
          <w:sz w:val="18"/>
          <w:szCs w:val="18"/>
          <w:color w:val="auto"/>
        </w:rPr>
        <w:t>Shares under the laws of descent and distribution; provided, that Shares that are so Transferred shall remain subject to this Agreement and, as a condition to any Transfer, the Purchaser or the Purchaser’s legal representative shall obtain a written agreement from the proposed transferee or transferees by which such transferee agrees or transferees agree to be bound by this Agreement.</w:t>
      </w:r>
    </w:p>
    <w:p>
      <w:pPr>
        <w:spacing w:after="0" w:line="141" w:lineRule="exact"/>
        <w:rPr>
          <w:sz w:val="20"/>
          <w:szCs w:val="20"/>
          <w:color w:val="auto"/>
        </w:rPr>
      </w:pPr>
    </w:p>
    <w:p>
      <w:pPr>
        <w:ind w:left="9" w:right="20" w:firstLine="536"/>
        <w:spacing w:after="0" w:line="256" w:lineRule="auto"/>
        <w:tabs>
          <w:tab w:leader="none" w:pos="1097"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Transfer of Shares shall be effective or given effect on the books of the Company unless all of the applicable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have been duly complied with. The Company shall not be required to recognize as one of its stockholders any purported transferee of Shares which have been attempted to have been Transferred in violation of this Agreement, including, without limitation, for purposes of dividend and voting rights. The restrictions on transfer imposed by this Agreement shall apply not only to voluntary transfers but also to involuntary transfers, by operation of law or otherwise. The Purchaser shall pay all legal fees and expenses of the Company arising out of or relating to any purported sale, assignment or transfer of any Shares in violation of this Agreement.</w:t>
      </w:r>
    </w:p>
    <w:p>
      <w:pPr>
        <w:spacing w:after="0" w:line="151" w:lineRule="exact"/>
        <w:rPr>
          <w:rFonts w:ascii="Times New Roman" w:cs="Times New Roman" w:eastAsia="Times New Roman" w:hAnsi="Times New Roman"/>
          <w:sz w:val="18"/>
          <w:szCs w:val="18"/>
          <w:color w:val="auto"/>
        </w:rPr>
      </w:pPr>
    </w:p>
    <w:p>
      <w:pPr>
        <w:ind w:left="9" w:right="40" w:firstLine="536"/>
        <w:spacing w:after="0" w:line="261" w:lineRule="auto"/>
        <w:tabs>
          <w:tab w:leader="none" w:pos="1099"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The Purchaser agrees that, for a period of up to 180 days from the effective date of any registration of securities of the Company, the Purchaser will not Transfer any Shares held by the Purchaser without the prior written consent of the Company or such underwriters, as the case may be, all as fully provided in Section 5.3 of the Plan. The Purchaser further agrees to execute such agreements as may be reasonably requested by the underwriters that are consistent with this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or that are necessary to give further effect thereto.</w:t>
      </w:r>
    </w:p>
    <w:p>
      <w:pPr>
        <w:spacing w:after="0" w:line="144" w:lineRule="exact"/>
        <w:rPr>
          <w:rFonts w:ascii="Times New Roman" w:cs="Times New Roman" w:eastAsia="Times New Roman" w:hAnsi="Times New Roman"/>
          <w:sz w:val="18"/>
          <w:szCs w:val="18"/>
          <w:color w:val="auto"/>
        </w:rPr>
      </w:pPr>
    </w:p>
    <w:p>
      <w:pPr>
        <w:ind w:left="9" w:right="60" w:firstLine="536"/>
        <w:spacing w:after="0" w:line="258" w:lineRule="auto"/>
        <w:tabs>
          <w:tab w:leader="none" w:pos="109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Company and the obligations of the Purchaser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in addition to all rights and obligations which the Purchaser may have under other Sections of this Agreement or under other agreements between the Company and the Purchaser regarding the Shares (the “</w:t>
      </w:r>
      <w:r>
        <w:rPr>
          <w:rFonts w:ascii="Times New Roman" w:cs="Times New Roman" w:eastAsia="Times New Roman" w:hAnsi="Times New Roman"/>
          <w:sz w:val="18"/>
          <w:szCs w:val="18"/>
          <w:b w:val="1"/>
          <w:bCs w:val="1"/>
          <w:i w:val="1"/>
          <w:iCs w:val="1"/>
          <w:color w:val="auto"/>
        </w:rPr>
        <w:t>Other Agreements</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not give the Purchaser any right to make any Transfer of any Shares which is otherwise prohibited by any other Section of this Agreement or the Other Agreements. In addition, any failure by the Company to exercise its repurchase right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in no way affect any rights, including repurchase rights, the Company may have under any of the Other Agreements.</w:t>
      </w:r>
    </w:p>
    <w:p>
      <w:pPr>
        <w:spacing w:after="0" w:line="148" w:lineRule="exact"/>
        <w:rPr>
          <w:rFonts w:ascii="Times New Roman" w:cs="Times New Roman" w:eastAsia="Times New Roman" w:hAnsi="Times New Roman"/>
          <w:sz w:val="18"/>
          <w:szCs w:val="18"/>
          <w:color w:val="auto"/>
        </w:rPr>
      </w:pPr>
    </w:p>
    <w:p>
      <w:pPr>
        <w:ind w:left="9" w:right="240" w:firstLine="536"/>
        <w:spacing w:after="0" w:line="283" w:lineRule="auto"/>
        <w:tabs>
          <w:tab w:leader="none" w:pos="109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at no time shall the Purchaser Transfer any Shares or any interest therein to a competitor of the Company without the approval of the Board of Directors.</w:t>
      </w:r>
    </w:p>
    <w:p>
      <w:pPr>
        <w:spacing w:after="0" w:line="125"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Shares; Repurchase of Unvested Shares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9" w:right="20" w:firstLine="536"/>
        <w:spacing w:after="0" w:line="258" w:lineRule="auto"/>
        <w:tabs>
          <w:tab w:leader="none" w:pos="109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has served the Company in one or more Qualified Positions (as hereafter defined) continuously from the date hereof through the vesting dates specified on the signature page hereto, Unvested Shares shall become Vested Shares (or shall “vest”) on such dates and in such amounts as are specified on the signature page hereto. The term “</w:t>
      </w:r>
      <w:r>
        <w:rPr>
          <w:rFonts w:ascii="Times New Roman" w:cs="Times New Roman" w:eastAsia="Times New Roman" w:hAnsi="Times New Roman"/>
          <w:sz w:val="18"/>
          <w:szCs w:val="18"/>
          <w:b w:val="1"/>
          <w:bCs w:val="1"/>
          <w:i w:val="1"/>
          <w:iCs w:val="1"/>
          <w:color w:val="auto"/>
        </w:rPr>
        <w:t>Qualified Position</w:t>
      </w:r>
      <w:r>
        <w:rPr>
          <w:rFonts w:ascii="Times New Roman" w:cs="Times New Roman" w:eastAsia="Times New Roman" w:hAnsi="Times New Roman"/>
          <w:sz w:val="18"/>
          <w:szCs w:val="18"/>
          <w:color w:val="auto"/>
        </w:rPr>
        <w:t>” shall mean a Company-approved position as an employee, consultant, advisor, officer or member of the Board of Directors of the Company or one of its subsidiaries, if any. For the avoidance of doubt, the Board of Directors of the Company, in its discretion, may accelerate any vesting dates or waive any of the requirements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9"/>
          </w:cols>
          <w:pgMar w:left="311" w:top="1218" w:right="339" w:bottom="1440" w:gutter="0" w:footer="0" w:header="0"/>
        </w:sectPr>
      </w:pPr>
    </w:p>
    <w:bookmarkStart w:id="450" w:name="page451"/>
    <w:bookmarkEnd w:id="450"/>
    <w:p>
      <w:pPr>
        <w:ind w:right="20" w:firstLine="536"/>
        <w:spacing w:after="0" w:line="256" w:lineRule="auto"/>
        <w:tabs>
          <w:tab w:leader="none" w:pos="108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Purchaser ceases for any reason to provide services to the Company in one or more Qualified Positions before all of the Shares have become Vested Shares (a “</w:t>
      </w:r>
      <w:r>
        <w:rPr>
          <w:rFonts w:ascii="Times New Roman" w:cs="Times New Roman" w:eastAsia="Times New Roman" w:hAnsi="Times New Roman"/>
          <w:sz w:val="18"/>
          <w:szCs w:val="18"/>
          <w:b w:val="1"/>
          <w:bCs w:val="1"/>
          <w:i w:val="1"/>
          <w:iCs w:val="1"/>
          <w:color w:val="auto"/>
        </w:rPr>
        <w:t>Termination Event</w:t>
      </w:r>
      <w:r>
        <w:rPr>
          <w:rFonts w:ascii="Times New Roman" w:cs="Times New Roman" w:eastAsia="Times New Roman" w:hAnsi="Times New Roman"/>
          <w:sz w:val="18"/>
          <w:szCs w:val="18"/>
          <w:color w:val="auto"/>
        </w:rPr>
        <w:t>”), then the Company shall have the right to purchase (the “</w:t>
      </w:r>
      <w:r>
        <w:rPr>
          <w:rFonts w:ascii="Times New Roman" w:cs="Times New Roman" w:eastAsia="Times New Roman" w:hAnsi="Times New Roman"/>
          <w:sz w:val="18"/>
          <w:szCs w:val="18"/>
          <w:b w:val="1"/>
          <w:bCs w:val="1"/>
          <w:i w:val="1"/>
          <w:iCs w:val="1"/>
          <w:color w:val="auto"/>
        </w:rPr>
        <w:t>Repurchase Option</w:t>
      </w:r>
      <w:r>
        <w:rPr>
          <w:rFonts w:ascii="Times New Roman" w:cs="Times New Roman" w:eastAsia="Times New Roman" w:hAnsi="Times New Roman"/>
          <w:sz w:val="18"/>
          <w:szCs w:val="18"/>
          <w:color w:val="auto"/>
        </w:rPr>
        <w:t>”) for a period of ninety (90) days from the date of such Termination Event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any or all of the Shares that are Unvested Shares at the Termination Date (after giving effect to the look-forward vesting provisions of this Agreement). The purchase of each Unvested Share pursuant to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be effected at the Repurchase Price Per Share set forth on the signature page hereto, appropriately adjusted in the event of a stock dividend, stock split, recapitalization, merger, combination, reorganization or exchange of shares or other similar event occurring subsequent to the date of this Agreement.</w:t>
      </w:r>
    </w:p>
    <w:p>
      <w:pPr>
        <w:spacing w:after="0" w:line="367" w:lineRule="exact"/>
        <w:rPr>
          <w:rFonts w:ascii="Times New Roman" w:cs="Times New Roman" w:eastAsia="Times New Roman" w:hAnsi="Times New Roman"/>
          <w:sz w:val="18"/>
          <w:szCs w:val="18"/>
          <w:color w:val="auto"/>
        </w:rPr>
      </w:pPr>
    </w:p>
    <w:p>
      <w:pPr>
        <w:ind w:firstLine="536"/>
        <w:spacing w:after="0" w:line="243" w:lineRule="auto"/>
        <w:tabs>
          <w:tab w:leader="none" w:pos="108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notifies the Purchaser within ninety (90) days from the Termination Date that it does not intend to exercise its Repurchase Option with respect to some or all of the Unvested Shares, the Repurchase Option shall be </w:t>
      </w:r>
      <w:r>
        <w:rPr>
          <w:rFonts w:ascii="Times New Roman" w:cs="Times New Roman" w:eastAsia="Times New Roman" w:hAnsi="Times New Roman"/>
          <w:sz w:val="18"/>
          <w:szCs w:val="18"/>
          <w:u w:val="single" w:color="auto"/>
          <w:color w:val="auto"/>
        </w:rPr>
        <w:t>deemed automatically exercised</w:t>
      </w:r>
      <w:r>
        <w:rPr>
          <w:rFonts w:ascii="Times New Roman" w:cs="Times New Roman" w:eastAsia="Times New Roman" w:hAnsi="Times New Roman"/>
          <w:sz w:val="18"/>
          <w:szCs w:val="18"/>
          <w:color w:val="auto"/>
        </w:rPr>
        <w:t xml:space="preserve"> by the Company as of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may notify the Purchaser that it is exercising its Repurchase Option as of a date prior to such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Unless the Purchaser is otherwise notified by the Company pursuant to the preceding sentence that the Company does not intend to exercise its Repurchase Option as to some or all of the Unvested Shares to which it applies as of the Termination Date, execution of this Agreement by the Purchaser constitutes written notice to the Purchaser of the Company’s intention to exercise its Repurchase Option with respect to all Unvested Shares to which such Repurchase Option applies. The Company, at its choice, may satisfy its payment obligation to the Purchaser with respect to exercise of the Repurchase Option by any of (1) delivering a check to the Purchaser in the amount of the purchase price for the Unvested Shares being repurchased, (2) in the event the Purchaser is indebted to the Company, canceling an amount of such indebtedness equal to the purchase price for the Unvested Shares being repurchased, and (3) by a combination of (1) and (2) so that the combined payment and cancellation of indebtedness equals such purchase price. The Company shall use good faith efforts to satisfy its payment obligation to the Purchaser within fifteen (15) days after Company’s notice of exercise of the Repurchase Option (or deemed exercise). In the event of any deemed automatic exercise of the Repurchase Option pursuant to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at such time as the Purchaser is indebted to the Company, the portion of such indebtedness equal to the purchase price of the Unvested Shares being repurchased shall be deemed automatically canceled as of the date of Company’s notice of exercise of the Repurchase Option (or deemed exercise). As a result of any repurchase of Unvested Shares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the Purchaser.</w:t>
      </w:r>
    </w:p>
    <w:p>
      <w:pPr>
        <w:spacing w:after="0" w:line="170" w:lineRule="exact"/>
        <w:rPr>
          <w:rFonts w:ascii="Times New Roman" w:cs="Times New Roman" w:eastAsia="Times New Roman" w:hAnsi="Times New Roman"/>
          <w:sz w:val="18"/>
          <w:szCs w:val="18"/>
          <w:color w:val="auto"/>
        </w:rPr>
      </w:pPr>
    </w:p>
    <w:p>
      <w:pPr>
        <w:ind w:right="360" w:firstLine="536"/>
        <w:spacing w:after="0" w:line="283" w:lineRule="auto"/>
        <w:tabs>
          <w:tab w:leader="none" w:pos="108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after termination or exercise of all repurchase rights hereunder, deliver to the Purchaser a certificate or certificates representing the Shares, if any, as to which the Purchaser is entitled to ownership free and clear of such repurchase rights.</w:t>
      </w:r>
    </w:p>
    <w:p>
      <w:pPr>
        <w:spacing w:after="0" w:line="125" w:lineRule="exact"/>
        <w:rPr>
          <w:rFonts w:ascii="Times New Roman" w:cs="Times New Roman" w:eastAsia="Times New Roman" w:hAnsi="Times New Roman"/>
          <w:sz w:val="18"/>
          <w:szCs w:val="18"/>
          <w:color w:val="auto"/>
        </w:rPr>
      </w:pPr>
    </w:p>
    <w:p>
      <w:pPr>
        <w:ind w:right="60" w:firstLine="536"/>
        <w:spacing w:after="0" w:line="283" w:lineRule="auto"/>
        <w:tabs>
          <w:tab w:leader="none" w:pos="108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vest under this Agreement. Any calculation of Shares scheduled to vest on any date except for the last date on which vesting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8" w:right="339" w:bottom="1440" w:gutter="0" w:footer="0" w:header="0"/>
        </w:sectPr>
      </w:pPr>
    </w:p>
    <w:bookmarkStart w:id="451" w:name="page452"/>
    <w:bookmarkEnd w:id="451"/>
    <w:p>
      <w:pPr>
        <w:ind w:left="9" w:right="80"/>
        <w:spacing w:after="0" w:line="288" w:lineRule="auto"/>
        <w:rPr>
          <w:sz w:val="20"/>
          <w:szCs w:val="20"/>
          <w:color w:val="auto"/>
        </w:rPr>
      </w:pPr>
      <w:r>
        <w:rPr>
          <w:rFonts w:ascii="Times New Roman" w:cs="Times New Roman" w:eastAsia="Times New Roman" w:hAnsi="Times New Roman"/>
          <w:sz w:val="18"/>
          <w:szCs w:val="18"/>
          <w:color w:val="auto"/>
        </w:rPr>
        <w:t>contemplated under this Agreement (the “</w:t>
      </w:r>
      <w:r>
        <w:rPr>
          <w:rFonts w:ascii="Times New Roman" w:cs="Times New Roman" w:eastAsia="Times New Roman" w:hAnsi="Times New Roman"/>
          <w:sz w:val="18"/>
          <w:szCs w:val="18"/>
          <w:b w:val="1"/>
          <w:bCs w:val="1"/>
          <w:i w:val="1"/>
          <w:iCs w:val="1"/>
          <w:color w:val="auto"/>
        </w:rPr>
        <w:t>Final Vesting Date</w:t>
      </w:r>
      <w:r>
        <w:rPr>
          <w:rFonts w:ascii="Times New Roman" w:cs="Times New Roman" w:eastAsia="Times New Roman" w:hAnsi="Times New Roman"/>
          <w:sz w:val="18"/>
          <w:szCs w:val="18"/>
          <w:color w:val="auto"/>
        </w:rPr>
        <w:t>”) that results in a fractional share shall be rounded down to the nearest whole Share. On the Final Vesting Date, all remaining Unvested Shares shall vest and become Vested Shares.</w:t>
      </w:r>
    </w:p>
    <w:p>
      <w:pPr>
        <w:spacing w:after="0" w:line="121" w:lineRule="exact"/>
        <w:rPr>
          <w:sz w:val="20"/>
          <w:szCs w:val="20"/>
          <w:color w:val="auto"/>
        </w:rPr>
      </w:pPr>
    </w:p>
    <w:p>
      <w:pPr>
        <w:ind w:left="549" w:hanging="549"/>
        <w:spacing w:after="0"/>
        <w:tabs>
          <w:tab w:leader="none" w:pos="54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Custody of Certificates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9" w:right="40" w:firstLine="536"/>
        <w:spacing w:after="0" w:line="255" w:lineRule="auto"/>
        <w:tabs>
          <w:tab w:leader="none" w:pos="109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facilitate the exercise of the Company’s repurchase rights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simultaneously with the execution of this Agreement, the Purchaser shall deposit with the Company’s counsel the certificate or certificates representing in whole or in part Unvested Shares and shall promptly upon acquisition of any additional Unvested Shares, deposit with the Company’s counsel the certificate or certificates for such additional shares. To all certificates deposited by the Purchaser with the Company’s counsel, there shall be attached a stock power or stock powers, duly executed by the Purchaser in blank, constituting and appointing the Company or its designee the Purchaser’s attorney to transfer such stock on the books of the Company. The Purchaser shall continue to be the owner of the Shares, despite such deposit and stock powers, and shall be entitled to exercise all rights of ownership in such Shares, subject, however, to the provisions of this Agreement.</w:t>
      </w:r>
    </w:p>
    <w:p>
      <w:pPr>
        <w:spacing w:after="0" w:line="152" w:lineRule="exact"/>
        <w:rPr>
          <w:rFonts w:ascii="Times New Roman" w:cs="Times New Roman" w:eastAsia="Times New Roman" w:hAnsi="Times New Roman"/>
          <w:sz w:val="18"/>
          <w:szCs w:val="18"/>
          <w:color w:val="auto"/>
        </w:rPr>
      </w:pPr>
    </w:p>
    <w:p>
      <w:pPr>
        <w:ind w:left="9" w:right="20" w:firstLine="536"/>
        <w:spacing w:after="0" w:line="258" w:lineRule="auto"/>
        <w:tabs>
          <w:tab w:leader="none" w:pos="109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dispute should arise with respect to the delivery, right to possession, and/or ownership of the certificates representing the Shares, the Company’s counsel is authorized to retain such certificates and evidences in its possession, or any portion thereof, without liability to anyone, until such dispute shall have been settled either by mutual written agreement of the parties concerned or by final order, decree or judgment of a court of competent jurisdiction after the time for appeal has expired and no appeal has been perfected, but neither the Company nor its counsel shall be under any duty whatsoever hereunder to institute or defend any such proceedings.</w:t>
      </w:r>
    </w:p>
    <w:p>
      <w:pPr>
        <w:spacing w:after="0" w:line="148" w:lineRule="exact"/>
        <w:rPr>
          <w:rFonts w:ascii="Times New Roman" w:cs="Times New Roman" w:eastAsia="Times New Roman" w:hAnsi="Times New Roman"/>
          <w:sz w:val="18"/>
          <w:szCs w:val="18"/>
          <w:color w:val="auto"/>
        </w:rPr>
      </w:pPr>
    </w:p>
    <w:p>
      <w:pPr>
        <w:ind w:left="9" w:firstLine="536"/>
        <w:spacing w:after="0" w:line="258" w:lineRule="auto"/>
        <w:tabs>
          <w:tab w:leader="none" w:pos="109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cause Transfers of Unvested Shares to be effected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notwithstanding any failure of the Purchaser to take the action required of the Purchaser pursuant to this Agreement; provided, however, that no Transfer of Unvested Shares shall be effected hereunder unless payment therefor has been made or tendered to the Purchaser or the Purchaser’s executor or other legal representative. The Purchaser hereby appoints each of the President, Treasurer and Secretary of the Company as the Purchaser’s attorney-in-fact for purposes of effecting any such Transfer.</w:t>
      </w:r>
    </w:p>
    <w:p>
      <w:pPr>
        <w:spacing w:after="0" w:line="148"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certificate representing Shares shall prominently bear legends to the following effect:</w:t>
      </w:r>
    </w:p>
    <w:p>
      <w:pPr>
        <w:spacing w:after="0" w:line="190" w:lineRule="exact"/>
        <w:rPr>
          <w:rFonts w:ascii="Times New Roman" w:cs="Times New Roman" w:eastAsia="Times New Roman" w:hAnsi="Times New Roman"/>
          <w:sz w:val="18"/>
          <w:szCs w:val="18"/>
          <w:color w:val="auto"/>
        </w:rPr>
      </w:pPr>
    </w:p>
    <w:p>
      <w:pPr>
        <w:jc w:val="both"/>
        <w:ind w:left="549" w:righ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have been acquired for investment and have not been registered under the Securities Act of 1933, as amended. Such shares may not be sold, transferred, pledged or hypothecated unless the registration provisions of said Act have been complied with or unless the Company has received an opinion of its counsel that such registration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9"/>
          </w:cols>
          <w:pgMar w:left="311" w:top="1214" w:right="359" w:bottom="1440" w:gutter="0" w:footer="0" w:header="0"/>
        </w:sectPr>
      </w:pPr>
    </w:p>
    <w:bookmarkStart w:id="452" w:name="page453"/>
    <w:bookmarkEnd w:id="452"/>
    <w:p>
      <w:pPr>
        <w:jc w:val="both"/>
        <w:ind w:left="549" w:right="560"/>
        <w:spacing w:after="0" w:line="266"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transfer and repurchase rights pursuant to the terms of the Company’s 2017 Stock Incentive Plan and a Restricted Stock Purchase Agreement, a copy of which will be furnished to the holder hereof without charge upon written request.”</w:t>
      </w:r>
    </w:p>
    <w:p>
      <w:pPr>
        <w:spacing w:after="0" w:line="141" w:lineRule="exact"/>
        <w:rPr>
          <w:sz w:val="20"/>
          <w:szCs w:val="20"/>
          <w:color w:val="auto"/>
        </w:rPr>
      </w:pPr>
    </w:p>
    <w:p>
      <w:pPr>
        <w:ind w:left="9" w:right="180" w:hanging="9"/>
        <w:spacing w:after="0" w:line="283" w:lineRule="auto"/>
        <w:tabs>
          <w:tab w:leader="none" w:pos="55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 Stock Dividends, etc.</w:t>
      </w:r>
      <w:r>
        <w:rPr>
          <w:rFonts w:ascii="Times New Roman" w:cs="Times New Roman" w:eastAsia="Times New Roman" w:hAnsi="Times New Roman"/>
          <w:sz w:val="18"/>
          <w:szCs w:val="18"/>
          <w:color w:val="auto"/>
        </w:rPr>
        <w:t xml:space="preserve"> The Shares issued pursuant to this Agreement shall be subject to adjustment upon changes in capitalization pursuant to the provisions of Section 14 of the Plan.</w:t>
      </w:r>
    </w:p>
    <w:p>
      <w:pPr>
        <w:spacing w:after="0" w:line="125" w:lineRule="exact"/>
        <w:rPr>
          <w:rFonts w:ascii="Times New Roman" w:cs="Times New Roman" w:eastAsia="Times New Roman" w:hAnsi="Times New Roman"/>
          <w:sz w:val="18"/>
          <w:szCs w:val="18"/>
          <w:color w:val="auto"/>
        </w:rPr>
      </w:pPr>
    </w:p>
    <w:p>
      <w:pPr>
        <w:ind w:left="549" w:hanging="549"/>
        <w:spacing w:after="0"/>
        <w:tabs>
          <w:tab w:leader="none" w:pos="54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9" w:right="40" w:firstLine="536"/>
        <w:spacing w:after="0" w:line="266" w:lineRule="auto"/>
        <w:tabs>
          <w:tab w:leader="none" w:pos="109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signature page hereto and these Incorporated Terms and Conditions, constitutes the entire agreement between the parties with respect to the subject matter hereof, and supersedes all prior agreements, negotiations, representations and proposals, written or oral, relating to such subject matter.</w:t>
      </w:r>
    </w:p>
    <w:p>
      <w:pPr>
        <w:spacing w:after="0" w:line="140" w:lineRule="exact"/>
        <w:rPr>
          <w:rFonts w:ascii="Times New Roman" w:cs="Times New Roman" w:eastAsia="Times New Roman" w:hAnsi="Times New Roman"/>
          <w:sz w:val="18"/>
          <w:szCs w:val="18"/>
          <w:color w:val="auto"/>
        </w:rPr>
      </w:pPr>
    </w:p>
    <w:p>
      <w:pPr>
        <w:ind w:left="9" w:right="20" w:firstLine="536"/>
        <w:spacing w:after="0" w:line="283" w:lineRule="auto"/>
        <w:tabs>
          <w:tab w:leader="none" w:pos="109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Neither this Agreement nor any provision hereof may be changed or modified except by an agreement in writing executed by the Purchaser and on behalf of the Company.</w:t>
      </w:r>
    </w:p>
    <w:p>
      <w:pPr>
        <w:spacing w:after="0" w:line="125" w:lineRule="exact"/>
        <w:rPr>
          <w:rFonts w:ascii="Times New Roman" w:cs="Times New Roman" w:eastAsia="Times New Roman" w:hAnsi="Times New Roman"/>
          <w:sz w:val="18"/>
          <w:szCs w:val="18"/>
          <w:color w:val="auto"/>
        </w:rPr>
      </w:pPr>
    </w:p>
    <w:p>
      <w:pPr>
        <w:ind w:left="9" w:right="120" w:firstLine="536"/>
        <w:spacing w:after="0" w:line="283" w:lineRule="auto"/>
        <w:tabs>
          <w:tab w:leader="none" w:pos="109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of the Agreement</w:t>
      </w:r>
      <w:r>
        <w:rPr>
          <w:rFonts w:ascii="Times New Roman" w:cs="Times New Roman" w:eastAsia="Times New Roman" w:hAnsi="Times New Roman"/>
          <w:sz w:val="18"/>
          <w:szCs w:val="18"/>
          <w:color w:val="auto"/>
        </w:rPr>
        <w:t>. This Agreement shall inure to the benefit of, and be binding upon, the Company, the Purchaser and their respective estates, heirs, executors, transferees, successors, assigns and legal representatives.</w:t>
      </w:r>
    </w:p>
    <w:p>
      <w:pPr>
        <w:spacing w:after="0" w:line="125" w:lineRule="exact"/>
        <w:rPr>
          <w:rFonts w:ascii="Times New Roman" w:cs="Times New Roman" w:eastAsia="Times New Roman" w:hAnsi="Times New Roman"/>
          <w:sz w:val="18"/>
          <w:szCs w:val="18"/>
          <w:color w:val="auto"/>
        </w:rPr>
      </w:pPr>
    </w:p>
    <w:p>
      <w:pPr>
        <w:ind w:left="9" w:firstLine="536"/>
        <w:spacing w:after="0" w:line="258" w:lineRule="auto"/>
        <w:tabs>
          <w:tab w:leader="none" w:pos="109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to any party under this Agreement shall be contained in a written instrument addressed to such party at the address set forth below or such other address as may hereafter be designated in writing by the addressee to the addressor and shall be deemed given (i) when delivered in person or duly sent by e-mail or fax, with confirmation of receipt, (ii) three days after being duly sent by first class mail postage prepaid (other than in the case of notices to or from any non-U.S. resident, which notices must be sent in the manner specified in clause (i) or (iii)), or (iii) two days after being duly sent by UPS, Federal Express or other recognized express international courier service:</w:t>
      </w:r>
    </w:p>
    <w:p>
      <w:pPr>
        <w:spacing w:after="0" w:line="148" w:lineRule="exact"/>
        <w:rPr>
          <w:rFonts w:ascii="Times New Roman" w:cs="Times New Roman" w:eastAsia="Times New Roman" w:hAnsi="Times New Roman"/>
          <w:sz w:val="18"/>
          <w:szCs w:val="18"/>
          <w:color w:val="auto"/>
        </w:rPr>
      </w:pPr>
    </w:p>
    <w:p>
      <w:pPr>
        <w:ind w:left="1629" w:hanging="539"/>
        <w:spacing w:after="0"/>
        <w:tabs>
          <w:tab w:leader="none" w:pos="1629"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Purchaser, to the Address or E-Mail Address of Purchaser set forth on the signature page hereto; and</w:t>
      </w:r>
    </w:p>
    <w:p>
      <w:pPr>
        <w:spacing w:after="0" w:line="190" w:lineRule="exact"/>
        <w:rPr>
          <w:rFonts w:ascii="Times New Roman" w:cs="Times New Roman" w:eastAsia="Times New Roman" w:hAnsi="Times New Roman"/>
          <w:sz w:val="18"/>
          <w:szCs w:val="18"/>
          <w:color w:val="auto"/>
        </w:rPr>
      </w:pPr>
    </w:p>
    <w:p>
      <w:pPr>
        <w:ind w:left="1629" w:hanging="539"/>
        <w:spacing w:after="0"/>
        <w:tabs>
          <w:tab w:leader="none" w:pos="1629" w:val="left"/>
        </w:tabs>
        <w:numPr>
          <w:ilvl w:val="2"/>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91" w:lineRule="exact"/>
        <w:rPr>
          <w:sz w:val="20"/>
          <w:szCs w:val="20"/>
          <w:color w:val="auto"/>
        </w:rPr>
      </w:pPr>
    </w:p>
    <w:p>
      <w:pPr>
        <w:ind w:left="2149"/>
        <w:spacing w:after="0"/>
        <w:rPr>
          <w:sz w:val="20"/>
          <w:szCs w:val="20"/>
          <w:color w:val="auto"/>
        </w:rPr>
      </w:pPr>
      <w:r>
        <w:rPr>
          <w:rFonts w:ascii="Times New Roman" w:cs="Times New Roman" w:eastAsia="Times New Roman" w:hAnsi="Times New Roman"/>
          <w:sz w:val="18"/>
          <w:szCs w:val="18"/>
          <w:color w:val="auto"/>
        </w:rPr>
        <w:t>Seer, Inc.</w:t>
      </w:r>
    </w:p>
    <w:p>
      <w:pPr>
        <w:spacing w:after="0" w:line="29" w:lineRule="exact"/>
        <w:rPr>
          <w:sz w:val="20"/>
          <w:szCs w:val="20"/>
          <w:color w:val="auto"/>
        </w:rPr>
      </w:pPr>
    </w:p>
    <w:p>
      <w:pPr>
        <w:ind w:left="2149"/>
        <w:spacing w:after="0"/>
        <w:rPr>
          <w:sz w:val="20"/>
          <w:szCs w:val="20"/>
          <w:color w:val="auto"/>
        </w:rPr>
      </w:pPr>
      <w:r>
        <w:rPr>
          <w:rFonts w:ascii="Times New Roman" w:cs="Times New Roman" w:eastAsia="Times New Roman" w:hAnsi="Times New Roman"/>
          <w:sz w:val="18"/>
          <w:szCs w:val="18"/>
          <w:color w:val="auto"/>
        </w:rPr>
        <w:t>c/o Wilson Sonsini Goodrich &amp; Rosati</w:t>
      </w:r>
    </w:p>
    <w:p>
      <w:pPr>
        <w:spacing w:after="0" w:line="9" w:lineRule="exact"/>
        <w:rPr>
          <w:sz w:val="20"/>
          <w:szCs w:val="20"/>
          <w:color w:val="auto"/>
        </w:rPr>
      </w:pPr>
    </w:p>
    <w:p>
      <w:pPr>
        <w:ind w:left="2149"/>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2149"/>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2149"/>
        <w:spacing w:after="0"/>
        <w:rPr>
          <w:sz w:val="20"/>
          <w:szCs w:val="20"/>
          <w:color w:val="auto"/>
        </w:rPr>
      </w:pPr>
      <w:r>
        <w:rPr>
          <w:rFonts w:ascii="Times New Roman" w:cs="Times New Roman" w:eastAsia="Times New Roman" w:hAnsi="Times New Roman"/>
          <w:sz w:val="18"/>
          <w:szCs w:val="18"/>
          <w:color w:val="auto"/>
        </w:rPr>
        <w:t>Attention: Tony Jeffries</w:t>
      </w:r>
    </w:p>
    <w:p>
      <w:pPr>
        <w:spacing w:after="0" w:line="171" w:lineRule="exact"/>
        <w:rPr>
          <w:sz w:val="20"/>
          <w:szCs w:val="20"/>
          <w:color w:val="auto"/>
        </w:rPr>
      </w:pPr>
    </w:p>
    <w:p>
      <w:pPr>
        <w:ind w:left="9" w:right="160" w:firstLine="536"/>
        <w:spacing w:after="0" w:line="283" w:lineRule="auto"/>
        <w:tabs>
          <w:tab w:leader="none" w:pos="1097"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Notices</w:t>
      </w:r>
      <w:r>
        <w:rPr>
          <w:rFonts w:ascii="Times New Roman" w:cs="Times New Roman" w:eastAsia="Times New Roman" w:hAnsi="Times New Roman"/>
          <w:sz w:val="18"/>
          <w:szCs w:val="18"/>
          <w:color w:val="auto"/>
        </w:rPr>
        <w:t>. The Purchaser hereby agrees and consents that the Company may provide the Purchaser, at the Company’s option, all notices which are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9"/>
          </w:cols>
          <w:pgMar w:left="311" w:top="1219" w:right="319" w:bottom="1440" w:gutter="0" w:footer="0" w:header="0"/>
        </w:sectPr>
      </w:pPr>
    </w:p>
    <w:bookmarkStart w:id="453" w:name="page454"/>
    <w:bookmarkEnd w:id="453"/>
    <w:p>
      <w:pPr>
        <w:ind w:right="40"/>
        <w:spacing w:after="0" w:line="283" w:lineRule="auto"/>
        <w:rPr>
          <w:sz w:val="20"/>
          <w:szCs w:val="20"/>
          <w:color w:val="auto"/>
        </w:rPr>
      </w:pPr>
      <w:r>
        <w:rPr>
          <w:rFonts w:ascii="Times New Roman" w:cs="Times New Roman" w:eastAsia="Times New Roman" w:hAnsi="Times New Roman"/>
          <w:sz w:val="18"/>
          <w:szCs w:val="18"/>
          <w:color w:val="auto"/>
        </w:rPr>
        <w:t>to be delivered, whether under this Agreement, pursuant to the General Corporation Law of the State of Delaware or other applicable law or regulation, or otherwise, in electronic form to the E-Mail Address set forth on the signature page of this Agreement.</w:t>
      </w:r>
    </w:p>
    <w:p>
      <w:pPr>
        <w:spacing w:after="0" w:line="125" w:lineRule="exact"/>
        <w:rPr>
          <w:sz w:val="20"/>
          <w:szCs w:val="20"/>
          <w:color w:val="auto"/>
        </w:rPr>
      </w:pPr>
    </w:p>
    <w:p>
      <w:pPr>
        <w:ind w:right="320" w:firstLine="536"/>
        <w:spacing w:after="0" w:line="283" w:lineRule="auto"/>
        <w:tabs>
          <w:tab w:leader="none" w:pos="109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with Company</w:t>
      </w:r>
      <w:r>
        <w:rPr>
          <w:rFonts w:ascii="Times New Roman" w:cs="Times New Roman" w:eastAsia="Times New Roman" w:hAnsi="Times New Roman"/>
          <w:sz w:val="18"/>
          <w:szCs w:val="18"/>
          <w:color w:val="auto"/>
        </w:rPr>
        <w:t>. The Company is not by reason of this Agreement or the issuance of any Shares obligated to continue the Purchaser’s relationship with the Company as an employee, consultant, advisor, officer, director, or in any other capacity (other than as a stockholder).</w:t>
      </w:r>
    </w:p>
    <w:p>
      <w:pPr>
        <w:spacing w:after="0" w:line="121" w:lineRule="exact"/>
        <w:rPr>
          <w:rFonts w:ascii="Times New Roman" w:cs="Times New Roman" w:eastAsia="Times New Roman" w:hAnsi="Times New Roman"/>
          <w:sz w:val="18"/>
          <w:szCs w:val="18"/>
          <w:color w:val="auto"/>
        </w:rPr>
      </w:pPr>
    </w:p>
    <w:p>
      <w:pPr>
        <w:ind w:right="100" w:firstLine="536"/>
        <w:spacing w:after="0" w:line="259" w:lineRule="auto"/>
        <w:tabs>
          <w:tab w:leader="none" w:pos="108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Section 83(b) Election</w:t>
      </w:r>
      <w:r>
        <w:rPr>
          <w:rFonts w:ascii="Times New Roman" w:cs="Times New Roman" w:eastAsia="Times New Roman" w:hAnsi="Times New Roman"/>
          <w:sz w:val="18"/>
          <w:szCs w:val="18"/>
          <w:b w:val="1"/>
          <w:bCs w:val="1"/>
          <w:i w:val="1"/>
          <w:iCs w:val="1"/>
          <w:color w:val="auto"/>
        </w:rPr>
        <w:t xml:space="preserve">. The Purchaser understands that it shall be his or her decision whether to make an election under Section 83(b) of the Internal Revenue Code of 1986, as amended (an “83(b) Election”) with respect to the Shares, and that if he or she chooses to make such election, it must be made </w:t>
      </w:r>
      <w:r>
        <w:rPr>
          <w:rFonts w:ascii="Times New Roman" w:cs="Times New Roman" w:eastAsia="Times New Roman" w:hAnsi="Times New Roman"/>
          <w:sz w:val="18"/>
          <w:szCs w:val="18"/>
          <w:b w:val="1"/>
          <w:bCs w:val="1"/>
          <w:i w:val="1"/>
          <w:iCs w:val="1"/>
          <w:u w:val="single" w:color="auto"/>
          <w:color w:val="auto"/>
        </w:rPr>
        <w:t>within 30 days</w:t>
      </w:r>
      <w:r>
        <w:rPr>
          <w:rFonts w:ascii="Times New Roman" w:cs="Times New Roman" w:eastAsia="Times New Roman" w:hAnsi="Times New Roman"/>
          <w:sz w:val="18"/>
          <w:szCs w:val="18"/>
          <w:b w:val="1"/>
          <w:bCs w:val="1"/>
          <w:i w:val="1"/>
          <w:iCs w:val="1"/>
          <w:color w:val="auto"/>
        </w:rPr>
        <w:t xml:space="preserve"> of the date of execution of this Agreement, and a copy of such election provided to the Company. The Purchaser represents that he or she understands the tax consequences of filing or not filing an 83(b) Election, and understands that such filing is solely the Purchaser’s responsibility.</w:t>
      </w:r>
    </w:p>
    <w:p>
      <w:pPr>
        <w:spacing w:after="0" w:line="147" w:lineRule="exact"/>
        <w:rPr>
          <w:rFonts w:ascii="Times New Roman" w:cs="Times New Roman" w:eastAsia="Times New Roman" w:hAnsi="Times New Roman"/>
          <w:sz w:val="18"/>
          <w:szCs w:val="18"/>
          <w:color w:val="auto"/>
        </w:rPr>
      </w:pPr>
    </w:p>
    <w:p>
      <w:pPr>
        <w:ind w:firstLine="536"/>
        <w:spacing w:after="0" w:line="258" w:lineRule="auto"/>
        <w:tabs>
          <w:tab w:leader="none" w:pos="108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Purchaser acknowledges that money damages alone will not adequately compensate the Company for breach of any of the Purchaser's covenants and agreements herein and, therefore, agrees that in the event of the breach or threatened breach of any such covenant or agreement, in addition to all other remedies available to the Company, at law, in equity or otherwise, the Company shall be entitled to injunctive relief compelling specific performance of, or other compliance with, the terms hereof. The rights and remedies of the Company hereunder shall be cumulative and in addition to all other rights and remedies the Company may have, at law, in equity, by contract or otherwise.</w:t>
      </w:r>
    </w:p>
    <w:p>
      <w:pPr>
        <w:spacing w:after="0" w:line="148" w:lineRule="exact"/>
        <w:rPr>
          <w:rFonts w:ascii="Times New Roman" w:cs="Times New Roman" w:eastAsia="Times New Roman" w:hAnsi="Times New Roman"/>
          <w:sz w:val="18"/>
          <w:szCs w:val="18"/>
          <w:color w:val="auto"/>
        </w:rPr>
      </w:pPr>
    </w:p>
    <w:p>
      <w:pPr>
        <w:ind w:right="160" w:firstLine="536"/>
        <w:spacing w:after="0" w:line="258" w:lineRule="auto"/>
        <w:tabs>
          <w:tab w:leader="none" w:pos="10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Liability</w:t>
      </w:r>
      <w:r>
        <w:rPr>
          <w:rFonts w:ascii="Times New Roman" w:cs="Times New Roman" w:eastAsia="Times New Roman" w:hAnsi="Times New Roman"/>
          <w:sz w:val="18"/>
          <w:szCs w:val="18"/>
          <w:color w:val="auto"/>
        </w:rPr>
        <w:t>. In performing its duties under this Agreement, the Company shall be entitled to rely upon any statement, notice, or other writing which it shall in good faith believe to be genuine and to be signed or presented by a proper party or parties or on other evidence or information deemed by the Purchaser to be reliable. In no event shall the Company be liable for any action taken or omitted in good faith. The Company may consult with its counsel or counsel of any of the other parties hereto and, without limiting the generality of the preceding sentence, shall not be held liable for any action taken or omitted in good faith on advice of such counsel.</w:t>
      </w:r>
    </w:p>
    <w:p>
      <w:pPr>
        <w:spacing w:after="0" w:line="148" w:lineRule="exact"/>
        <w:rPr>
          <w:rFonts w:ascii="Times New Roman" w:cs="Times New Roman" w:eastAsia="Times New Roman" w:hAnsi="Times New Roman"/>
          <w:sz w:val="18"/>
          <w:szCs w:val="18"/>
          <w:color w:val="auto"/>
        </w:rPr>
      </w:pPr>
    </w:p>
    <w:p>
      <w:pPr>
        <w:ind w:right="40" w:firstLine="536"/>
        <w:spacing w:after="0" w:line="261" w:lineRule="auto"/>
        <w:tabs>
          <w:tab w:leader="none" w:pos="10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Awaiting Final Settlement</w:t>
      </w:r>
      <w:r>
        <w:rPr>
          <w:rFonts w:ascii="Times New Roman" w:cs="Times New Roman" w:eastAsia="Times New Roman" w:hAnsi="Times New Roman"/>
          <w:sz w:val="18"/>
          <w:szCs w:val="18"/>
          <w:color w:val="auto"/>
        </w:rPr>
        <w:t>. If any controversy arises between the parties hereto or with any third person with respect to the Shares, this Agreement or its subject matter, the Company shall not be required to take any actions in the premises, but may await the settlement of any such controversy by final appropriate legal proceedings or otherwise as it may require, notwithstanding anything in this Agreement to the contrary, and, in such event, the Company shall not be liable for interest or damages.</w:t>
      </w:r>
    </w:p>
    <w:p>
      <w:pPr>
        <w:spacing w:after="0" w:line="144" w:lineRule="exact"/>
        <w:rPr>
          <w:rFonts w:ascii="Times New Roman" w:cs="Times New Roman" w:eastAsia="Times New Roman" w:hAnsi="Times New Roman"/>
          <w:sz w:val="18"/>
          <w:szCs w:val="18"/>
          <w:color w:val="auto"/>
        </w:rPr>
      </w:pPr>
    </w:p>
    <w:p>
      <w:pPr>
        <w:ind w:right="840" w:firstLine="536"/>
        <w:spacing w:after="0" w:line="283" w:lineRule="auto"/>
        <w:tabs>
          <w:tab w:leader="none" w:pos="108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headings and subheadings of this Agreement have been inserted for convenience only, and shall not affect the construction of the provisions hereof. All references to sections of this Agreement shall be deemed to refer as well to all subsections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8" w:right="339" w:bottom="1440" w:gutter="0" w:footer="0" w:header="0"/>
        </w:sectPr>
      </w:pPr>
    </w:p>
    <w:bookmarkStart w:id="454" w:name="page455"/>
    <w:bookmarkEnd w:id="454"/>
    <w:p>
      <w:pPr>
        <w:ind w:right="60"/>
        <w:spacing w:after="0" w:line="283" w:lineRule="auto"/>
        <w:rPr>
          <w:sz w:val="20"/>
          <w:szCs w:val="20"/>
          <w:color w:val="auto"/>
        </w:rPr>
      </w:pPr>
      <w:r>
        <w:rPr>
          <w:rFonts w:ascii="Times New Roman" w:cs="Times New Roman" w:eastAsia="Times New Roman" w:hAnsi="Times New Roman"/>
          <w:sz w:val="18"/>
          <w:szCs w:val="18"/>
          <w:color w:val="auto"/>
        </w:rPr>
        <w:t>form a part of such section. The words “include,” “includes” and “including” when used herein shall be deemed in each case to be followed by the words “without limitation.”</w:t>
      </w:r>
    </w:p>
    <w:p>
      <w:pPr>
        <w:spacing w:after="0" w:line="125" w:lineRule="exact"/>
        <w:rPr>
          <w:sz w:val="20"/>
          <w:szCs w:val="20"/>
          <w:color w:val="auto"/>
        </w:rPr>
      </w:pPr>
    </w:p>
    <w:p>
      <w:pPr>
        <w:ind w:firstLine="536"/>
        <w:spacing w:after="0" w:line="261" w:lineRule="auto"/>
        <w:tabs>
          <w:tab w:leader="none" w:pos="10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herein shall, for any reason, be held to be invalid, illegal, or unenforceable in any respect, such invalidity, illegality, or unenforceability shall not affect any other provisions of this Agreement and all other provisions shall remain in full force and effect. If any provision of this Agreement is held to be excessively broad, it shall be reformed and construed by limiting and reducing it so as to be enforceable to the maximum extent permitted by law.</w:t>
      </w:r>
    </w:p>
    <w:p>
      <w:pPr>
        <w:spacing w:after="0" w:line="144" w:lineRule="exact"/>
        <w:rPr>
          <w:rFonts w:ascii="Times New Roman" w:cs="Times New Roman" w:eastAsia="Times New Roman" w:hAnsi="Times New Roman"/>
          <w:sz w:val="18"/>
          <w:szCs w:val="18"/>
          <w:color w:val="auto"/>
        </w:rPr>
      </w:pPr>
    </w:p>
    <w:p>
      <w:pPr>
        <w:ind w:right="160" w:firstLine="536"/>
        <w:spacing w:after="0" w:line="283" w:lineRule="auto"/>
        <w:tabs>
          <w:tab w:leader="none" w:pos="10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modification, renewal, extension, waiver or termination of this Agreement or any of the provisions herein contained shall be binding upon the Company unless made in writing and signed by a duly authorized officer of the Company.</w:t>
      </w:r>
    </w:p>
    <w:p>
      <w:pPr>
        <w:spacing w:after="0" w:line="125" w:lineRule="exact"/>
        <w:rPr>
          <w:rFonts w:ascii="Times New Roman" w:cs="Times New Roman" w:eastAsia="Times New Roman" w:hAnsi="Times New Roman"/>
          <w:sz w:val="18"/>
          <w:szCs w:val="18"/>
          <w:color w:val="auto"/>
        </w:rPr>
      </w:pPr>
    </w:p>
    <w:p>
      <w:pPr>
        <w:ind w:right="100" w:firstLine="536"/>
        <w:spacing w:after="0" w:line="283" w:lineRule="auto"/>
        <w:tabs>
          <w:tab w:leader="none" w:pos="10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agree to execute such further instruments and to take such further actions as may reasonably be necessary to carry out the intent of this Agreement.</w:t>
      </w:r>
    </w:p>
    <w:p>
      <w:pPr>
        <w:spacing w:after="0" w:line="125" w:lineRule="exact"/>
        <w:rPr>
          <w:rFonts w:ascii="Times New Roman" w:cs="Times New Roman" w:eastAsia="Times New Roman" w:hAnsi="Times New Roman"/>
          <w:sz w:val="18"/>
          <w:szCs w:val="18"/>
          <w:color w:val="auto"/>
        </w:rPr>
      </w:pPr>
    </w:p>
    <w:p>
      <w:pPr>
        <w:ind w:firstLine="536"/>
        <w:spacing w:after="0" w:line="261" w:lineRule="auto"/>
        <w:tabs>
          <w:tab w:leader="none" w:pos="10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such counterpart shall be deemed to be an original instrument, and all of which together shall for all purposes constitute one Agreement, binding on each of the parties hereto notwithstanding that each such party shall not have signed the same counterpart. A signature of any party to this Agreement transmitted by facsimile, electronic mail (including pdf) or other electronic means shall be deemed to have been duly and validly delivered and be valid and effective for all purposes.</w:t>
      </w:r>
    </w:p>
    <w:p>
      <w:pPr>
        <w:spacing w:after="0" w:line="144" w:lineRule="exact"/>
        <w:rPr>
          <w:rFonts w:ascii="Times New Roman" w:cs="Times New Roman" w:eastAsia="Times New Roman" w:hAnsi="Times New Roman"/>
          <w:sz w:val="18"/>
          <w:szCs w:val="18"/>
          <w:color w:val="auto"/>
        </w:rPr>
      </w:pPr>
    </w:p>
    <w:p>
      <w:pPr>
        <w:ind w:right="60" w:firstLine="536"/>
        <w:spacing w:after="0" w:line="258" w:lineRule="auto"/>
        <w:tabs>
          <w:tab w:leader="none" w:pos="10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construed and enforced in accordance with the laws of The State of Delaware, without regard to its principles of conflicts of laws. All litigation arising from or relating to this Agreement shall be filed and prosecuted before any court of competent subject matter jurisdiction located in The State of Delaware. The Purchaser consents to service of process in any such action by certified or registered mail, return receipt requested. The Purchaser consents to the jurisdiction of such courts over the Purchaser, stipulates to the convenience, efficiency and fairness of proceeding in such courts, and covenants not to allege or assert the inconvenience, inefficiency or unfairness of proceeding in such courts.</w:t>
      </w:r>
    </w:p>
    <w:p>
      <w:pPr>
        <w:spacing w:after="0" w:line="148" w:lineRule="exact"/>
        <w:rPr>
          <w:rFonts w:ascii="Times New Roman" w:cs="Times New Roman" w:eastAsia="Times New Roman" w:hAnsi="Times New Roman"/>
          <w:sz w:val="18"/>
          <w:szCs w:val="18"/>
          <w:color w:val="auto"/>
        </w:rPr>
      </w:pPr>
    </w:p>
    <w:p>
      <w:pPr>
        <w:jc w:val="both"/>
        <w:ind w:right="80" w:firstLine="536"/>
        <w:spacing w:after="0" w:line="266" w:lineRule="auto"/>
        <w:tabs>
          <w:tab w:leader="none" w:pos="10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 of Shares; Purchase by Nominee or Designee</w:t>
      </w:r>
      <w:r>
        <w:rPr>
          <w:rFonts w:ascii="Times New Roman" w:cs="Times New Roman" w:eastAsia="Times New Roman" w:hAnsi="Times New Roman"/>
          <w:sz w:val="18"/>
          <w:szCs w:val="18"/>
          <w:color w:val="auto"/>
        </w:rPr>
        <w:t>. Any Shares that the Company elects to purchase hereunder may be disposed of by it in such manner as it deems appropriate with or without restrictions on the transfer thereof, and the Company may require their transfer to a nominee or designee as part of any purchase of Shares from the Purchaser.</w:t>
      </w:r>
    </w:p>
    <w:p>
      <w:pPr>
        <w:spacing w:after="0" w:line="140" w:lineRule="exact"/>
        <w:rPr>
          <w:rFonts w:ascii="Times New Roman" w:cs="Times New Roman" w:eastAsia="Times New Roman" w:hAnsi="Times New Roman"/>
          <w:sz w:val="18"/>
          <w:szCs w:val="18"/>
          <w:color w:val="auto"/>
        </w:rPr>
      </w:pPr>
    </w:p>
    <w:p>
      <w:pPr>
        <w:ind w:right="180" w:firstLine="536"/>
        <w:spacing w:after="0" w:line="261" w:lineRule="auto"/>
        <w:tabs>
          <w:tab w:leader="none" w:pos="109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Purchaser agrees that the Purchaser shall be fully liable for any income and employment taxes owed by the Purchaser with regard to issuance of the Shares, whether owed at the time of transfer pursuant to the Purchaser having made an 83(b) Election, or at the time that the Shares vest pursuant to the vesting schedule set forth above. The Purchaser acknowledges and agrees that the Company has the right to deduct from payments of any kind otherwise due to the Purchaser any federal, state or local taxes of any kind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218" w:right="379" w:bottom="1440" w:gutter="0" w:footer="0" w:header="0"/>
        </w:sectPr>
      </w:pPr>
    </w:p>
    <w:bookmarkStart w:id="455" w:name="page456"/>
    <w:bookmarkEnd w:id="455"/>
    <w:p>
      <w:pPr>
        <w:spacing w:after="0" w:line="261" w:lineRule="auto"/>
        <w:rPr>
          <w:sz w:val="20"/>
          <w:szCs w:val="20"/>
          <w:color w:val="auto"/>
        </w:rPr>
      </w:pPr>
      <w:r>
        <w:rPr>
          <w:rFonts w:ascii="Times New Roman" w:cs="Times New Roman" w:eastAsia="Times New Roman" w:hAnsi="Times New Roman"/>
          <w:sz w:val="18"/>
          <w:szCs w:val="18"/>
          <w:color w:val="auto"/>
        </w:rPr>
        <w:t xml:space="preserve">law to be withheld with respect to the purchase of the Shares by the Purchaser. The Purchaser further agrees that, if the Company does not withhold an amount sufficient to satisfy the withholding obligation of the Company with respect to the issuance of the Shares, the Purchaser will make reimbursement on demand, in cash, for the amount underwithheld,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has provided the Purchaser with written detail concerning the basis for and amount of the withholding obligation of the Company.</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218" w:right="379" w:bottom="1440" w:gutter="0" w:footer="0" w:header="0"/>
        </w:sectPr>
      </w:pPr>
    </w:p>
    <w:bookmarkStart w:id="456" w:name="page457"/>
    <w:bookmarkEnd w:id="456"/>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STOCK POWER</w:t>
      </w:r>
    </w:p>
    <w:p>
      <w:pPr>
        <w:spacing w:after="0" w:line="3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VALUE RECEIVED, [See Carta], hereby sells, assigns and transfers to Seer,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total of</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shares of Class A Common Stock of the Company standing in the name of the stockholder named above on the books of the Company</w:t>
      </w:r>
    </w:p>
    <w:p>
      <w:pPr>
        <w:spacing w:after="0" w:line="213" w:lineRule="exact"/>
        <w:rPr>
          <w:sz w:val="20"/>
          <w:szCs w:val="20"/>
          <w:color w:val="auto"/>
        </w:rPr>
      </w:pPr>
    </w:p>
    <w:p>
      <w:pPr>
        <w:spacing w:after="0" w:line="520" w:lineRule="auto"/>
        <w:rPr>
          <w:sz w:val="20"/>
          <w:szCs w:val="20"/>
          <w:color w:val="auto"/>
        </w:rPr>
      </w:pPr>
      <w:r>
        <w:rPr>
          <w:rFonts w:ascii="Times New Roman" w:cs="Times New Roman" w:eastAsia="Times New Roman" w:hAnsi="Times New Roman"/>
          <w:sz w:val="18"/>
          <w:szCs w:val="18"/>
          <w:color w:val="auto"/>
        </w:rPr>
        <w:t>represented by stock certificate number ___ to be delivered herewith, and does hereby irrevocably constitute and appoint Wilson Sonsini Goodrich &amp; Rosati as attorney to transfer said shares on the books of the Company with full power of substitution in the premises.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315595</wp:posOffset>
            </wp:positionV>
            <wp:extent cx="306514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ectPr>
          <w:pgSz w:w="11900" w:h="16838" w:orient="portrait"/>
          <w:cols w:equalWidth="0" w:num="1">
            <w:col w:w="10840"/>
          </w:cols>
          <w:pgMar w:left="320" w:top="976" w:right="739" w:bottom="1440" w:gutter="0" w:footer="0" w:header="0"/>
        </w:sectPr>
      </w:pPr>
    </w:p>
    <w:bookmarkStart w:id="457" w:name="page458"/>
    <w:bookmarkEnd w:id="45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SEER BIOSCIENCES, INC.</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 OF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Seer Biosciences, Inc.</w:t>
      </w:r>
    </w:p>
    <w:p>
      <w:pPr>
        <w:spacing w:after="0" w:line="179" w:lineRule="exact"/>
        <w:rPr>
          <w:sz w:val="20"/>
          <w:szCs w:val="20"/>
          <w:color w:val="auto"/>
        </w:rPr>
      </w:pPr>
    </w:p>
    <w:p>
      <w:pPr>
        <w:ind w:right="100" w:firstLine="545"/>
        <w:spacing w:after="0" w:line="262" w:lineRule="auto"/>
        <w:rPr>
          <w:sz w:val="20"/>
          <w:szCs w:val="20"/>
          <w:color w:val="auto"/>
        </w:rPr>
      </w:pPr>
      <w:r>
        <w:rPr>
          <w:rFonts w:ascii="Times New Roman" w:cs="Times New Roman" w:eastAsia="Times New Roman" w:hAnsi="Times New Roman"/>
          <w:sz w:val="17"/>
          <w:szCs w:val="17"/>
          <w:color w:val="auto"/>
        </w:rPr>
        <w:t>This is to notify Seer Biosciences,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that I hereby irrevocably elect to exercise the right to purchase the number of shares of the Company’s Class A common stock, $0.00001 par value per share, indicated below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firstLine="545"/>
        <w:spacing w:after="0" w:line="262" w:lineRule="auto"/>
        <w:rPr>
          <w:sz w:val="20"/>
          <w:szCs w:val="20"/>
          <w:color w:val="auto"/>
        </w:rPr>
      </w:pPr>
      <w:r>
        <w:rPr>
          <w:rFonts w:ascii="Times New Roman" w:cs="Times New Roman" w:eastAsia="Times New Roman" w:hAnsi="Times New Roman"/>
          <w:sz w:val="17"/>
          <w:szCs w:val="17"/>
          <w:color w:val="auto"/>
        </w:rPr>
        <w:t>The Shares are being purchased pursuant to my exercise of an option granted to me under the Company’s 2017 Stock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and pursuant to [an Incentive][a Non-Statutory] Stock Option Agreement dated [__________] (the “</w:t>
      </w:r>
      <w:r>
        <w:rPr>
          <w:rFonts w:ascii="Times New Roman" w:cs="Times New Roman" w:eastAsia="Times New Roman" w:hAnsi="Times New Roman"/>
          <w:sz w:val="17"/>
          <w:szCs w:val="17"/>
          <w:u w:val="single" w:color="auto"/>
          <w:color w:val="auto"/>
        </w:rPr>
        <w:t>Option Agreement</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Option and Exercise: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364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tcBorders>
          </w:tcPr>
          <w:p>
            <w:pPr>
              <w:jc w:val="center"/>
              <w:ind w:left="597"/>
              <w:spacing w:after="0"/>
              <w:rPr>
                <w:sz w:val="20"/>
                <w:szCs w:val="20"/>
                <w:color w:val="auto"/>
              </w:rPr>
            </w:pPr>
            <w:r>
              <w:rPr>
                <w:rFonts w:ascii="Times New Roman" w:cs="Times New Roman" w:eastAsia="Times New Roman" w:hAnsi="Times New Roman"/>
                <w:sz w:val="17"/>
                <w:szCs w:val="17"/>
                <w:color w:val="auto"/>
                <w:w w:val="97"/>
              </w:rPr>
              <w:t>Per Share</w:t>
            </w:r>
          </w:p>
        </w:tc>
        <w:tc>
          <w:tcPr>
            <w:tcW w:w="68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tcBorders>
          </w:tcPr>
          <w:p>
            <w:pPr>
              <w:jc w:val="center"/>
              <w:ind w:left="477"/>
              <w:spacing w:after="0"/>
              <w:rPr>
                <w:sz w:val="20"/>
                <w:szCs w:val="20"/>
                <w:color w:val="auto"/>
              </w:rPr>
            </w:pPr>
            <w:r>
              <w:rPr>
                <w:rFonts w:ascii="Times New Roman" w:cs="Times New Roman" w:eastAsia="Times New Roman" w:hAnsi="Times New Roman"/>
                <w:sz w:val="17"/>
                <w:szCs w:val="17"/>
                <w:color w:val="auto"/>
                <w:w w:val="99"/>
              </w:rPr>
              <w:t>Number of</w:t>
            </w:r>
          </w:p>
        </w:tc>
        <w:tc>
          <w:tcPr>
            <w:tcW w:w="580" w:type="dxa"/>
            <w:vAlign w:val="bottom"/>
            <w:tcBorders>
              <w:top w:val="single" w:sz="8" w:color="auto"/>
              <w:right w:val="single" w:sz="8" w:color="auto"/>
            </w:tcBorders>
          </w:tcPr>
          <w:p>
            <w:pPr>
              <w:spacing w:after="0"/>
              <w:rPr>
                <w:sz w:val="18"/>
                <w:szCs w:val="18"/>
                <w:color w:val="auto"/>
              </w:rPr>
            </w:pPr>
          </w:p>
        </w:tc>
        <w:tc>
          <w:tcPr>
            <w:tcW w:w="2560" w:type="dxa"/>
            <w:vAlign w:val="bottom"/>
            <w:tcBorders>
              <w:top w:val="single" w:sz="8" w:color="auto"/>
              <w:right w:val="single" w:sz="8" w:color="auto"/>
            </w:tcBorders>
          </w:tcPr>
          <w:p>
            <w:pPr>
              <w:jc w:val="right"/>
              <w:ind w:right="1037"/>
              <w:spacing w:after="0"/>
              <w:rPr>
                <w:sz w:val="20"/>
                <w:szCs w:val="20"/>
                <w:color w:val="auto"/>
              </w:rPr>
            </w:pPr>
            <w:r>
              <w:rPr>
                <w:rFonts w:ascii="Times New Roman" w:cs="Times New Roman" w:eastAsia="Times New Roman" w:hAnsi="Times New Roman"/>
                <w:sz w:val="17"/>
                <w:szCs w:val="17"/>
                <w:color w:val="auto"/>
              </w:rPr>
              <w:t>Total</w:t>
            </w:r>
          </w:p>
        </w:tc>
      </w:tr>
      <w:tr>
        <w:trPr>
          <w:trHeight w:val="226"/>
        </w:trPr>
        <w:tc>
          <w:tcPr>
            <w:tcW w:w="3640" w:type="dxa"/>
            <w:vAlign w:val="bottom"/>
            <w:tcBorders>
              <w:left w:val="single" w:sz="8" w:color="auto"/>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7"/>
                <w:szCs w:val="17"/>
                <w:color w:val="auto"/>
                <w:w w:val="96"/>
              </w:rPr>
              <w:t>Exercise Price</w:t>
            </w:r>
          </w:p>
        </w:tc>
        <w:tc>
          <w:tcPr>
            <w:tcW w:w="68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7"/>
                <w:szCs w:val="17"/>
                <w:color w:val="auto"/>
                <w:w w:val="98"/>
              </w:rPr>
              <w:t>Shares Purchased</w:t>
            </w:r>
          </w:p>
        </w:tc>
        <w:tc>
          <w:tcPr>
            <w:tcW w:w="5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jc w:val="right"/>
              <w:ind w:right="737"/>
              <w:spacing w:after="0"/>
              <w:rPr>
                <w:sz w:val="20"/>
                <w:szCs w:val="20"/>
                <w:color w:val="auto"/>
              </w:rPr>
            </w:pPr>
            <w:r>
              <w:rPr>
                <w:rFonts w:ascii="Times New Roman" w:cs="Times New Roman" w:eastAsia="Times New Roman" w:hAnsi="Times New Roman"/>
                <w:sz w:val="17"/>
                <w:szCs w:val="17"/>
                <w:color w:val="auto"/>
              </w:rPr>
              <w:t>Exercise Price</w:t>
            </w:r>
          </w:p>
        </w:tc>
      </w:tr>
      <w:tr>
        <w:trPr>
          <w:trHeight w:val="230"/>
        </w:trPr>
        <w:tc>
          <w:tcPr>
            <w:tcW w:w="36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Vested Shares</w:t>
            </w:r>
          </w:p>
        </w:tc>
        <w:tc>
          <w:tcPr>
            <w:tcW w:w="18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$[____]</w:t>
            </w:r>
          </w:p>
        </w:tc>
        <w:tc>
          <w:tcPr>
            <w:tcW w:w="19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[____]</w:t>
            </w:r>
          </w:p>
        </w:tc>
        <w:tc>
          <w:tcPr>
            <w:tcW w:w="2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$[____]</w:t>
            </w:r>
          </w:p>
        </w:tc>
      </w:tr>
      <w:tr>
        <w:trPr>
          <w:trHeight w:val="230"/>
        </w:trPr>
        <w:tc>
          <w:tcPr>
            <w:tcW w:w="36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Unvested Shares</w:t>
            </w:r>
          </w:p>
        </w:tc>
        <w:tc>
          <w:tcPr>
            <w:tcW w:w="18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36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8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9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[____]</w:t>
            </w:r>
          </w:p>
        </w:tc>
        <w:tc>
          <w:tcPr>
            <w:tcW w:w="2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[____]</w:t>
            </w:r>
          </w:p>
        </w:tc>
      </w:tr>
    </w:tbl>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As payment for the Shares, enclosed is a </w:t>
      </w:r>
      <w:r>
        <w:rPr>
          <w:rFonts w:ascii="Times New Roman" w:cs="Times New Roman" w:eastAsia="Times New Roman" w:hAnsi="Times New Roman"/>
          <w:sz w:val="17"/>
          <w:szCs w:val="17"/>
          <w:b w:val="1"/>
          <w:bCs w:val="1"/>
          <w:i w:val="1"/>
          <w:iCs w:val="1"/>
          <w:color w:val="auto"/>
        </w:rPr>
        <w:t>certified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i w:val="1"/>
          <w:iCs w:val="1"/>
          <w:color w:val="auto"/>
        </w:rPr>
        <w:t>bank check</w:t>
      </w:r>
      <w:r>
        <w:rPr>
          <w:rFonts w:ascii="Times New Roman" w:cs="Times New Roman" w:eastAsia="Times New Roman" w:hAnsi="Times New Roman"/>
          <w:sz w:val="17"/>
          <w:szCs w:val="17"/>
          <w:color w:val="auto"/>
        </w:rPr>
        <w:t xml:space="preserve"> payable to the order of “Seer Biosciences, Inc.” in the sum of $[____].</w:t>
      </w:r>
    </w:p>
    <w:p>
      <w:pPr>
        <w:spacing w:after="0" w:line="183" w:lineRule="exact"/>
        <w:rPr>
          <w:sz w:val="20"/>
          <w:szCs w:val="20"/>
          <w:color w:val="auto"/>
        </w:rPr>
      </w:pPr>
    </w:p>
    <w:p>
      <w:pPr>
        <w:ind w:right="80" w:firstLine="545"/>
        <w:spacing w:after="0" w:line="249" w:lineRule="auto"/>
        <w:rPr>
          <w:sz w:val="20"/>
          <w:szCs w:val="20"/>
          <w:color w:val="auto"/>
        </w:rPr>
      </w:pPr>
      <w:r>
        <w:rPr>
          <w:rFonts w:ascii="Times New Roman" w:cs="Times New Roman" w:eastAsia="Times New Roman" w:hAnsi="Times New Roman"/>
          <w:sz w:val="17"/>
          <w:szCs w:val="17"/>
          <w:color w:val="auto"/>
        </w:rPr>
        <w:t>If any of the Shares are vested shares as of the date hereof (in accordance with the vesting schedule provided in the Option Agreement), enclosed is an executed and dated copy of an investment letter that shall apply with respect to such vested shares. I hereby confirm that I have read and I fully understand the terms and conditions (including representations and warranties) of such letter and the Plan.</w:t>
      </w:r>
    </w:p>
    <w:p>
      <w:pPr>
        <w:spacing w:after="0" w:line="152" w:lineRule="exact"/>
        <w:rPr>
          <w:sz w:val="20"/>
          <w:szCs w:val="20"/>
          <w:color w:val="auto"/>
        </w:rPr>
      </w:pPr>
    </w:p>
    <w:p>
      <w:pPr>
        <w:ind w:right="80" w:firstLine="545"/>
        <w:spacing w:after="0" w:line="249" w:lineRule="auto"/>
        <w:rPr>
          <w:sz w:val="20"/>
          <w:szCs w:val="20"/>
          <w:color w:val="auto"/>
        </w:rPr>
      </w:pPr>
      <w:r>
        <w:rPr>
          <w:rFonts w:ascii="Times New Roman" w:cs="Times New Roman" w:eastAsia="Times New Roman" w:hAnsi="Times New Roman"/>
          <w:sz w:val="17"/>
          <w:szCs w:val="17"/>
          <w:color w:val="auto"/>
        </w:rPr>
        <w:t>If any of the Shares are unvested shares as of the date hereof (in accordance with the vesting schedule provided in the Option Agreement), I acknowledge that the sale of such unvested shares shall be conditioned upon my execution of the Company’s standard form of restricted stock purchase agreement (the “</w:t>
      </w:r>
      <w:r>
        <w:rPr>
          <w:rFonts w:ascii="Times New Roman" w:cs="Times New Roman" w:eastAsia="Times New Roman" w:hAnsi="Times New Roman"/>
          <w:sz w:val="17"/>
          <w:szCs w:val="17"/>
          <w:u w:val="single" w:color="auto"/>
          <w:color w:val="auto"/>
        </w:rPr>
        <w:t>RSPA</w:t>
      </w:r>
      <w:r>
        <w:rPr>
          <w:rFonts w:ascii="Times New Roman" w:cs="Times New Roman" w:eastAsia="Times New Roman" w:hAnsi="Times New Roman"/>
          <w:sz w:val="17"/>
          <w:szCs w:val="17"/>
          <w:color w:val="auto"/>
        </w:rPr>
        <w:t>”). I hereby confirm that I have read and I fully understand the terms and conditions (including representations and warranties) of the RSPA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5391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(Street Address)</w:t>
            </w:r>
          </w:p>
        </w:tc>
      </w:tr>
      <w:tr>
        <w:trPr>
          <w:trHeight w:val="472"/>
        </w:trPr>
        <w:tc>
          <w:tcPr>
            <w:tcW w:w="52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12"/>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(Print Name)</w:t>
            </w: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(City, State, Zip Code)</w:t>
            </w:r>
          </w:p>
        </w:tc>
      </w:tr>
      <w:tr>
        <w:trPr>
          <w:trHeight w:val="472"/>
        </w:trPr>
        <w:tc>
          <w:tcPr>
            <w:tcW w:w="52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12"/>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(E-mail Address)</w:t>
            </w:r>
          </w:p>
        </w:tc>
      </w:tr>
    </w:tbl>
    <w:p>
      <w:pPr>
        <w:sectPr>
          <w:pgSz w:w="11900" w:h="16838" w:orient="portrait"/>
          <w:cols w:equalWidth="0" w:num="1">
            <w:col w:w="11260"/>
          </w:cols>
          <w:pgMar w:left="320" w:top="1207" w:right="319" w:bottom="1440" w:gutter="0" w:footer="0" w:header="0"/>
        </w:sectPr>
      </w:pPr>
    </w:p>
    <w:bookmarkStart w:id="458" w:name="page459"/>
    <w:bookmarkEnd w:id="45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SEER BIOSCIENCES,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INVESTMENT LETTER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Seer Biosciences, Inc.</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b w:val="1"/>
          <w:bCs w:val="1"/>
          <w:i w:val="1"/>
          <w:iCs w:val="1"/>
          <w:u w:val="single" w:color="auto"/>
          <w:color w:val="auto"/>
        </w:rPr>
        <w:t>Purchase of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79" w:lineRule="exact"/>
        <w:rPr>
          <w:sz w:val="20"/>
          <w:szCs w:val="20"/>
          <w:color w:val="auto"/>
        </w:rPr>
      </w:pPr>
    </w:p>
    <w:p>
      <w:pPr>
        <w:ind w:right="640" w:firstLine="545"/>
        <w:spacing w:after="0" w:line="262" w:lineRule="auto"/>
        <w:rPr>
          <w:sz w:val="20"/>
          <w:szCs w:val="20"/>
          <w:color w:val="auto"/>
        </w:rPr>
      </w:pPr>
      <w:r>
        <w:rPr>
          <w:rFonts w:ascii="Times New Roman" w:cs="Times New Roman" w:eastAsia="Times New Roman" w:hAnsi="Times New Roman"/>
          <w:sz w:val="17"/>
          <w:szCs w:val="17"/>
          <w:color w:val="auto"/>
        </w:rPr>
        <w:t>This investment letter is executed and delivered to Seer Biosciences,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my purchase of [</w:t>
      </w:r>
      <w:r>
        <w:rPr>
          <w:rFonts w:ascii="Times New Roman" w:cs="Times New Roman" w:eastAsia="Times New Roman" w:hAnsi="Times New Roman"/>
          <w:sz w:val="17"/>
          <w:szCs w:val="17"/>
          <w:b w:val="1"/>
          <w:bCs w:val="1"/>
          <w:i w:val="1"/>
          <w:iCs w:val="1"/>
          <w:color w:val="auto"/>
        </w:rPr>
        <w:t>number of vested shares purchased</w:t>
      </w:r>
      <w:r>
        <w:rPr>
          <w:rFonts w:ascii="Times New Roman" w:cs="Times New Roman" w:eastAsia="Times New Roman" w:hAnsi="Times New Roman"/>
          <w:sz w:val="17"/>
          <w:szCs w:val="17"/>
          <w:color w:val="auto"/>
        </w:rPr>
        <w:t>] shares of Class A common stock of the Company, $0.00001 par value per share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firstLine="545"/>
        <w:spacing w:after="0" w:line="249" w:lineRule="auto"/>
        <w:rPr>
          <w:sz w:val="20"/>
          <w:szCs w:val="20"/>
          <w:color w:val="auto"/>
        </w:rPr>
      </w:pPr>
      <w:r>
        <w:rPr>
          <w:rFonts w:ascii="Times New Roman" w:cs="Times New Roman" w:eastAsia="Times New Roman" w:hAnsi="Times New Roman"/>
          <w:sz w:val="17"/>
          <w:szCs w:val="17"/>
          <w:color w:val="auto"/>
        </w:rPr>
        <w:t>The Shares are being purchased pursuant to my exercise of an option granted to me under the Company’s 2017 Stock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and pursuant to [an Incentive][a Non-Statutory] Stock Option Agreement dated [__________] (the “</w:t>
      </w:r>
      <w:r>
        <w:rPr>
          <w:rFonts w:ascii="Times New Roman" w:cs="Times New Roman" w:eastAsia="Times New Roman" w:hAnsi="Times New Roman"/>
          <w:sz w:val="17"/>
          <w:szCs w:val="17"/>
          <w:u w:val="single" w:color="auto"/>
          <w:color w:val="auto"/>
        </w:rPr>
        <w:t>Option Agreement</w:t>
      </w:r>
      <w:r>
        <w:rPr>
          <w:rFonts w:ascii="Times New Roman" w:cs="Times New Roman" w:eastAsia="Times New Roman" w:hAnsi="Times New Roman"/>
          <w:sz w:val="17"/>
          <w:szCs w:val="17"/>
          <w:color w:val="auto"/>
        </w:rPr>
        <w:t>”). I hereby acknowledge that all of the Shares hereunder have vested as of the date hereof in accordance with the vesting schedule provided in the Option Agreement.</w:t>
      </w:r>
    </w:p>
    <w:p>
      <w:pPr>
        <w:spacing w:after="0" w:line="152" w:lineRule="exact"/>
        <w:rPr>
          <w:sz w:val="20"/>
          <w:szCs w:val="20"/>
          <w:color w:val="auto"/>
        </w:rPr>
      </w:pPr>
    </w:p>
    <w:p>
      <w:pPr>
        <w:ind w:right="60" w:firstLine="545"/>
        <w:spacing w:after="0" w:line="258" w:lineRule="auto"/>
        <w:rPr>
          <w:sz w:val="20"/>
          <w:szCs w:val="20"/>
          <w:color w:val="auto"/>
        </w:rPr>
      </w:pPr>
      <w:r>
        <w:rPr>
          <w:rFonts w:ascii="Times New Roman" w:cs="Times New Roman" w:eastAsia="Times New Roman" w:hAnsi="Times New Roman"/>
          <w:sz w:val="16"/>
          <w:szCs w:val="16"/>
          <w:color w:val="auto"/>
        </w:rPr>
        <w:t>I understand that the Shares have not been registered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registered or qualified under the securities or “blue sky” laws of any state or jurisdiction, and are being sold to me pursuant to exemptions contained in the Securities Act and exemptions contained in other applicable securities or “blue sky” laws. I represent and warrant that the offer and sale of the Shares was made solely in the state shown in the address set forth below. I hereby represent to the Company, and agree that the Company is entitled to rely on such representations, (i) that no one else has any beneficial ownership in the Shares and (ii) that the Shares are not subject to any pledge or other lien. The nature and amount of my investment in the Shares are consistent with my investment objectives, abilities and resources. I understand that the Shares are an illiquid investment, which will not become freely transferable by reason of any “change of circumstances” whatsoever. I have adequate means of providing for my current needs and possible contingencies and have no need for liquidity in my investment.</w:t>
      </w:r>
    </w:p>
    <w:p>
      <w:pPr>
        <w:spacing w:after="0" w:line="149" w:lineRule="exact"/>
        <w:rPr>
          <w:sz w:val="20"/>
          <w:szCs w:val="20"/>
          <w:color w:val="auto"/>
        </w:rPr>
      </w:pPr>
    </w:p>
    <w:p>
      <w:pPr>
        <w:jc w:val="both"/>
        <w:ind w:right="280" w:firstLine="545"/>
        <w:spacing w:after="0" w:line="249" w:lineRule="auto"/>
        <w:rPr>
          <w:sz w:val="20"/>
          <w:szCs w:val="20"/>
          <w:color w:val="auto"/>
        </w:rPr>
      </w:pPr>
      <w:r>
        <w:rPr>
          <w:rFonts w:ascii="Times New Roman" w:cs="Times New Roman" w:eastAsia="Times New Roman" w:hAnsi="Times New Roman"/>
          <w:sz w:val="17"/>
          <w:szCs w:val="17"/>
          <w:color w:val="auto"/>
        </w:rPr>
        <w:t>I understand that the Shares will constitute “restricted securities” within the meaning of Rule l44 promulgated under the Securities Act and that, as such, the Shares must be held indefinitely unless they are subsequently registered under the Securities Act or unless an exemption from the registration requirements thereof is available.</w:t>
      </w:r>
    </w:p>
    <w:p>
      <w:pPr>
        <w:spacing w:after="0" w:line="152" w:lineRule="exact"/>
        <w:rPr>
          <w:sz w:val="20"/>
          <w:szCs w:val="20"/>
          <w:color w:val="auto"/>
        </w:rPr>
      </w:pPr>
    </w:p>
    <w:p>
      <w:pPr>
        <w:ind w:firstLine="545"/>
        <w:spacing w:after="0" w:line="245" w:lineRule="auto"/>
        <w:rPr>
          <w:sz w:val="20"/>
          <w:szCs w:val="20"/>
          <w:color w:val="auto"/>
        </w:rPr>
      </w:pPr>
      <w:r>
        <w:rPr>
          <w:rFonts w:ascii="Times New Roman" w:cs="Times New Roman" w:eastAsia="Times New Roman" w:hAnsi="Times New Roman"/>
          <w:sz w:val="17"/>
          <w:szCs w:val="17"/>
          <w:color w:val="auto"/>
        </w:rPr>
        <w:t>I hereby acknowledge and agree that (i) the Shares shall continue to be bound by the terms and conditions of the Option Agreement and the terms of the Plan, and (ii) in addition to any restrictions on transfer pursuant to any applicable law, the Shares are and will remain subject to restrictions on transfer imposed pursuant to the Plan and the Option Agreement. Without limiting the generality of the foregoing, I acknowledge that the Shares shall be subject to that certain right of first refusal in favor of the Company and that certain repurchase right in favor of the Company, which are described in the Option Agreement.</w:t>
      </w:r>
    </w:p>
    <w:p>
      <w:pPr>
        <w:sectPr>
          <w:pgSz w:w="11900" w:h="16838" w:orient="portrait"/>
          <w:cols w:equalWidth="0" w:num="1">
            <w:col w:w="11260"/>
          </w:cols>
          <w:pgMar w:left="320" w:top="1207" w:right="319" w:bottom="1440" w:gutter="0" w:footer="0" w:header="0"/>
        </w:sectPr>
      </w:pPr>
    </w:p>
    <w:bookmarkStart w:id="459" w:name="page460"/>
    <w:bookmarkEnd w:id="459"/>
    <w:p>
      <w:pPr>
        <w:ind w:right="60" w:firstLine="545"/>
        <w:spacing w:after="0" w:line="262" w:lineRule="auto"/>
        <w:rPr>
          <w:sz w:val="20"/>
          <w:szCs w:val="20"/>
          <w:color w:val="auto"/>
        </w:rPr>
      </w:pPr>
      <w:r>
        <w:rPr>
          <w:rFonts w:ascii="Times New Roman" w:cs="Times New Roman" w:eastAsia="Times New Roman" w:hAnsi="Times New Roman"/>
          <w:sz w:val="17"/>
          <w:szCs w:val="17"/>
          <w:color w:val="auto"/>
        </w:rPr>
        <w:t>I acknowledge and agree that in addition to legends required or permitted pursuant to the Plan and the Option Agreement, the certificate representing the Shares will bear a legend in substantially the following form:</w:t>
      </w:r>
    </w:p>
    <w:p>
      <w:pPr>
        <w:spacing w:after="0" w:line="141" w:lineRule="exact"/>
        <w:rPr>
          <w:sz w:val="20"/>
          <w:szCs w:val="20"/>
          <w:color w:val="auto"/>
        </w:rPr>
      </w:pPr>
    </w:p>
    <w:p>
      <w:pPr>
        <w:ind w:left="540" w:right="560"/>
        <w:spacing w:after="0" w:line="243" w:lineRule="auto"/>
        <w:rPr>
          <w:sz w:val="20"/>
          <w:szCs w:val="20"/>
          <w:color w:val="auto"/>
        </w:rPr>
      </w:pPr>
      <w:r>
        <w:rPr>
          <w:rFonts w:ascii="Times New Roman" w:cs="Times New Roman" w:eastAsia="Times New Roman" w:hAnsi="Times New Roman"/>
          <w:sz w:val="17"/>
          <w:szCs w:val="17"/>
          <w:color w:val="auto"/>
        </w:rPr>
        <w:t>THE SHARES OF STOCK REPRESENTED BY THIS CERTIFICATE HAVE NOT BEEN REGISTERED UNDER THE SECURITIES ACT OF 1933 OR UNDER THE SECURITIES LAWS OF ANY STATE AND MAY NOT BE PLEDGED, HYPOTHECATED, SOLD OR OTHERWISE TRANSFERRED UNLESS SUCH SHARES HAVE BEEN REGISTERED UNDER THE ACT OR UNLESS THE COMPANY HAS RECEIVED AN OPINION OF COUNSEL SATISFACTORY TO THE COMPANY, IN FORM AND SUBSTANCE SATISFACTORY TO THE COMPANY, THAT SUCH REGISTRATION IS NOT REQUIRED.</w:t>
      </w:r>
    </w:p>
    <w:p>
      <w:pPr>
        <w:spacing w:after="0" w:line="157" w:lineRule="exact"/>
        <w:rPr>
          <w:sz w:val="20"/>
          <w:szCs w:val="20"/>
          <w:color w:val="auto"/>
        </w:rPr>
      </w:pPr>
    </w:p>
    <w:p>
      <w:pPr>
        <w:ind w:left="540" w:right="840"/>
        <w:spacing w:after="0" w:line="265" w:lineRule="auto"/>
        <w:rPr>
          <w:sz w:val="20"/>
          <w:szCs w:val="20"/>
          <w:color w:val="auto"/>
        </w:rPr>
      </w:pPr>
      <w:r>
        <w:rPr>
          <w:rFonts w:ascii="Times New Roman" w:cs="Times New Roman" w:eastAsia="Times New Roman" w:hAnsi="Times New Roman"/>
          <w:sz w:val="16"/>
          <w:szCs w:val="16"/>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41" w:lineRule="exact"/>
        <w:rPr>
          <w:sz w:val="20"/>
          <w:szCs w:val="20"/>
          <w:color w:val="auto"/>
        </w:rPr>
      </w:pPr>
    </w:p>
    <w:p>
      <w:pPr>
        <w:jc w:val="both"/>
        <w:ind w:right="160" w:firstLine="545"/>
        <w:spacing w:after="0" w:line="249" w:lineRule="auto"/>
        <w:rPr>
          <w:sz w:val="20"/>
          <w:szCs w:val="20"/>
          <w:color w:val="auto"/>
        </w:rPr>
      </w:pPr>
      <w:r>
        <w:rPr>
          <w:rFonts w:ascii="Times New Roman" w:cs="Times New Roman" w:eastAsia="Times New Roman" w:hAnsi="Times New Roman"/>
          <w:sz w:val="17"/>
          <w:szCs w:val="17"/>
          <w:color w:val="auto"/>
        </w:rPr>
        <w:t>I acknowledge and agree that the Company may place a stop order pertaining to the certificates evidencing the Shares with any transfer agent of the Company, to the same effect as the above legend. The legend and stop transfer notice referred to above shall be removed only upon my furnishing to the Company an opinion of counsel to the effect that such legend may lawfully be removed and if such counsel and such opinion are satisfactory to the Company.</w:t>
      </w:r>
    </w:p>
    <w:p>
      <w:pPr>
        <w:spacing w:after="0" w:line="152" w:lineRule="exact"/>
        <w:rPr>
          <w:sz w:val="20"/>
          <w:szCs w:val="20"/>
          <w:color w:val="auto"/>
        </w:rPr>
      </w:pPr>
    </w:p>
    <w:p>
      <w:pPr>
        <w:ind w:right="60" w:firstLine="545"/>
        <w:spacing w:after="0" w:line="243" w:lineRule="auto"/>
        <w:rPr>
          <w:sz w:val="20"/>
          <w:szCs w:val="20"/>
          <w:color w:val="auto"/>
        </w:rPr>
      </w:pPr>
      <w:r>
        <w:rPr>
          <w:rFonts w:ascii="Times New Roman" w:cs="Times New Roman" w:eastAsia="Times New Roman" w:hAnsi="Times New Roman"/>
          <w:sz w:val="17"/>
          <w:szCs w:val="17"/>
          <w:color w:val="auto"/>
        </w:rPr>
        <w:t>I have consulted my attorney or my accountant with respect to my purchase of the Shares. My representatives and I have fully investigated the Company and its business and financial conditions and have knowledge of the Company’s current corporate activities and financial condition. I acknowledge that the Company has granted me and my attorney or accountant access to all information about the Company which I have requested and has offered each of us access to all further information which I deemed relevant to an investment decision with respect to the Shares. My attorney or accountant and I have had the opportunity to ask questions of, and receive answers from, representatives of the Company concerning such information and the Company’s financial condition and prospects.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5391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(Street Address)</w:t>
            </w:r>
          </w:p>
        </w:tc>
      </w:tr>
      <w:tr>
        <w:trPr>
          <w:trHeight w:val="472"/>
        </w:trPr>
        <w:tc>
          <w:tcPr>
            <w:tcW w:w="52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12"/>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(Print Name)</w:t>
            </w: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(City, State, Zip Code)</w:t>
            </w:r>
          </w:p>
        </w:tc>
      </w:tr>
      <w:tr>
        <w:trPr>
          <w:trHeight w:val="472"/>
        </w:trPr>
        <w:tc>
          <w:tcPr>
            <w:tcW w:w="52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12"/>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(E-mail Address)</w:t>
            </w:r>
          </w:p>
        </w:tc>
      </w:tr>
    </w:tbl>
    <w:p>
      <w:pPr>
        <w:sectPr>
          <w:pgSz w:w="11900" w:h="16838" w:orient="portrait"/>
          <w:cols w:equalWidth="0" w:num="1">
            <w:col w:w="11260"/>
          </w:cols>
          <w:pgMar w:left="320" w:top="1211" w:right="319"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15"/>
          <w:szCs w:val="15"/>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19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2020 RSU EQUITY INCENTIVE PLAN</w:t>
      </w:r>
    </w:p>
    <w:p>
      <w:pPr>
        <w:spacing w:after="0" w:line="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i w:val="1"/>
          <w:iCs w:val="1"/>
          <w:color w:val="auto"/>
        </w:rPr>
        <w:t>(As amended and restated July 28, 2020)</w:t>
      </w:r>
    </w:p>
    <w:p>
      <w:pPr>
        <w:spacing w:after="0" w:line="352" w:lineRule="exact"/>
        <w:rPr>
          <w:sz w:val="20"/>
          <w:szCs w:val="20"/>
          <w:color w:val="auto"/>
        </w:rPr>
      </w:pPr>
    </w:p>
    <w:p>
      <w:pPr>
        <w:ind w:left="1080" w:hanging="544"/>
        <w:spacing w:after="0"/>
        <w:tabs>
          <w:tab w:leader="none" w:pos="10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1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Plan permits the grant of Restricted Stock Units.</w:t>
      </w:r>
    </w:p>
    <w:p>
      <w:pPr>
        <w:spacing w:after="0" w:line="191" w:lineRule="exact"/>
        <w:rPr>
          <w:sz w:val="20"/>
          <w:szCs w:val="20"/>
          <w:color w:val="auto"/>
        </w:rPr>
      </w:pPr>
    </w:p>
    <w:p>
      <w:pPr>
        <w:ind w:left="1080" w:hanging="544"/>
        <w:spacing w:after="0"/>
        <w:tabs>
          <w:tab w:leader="none" w:pos="108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71" w:lineRule="exact"/>
        <w:rPr>
          <w:sz w:val="20"/>
          <w:szCs w:val="20"/>
          <w:color w:val="auto"/>
        </w:rPr>
      </w:pPr>
    </w:p>
    <w:p>
      <w:pPr>
        <w:jc w:val="both"/>
        <w:ind w:firstLine="1081"/>
        <w:spacing w:after="0" w:line="261" w:lineRule="auto"/>
        <w:tabs>
          <w:tab w:leader="none" w:pos="1632"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44"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Restricted Stock Units.</w:t>
      </w:r>
    </w:p>
    <w:p>
      <w:pPr>
        <w:spacing w:after="0" w:line="190" w:lineRule="exact"/>
        <w:rPr>
          <w:rFonts w:ascii="Times New Roman" w:cs="Times New Roman" w:eastAsia="Times New Roman" w:hAnsi="Times New Roman"/>
          <w:sz w:val="18"/>
          <w:szCs w:val="18"/>
          <w:color w:val="auto"/>
        </w:rPr>
      </w:pPr>
    </w:p>
    <w:p>
      <w:pPr>
        <w:ind w:firstLine="1081"/>
        <w:spacing w:after="0" w:line="283" w:lineRule="auto"/>
        <w:tabs>
          <w:tab w:leader="none" w:pos="1632"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25"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90" w:lineRule="exact"/>
        <w:rPr>
          <w:rFonts w:ascii="Times New Roman" w:cs="Times New Roman" w:eastAsia="Times New Roman" w:hAnsi="Times New Roman"/>
          <w:sz w:val="18"/>
          <w:szCs w:val="18"/>
          <w:color w:val="auto"/>
        </w:rPr>
      </w:pPr>
    </w:p>
    <w:p>
      <w:pPr>
        <w:jc w:val="both"/>
        <w:ind w:firstLine="1626"/>
        <w:spacing w:after="0" w:line="261" w:lineRule="auto"/>
        <w:tabs>
          <w:tab w:leader="none" w:pos="2170"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w:t>
      </w:r>
    </w:p>
    <w:p>
      <w:pPr>
        <w:sectPr>
          <w:pgSz w:w="11900" w:h="16838" w:orient="portrait"/>
          <w:cols w:equalWidth="0" w:num="1">
            <w:col w:w="11260"/>
          </w:cols>
          <w:pgMar w:left="320" w:top="121" w:right="319" w:bottom="1440" w:gutter="0" w:footer="0" w:header="0"/>
        </w:sectPr>
      </w:pPr>
    </w:p>
    <w:bookmarkStart w:id="461" w:name="page462"/>
    <w:bookmarkEnd w:id="461"/>
    <w:p>
      <w:pPr>
        <w:jc w:val="both"/>
        <w:spacing w:after="0" w:line="254" w:lineRule="auto"/>
        <w:rPr>
          <w:sz w:val="20"/>
          <w:szCs w:val="20"/>
          <w:color w:val="auto"/>
        </w:rPr>
      </w:pPr>
      <w:r>
        <w:rPr>
          <w:rFonts w:ascii="Times New Roman" w:cs="Times New Roman" w:eastAsia="Times New Roman" w:hAnsi="Times New Roman"/>
          <w:sz w:val="18"/>
          <w:szCs w:val="18"/>
          <w:color w:val="auto"/>
        </w:rPr>
        <w:t>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6" w:lineRule="exact"/>
        <w:rPr>
          <w:sz w:val="20"/>
          <w:szCs w:val="20"/>
          <w:color w:val="auto"/>
        </w:rPr>
      </w:pPr>
    </w:p>
    <w:p>
      <w:pPr>
        <w:jc w:val="both"/>
        <w:ind w:firstLine="1626"/>
        <w:spacing w:after="0" w:line="258" w:lineRule="auto"/>
        <w:tabs>
          <w:tab w:leader="none" w:pos="217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48" w:lineRule="exact"/>
        <w:rPr>
          <w:rFonts w:ascii="Times New Roman" w:cs="Times New Roman" w:eastAsia="Times New Roman" w:hAnsi="Times New Roman"/>
          <w:sz w:val="18"/>
          <w:szCs w:val="18"/>
          <w:color w:val="auto"/>
        </w:rPr>
      </w:pPr>
    </w:p>
    <w:p>
      <w:pPr>
        <w:jc w:val="both"/>
        <w:ind w:firstLine="1626"/>
        <w:spacing w:after="0" w:line="253" w:lineRule="auto"/>
        <w:tabs>
          <w:tab w:leader="none" w:pos="222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218" w:right="319" w:bottom="1440" w:gutter="0" w:footer="0" w:header="0"/>
        </w:sectPr>
      </w:pPr>
    </w:p>
    <w:bookmarkStart w:id="462" w:name="page463"/>
    <w:bookmarkEnd w:id="462"/>
    <w:p>
      <w:pPr>
        <w:jc w:val="both"/>
        <w:ind w:firstLine="1635"/>
        <w:spacing w:after="0" w:line="283" w:lineRule="auto"/>
        <w:rPr>
          <w:sz w:val="20"/>
          <w:szCs w:val="20"/>
          <w:color w:val="auto"/>
        </w:rPr>
      </w:pPr>
      <w:r>
        <w:rPr>
          <w:rFonts w:ascii="Times New Roman" w:cs="Times New Roman" w:eastAsia="Times New Roman" w:hAnsi="Times New Roman"/>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25" w:lineRule="exact"/>
        <w:rPr>
          <w:sz w:val="20"/>
          <w:szCs w:val="20"/>
          <w:color w:val="auto"/>
        </w:rPr>
      </w:pPr>
    </w:p>
    <w:p>
      <w:pPr>
        <w:jc w:val="both"/>
        <w:ind w:firstLine="1635"/>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41" w:lineRule="exact"/>
        <w:rPr>
          <w:sz w:val="20"/>
          <w:szCs w:val="20"/>
          <w:color w:val="auto"/>
        </w:rPr>
      </w:pPr>
    </w:p>
    <w:p>
      <w:pPr>
        <w:jc w:val="both"/>
        <w:ind w:firstLine="1635"/>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41" w:lineRule="exact"/>
        <w:rPr>
          <w:sz w:val="20"/>
          <w:szCs w:val="20"/>
          <w:color w:val="auto"/>
        </w:rPr>
      </w:pPr>
    </w:p>
    <w:p>
      <w:pPr>
        <w:jc w:val="both"/>
        <w:ind w:firstLine="1081"/>
        <w:spacing w:after="0" w:line="261" w:lineRule="auto"/>
        <w:tabs>
          <w:tab w:leader="none" w:pos="16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will include such section or regulation, any valid regulation or formal guidance of general or direct applicability promulgated under such section or regulation (and any comparable provision of any future legislation, regulation or formal guidance of general or direct applicability amending, supplementing or superseding such section or regulation).</w:t>
      </w:r>
    </w:p>
    <w:p>
      <w:pPr>
        <w:spacing w:after="0" w:line="144" w:lineRule="exact"/>
        <w:rPr>
          <w:rFonts w:ascii="Times New Roman" w:cs="Times New Roman" w:eastAsia="Times New Roman" w:hAnsi="Times New Roman"/>
          <w:sz w:val="18"/>
          <w:szCs w:val="18"/>
          <w:color w:val="auto"/>
        </w:rPr>
      </w:pPr>
    </w:p>
    <w:p>
      <w:pPr>
        <w:ind w:right="20" w:firstLine="1081"/>
        <w:spacing w:after="0" w:line="283" w:lineRule="auto"/>
        <w:tabs>
          <w:tab w:leader="none" w:pos="16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25"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Seer, Inc., a Delaware corporation, or any successor thereto.</w:t>
      </w:r>
    </w:p>
    <w:p>
      <w:pPr>
        <w:spacing w:after="0" w:line="190" w:lineRule="exact"/>
        <w:rPr>
          <w:rFonts w:ascii="Times New Roman" w:cs="Times New Roman" w:eastAsia="Times New Roman" w:hAnsi="Times New Roman"/>
          <w:sz w:val="18"/>
          <w:szCs w:val="18"/>
          <w:color w:val="auto"/>
        </w:rPr>
      </w:pPr>
    </w:p>
    <w:p>
      <w:pPr>
        <w:jc w:val="both"/>
        <w:ind w:firstLine="1081"/>
        <w:spacing w:after="0" w:line="258" w:lineRule="auto"/>
        <w:tabs>
          <w:tab w:leader="none" w:pos="16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48"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90"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2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1218" w:right="319" w:bottom="1440" w:gutter="0" w:footer="0" w:header="0"/>
        </w:sectPr>
      </w:pPr>
    </w:p>
    <w:bookmarkStart w:id="463" w:name="page464"/>
    <w:bookmarkEnd w:id="463"/>
    <w:p>
      <w:pPr>
        <w:ind w:firstLine="1081"/>
        <w:spacing w:after="0" w:line="283" w:lineRule="auto"/>
        <w:tabs>
          <w:tab w:leader="none" w:pos="16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5"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90" w:lineRule="exact"/>
        <w:rPr>
          <w:rFonts w:ascii="Times New Roman" w:cs="Times New Roman" w:eastAsia="Times New Roman" w:hAnsi="Times New Roman"/>
          <w:sz w:val="18"/>
          <w:szCs w:val="18"/>
          <w:color w:val="auto"/>
        </w:rPr>
      </w:pPr>
    </w:p>
    <w:p>
      <w:pPr>
        <w:jc w:val="both"/>
        <w:ind w:firstLine="1081"/>
        <w:spacing w:after="0" w:line="258" w:lineRule="auto"/>
        <w:tabs>
          <w:tab w:leader="none" w:pos="16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48"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90" w:lineRule="exact"/>
        <w:rPr>
          <w:rFonts w:ascii="Times New Roman" w:cs="Times New Roman" w:eastAsia="Times New Roman" w:hAnsi="Times New Roman"/>
          <w:sz w:val="18"/>
          <w:szCs w:val="18"/>
          <w:color w:val="auto"/>
        </w:rPr>
      </w:pPr>
    </w:p>
    <w:p>
      <w:pPr>
        <w:jc w:val="both"/>
        <w:ind w:firstLine="1626"/>
        <w:spacing w:after="0" w:line="258" w:lineRule="auto"/>
        <w:tabs>
          <w:tab w:leader="none" w:pos="217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if no closing sales price was reported on that date, as applicable, on the last trading date such closing sales price was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48" w:lineRule="exact"/>
        <w:rPr>
          <w:rFonts w:ascii="Times New Roman" w:cs="Times New Roman" w:eastAsia="Times New Roman" w:hAnsi="Times New Roman"/>
          <w:sz w:val="18"/>
          <w:szCs w:val="18"/>
          <w:color w:val="auto"/>
        </w:rPr>
      </w:pPr>
    </w:p>
    <w:p>
      <w:pPr>
        <w:jc w:val="both"/>
        <w:ind w:firstLine="1626"/>
        <w:spacing w:after="0" w:line="261" w:lineRule="auto"/>
        <w:tabs>
          <w:tab w:leader="none" w:pos="2175"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44" w:lineRule="exact"/>
        <w:rPr>
          <w:rFonts w:ascii="Times New Roman" w:cs="Times New Roman" w:eastAsia="Times New Roman" w:hAnsi="Times New Roman"/>
          <w:sz w:val="18"/>
          <w:szCs w:val="18"/>
          <w:color w:val="auto"/>
        </w:rPr>
      </w:pPr>
    </w:p>
    <w:p>
      <w:pPr>
        <w:ind w:left="2180" w:hanging="554"/>
        <w:spacing w:after="0"/>
        <w:tabs>
          <w:tab w:leader="none" w:pos="218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w:t>
      </w:r>
    </w:p>
    <w:p>
      <w:pPr>
        <w:spacing w:after="0" w:line="17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2020 RSU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218" w:right="319" w:bottom="1440" w:gutter="0" w:footer="0" w:header="0"/>
        </w:sectPr>
      </w:pPr>
    </w:p>
    <w:bookmarkStart w:id="464" w:name="page465"/>
    <w:bookmarkEnd w:id="464"/>
    <w:p>
      <w:pPr>
        <w:ind w:right="20" w:firstLine="1081"/>
        <w:spacing w:after="0" w:line="283" w:lineRule="auto"/>
        <w:tabs>
          <w:tab w:leader="none" w:pos="1632"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6. Each Restricted Stock Unit represents an unfunded and unsecured obligation of the Company.</w:t>
      </w:r>
    </w:p>
    <w:p>
      <w:pPr>
        <w:spacing w:after="0" w:line="125" w:lineRule="exact"/>
        <w:rPr>
          <w:rFonts w:ascii="Times New Roman" w:cs="Times New Roman" w:eastAsia="Times New Roman" w:hAnsi="Times New Roman"/>
          <w:sz w:val="18"/>
          <w:szCs w:val="18"/>
          <w:color w:val="auto"/>
        </w:rPr>
      </w:pPr>
    </w:p>
    <w:p>
      <w:pPr>
        <w:ind w:firstLine="1081"/>
        <w:spacing w:after="0" w:line="283" w:lineRule="auto"/>
        <w:tabs>
          <w:tab w:leader="none" w:pos="1632"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Code Section 409A and the Treasury Regulations and guidance thereunder, and any applicable state law equivalent, as each may be promulgated, amended or modified from time to time.</w:t>
      </w:r>
    </w:p>
    <w:p>
      <w:pPr>
        <w:spacing w:after="0" w:line="125"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10 of the Plan.</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190"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firstLine="1081"/>
        <w:spacing w:after="0" w:line="283" w:lineRule="auto"/>
        <w:tabs>
          <w:tab w:leader="none" w:pos="163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10 of the Plan, the maximum aggregate number of Shares that may be subject to Awards and sold under the Plan is 717,232 Shares. The Shares may be authorized but unissued, or reacquired Common Stock.</w:t>
      </w:r>
    </w:p>
    <w:p>
      <w:pPr>
        <w:spacing w:after="0" w:line="125" w:lineRule="exact"/>
        <w:rPr>
          <w:rFonts w:ascii="Times New Roman" w:cs="Times New Roman" w:eastAsia="Times New Roman" w:hAnsi="Times New Roman"/>
          <w:sz w:val="18"/>
          <w:szCs w:val="18"/>
          <w:color w:val="auto"/>
        </w:rPr>
      </w:pPr>
    </w:p>
    <w:p>
      <w:pPr>
        <w:jc w:val="both"/>
        <w:ind w:firstLine="1081"/>
        <w:spacing w:after="0" w:line="254" w:lineRule="auto"/>
        <w:tabs>
          <w:tab w:leader="none" w:pos="1632"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is forfeited to or repurchased by the Company due to the failure to vest,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Units are repurchased by the Company or are forfeited to the Company due to the failure to vest, such Shares will become available for future grant under the Plan. Shares used to pay the exercise price of an Award or to satisfy the tax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55" w:lineRule="exact"/>
        <w:rPr>
          <w:rFonts w:ascii="Times New Roman" w:cs="Times New Roman" w:eastAsia="Times New Roman" w:hAnsi="Times New Roman"/>
          <w:sz w:val="18"/>
          <w:szCs w:val="18"/>
          <w:color w:val="auto"/>
        </w:rPr>
      </w:pPr>
    </w:p>
    <w:p>
      <w:pPr>
        <w:ind w:firstLine="1081"/>
        <w:spacing w:after="0" w:line="283" w:lineRule="auto"/>
        <w:tabs>
          <w:tab w:leader="none" w:pos="163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218" w:right="319" w:bottom="1440" w:gutter="0" w:footer="0" w:header="0"/>
        </w:sectPr>
      </w:pPr>
    </w:p>
    <w:bookmarkStart w:id="465" w:name="page466"/>
    <w:bookmarkEnd w:id="465"/>
    <w:p>
      <w:pPr>
        <w:ind w:left="1080" w:hanging="544"/>
        <w:spacing w:after="0"/>
        <w:tabs>
          <w:tab w:leader="none" w:pos="10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2160" w:hanging="534"/>
        <w:spacing w:after="0"/>
        <w:tabs>
          <w:tab w:leader="none" w:pos="216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170" w:lineRule="exact"/>
        <w:rPr>
          <w:rFonts w:ascii="Times New Roman" w:cs="Times New Roman" w:eastAsia="Times New Roman" w:hAnsi="Times New Roman"/>
          <w:sz w:val="18"/>
          <w:szCs w:val="18"/>
          <w:color w:val="auto"/>
        </w:rPr>
      </w:pPr>
    </w:p>
    <w:p>
      <w:pPr>
        <w:ind w:firstLine="1626"/>
        <w:spacing w:after="0" w:line="283" w:lineRule="auto"/>
        <w:tabs>
          <w:tab w:leader="none" w:pos="2175"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25" w:lineRule="exact"/>
        <w:rPr>
          <w:rFonts w:ascii="Times New Roman" w:cs="Times New Roman" w:eastAsia="Times New Roman" w:hAnsi="Times New Roman"/>
          <w:sz w:val="18"/>
          <w:szCs w:val="18"/>
          <w:color w:val="auto"/>
        </w:rPr>
      </w:pPr>
    </w:p>
    <w:p>
      <w:pPr>
        <w:ind w:firstLine="1081"/>
        <w:spacing w:after="0" w:line="283" w:lineRule="auto"/>
        <w:tabs>
          <w:tab w:leader="none" w:pos="1632"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25" w:lineRule="exact"/>
        <w:rPr>
          <w:rFonts w:ascii="Times New Roman" w:cs="Times New Roman" w:eastAsia="Times New Roman" w:hAnsi="Times New Roman"/>
          <w:sz w:val="18"/>
          <w:szCs w:val="18"/>
          <w:color w:val="auto"/>
        </w:rPr>
      </w:pPr>
    </w:p>
    <w:p>
      <w:pPr>
        <w:ind w:left="2160" w:hanging="534"/>
        <w:spacing w:after="0"/>
        <w:tabs>
          <w:tab w:leader="none" w:pos="216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190" w:lineRule="exact"/>
        <w:rPr>
          <w:rFonts w:ascii="Times New Roman" w:cs="Times New Roman" w:eastAsia="Times New Roman" w:hAnsi="Times New Roman"/>
          <w:sz w:val="18"/>
          <w:szCs w:val="18"/>
          <w:color w:val="auto"/>
        </w:rPr>
      </w:pPr>
    </w:p>
    <w:p>
      <w:pPr>
        <w:ind w:left="2160" w:hanging="534"/>
        <w:spacing w:after="0"/>
        <w:tabs>
          <w:tab w:leader="none" w:pos="216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190" w:lineRule="exact"/>
        <w:rPr>
          <w:rFonts w:ascii="Times New Roman" w:cs="Times New Roman" w:eastAsia="Times New Roman" w:hAnsi="Times New Roman"/>
          <w:sz w:val="18"/>
          <w:szCs w:val="18"/>
          <w:color w:val="auto"/>
        </w:rPr>
      </w:pPr>
    </w:p>
    <w:p>
      <w:pPr>
        <w:ind w:left="2220" w:hanging="594"/>
        <w:spacing w:after="0"/>
        <w:tabs>
          <w:tab w:leader="none" w:pos="222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190" w:lineRule="exact"/>
        <w:rPr>
          <w:rFonts w:ascii="Times New Roman" w:cs="Times New Roman" w:eastAsia="Times New Roman" w:hAnsi="Times New Roman"/>
          <w:sz w:val="18"/>
          <w:szCs w:val="18"/>
          <w:color w:val="auto"/>
        </w:rPr>
      </w:pPr>
    </w:p>
    <w:p>
      <w:pPr>
        <w:ind w:left="2200" w:hanging="574"/>
        <w:spacing w:after="0"/>
        <w:tabs>
          <w:tab w:leader="none" w:pos="220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90" w:lineRule="exact"/>
        <w:rPr>
          <w:rFonts w:ascii="Times New Roman" w:cs="Times New Roman" w:eastAsia="Times New Roman" w:hAnsi="Times New Roman"/>
          <w:sz w:val="18"/>
          <w:szCs w:val="18"/>
          <w:color w:val="auto"/>
        </w:rPr>
      </w:pPr>
    </w:p>
    <w:p>
      <w:pPr>
        <w:jc w:val="both"/>
        <w:ind w:firstLine="1626"/>
        <w:spacing w:after="0" w:line="261" w:lineRule="auto"/>
        <w:tabs>
          <w:tab w:leader="none" w:pos="2177"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if any,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44" w:lineRule="exact"/>
        <w:rPr>
          <w:rFonts w:ascii="Times New Roman" w:cs="Times New Roman" w:eastAsia="Times New Roman" w:hAnsi="Times New Roman"/>
          <w:sz w:val="18"/>
          <w:szCs w:val="18"/>
          <w:color w:val="auto"/>
        </w:rPr>
      </w:pPr>
    </w:p>
    <w:p>
      <w:pPr>
        <w:ind w:left="2200" w:hanging="574"/>
        <w:spacing w:after="0"/>
        <w:tabs>
          <w:tab w:leader="none" w:pos="220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190" w:lineRule="exact"/>
        <w:rPr>
          <w:rFonts w:ascii="Times New Roman" w:cs="Times New Roman" w:eastAsia="Times New Roman" w:hAnsi="Times New Roman"/>
          <w:sz w:val="18"/>
          <w:szCs w:val="18"/>
          <w:color w:val="auto"/>
        </w:rPr>
      </w:pPr>
    </w:p>
    <w:p>
      <w:pPr>
        <w:ind w:left="2160" w:hanging="534"/>
        <w:spacing w:after="0"/>
        <w:tabs>
          <w:tab w:leader="none" w:pos="216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190" w:lineRule="exact"/>
        <w:rPr>
          <w:rFonts w:ascii="Times New Roman" w:cs="Times New Roman" w:eastAsia="Times New Roman" w:hAnsi="Times New Roman"/>
          <w:sz w:val="18"/>
          <w:szCs w:val="18"/>
          <w:color w:val="auto"/>
        </w:rPr>
      </w:pPr>
    </w:p>
    <w:p>
      <w:pPr>
        <w:ind w:right="20" w:firstLine="1626"/>
        <w:spacing w:after="0" w:line="283" w:lineRule="auto"/>
        <w:tabs>
          <w:tab w:leader="none" w:pos="218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25" w:lineRule="exact"/>
        <w:rPr>
          <w:rFonts w:ascii="Times New Roman" w:cs="Times New Roman" w:eastAsia="Times New Roman" w:hAnsi="Times New Roman"/>
          <w:sz w:val="18"/>
          <w:szCs w:val="18"/>
          <w:color w:val="auto"/>
        </w:rPr>
      </w:pPr>
    </w:p>
    <w:p>
      <w:pPr>
        <w:ind w:left="2200" w:hanging="574"/>
        <w:spacing w:after="0"/>
        <w:tabs>
          <w:tab w:leader="none" w:pos="220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15(c)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218" w:right="319" w:bottom="1440" w:gutter="0" w:footer="0" w:header="0"/>
        </w:sectPr>
      </w:pPr>
    </w:p>
    <w:bookmarkStart w:id="466" w:name="page467"/>
    <w:bookmarkEnd w:id="466"/>
    <w:p>
      <w:pPr>
        <w:ind w:left="2160" w:hanging="534"/>
        <w:spacing w:after="0"/>
        <w:tabs>
          <w:tab w:leader="none" w:pos="2160"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11;</w:t>
      </w:r>
    </w:p>
    <w:p>
      <w:pPr>
        <w:spacing w:after="0" w:line="190" w:lineRule="exact"/>
        <w:rPr>
          <w:rFonts w:ascii="Times New Roman" w:cs="Times New Roman" w:eastAsia="Times New Roman" w:hAnsi="Times New Roman"/>
          <w:sz w:val="18"/>
          <w:szCs w:val="18"/>
          <w:color w:val="auto"/>
        </w:rPr>
      </w:pPr>
    </w:p>
    <w:p>
      <w:pPr>
        <w:ind w:firstLine="1626"/>
        <w:spacing w:after="0" w:line="283" w:lineRule="auto"/>
        <w:tabs>
          <w:tab w:leader="none" w:pos="2243"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25" w:lineRule="exact"/>
        <w:rPr>
          <w:rFonts w:ascii="Times New Roman" w:cs="Times New Roman" w:eastAsia="Times New Roman" w:hAnsi="Times New Roman"/>
          <w:sz w:val="18"/>
          <w:szCs w:val="18"/>
          <w:color w:val="auto"/>
        </w:rPr>
      </w:pPr>
    </w:p>
    <w:p>
      <w:pPr>
        <w:ind w:right="20" w:firstLine="1626"/>
        <w:spacing w:after="0" w:line="283" w:lineRule="auto"/>
        <w:tabs>
          <w:tab w:leader="none" w:pos="2175"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25" w:lineRule="exact"/>
        <w:rPr>
          <w:rFonts w:ascii="Times New Roman" w:cs="Times New Roman" w:eastAsia="Times New Roman" w:hAnsi="Times New Roman"/>
          <w:sz w:val="18"/>
          <w:szCs w:val="18"/>
          <w:color w:val="auto"/>
        </w:rPr>
      </w:pPr>
    </w:p>
    <w:p>
      <w:pPr>
        <w:ind w:left="2180" w:hanging="554"/>
        <w:spacing w:after="0"/>
        <w:tabs>
          <w:tab w:leader="none" w:pos="2180"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190" w:lineRule="exact"/>
        <w:rPr>
          <w:rFonts w:ascii="Times New Roman" w:cs="Times New Roman" w:eastAsia="Times New Roman" w:hAnsi="Times New Roman"/>
          <w:sz w:val="18"/>
          <w:szCs w:val="18"/>
          <w:color w:val="auto"/>
        </w:rPr>
      </w:pPr>
    </w:p>
    <w:p>
      <w:pPr>
        <w:ind w:firstLine="1081"/>
        <w:spacing w:after="0" w:line="283" w:lineRule="auto"/>
        <w:tabs>
          <w:tab w:leader="none" w:pos="1633"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25"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Restricted Stock Units may be granted to Service Providers.</w:t>
      </w:r>
    </w:p>
    <w:p>
      <w:pPr>
        <w:spacing w:after="0" w:line="190"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3"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40"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2"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44"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3"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40"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2"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4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218" w:right="319" w:bottom="1440" w:gutter="0" w:footer="0" w:header="0"/>
        </w:sectPr>
      </w:pPr>
    </w:p>
    <w:bookmarkStart w:id="467" w:name="page468"/>
    <w:bookmarkEnd w:id="467"/>
    <w:p>
      <w:pPr>
        <w:jc w:val="both"/>
        <w:ind w:firstLine="536"/>
        <w:spacing w:after="0" w:line="253" w:lineRule="auto"/>
        <w:tabs>
          <w:tab w:leader="none" w:pos="109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have any liability or obligation to reimburse, indemnify, or hold harmless a Participant (or any other person) for any taxes, penalties or interest that may be imposed on, or other costs incurred by, Participant (or any other person) as a result of Section 409A.</w:t>
      </w:r>
    </w:p>
    <w:p>
      <w:pPr>
        <w:spacing w:after="0" w:line="157"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144"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spacing w:after="0" w:line="144"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081"/>
        <w:spacing w:after="0" w:line="255" w:lineRule="auto"/>
        <w:tabs>
          <w:tab w:leader="none" w:pos="1633"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(other than an ordinary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Further, the Administrator will make such adjustments to an Award as required by Section 25102(o) of the California Corporations Code to the extent the Company is relying upon the exemption afforded thereby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218" w:right="319" w:bottom="1440" w:gutter="0" w:footer="0" w:header="0"/>
        </w:sectPr>
      </w:pPr>
    </w:p>
    <w:bookmarkStart w:id="468" w:name="page469"/>
    <w:bookmarkEnd w:id="468"/>
    <w:p>
      <w:pPr>
        <w:jc w:val="both"/>
        <w:ind w:left="9" w:firstLine="1081"/>
        <w:spacing w:after="0" w:line="266" w:lineRule="auto"/>
        <w:tabs>
          <w:tab w:leader="none" w:pos="1641"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40" w:lineRule="exact"/>
        <w:rPr>
          <w:rFonts w:ascii="Times New Roman" w:cs="Times New Roman" w:eastAsia="Times New Roman" w:hAnsi="Times New Roman"/>
          <w:sz w:val="18"/>
          <w:szCs w:val="18"/>
          <w:color w:val="auto"/>
        </w:rPr>
      </w:pPr>
    </w:p>
    <w:p>
      <w:pPr>
        <w:jc w:val="both"/>
        <w:ind w:left="9" w:firstLine="1081"/>
        <w:spacing w:after="0" w:line="254" w:lineRule="auto"/>
        <w:tabs>
          <w:tab w:leader="none" w:pos="1642"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3" w:lineRule="exact"/>
        <w:rPr>
          <w:rFonts w:ascii="Times New Roman" w:cs="Times New Roman" w:eastAsia="Times New Roman" w:hAnsi="Times New Roman"/>
          <w:sz w:val="18"/>
          <w:szCs w:val="18"/>
          <w:color w:val="auto"/>
        </w:rPr>
      </w:pPr>
    </w:p>
    <w:p>
      <w:pPr>
        <w:jc w:val="both"/>
        <w:ind w:left="9" w:hanging="9"/>
        <w:spacing w:after="0" w:line="251" w:lineRule="auto"/>
        <w:tabs>
          <w:tab w:leader="none" w:pos="32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10(c), the Administrator will not be obligated to treat all Awards, all Awards held by a Participant, or all Awards of the same type, similarly.</w:t>
      </w:r>
    </w:p>
    <w:p>
      <w:pPr>
        <w:spacing w:after="0" w:line="156" w:lineRule="exact"/>
        <w:rPr>
          <w:sz w:val="20"/>
          <w:szCs w:val="20"/>
          <w:color w:val="auto"/>
        </w:rPr>
      </w:pPr>
    </w:p>
    <w:p>
      <w:pPr>
        <w:jc w:val="both"/>
        <w:ind w:left="9" w:firstLine="1090"/>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10(c),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56" w:lineRule="exact"/>
        <w:rPr>
          <w:sz w:val="20"/>
          <w:szCs w:val="20"/>
          <w:color w:val="auto"/>
        </w:rPr>
      </w:pPr>
    </w:p>
    <w:p>
      <w:pPr>
        <w:jc w:val="both"/>
        <w:ind w:left="9" w:firstLine="1090"/>
        <w:spacing w:after="0" w:line="283" w:lineRule="auto"/>
        <w:rPr>
          <w:sz w:val="20"/>
          <w:szCs w:val="20"/>
          <w:color w:val="auto"/>
        </w:rPr>
      </w:pPr>
      <w:r>
        <w:rPr>
          <w:rFonts w:ascii="Times New Roman" w:cs="Times New Roman" w:eastAsia="Times New Roman" w:hAnsi="Times New Roman"/>
          <w:sz w:val="18"/>
          <w:szCs w:val="18"/>
          <w:color w:val="auto"/>
        </w:rPr>
        <w:t>Notwithstanding anything in this Section 10(c) to the contrary, an Award that vests, is earned or paid-out upon the satisfaction of one or more performance goals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9"/>
          </w:cols>
          <w:pgMar w:left="311" w:top="1218" w:right="319" w:bottom="1440" w:gutter="0" w:footer="0" w:header="0"/>
        </w:sectPr>
      </w:pPr>
    </w:p>
    <w:bookmarkStart w:id="469" w:name="page470"/>
    <w:bookmarkEnd w:id="469"/>
    <w:p>
      <w:pPr>
        <w:jc w:val="both"/>
        <w:spacing w:after="0" w:line="261" w:lineRule="auto"/>
        <w:rPr>
          <w:sz w:val="20"/>
          <w:szCs w:val="20"/>
          <w:color w:val="auto"/>
        </w:rPr>
      </w:pPr>
      <w:r>
        <w:rPr>
          <w:rFonts w:ascii="Times New Roman" w:cs="Times New Roman" w:eastAsia="Times New Roman" w:hAnsi="Times New Roman"/>
          <w:sz w:val="18"/>
          <w:szCs w:val="18"/>
          <w:color w:val="auto"/>
        </w:rPr>
        <w:t>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44"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10(c) to the contrary, and unless otherwise provided in an Award Agreement, if an Award that vests, is earned or paid-out under an Award Agreement is subject to Section 409A and if the change in control definition contained in the Award Agreement does not comply with the definition of “change of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48" w:lineRule="exact"/>
        <w:rPr>
          <w:sz w:val="20"/>
          <w:szCs w:val="20"/>
          <w:color w:val="auto"/>
        </w:rPr>
      </w:pPr>
    </w:p>
    <w:p>
      <w:pPr>
        <w:ind w:left="1080" w:hanging="544"/>
        <w:spacing w:after="0"/>
        <w:tabs>
          <w:tab w:leader="none" w:pos="10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3"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0" w:lineRule="exact"/>
        <w:rPr>
          <w:rFonts w:ascii="Times New Roman" w:cs="Times New Roman" w:eastAsia="Times New Roman" w:hAnsi="Times New Roman"/>
          <w:sz w:val="18"/>
          <w:szCs w:val="18"/>
          <w:color w:val="auto"/>
        </w:rPr>
      </w:pPr>
    </w:p>
    <w:p>
      <w:pPr>
        <w:jc w:val="both"/>
        <w:ind w:firstLine="1081"/>
        <w:spacing w:after="0" w:line="252" w:lineRule="auto"/>
        <w:tabs>
          <w:tab w:leader="none" w:pos="163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such methods as the Administrator shall determine, including, without limitation, (i) paying cash, (ii) electing to have the Company withhold otherwise deliverable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(v) such other consideration and method of payment for the meeting of tax withholding obligations as the Administrator may determine to the extent permitted by Applicable Laws, or (vi)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218" w:right="31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color w:val="auto"/>
        </w:rPr>
        <w:t>sole discretion. The fair market value of the Shares to be withheld or delivered will be determined as of the date that the taxes are required to be withheld.</w:t>
      </w:r>
    </w:p>
    <w:p>
      <w:pPr>
        <w:spacing w:after="0" w:line="191" w:lineRule="exact"/>
        <w:rPr>
          <w:sz w:val="20"/>
          <w:szCs w:val="20"/>
          <w:color w:val="auto"/>
        </w:rPr>
      </w:pPr>
    </w:p>
    <w:p>
      <w:pPr>
        <w:jc w:val="both"/>
        <w:ind w:firstLine="536"/>
        <w:spacing w:after="0" w:line="261" w:lineRule="auto"/>
        <w:tabs>
          <w:tab w:leader="none" w:pos="109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44" w:lineRule="exact"/>
        <w:rPr>
          <w:rFonts w:ascii="Times New Roman" w:cs="Times New Roman" w:eastAsia="Times New Roman" w:hAnsi="Times New Roman"/>
          <w:sz w:val="18"/>
          <w:szCs w:val="18"/>
          <w:color w:val="auto"/>
        </w:rPr>
      </w:pPr>
    </w:p>
    <w:p>
      <w:pPr>
        <w:jc w:val="both"/>
        <w:ind w:firstLine="536"/>
        <w:spacing w:after="0" w:line="266" w:lineRule="auto"/>
        <w:tabs>
          <w:tab w:leader="none" w:pos="109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Notice of the determination will be provided to each Participant within a reasonable time after the date of such grant.</w:t>
      </w:r>
    </w:p>
    <w:p>
      <w:pPr>
        <w:spacing w:after="0" w:line="140" w:lineRule="exact"/>
        <w:rPr>
          <w:rFonts w:ascii="Times New Roman" w:cs="Times New Roman" w:eastAsia="Times New Roman" w:hAnsi="Times New Roman"/>
          <w:sz w:val="18"/>
          <w:szCs w:val="18"/>
          <w:color w:val="auto"/>
        </w:rPr>
      </w:pPr>
    </w:p>
    <w:p>
      <w:pPr>
        <w:jc w:val="both"/>
        <w:ind w:firstLine="536"/>
        <w:spacing w:after="0" w:line="266" w:lineRule="auto"/>
        <w:tabs>
          <w:tab w:leader="none" w:pos="109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18 of the Plan, the Plan will become effective upon its adoption by the Board. Unless sooner terminated under Section 15,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40"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the Plan.</w:t>
      </w:r>
    </w:p>
    <w:p>
      <w:pPr>
        <w:spacing w:after="0" w:line="190" w:lineRule="exact"/>
        <w:rPr>
          <w:rFonts w:ascii="Times New Roman" w:cs="Times New Roman" w:eastAsia="Times New Roman" w:hAnsi="Times New Roman"/>
          <w:sz w:val="18"/>
          <w:szCs w:val="18"/>
          <w:color w:val="auto"/>
        </w:rPr>
      </w:pPr>
    </w:p>
    <w:p>
      <w:pPr>
        <w:ind w:firstLine="1081"/>
        <w:spacing w:after="0" w:line="283" w:lineRule="auto"/>
        <w:tabs>
          <w:tab w:leader="none" w:pos="1632"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25"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3"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44"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3"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40" w:lineRule="exact"/>
        <w:rPr>
          <w:rFonts w:ascii="Times New Roman" w:cs="Times New Roman" w:eastAsia="Times New Roman" w:hAnsi="Times New Roman"/>
          <w:sz w:val="18"/>
          <w:szCs w:val="18"/>
          <w:color w:val="auto"/>
        </w:rPr>
      </w:pPr>
    </w:p>
    <w:p>
      <w:pPr>
        <w:ind w:right="20" w:firstLine="1081"/>
        <w:spacing w:after="0" w:line="283" w:lineRule="auto"/>
        <w:tabs>
          <w:tab w:leader="none" w:pos="1632"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218" w:right="31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color w:val="auto"/>
        </w:rPr>
        <w:t>present intention to sell or distribute such Shares if, in the opinion of counsel for the Company, such a representation is required.</w:t>
      </w:r>
    </w:p>
    <w:p>
      <w:pPr>
        <w:spacing w:after="0" w:line="191" w:lineRule="exact"/>
        <w:rPr>
          <w:sz w:val="20"/>
          <w:szCs w:val="20"/>
          <w:color w:val="auto"/>
        </w:rPr>
      </w:pPr>
    </w:p>
    <w:p>
      <w:pPr>
        <w:jc w:val="both"/>
        <w:ind w:firstLine="536"/>
        <w:spacing w:after="0" w:line="256" w:lineRule="auto"/>
        <w:tabs>
          <w:tab w:leader="none" w:pos="109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51" w:lineRule="exact"/>
        <w:rPr>
          <w:rFonts w:ascii="Times New Roman" w:cs="Times New Roman" w:eastAsia="Times New Roman" w:hAnsi="Times New Roman"/>
          <w:sz w:val="18"/>
          <w:szCs w:val="18"/>
          <w:color w:val="auto"/>
        </w:rPr>
      </w:pPr>
    </w:p>
    <w:p>
      <w:pPr>
        <w:ind w:firstLine="536"/>
        <w:spacing w:after="0" w:line="283" w:lineRule="auto"/>
        <w:tabs>
          <w:tab w:leader="none" w:pos="109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25" w:lineRule="exact"/>
        <w:rPr>
          <w:rFonts w:ascii="Times New Roman" w:cs="Times New Roman" w:eastAsia="Times New Roman" w:hAnsi="Times New Roman"/>
          <w:sz w:val="18"/>
          <w:szCs w:val="18"/>
          <w:color w:val="auto"/>
        </w:rPr>
      </w:pPr>
    </w:p>
    <w:p>
      <w:pPr>
        <w:jc w:val="both"/>
        <w:ind w:firstLine="536"/>
        <w:spacing w:after="0" w:line="253" w:lineRule="auto"/>
        <w:tabs>
          <w:tab w:leader="none" w:pos="109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Participants</w:t>
      </w:r>
      <w:r>
        <w:rPr>
          <w:rFonts w:ascii="Times New Roman" w:cs="Times New Roman" w:eastAsia="Times New Roman" w:hAnsi="Times New Roman"/>
          <w:sz w:val="18"/>
          <w:szCs w:val="18"/>
          <w:color w:val="auto"/>
        </w:rPr>
        <w:t>. If and as required (i) pursuant to Rule 701 of the Securities Act, if the Company is relying on the exemption from registration provided pursuant to Rule 701 of the Securities Act with respect to the applicable Award, and/or (ii) pursuant to Rule 12h-1(f) of the Exchange Act, to the extent the Company is relying on the Rule 12h-1(f) Exemption, then during the period of reliance on the applicable exemption and in each case of (i) and (ii) until such time as the Company becomes subject to the reporting requirements of Section 13 or 15(d) of the Exchange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(if the Company is relying on the Rule 12h-1(f) Exemption) or Rule 701 of the Securities Act (if the Company is relying on the exemption pursuant to Rule 701 of the Securities Act).</w:t>
      </w:r>
    </w:p>
    <w:p>
      <w:pPr>
        <w:spacing w:after="0" w:line="152"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081"/>
        <w:spacing w:after="0" w:line="261" w:lineRule="auto"/>
        <w:tabs>
          <w:tab w:leader="none" w:pos="1633"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218" w:right="319" w:bottom="1440" w:gutter="0" w:footer="0" w:header="0"/>
        </w:sectPr>
      </w:pPr>
    </w:p>
    <w:bookmarkStart w:id="472" w:name="page473"/>
    <w:bookmarkEnd w:id="472"/>
    <w:p>
      <w:pPr>
        <w:jc w:val="both"/>
        <w:spacing w:after="0" w:line="258" w:lineRule="auto"/>
        <w:rPr>
          <w:sz w:val="20"/>
          <w:szCs w:val="20"/>
          <w:color w:val="auto"/>
        </w:rPr>
      </w:pPr>
      <w:r>
        <w:rPr>
          <w:rFonts w:ascii="Times New Roman" w:cs="Times New Roman" w:eastAsia="Times New Roman" w:hAnsi="Times New Roman"/>
          <w:sz w:val="18"/>
          <w:szCs w:val="18"/>
          <w:color w:val="auto"/>
        </w:rPr>
        <w:t>recovery or recoupment provisions in an Award Agreement as the Administrator determines necessary or appropriate, including but not limited to a reacquisition right regarding previously acquired Shares or other cash or property. Unless this Section 20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Parent or Subsidiary of the Company.</w:t>
      </w:r>
    </w:p>
    <w:p>
      <w:pPr>
        <w:spacing w:after="0" w:line="148" w:lineRule="exact"/>
        <w:rPr>
          <w:sz w:val="20"/>
          <w:szCs w:val="20"/>
          <w:color w:val="auto"/>
        </w:rPr>
      </w:pPr>
    </w:p>
    <w:p>
      <w:pPr>
        <w:jc w:val="both"/>
        <w:ind w:firstLine="1081"/>
        <w:spacing w:after="0" w:line="258" w:lineRule="auto"/>
        <w:tabs>
          <w:tab w:leader="none" w:pos="1632"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a Service Provider for cause or any specified action or inaction by a Participant, whether before or after such Participant’s cessation of Service Provider status, that would constitute cause for termination of such Participant’s status as a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1218" w:right="319" w:bottom="1440" w:gutter="0" w:footer="0" w:header="0"/>
        </w:sectPr>
      </w:pPr>
    </w:p>
    <w:bookmarkStart w:id="473" w:name="page474"/>
    <w:bookmarkEnd w:id="473"/>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10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2020 RSU EQUITY INCENTIVE PLAN</w:t>
      </w:r>
    </w:p>
    <w:p>
      <w:pPr>
        <w:spacing w:after="0" w:line="10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376" w:lineRule="exact"/>
        <w:rPr>
          <w:sz w:val="20"/>
          <w:szCs w:val="20"/>
          <w:color w:val="auto"/>
        </w:rPr>
      </w:pPr>
    </w:p>
    <w:p>
      <w:pPr>
        <w:jc w:val="both"/>
        <w:ind w:left="9" w:firstLine="545"/>
        <w:spacing w:after="0" w:line="266" w:lineRule="auto"/>
        <w:rPr>
          <w:sz w:val="20"/>
          <w:szCs w:val="20"/>
          <w:color w:val="auto"/>
        </w:rPr>
      </w:pPr>
      <w:r>
        <w:rPr>
          <w:rFonts w:ascii="Times New Roman" w:cs="Times New Roman" w:eastAsia="Times New Roman" w:hAnsi="Times New Roman"/>
          <w:sz w:val="18"/>
          <w:szCs w:val="18"/>
          <w:color w:val="auto"/>
        </w:rPr>
        <w:t>Unless otherwise defined herein, the terms defined in the 2020 RSU Equity Incentive Plan (the “Plan”) shall have the same defined meanings in this Restricted Stock Unit Award Agreement, including the Notice of Grant of Restricted Stock Units (the “Notice of Grant”), the Terms and Conditions of Restricted Stock Unit Grant, and any exhibits attached thereto (all together, the “Award Agreement”).</w:t>
      </w:r>
    </w:p>
    <w:p>
      <w:pPr>
        <w:spacing w:after="0" w:line="137" w:lineRule="exact"/>
        <w:rPr>
          <w:sz w:val="20"/>
          <w:szCs w:val="20"/>
          <w:color w:val="auto"/>
        </w:rPr>
      </w:pPr>
    </w:p>
    <w:p>
      <w:pPr>
        <w:ind w:left="549" w:right="6220" w:hanging="549"/>
        <w:spacing w:after="0" w:line="460" w:lineRule="auto"/>
        <w:tabs>
          <w:tab w:leader="none" w:pos="54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NOTICE OF GRANT OF RESTRICTED STOCK UNITS </w:t>
      </w:r>
      <w:r>
        <w:rPr>
          <w:rFonts w:ascii="Times New Roman" w:cs="Times New Roman" w:eastAsia="Times New Roman" w:hAnsi="Times New Roman"/>
          <w:sz w:val="18"/>
          <w:szCs w:val="18"/>
          <w:b w:val="1"/>
          <w:bCs w:val="1"/>
          <w:color w:val="auto"/>
        </w:rPr>
        <w:t>Name (the “Participant”):</w:t>
      </w:r>
    </w:p>
    <w:p>
      <w:pPr>
        <w:spacing w:after="0" w:line="1" w:lineRule="exact"/>
        <w:rPr>
          <w:rFonts w:ascii="Times New Roman" w:cs="Times New Roman" w:eastAsia="Times New Roman" w:hAnsi="Times New Roman"/>
          <w:sz w:val="18"/>
          <w:szCs w:val="18"/>
          <w:b w:val="1"/>
          <w:bCs w:val="1"/>
          <w:color w:val="auto"/>
        </w:rPr>
      </w:pPr>
    </w:p>
    <w:p>
      <w:pPr>
        <w:ind w:left="54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w:t>
      </w:r>
    </w:p>
    <w:p>
      <w:pPr>
        <w:spacing w:after="0" w:line="195" w:lineRule="exact"/>
        <w:rPr>
          <w:sz w:val="20"/>
          <w:szCs w:val="20"/>
          <w:color w:val="auto"/>
        </w:rPr>
      </w:pPr>
    </w:p>
    <w:p>
      <w:pPr>
        <w:jc w:val="both"/>
        <w:ind w:left="9" w:right="20" w:firstLine="545"/>
        <w:spacing w:after="0" w:line="283" w:lineRule="auto"/>
        <w:rPr>
          <w:sz w:val="20"/>
          <w:szCs w:val="20"/>
          <w:color w:val="auto"/>
        </w:rPr>
      </w:pPr>
      <w:r>
        <w:rPr>
          <w:rFonts w:ascii="Times New Roman" w:cs="Times New Roman" w:eastAsia="Times New Roman" w:hAnsi="Times New Roman"/>
          <w:sz w:val="18"/>
          <w:szCs w:val="18"/>
          <w:color w:val="auto"/>
        </w:rPr>
        <w:t>The undersigned individual (the “Participant”) has been granted the right to receive an Award of Restricted Stock Units, subject to the terms and conditions of the Plan and this Award Agreement, as follows:</w:t>
      </w:r>
    </w:p>
    <w:p>
      <w:pPr>
        <w:spacing w:after="0" w:line="171"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27305</wp:posOffset>
            </wp:positionV>
            <wp:extent cx="23221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22195" cy="6985"/>
                    </a:xfrm>
                    <a:prstGeom prst="rect">
                      <a:avLst/>
                    </a:prstGeom>
                    <a:noFill/>
                  </pic:spPr>
                </pic:pic>
              </a:graphicData>
            </a:graphic>
          </wp:anchor>
        </w:drawing>
      </w:r>
    </w:p>
    <w:p>
      <w:pPr>
        <w:spacing w:after="0" w:line="261"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27305</wp:posOffset>
            </wp:positionV>
            <wp:extent cx="232219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22195" cy="6985"/>
                    </a:xfrm>
                    <a:prstGeom prst="rect">
                      <a:avLst/>
                    </a:prstGeom>
                    <a:noFill/>
                  </pic:spPr>
                </pic:pic>
              </a:graphicData>
            </a:graphic>
          </wp:anchor>
        </w:drawing>
      </w:r>
    </w:p>
    <w:p>
      <w:pPr>
        <w:spacing w:after="0" w:line="261"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27305</wp:posOffset>
            </wp:positionV>
            <wp:extent cx="232219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22195" cy="6985"/>
                    </a:xfrm>
                    <a:prstGeom prst="rect">
                      <a:avLst/>
                    </a:prstGeom>
                    <a:noFill/>
                  </pic:spPr>
                </pic:pic>
              </a:graphicData>
            </a:graphic>
          </wp:anchor>
        </w:drawing>
      </w:r>
    </w:p>
    <w:p>
      <w:pPr>
        <w:spacing w:after="0" w:line="205"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9" w:right="40" w:firstLine="545"/>
        <w:spacing w:after="0" w:line="283"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or set forth below, the Restricted Stock Units will vest in accordance with the following schedule:</w:t>
      </w:r>
    </w:p>
    <w:p>
      <w:pPr>
        <w:spacing w:after="0" w:line="125" w:lineRule="exact"/>
        <w:rPr>
          <w:sz w:val="20"/>
          <w:szCs w:val="20"/>
          <w:color w:val="auto"/>
        </w:rPr>
      </w:pPr>
    </w:p>
    <w:p>
      <w:pPr>
        <w:jc w:val="both"/>
        <w:ind w:left="9" w:firstLine="545"/>
        <w:spacing w:after="0" w:line="261" w:lineRule="auto"/>
        <w:rPr>
          <w:sz w:val="20"/>
          <w:szCs w:val="20"/>
          <w:color w:val="auto"/>
        </w:rPr>
      </w:pPr>
      <w:r>
        <w:rPr>
          <w:rFonts w:ascii="Times New Roman" w:cs="Times New Roman" w:eastAsia="Times New Roman" w:hAnsi="Times New Roman"/>
          <w:sz w:val="18"/>
          <w:szCs w:val="18"/>
          <w:color w:val="auto"/>
        </w:rPr>
        <w:t>[INSERT VESTING SCHEDULE, e.g.: [Twenty-five percent (25%) of the Restricted Stock Units subject to this Award Agreement shall vest on the one (1)-year anniversary of the Vesting Commencement Date, and an additional twenty-five percent (25%) of the Restricted Stock Units subject to this Award Agreement shall vest on each annual anniversary of the Vesting Commencement Date thereafter (and if there is no corresponding day, on the last day of the month), subject to Participant continuing to be a Service Provider through each such date.]]</w:t>
      </w:r>
    </w:p>
    <w:p>
      <w:pPr>
        <w:spacing w:after="0" w:line="144" w:lineRule="exact"/>
        <w:rPr>
          <w:sz w:val="20"/>
          <w:szCs w:val="20"/>
          <w:color w:val="auto"/>
        </w:rPr>
      </w:pPr>
    </w:p>
    <w:p>
      <w:pPr>
        <w:jc w:val="both"/>
        <w:ind w:left="9" w:firstLine="545"/>
        <w:spacing w:after="0" w:line="283" w:lineRule="auto"/>
        <w:rPr>
          <w:sz w:val="20"/>
          <w:szCs w:val="20"/>
          <w:color w:val="auto"/>
        </w:rPr>
      </w:pPr>
      <w:r>
        <w:rPr>
          <w:rFonts w:ascii="Times New Roman" w:cs="Times New Roman" w:eastAsia="Times New Roman" w:hAnsi="Times New Roman"/>
          <w:sz w:val="18"/>
          <w:szCs w:val="18"/>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69"/>
          </w:cols>
          <w:pgMar w:left="311" w:top="1214" w:right="319" w:bottom="1440" w:gutter="0" w:footer="0" w:header="0"/>
        </w:sectPr>
      </w:pPr>
    </w:p>
    <w:bookmarkStart w:id="474" w:name="page475"/>
    <w:bookmarkEnd w:id="474"/>
    <w:p>
      <w:pPr>
        <w:ind w:left="529" w:hanging="529"/>
        <w:spacing w:after="0"/>
        <w:tabs>
          <w:tab w:leader="none" w:pos="529"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w:t>
      </w:r>
    </w:p>
    <w:p>
      <w:pPr>
        <w:spacing w:after="0" w:line="194" w:lineRule="exact"/>
        <w:rPr>
          <w:rFonts w:ascii="Times New Roman" w:cs="Times New Roman" w:eastAsia="Times New Roman" w:hAnsi="Times New Roman"/>
          <w:sz w:val="18"/>
          <w:szCs w:val="18"/>
          <w:b w:val="1"/>
          <w:bCs w:val="1"/>
          <w:color w:val="auto"/>
        </w:rPr>
      </w:pPr>
    </w:p>
    <w:p>
      <w:pPr>
        <w:jc w:val="both"/>
        <w:ind w:left="9" w:firstLine="536"/>
        <w:spacing w:after="0" w:line="261" w:lineRule="auto"/>
        <w:tabs>
          <w:tab w:leader="none" w:pos="110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grants to the Participant named in the Notice of Grant of Restricted Stock Units (the “Notice of Grant”) in Part I of this Award Agreement under the Plan an Award of Restricted Stock Units, subject to all of the terms and conditions in this Award Agreement and the Plan, which is incorporated herein by reference. Subject to Section 15(c) of the Plan, in the event of a conflict between the terms and conditions of the Plan and this Award Agreement, the terms and conditions of the Plan shall prevail.</w:t>
      </w:r>
    </w:p>
    <w:p>
      <w:pPr>
        <w:spacing w:after="0" w:line="144" w:lineRule="exact"/>
        <w:rPr>
          <w:rFonts w:ascii="Times New Roman" w:cs="Times New Roman" w:eastAsia="Times New Roman" w:hAnsi="Times New Roman"/>
          <w:sz w:val="18"/>
          <w:szCs w:val="18"/>
          <w:color w:val="auto"/>
        </w:rPr>
      </w:pPr>
    </w:p>
    <w:p>
      <w:pPr>
        <w:jc w:val="both"/>
        <w:ind w:left="9" w:firstLine="536"/>
        <w:spacing w:after="0" w:line="261" w:lineRule="auto"/>
        <w:tabs>
          <w:tab w:leader="none" w:pos="110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4 or 6,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44" w:lineRule="exact"/>
        <w:rPr>
          <w:rFonts w:ascii="Times New Roman" w:cs="Times New Roman" w:eastAsia="Times New Roman" w:hAnsi="Times New Roman"/>
          <w:sz w:val="18"/>
          <w:szCs w:val="18"/>
          <w:color w:val="auto"/>
        </w:rPr>
      </w:pPr>
    </w:p>
    <w:p>
      <w:pPr>
        <w:jc w:val="both"/>
        <w:ind w:left="9" w:firstLine="536"/>
        <w:spacing w:after="0" w:line="266" w:lineRule="auto"/>
        <w:tabs>
          <w:tab w:leader="none" w:pos="110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Representations</w:t>
      </w:r>
      <w:r>
        <w:rPr>
          <w:rFonts w:ascii="Times New Roman" w:cs="Times New Roman" w:eastAsia="Times New Roman" w:hAnsi="Times New Roman"/>
          <w:sz w:val="18"/>
          <w:szCs w:val="18"/>
          <w:color w:val="auto"/>
        </w:rPr>
        <w:t xml:space="preserve">. In the event the Shares have not been registered under the Securities Act at the time the Restricted Stock Units are paid to Participant, Participant shall, if required by the Company, concurrently with the receipt of all or any portion of this Restricted Stock Unit Award, deliver to the Company his or her Investment Representation Statement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left="9" w:firstLine="536"/>
        <w:spacing w:after="0" w:line="266" w:lineRule="auto"/>
        <w:tabs>
          <w:tab w:leader="none" w:pos="110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6, and subject to Section 7, the Restricted Stock Units awarded by this Award Agreement will vest in accordance with the vesting schedule set forth in the Notice of Grant, subject to Participant continuing to be a Service Provider through each applicable vesting date.</w:t>
      </w:r>
    </w:p>
    <w:p>
      <w:pPr>
        <w:spacing w:after="0" w:line="140" w:lineRule="exact"/>
        <w:rPr>
          <w:rFonts w:ascii="Times New Roman" w:cs="Times New Roman" w:eastAsia="Times New Roman" w:hAnsi="Times New Roman"/>
          <w:sz w:val="18"/>
          <w:szCs w:val="18"/>
          <w:color w:val="auto"/>
        </w:rPr>
      </w:pPr>
    </w:p>
    <w:p>
      <w:pPr>
        <w:jc w:val="both"/>
        <w:ind w:left="9" w:firstLine="536"/>
        <w:spacing w:after="0" w:line="254" w:lineRule="auto"/>
        <w:tabs>
          <w:tab w:leader="none" w:pos="110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52" w:lineRule="exact"/>
        <w:rPr>
          <w:sz w:val="20"/>
          <w:szCs w:val="20"/>
          <w:color w:val="auto"/>
        </w:rPr>
      </w:pPr>
    </w:p>
    <w:p>
      <w:pPr>
        <w:jc w:val="both"/>
        <w:ind w:left="9" w:firstLine="545"/>
        <w:spacing w:after="0" w:line="266" w:lineRule="auto"/>
        <w:rPr>
          <w:sz w:val="20"/>
          <w:szCs w:val="20"/>
          <w:color w:val="auto"/>
        </w:rPr>
      </w:pPr>
      <w:r>
        <w:rPr>
          <w:rFonts w:ascii="Times New Roman" w:cs="Times New Roman" w:eastAsia="Times New Roman" w:hAnsi="Times New Roman"/>
          <w:sz w:val="18"/>
          <w:szCs w:val="18"/>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9"/>
          </w:cols>
          <w:pgMar w:left="311" w:top="1214" w:right="319" w:bottom="1440" w:gutter="0" w:footer="0" w:header="0"/>
        </w:sectPr>
      </w:pPr>
    </w:p>
    <w:bookmarkStart w:id="475" w:name="page476"/>
    <w:bookmarkEnd w:id="475"/>
    <w:p>
      <w:pPr>
        <w:jc w:val="both"/>
        <w:spacing w:after="0" w:line="255" w:lineRule="auto"/>
        <w:rPr>
          <w:sz w:val="20"/>
          <w:szCs w:val="20"/>
          <w:color w:val="auto"/>
        </w:rPr>
      </w:pPr>
      <w:r>
        <w:rPr>
          <w:rFonts w:ascii="Times New Roman" w:cs="Times New Roman" w:eastAsia="Times New Roman" w:hAnsi="Times New Roman"/>
          <w:sz w:val="18"/>
          <w:szCs w:val="18"/>
          <w:color w:val="auto"/>
        </w:rPr>
        <w:t>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5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Restricted Stock Unit Award or Shares acquired pursuant to the Restricted Stock Unit Award shall be bound by this Section 5.</w:t>
      </w:r>
    </w:p>
    <w:p>
      <w:pPr>
        <w:spacing w:after="0" w:line="153" w:lineRule="exact"/>
        <w:rPr>
          <w:sz w:val="20"/>
          <w:szCs w:val="20"/>
          <w:color w:val="auto"/>
        </w:rPr>
      </w:pPr>
    </w:p>
    <w:p>
      <w:pPr>
        <w:ind w:left="1080" w:hanging="544"/>
        <w:spacing w:after="0"/>
        <w:tabs>
          <w:tab w:leader="none" w:pos="10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081"/>
        <w:spacing w:after="0" w:line="259" w:lineRule="auto"/>
        <w:tabs>
          <w:tab w:leader="none" w:pos="1633"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 10, any Restricted Stock Units that vest will be paid to Participant (or in the event of Participant’s death, to his or her properly designated beneficiary or estate) in whole Shares. Subject to the provisions of Section 6(b),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367" w:lineRule="exact"/>
        <w:rPr>
          <w:rFonts w:ascii="Times New Roman" w:cs="Times New Roman" w:eastAsia="Times New Roman" w:hAnsi="Times New Roman"/>
          <w:sz w:val="18"/>
          <w:szCs w:val="18"/>
          <w:color w:val="auto"/>
        </w:rPr>
      </w:pPr>
    </w:p>
    <w:p>
      <w:pPr>
        <w:ind w:left="1620" w:hanging="539"/>
        <w:spacing w:after="0"/>
        <w:tabs>
          <w:tab w:leader="none" w:pos="162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p>
    <w:p>
      <w:pPr>
        <w:spacing w:after="0" w:line="190" w:lineRule="exact"/>
        <w:rPr>
          <w:rFonts w:ascii="Times New Roman" w:cs="Times New Roman" w:eastAsia="Times New Roman" w:hAnsi="Times New Roman"/>
          <w:sz w:val="18"/>
          <w:szCs w:val="18"/>
          <w:color w:val="auto"/>
        </w:rPr>
      </w:pPr>
    </w:p>
    <w:p>
      <w:pPr>
        <w:jc w:val="both"/>
        <w:ind w:firstLine="1626"/>
        <w:spacing w:after="0" w:line="258" w:lineRule="auto"/>
        <w:tabs>
          <w:tab w:leader="none" w:pos="2170"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6(b) or otherwise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48" w:lineRule="exact"/>
        <w:rPr>
          <w:rFonts w:ascii="Times New Roman" w:cs="Times New Roman" w:eastAsia="Times New Roman" w:hAnsi="Times New Roman"/>
          <w:sz w:val="18"/>
          <w:szCs w:val="18"/>
          <w:color w:val="auto"/>
        </w:rPr>
      </w:pPr>
    </w:p>
    <w:p>
      <w:pPr>
        <w:jc w:val="both"/>
        <w:ind w:firstLine="1626"/>
        <w:spacing w:after="0" w:line="254" w:lineRule="auto"/>
        <w:tabs>
          <w:tab w:leader="none" w:pos="2175"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this Award Agreement or any other agreement (whether entered into before, on or after the Date of Grant)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Participant’s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if (x) Participant is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20" w:top="1218" w:right="31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color w:val="auto"/>
        </w:rPr>
        <w:t>the Restricted Stock Units will be paid in Shares to the Participant’s estate as soon as practicable following his or her death.</w:t>
      </w:r>
    </w:p>
    <w:p>
      <w:pPr>
        <w:spacing w:after="0" w:line="191" w:lineRule="exact"/>
        <w:rPr>
          <w:sz w:val="20"/>
          <w:szCs w:val="20"/>
          <w:color w:val="auto"/>
        </w:rPr>
      </w:pPr>
    </w:p>
    <w:p>
      <w:pPr>
        <w:jc w:val="both"/>
        <w:ind w:firstLine="1081"/>
        <w:spacing w:after="0" w:line="254" w:lineRule="auto"/>
        <w:tabs>
          <w:tab w:leader="none" w:pos="1633"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In no event will the Company have any liability or obligation to reimburse, indemnify, or hold harmless Participant for any taxes or costs that may be imposed on or incurred by Participant as a result of Section 409A. For purposes of this Award Agreement, “Section 409A” means Section 409A of the Code, and any proposed, temporary or final Treasury Regulations and Internal Revenue Service guidance thereunder, as each may be amended from time to time.</w:t>
      </w:r>
    </w:p>
    <w:p>
      <w:pPr>
        <w:spacing w:after="0" w:line="155" w:lineRule="exact"/>
        <w:rPr>
          <w:rFonts w:ascii="Times New Roman" w:cs="Times New Roman" w:eastAsia="Times New Roman" w:hAnsi="Times New Roman"/>
          <w:sz w:val="18"/>
          <w:szCs w:val="18"/>
          <w:color w:val="auto"/>
        </w:rPr>
      </w:pPr>
    </w:p>
    <w:p>
      <w:pPr>
        <w:jc w:val="both"/>
        <w:ind w:firstLine="536"/>
        <w:spacing w:after="0" w:line="266" w:lineRule="auto"/>
        <w:tabs>
          <w:tab w:leader="none" w:pos="109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40"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44"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4" w:lineRule="exact"/>
        <w:rPr>
          <w:rFonts w:ascii="Times New Roman" w:cs="Times New Roman" w:eastAsia="Times New Roman" w:hAnsi="Times New Roman"/>
          <w:sz w:val="18"/>
          <w:szCs w:val="18"/>
          <w:color w:val="auto"/>
        </w:rPr>
      </w:pPr>
    </w:p>
    <w:p>
      <w:pPr>
        <w:jc w:val="both"/>
        <w:ind w:firstLine="536"/>
        <w:spacing w:after="0" w:line="256" w:lineRule="auto"/>
        <w:tabs>
          <w:tab w:leader="none" w:pos="109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Company shall withhold the minimum amount required to be withheld for the payment of income, employment and other taxes which the Company determines must be withheld (the “Withholding Taxes”). The Administrator, in its sole discretion and pursuant to such procedures as it may specify from time to time, may permit or require Participant to satisfy such Withholding Taxes, in whole or in part (without limitation) by (a) paying cash, (b) electing to have the Company withhold otherwise deliverable Shares having a Fair Market Value equal to the amount of such Withholding Taxes, (c) withholding the amount of such Withholding Taxes from Participant’s paycheck(s), (d) delivering to the Company already vested and owned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0"/>
          </w:cols>
          <w:pgMar w:left="320" w:top="1218" w:right="319" w:bottom="1440" w:gutter="0" w:footer="0" w:header="0"/>
        </w:sectPr>
      </w:pPr>
    </w:p>
    <w:bookmarkStart w:id="477" w:name="page478"/>
    <w:bookmarkEnd w:id="477"/>
    <w:p>
      <w:pPr>
        <w:jc w:val="both"/>
        <w:spacing w:after="0" w:line="254" w:lineRule="auto"/>
        <w:rPr>
          <w:sz w:val="20"/>
          <w:szCs w:val="20"/>
          <w:color w:val="auto"/>
        </w:rPr>
      </w:pPr>
      <w:r>
        <w:rPr>
          <w:rFonts w:ascii="Times New Roman" w:cs="Times New Roman" w:eastAsia="Times New Roman" w:hAnsi="Times New Roman"/>
          <w:sz w:val="18"/>
          <w:szCs w:val="18"/>
          <w:color w:val="auto"/>
        </w:rPr>
        <w:t>having a Fair Market Value equal to such Withholding Taxes, or (d) selling a sufficient number of such Shares otherwise deliverable to Participant through such means as the Company may determine in its sole discretion (whether through a broker or otherwise) equal to the amount of the Withholding Taxes. To the extent determined appropriate by the Company in its discretion, it shall have the right (but not the obligation) to satisfy any tax withholding obligations by reducing the number of Shares otherwise deliverable to Participant. If Participant fails to make satisfactory arrangements for the payment of such Withholding Taxes hereunder at the time any applicable Restricted Stock Units otherwise are scheduled to vest pursuant to Sections 4 or 6, or tax withholding obligations with respect to the Restricted Stock Units are otherwise due, Participant will permanently forfeit such Restricted Stock Units and any right to receive Shares thereunder and the Restricted Stock Units will be returned to the Company at no cost to the Company. Participant acknowledges and agrees that the Company may refuse to deliver the Shares if such Withholding Taxes are not delivered at the time they are due.</w:t>
      </w:r>
    </w:p>
    <w:p>
      <w:pPr>
        <w:spacing w:after="0" w:line="156" w:lineRule="exact"/>
        <w:rPr>
          <w:sz w:val="20"/>
          <w:szCs w:val="20"/>
          <w:color w:val="auto"/>
        </w:rPr>
      </w:pPr>
    </w:p>
    <w:p>
      <w:pPr>
        <w:jc w:val="both"/>
        <w:ind w:firstLine="536"/>
        <w:spacing w:after="0" w:line="258" w:lineRule="auto"/>
        <w:tabs>
          <w:tab w:leader="none" w:pos="108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8" w:lineRule="exact"/>
        <w:rPr>
          <w:rFonts w:ascii="Times New Roman" w:cs="Times New Roman" w:eastAsia="Times New Roman" w:hAnsi="Times New Roman"/>
          <w:sz w:val="18"/>
          <w:szCs w:val="18"/>
          <w:color w:val="auto"/>
        </w:rPr>
      </w:pPr>
    </w:p>
    <w:p>
      <w:pPr>
        <w:jc w:val="both"/>
        <w:ind w:firstLine="536"/>
        <w:spacing w:after="0" w:line="253" w:lineRule="auto"/>
        <w:tabs>
          <w:tab w:leader="none" w:pos="109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57"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9,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20" w:top="1218" w:right="319" w:bottom="1440" w:gutter="0" w:footer="0" w:header="0"/>
        </w:sectPr>
      </w:pPr>
    </w:p>
    <w:bookmarkStart w:id="478" w:name="page479"/>
    <w:bookmarkEnd w:id="478"/>
    <w:p>
      <w:pPr>
        <w:ind w:left="9" w:right="20"/>
        <w:spacing w:after="0" w:line="283" w:lineRule="auto"/>
        <w:rPr>
          <w:sz w:val="20"/>
          <w:szCs w:val="20"/>
          <w:color w:val="auto"/>
        </w:rPr>
      </w:pPr>
      <w:r>
        <w:rPr>
          <w:rFonts w:ascii="Times New Roman" w:cs="Times New Roman" w:eastAsia="Times New Roman" w:hAnsi="Times New Roman"/>
          <w:sz w:val="18"/>
          <w:szCs w:val="18"/>
          <w:color w:val="auto"/>
        </w:rPr>
        <w:t>or upon any attempted sale under any execution, attachment or similar process, this grant and the rights and privileges conferred hereby immediately will become null and void.</w:t>
      </w:r>
    </w:p>
    <w:p>
      <w:pPr>
        <w:spacing w:after="0" w:line="125" w:lineRule="exact"/>
        <w:rPr>
          <w:sz w:val="20"/>
          <w:szCs w:val="20"/>
          <w:color w:val="auto"/>
        </w:rPr>
      </w:pPr>
    </w:p>
    <w:p>
      <w:pPr>
        <w:jc w:val="both"/>
        <w:ind w:left="9" w:firstLine="536"/>
        <w:spacing w:after="0" w:line="266" w:lineRule="auto"/>
        <w:tabs>
          <w:tab w:leader="none" w:pos="110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First Refusal</w:t>
      </w:r>
      <w:r>
        <w:rPr>
          <w:rFonts w:ascii="Times New Roman" w:cs="Times New Roman" w:eastAsia="Times New Roman" w:hAnsi="Times New Roman"/>
          <w:sz w:val="18"/>
          <w:szCs w:val="18"/>
          <w:color w:val="auto"/>
        </w:rPr>
        <w:t>. Subject to Section 13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14 (the “Right of First Refusal”).</w:t>
      </w:r>
    </w:p>
    <w:p>
      <w:pPr>
        <w:spacing w:after="0" w:line="140" w:lineRule="exact"/>
        <w:rPr>
          <w:rFonts w:ascii="Times New Roman" w:cs="Times New Roman" w:eastAsia="Times New Roman" w:hAnsi="Times New Roman"/>
          <w:sz w:val="18"/>
          <w:szCs w:val="18"/>
          <w:color w:val="auto"/>
        </w:rPr>
      </w:pPr>
    </w:p>
    <w:p>
      <w:pPr>
        <w:jc w:val="both"/>
        <w:ind w:left="9" w:firstLine="1081"/>
        <w:spacing w:after="0" w:line="259" w:lineRule="auto"/>
        <w:tabs>
          <w:tab w:leader="none" w:pos="1642"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Proposed Transfer</w:t>
      </w:r>
      <w:r>
        <w:rPr>
          <w:rFonts w:ascii="Times New Roman" w:cs="Times New Roman" w:eastAsia="Times New Roman" w:hAnsi="Times New Roman"/>
          <w:sz w:val="18"/>
          <w:szCs w:val="18"/>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pacing w:after="0" w:line="367" w:lineRule="exact"/>
        <w:rPr>
          <w:rFonts w:ascii="Times New Roman" w:cs="Times New Roman" w:eastAsia="Times New Roman" w:hAnsi="Times New Roman"/>
          <w:sz w:val="18"/>
          <w:szCs w:val="18"/>
          <w:color w:val="auto"/>
        </w:rPr>
      </w:pPr>
    </w:p>
    <w:p>
      <w:pPr>
        <w:jc w:val="both"/>
        <w:ind w:left="9" w:firstLine="1081"/>
        <w:spacing w:after="0" w:line="266" w:lineRule="auto"/>
        <w:tabs>
          <w:tab w:leader="none" w:pos="1641"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Right of First Refusal</w:t>
      </w:r>
      <w:r>
        <w:rPr>
          <w:rFonts w:ascii="Times New Roman" w:cs="Times New Roman" w:eastAsia="Times New Roman" w:hAnsi="Times New Roman"/>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40" w:lineRule="exact"/>
        <w:rPr>
          <w:rFonts w:ascii="Times New Roman" w:cs="Times New Roman" w:eastAsia="Times New Roman" w:hAnsi="Times New Roman"/>
          <w:sz w:val="18"/>
          <w:szCs w:val="18"/>
          <w:color w:val="auto"/>
        </w:rPr>
      </w:pPr>
    </w:p>
    <w:p>
      <w:pPr>
        <w:jc w:val="both"/>
        <w:ind w:left="9" w:firstLine="1081"/>
        <w:spacing w:after="0" w:line="266" w:lineRule="auto"/>
        <w:tabs>
          <w:tab w:leader="none" w:pos="1642"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(“Right of First Refusal Price”) for the Shares purchased by the Company or its assignee(s) under this Section 14 shall be the Offered Price. If the Offered Price includes consideration other than cash, the cash equivalent value of the non-cash consideration shall be determined by the Board in good faith.</w:t>
      </w:r>
    </w:p>
    <w:p>
      <w:pPr>
        <w:spacing w:after="0" w:line="140" w:lineRule="exact"/>
        <w:rPr>
          <w:rFonts w:ascii="Times New Roman" w:cs="Times New Roman" w:eastAsia="Times New Roman" w:hAnsi="Times New Roman"/>
          <w:sz w:val="18"/>
          <w:szCs w:val="18"/>
          <w:color w:val="auto"/>
        </w:rPr>
      </w:pPr>
    </w:p>
    <w:p>
      <w:pPr>
        <w:jc w:val="both"/>
        <w:ind w:left="9" w:right="20" w:firstLine="1081"/>
        <w:spacing w:after="0" w:line="266" w:lineRule="auto"/>
        <w:tabs>
          <w:tab w:leader="none" w:pos="1641"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Payment of the Right of First Refusal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40" w:lineRule="exact"/>
        <w:rPr>
          <w:rFonts w:ascii="Times New Roman" w:cs="Times New Roman" w:eastAsia="Times New Roman" w:hAnsi="Times New Roman"/>
          <w:sz w:val="18"/>
          <w:szCs w:val="18"/>
          <w:color w:val="auto"/>
        </w:rPr>
      </w:pPr>
    </w:p>
    <w:p>
      <w:pPr>
        <w:jc w:val="both"/>
        <w:ind w:left="9" w:firstLine="1081"/>
        <w:spacing w:after="0" w:line="257" w:lineRule="auto"/>
        <w:tabs>
          <w:tab w:leader="none" w:pos="1642"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Right to Transfer</w:t>
      </w:r>
      <w:r>
        <w:rPr>
          <w:rFonts w:ascii="Times New Roman" w:cs="Times New Roman" w:eastAsia="Times New Roman" w:hAnsi="Times New Roman"/>
          <w:sz w:val="18"/>
          <w:szCs w:val="18"/>
          <w:color w:val="auto"/>
        </w:rPr>
        <w:t xml:space="preserve">. If all of the Shares proposed in the Notice to be transferred to a given Proposed Transferee are not purchased by the Company and/or its assignee(s) as provided in this Section 14, then the Holder may sell or otherwise transfer such Shares to that Proposed Transferee at the Offered Price or at a higher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sale or other transfer is consummated within one hundred and twenty</w:t>
      </w:r>
    </w:p>
    <w:p>
      <w:pPr>
        <w:spacing w:after="0" w:line="2" w:lineRule="exact"/>
        <w:rPr>
          <w:rFonts w:ascii="Times New Roman" w:cs="Times New Roman" w:eastAsia="Times New Roman" w:hAnsi="Times New Roman"/>
          <w:sz w:val="18"/>
          <w:szCs w:val="18"/>
          <w:color w:val="auto"/>
        </w:rPr>
      </w:pPr>
    </w:p>
    <w:p>
      <w:pPr>
        <w:jc w:val="both"/>
        <w:ind w:left="9" w:hanging="9"/>
        <w:spacing w:after="0" w:line="253" w:lineRule="auto"/>
        <w:tabs>
          <w:tab w:leader="none" w:pos="471"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the Notice, that any such sale or other transfer is effected in accordance with any applicable securities laws and that the Proposed Transferee agrees in writing that the provisions of this Section 14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9"/>
          </w:cols>
          <w:pgMar w:left="311" w:top="1218" w:right="319" w:bottom="1440" w:gutter="0" w:footer="0" w:header="0"/>
        </w:sectPr>
      </w:pPr>
    </w:p>
    <w:bookmarkStart w:id="479" w:name="page480"/>
    <w:bookmarkEnd w:id="479"/>
    <w:p>
      <w:pPr>
        <w:jc w:val="both"/>
        <w:ind w:firstLine="1081"/>
        <w:spacing w:after="0" w:line="256" w:lineRule="auto"/>
        <w:tabs>
          <w:tab w:leader="none" w:pos="1635"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Certain Family Transfers</w:t>
      </w:r>
      <w:r>
        <w:rPr>
          <w:rFonts w:ascii="Times New Roman" w:cs="Times New Roman" w:eastAsia="Times New Roman" w:hAnsi="Times New Roman"/>
          <w:sz w:val="18"/>
          <w:szCs w:val="18"/>
          <w:color w:val="auto"/>
        </w:rPr>
        <w:t>. Anything to the contrary contained in this Section 14 notwithstanding, the transfer of any or all of the Shares during Participant’s lifetime or on Participant’s death by will or intestacy to Participant’s immediate family or a trust for the benefit of Participant’s immediate family shall be exempt from the provisions of this Section 14. “Immediate Family” as used herein shall mean spouse, lineal descendant or antecedent, father, mother, brother or sister. In such case, the transferee or other recipient shall receive and hold the Shares so transferred subject to the provisions of this Award Agreement, including but not limited to this Section 14, and there shall be no further transfer of such Shares except in accordance with the terms of this Section 14.</w:t>
      </w:r>
    </w:p>
    <w:p>
      <w:pPr>
        <w:spacing w:after="0" w:line="151"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2"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 of First Refusal</w:t>
      </w:r>
      <w:r>
        <w:rPr>
          <w:rFonts w:ascii="Times New Roman" w:cs="Times New Roman" w:eastAsia="Times New Roman" w:hAnsi="Times New Roman"/>
          <w:sz w:val="18"/>
          <w:szCs w:val="18"/>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40" w:lineRule="exact"/>
        <w:rPr>
          <w:rFonts w:ascii="Times New Roman" w:cs="Times New Roman" w:eastAsia="Times New Roman" w:hAnsi="Times New Roman"/>
          <w:sz w:val="18"/>
          <w:szCs w:val="18"/>
          <w:color w:val="auto"/>
        </w:rPr>
      </w:pPr>
    </w:p>
    <w:p>
      <w:pPr>
        <w:ind w:left="1080" w:hanging="544"/>
        <w:spacing w:after="0"/>
        <w:tabs>
          <w:tab w:leader="none" w:pos="108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 and Stop-Transfer Orders</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3"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41"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44" w:lineRule="exact"/>
        <w:rPr>
          <w:sz w:val="20"/>
          <w:szCs w:val="20"/>
          <w:color w:val="auto"/>
        </w:rPr>
      </w:pPr>
    </w:p>
    <w:p>
      <w:pPr>
        <w:jc w:val="both"/>
        <w:ind w:left="108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CERTAIN RESTRICTIONS ON TRANSFER AND A RIGHT OF FIRST REFUSAL IN FAVOR OF THE ISSUER OR ITS ASSIGNEE(S) AS SET FORTH IN THE RESTRICTED STOCK UNIT AWARD AGREEMENT BETWEEN THE ISSUER AND THE ORIGINAL HOLDER OF THESE SHARES, A COPY OF WHICH MAY BE OBTAINED AT THE PRINCIPAL OFFICE OF THE ISSUER. SUCH TRANSFER RESTRICTIONS AND RIGHT OF FIRST REFUSAL IN FAVOR OF THE ISSUER OR ITS ASSIGNEE(S) ARE BINDING ON TRANSFEREES OF THESE SHARES.</w:t>
      </w:r>
    </w:p>
    <w:p>
      <w:pPr>
        <w:spacing w:after="0" w:line="148" w:lineRule="exact"/>
        <w:rPr>
          <w:sz w:val="20"/>
          <w:szCs w:val="20"/>
          <w:color w:val="auto"/>
        </w:rPr>
      </w:pPr>
    </w:p>
    <w:p>
      <w:pPr>
        <w:jc w:val="both"/>
        <w:ind w:left="1080"/>
        <w:spacing w:after="0" w:line="266"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20" w:top="1218" w:right="319" w:bottom="1440" w:gutter="0" w:footer="0" w:header="0"/>
        </w:sectPr>
      </w:pPr>
    </w:p>
    <w:bookmarkStart w:id="480" w:name="page481"/>
    <w:bookmarkEnd w:id="480"/>
    <w:p>
      <w:pPr>
        <w:ind w:left="1080"/>
        <w:spacing w:after="0" w:line="283" w:lineRule="auto"/>
        <w:rPr>
          <w:sz w:val="20"/>
          <w:szCs w:val="20"/>
          <w:color w:val="auto"/>
        </w:rPr>
      </w:pPr>
      <w:r>
        <w:rPr>
          <w:rFonts w:ascii="Times New Roman" w:cs="Times New Roman" w:eastAsia="Times New Roman" w:hAnsi="Times New Roman"/>
          <w:sz w:val="18"/>
          <w:szCs w:val="18"/>
          <w:color w:val="auto"/>
        </w:rPr>
        <w:t>SHARES AND MAY NOT BE SOLD OR OTHERWISE DISPOSED OF BY THE HOLDER PRIOR TO THE EXPIRATION OF SUCH PERIOD WITHOUT THE CONSENT OF THE COMPANY OR THE MANAGING UNDERWRITER.</w:t>
      </w:r>
    </w:p>
    <w:p>
      <w:pPr>
        <w:spacing w:after="0" w:line="125" w:lineRule="exact"/>
        <w:rPr>
          <w:sz w:val="20"/>
          <w:szCs w:val="20"/>
          <w:color w:val="auto"/>
        </w:rPr>
      </w:pPr>
    </w:p>
    <w:p>
      <w:pPr>
        <w:jc w:val="both"/>
        <w:ind w:firstLine="1081"/>
        <w:spacing w:after="0" w:line="266" w:lineRule="auto"/>
        <w:tabs>
          <w:tab w:leader="none" w:pos="1632"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0" w:lineRule="exact"/>
        <w:rPr>
          <w:rFonts w:ascii="Times New Roman" w:cs="Times New Roman" w:eastAsia="Times New Roman" w:hAnsi="Times New Roman"/>
          <w:sz w:val="18"/>
          <w:szCs w:val="18"/>
          <w:color w:val="auto"/>
        </w:rPr>
      </w:pPr>
    </w:p>
    <w:p>
      <w:pPr>
        <w:jc w:val="both"/>
        <w:ind w:firstLine="1081"/>
        <w:spacing w:after="0" w:line="266" w:lineRule="auto"/>
        <w:tabs>
          <w:tab w:leader="none" w:pos="1633"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Award Agreement or (ii) to treat as owner of such Shares or to accord the right to vote or pay dividends to any purchaser or other transferee to whom such Shares shall have been so transferred.</w:t>
      </w:r>
    </w:p>
    <w:p>
      <w:pPr>
        <w:spacing w:after="0" w:line="140" w:lineRule="exact"/>
        <w:rPr>
          <w:rFonts w:ascii="Times New Roman" w:cs="Times New Roman" w:eastAsia="Times New Roman" w:hAnsi="Times New Roman"/>
          <w:sz w:val="18"/>
          <w:szCs w:val="18"/>
          <w:color w:val="auto"/>
        </w:rPr>
      </w:pPr>
    </w:p>
    <w:p>
      <w:pPr>
        <w:jc w:val="both"/>
        <w:ind w:firstLine="536"/>
        <w:spacing w:after="0" w:line="266" w:lineRule="auto"/>
        <w:tabs>
          <w:tab w:leader="none" w:pos="109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Seer, Inc., 3800 Bridge Parkway, Suite 102, Redwood City, CA 94065, attention of the President, or at such other address as the Company may hereafter designate in writing.</w:t>
      </w:r>
    </w:p>
    <w:p>
      <w:pPr>
        <w:spacing w:after="0" w:line="140"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44"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44"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44" w:lineRule="exact"/>
        <w:rPr>
          <w:rFonts w:ascii="Times New Roman" w:cs="Times New Roman" w:eastAsia="Times New Roman" w:hAnsi="Times New Roman"/>
          <w:sz w:val="18"/>
          <w:szCs w:val="18"/>
          <w:color w:val="auto"/>
        </w:rPr>
      </w:pPr>
    </w:p>
    <w:p>
      <w:pPr>
        <w:ind w:firstLine="536"/>
        <w:spacing w:after="0" w:line="283" w:lineRule="auto"/>
        <w:tabs>
          <w:tab w:leader="none" w:pos="109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foreign law, the tax code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20" w:top="1218" w:right="319" w:bottom="1440" w:gutter="0" w:footer="0" w:header="0"/>
        </w:sectPr>
      </w:pPr>
    </w:p>
    <w:bookmarkStart w:id="481" w:name="page482"/>
    <w:bookmarkEnd w:id="481"/>
    <w:p>
      <w:pPr>
        <w:jc w:val="both"/>
        <w:spacing w:after="0" w:line="255" w:lineRule="auto"/>
        <w:rPr>
          <w:sz w:val="20"/>
          <w:szCs w:val="20"/>
          <w:color w:val="auto"/>
        </w:rPr>
      </w:pPr>
      <w:r>
        <w:rPr>
          <w:rFonts w:ascii="Times New Roman" w:cs="Times New Roman" w:eastAsia="Times New Roman" w:hAnsi="Times New Roman"/>
          <w:sz w:val="18"/>
          <w:szCs w:val="18"/>
          <w:color w:val="auto"/>
        </w:rPr>
        <w:t>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53" w:lineRule="exact"/>
        <w:rPr>
          <w:sz w:val="20"/>
          <w:szCs w:val="20"/>
          <w:color w:val="auto"/>
        </w:rPr>
      </w:pPr>
    </w:p>
    <w:p>
      <w:pPr>
        <w:jc w:val="both"/>
        <w:ind w:firstLine="536"/>
        <w:spacing w:after="0" w:line="256" w:lineRule="auto"/>
        <w:tabs>
          <w:tab w:leader="none" w:pos="109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1" w:lineRule="exact"/>
        <w:rPr>
          <w:rFonts w:ascii="Times New Roman" w:cs="Times New Roman" w:eastAsia="Times New Roman" w:hAnsi="Times New Roman"/>
          <w:sz w:val="18"/>
          <w:szCs w:val="18"/>
          <w:color w:val="auto"/>
        </w:rPr>
      </w:pPr>
    </w:p>
    <w:p>
      <w:pPr>
        <w:jc w:val="both"/>
        <w:ind w:firstLine="536"/>
        <w:spacing w:after="0" w:line="256" w:lineRule="auto"/>
        <w:tabs>
          <w:tab w:leader="none" w:pos="109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51" w:lineRule="exact"/>
        <w:rPr>
          <w:rFonts w:ascii="Times New Roman" w:cs="Times New Roman" w:eastAsia="Times New Roman" w:hAnsi="Times New Roman"/>
          <w:sz w:val="18"/>
          <w:szCs w:val="18"/>
          <w:color w:val="auto"/>
        </w:rPr>
      </w:pPr>
    </w:p>
    <w:p>
      <w:pPr>
        <w:jc w:val="both"/>
        <w:ind w:firstLine="536"/>
        <w:spacing w:after="0" w:line="266" w:lineRule="auto"/>
        <w:tabs>
          <w:tab w:leader="none" w:pos="109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California. In the event that any provision hereof becomes or is declared by a court of competent jurisdiction to be illegal, unenforceable or void, this Award Agreement shall continue in full force and effect.</w:t>
      </w:r>
    </w:p>
    <w:p>
      <w:pPr>
        <w:spacing w:after="0" w:line="140" w:lineRule="exact"/>
        <w:rPr>
          <w:rFonts w:ascii="Times New Roman" w:cs="Times New Roman" w:eastAsia="Times New Roman" w:hAnsi="Times New Roman"/>
          <w:sz w:val="18"/>
          <w:szCs w:val="18"/>
          <w:color w:val="auto"/>
        </w:rPr>
      </w:pPr>
    </w:p>
    <w:p>
      <w:pPr>
        <w:jc w:val="both"/>
        <w:ind w:firstLine="536"/>
        <w:spacing w:after="0" w:line="261" w:lineRule="auto"/>
        <w:tabs>
          <w:tab w:leader="none" w:pos="109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Award Agreement (including the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20" w:top="1218" w:right="319" w:bottom="1440" w:gutter="0" w:footer="0" w:header="0"/>
        </w:sectPr>
      </w:pPr>
    </w:p>
    <w:bookmarkStart w:id="482" w:name="page483"/>
    <w:bookmarkEnd w:id="482"/>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or this Award Agreement. Participant further agrees to notify the Company upon any change in the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60"/>
          </w:cols>
          <w:pgMar w:left="320" w:top="1218" w:right="31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23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PARTICIPANT:</w:t>
            </w:r>
          </w:p>
        </w:tc>
        <w:tc>
          <w:tcPr>
            <w:tcW w:w="7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SEER, INC</w:t>
            </w:r>
          </w:p>
        </w:tc>
      </w:tr>
      <w:tr>
        <w:trPr>
          <w:trHeight w:val="468"/>
        </w:trPr>
        <w:tc>
          <w:tcPr>
            <w:tcW w:w="1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7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468"/>
        </w:trPr>
        <w:tc>
          <w:tcPr>
            <w:tcW w:w="1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7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44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7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64"/>
        </w:trPr>
        <w:tc>
          <w:tcPr>
            <w:tcW w:w="1440" w:type="dxa"/>
            <w:vAlign w:val="bottom"/>
            <w:tcBorders>
              <w:top w:val="single" w:sz="8" w:color="auto"/>
              <w:bottom w:val="single" w:sz="8" w:color="auto"/>
            </w:tcBorders>
          </w:tcPr>
          <w:p>
            <w:pPr>
              <w:spacing w:after="0"/>
              <w:rPr>
                <w:sz w:val="22"/>
                <w:szCs w:val="22"/>
                <w:color w:val="auto"/>
              </w:rPr>
            </w:pPr>
          </w:p>
        </w:tc>
        <w:tc>
          <w:tcPr>
            <w:tcW w:w="382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434"/>
        </w:trPr>
        <w:tc>
          <w:tcPr>
            <w:tcW w:w="1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[Signature Page to Seer, Inc. RSU Award Agreement]</w:t>
      </w:r>
    </w:p>
    <w:p>
      <w:pPr>
        <w:sectPr>
          <w:pgSz w:w="11900" w:h="16838" w:orient="portrait"/>
          <w:cols w:equalWidth="0" w:num="1">
            <w:col w:w="11260"/>
          </w:cols>
          <w:pgMar w:left="320" w:top="1264" w:right="31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2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20"/>
        </w:trPr>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0"/>
        </w:trPr>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20" w:type="dxa"/>
            <w:vAlign w:val="bottom"/>
            <w:gridSpan w:val="3"/>
          </w:tcPr>
          <w:p>
            <w:pPr>
              <w:jc w:val="center"/>
              <w:ind w:left="1149"/>
              <w:spacing w:after="0"/>
              <w:rPr>
                <w:sz w:val="20"/>
                <w:szCs w:val="20"/>
                <w:color w:val="auto"/>
              </w:rPr>
            </w:pPr>
            <w:r>
              <w:rPr>
                <w:rFonts w:ascii="Times New Roman" w:cs="Times New Roman" w:eastAsia="Times New Roman" w:hAnsi="Times New Roman"/>
                <w:sz w:val="18"/>
                <w:szCs w:val="18"/>
                <w:b w:val="1"/>
                <w:bCs w:val="1"/>
                <w:color w:val="auto"/>
                <w:w w:val="99"/>
              </w:rPr>
              <w:t>INVESTMENT REPRESENTATION STATEMENT</w:t>
            </w:r>
          </w:p>
        </w:tc>
      </w:tr>
      <w:tr>
        <w:trPr>
          <w:trHeight w:val="443"/>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8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SEER, INC.</w:t>
            </w:r>
          </w:p>
        </w:tc>
      </w:tr>
      <w:tr>
        <w:trPr>
          <w:trHeight w:val="48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48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8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connection with the receipt of the above-listed Securities, the undersigned Participant represents to the Company the following:</w:t>
      </w:r>
    </w:p>
    <w:p>
      <w:pPr>
        <w:spacing w:after="0" w:line="191" w:lineRule="exact"/>
        <w:rPr>
          <w:sz w:val="20"/>
          <w:szCs w:val="20"/>
          <w:color w:val="auto"/>
        </w:rPr>
      </w:pPr>
    </w:p>
    <w:p>
      <w:pPr>
        <w:jc w:val="both"/>
        <w:ind w:firstLine="1081"/>
        <w:spacing w:after="0" w:line="261" w:lineRule="auto"/>
        <w:tabs>
          <w:tab w:leader="none" w:pos="163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44" w:lineRule="exact"/>
        <w:rPr>
          <w:rFonts w:ascii="Times New Roman" w:cs="Times New Roman" w:eastAsia="Times New Roman" w:hAnsi="Times New Roman"/>
          <w:sz w:val="18"/>
          <w:szCs w:val="18"/>
          <w:color w:val="auto"/>
        </w:rPr>
      </w:pPr>
    </w:p>
    <w:p>
      <w:pPr>
        <w:jc w:val="both"/>
        <w:ind w:firstLine="1081"/>
        <w:spacing w:after="0" w:line="254" w:lineRule="auto"/>
        <w:tabs>
          <w:tab w:leader="none" w:pos="1632"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52" w:lineRule="exact"/>
        <w:rPr>
          <w:rFonts w:ascii="Times New Roman" w:cs="Times New Roman" w:eastAsia="Times New Roman" w:hAnsi="Times New Roman"/>
          <w:sz w:val="18"/>
          <w:szCs w:val="18"/>
          <w:color w:val="auto"/>
        </w:rPr>
      </w:pPr>
    </w:p>
    <w:p>
      <w:pPr>
        <w:jc w:val="both"/>
        <w:ind w:firstLine="1081"/>
        <w:spacing w:after="0" w:line="264" w:lineRule="auto"/>
        <w:tabs>
          <w:tab w:leader="none" w:pos="163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Restricted Stock Unit Award to</w:t>
      </w:r>
    </w:p>
    <w:p>
      <w:pPr>
        <w:sectPr>
          <w:pgSz w:w="11900" w:h="16838" w:orient="portrait"/>
          <w:cols w:equalWidth="0" w:num="1">
            <w:col w:w="11260"/>
          </w:cols>
          <w:pgMar w:left="320" w:top="1204" w:right="319" w:bottom="1440" w:gutter="0" w:footer="0" w:header="0"/>
        </w:sectPr>
      </w:pPr>
    </w:p>
    <w:bookmarkStart w:id="485" w:name="page486"/>
    <w:bookmarkEnd w:id="485"/>
    <w:p>
      <w:pPr>
        <w:jc w:val="both"/>
        <w:spacing w:after="0" w:line="255" w:lineRule="auto"/>
        <w:rPr>
          <w:sz w:val="20"/>
          <w:szCs w:val="20"/>
          <w:color w:val="auto"/>
        </w:rPr>
      </w:pPr>
      <w:r>
        <w:rPr>
          <w:rFonts w:ascii="Times New Roman" w:cs="Times New Roman" w:eastAsia="Times New Roman" w:hAnsi="Times New Roman"/>
          <w:sz w:val="18"/>
          <w:szCs w:val="18"/>
          <w:color w:val="auto"/>
        </w:rPr>
        <w:t>Participant, the receipt of the Securities shall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53"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8"/>
          <w:szCs w:val="18"/>
          <w:color w:val="auto"/>
        </w:rPr>
        <w:t>In the event that the Company does not qualify under Rule 701 at the time of grant of the Restricted Stock Unit Award,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48" w:lineRule="exact"/>
        <w:rPr>
          <w:sz w:val="20"/>
          <w:szCs w:val="20"/>
          <w:color w:val="auto"/>
        </w:rPr>
      </w:pPr>
    </w:p>
    <w:p>
      <w:pPr>
        <w:jc w:val="both"/>
        <w:ind w:firstLine="1081"/>
        <w:spacing w:after="0" w:line="255" w:lineRule="auto"/>
        <w:tabs>
          <w:tab w:leader="none" w:pos="163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9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315595</wp:posOffset>
            </wp:positionV>
            <wp:extent cx="30575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57525" cy="698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318135</wp:posOffset>
            </wp:positionV>
            <wp:extent cx="30575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57525"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318135</wp:posOffset>
            </wp:positionV>
            <wp:extent cx="30575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57525"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5"/>
          <w:szCs w:val="15"/>
          <w:color w:val="auto"/>
        </w:rPr>
        <w:t>Date</w:t>
      </w:r>
    </w:p>
    <w:p>
      <w:pPr>
        <w:sectPr>
          <w:pgSz w:w="11900" w:h="16838" w:orient="portrait"/>
          <w:cols w:equalWidth="0" w:num="1">
            <w:col w:w="11260"/>
          </w:cols>
          <w:pgMar w:left="320" w:top="1219" w:right="319" w:bottom="1440" w:gutter="0" w:footer="0" w:header="0"/>
        </w:sectPr>
      </w:pPr>
    </w:p>
    <w:bookmarkStart w:id="486" w:name="page487"/>
    <w:bookmarkEnd w:id="486"/>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103505</wp:posOffset>
            </wp:positionV>
            <wp:extent cx="1370330" cy="3390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370330" cy="339090"/>
                    </a:xfrm>
                    <a:prstGeom prst="rect">
                      <a:avLst/>
                    </a:prstGeom>
                    <a:noFill/>
                  </pic:spPr>
                </pic:pic>
              </a:graphicData>
            </a:graphic>
          </wp:anchor>
        </w:drawing>
        <w:t>Exhibit 10.14</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 w:right="320" w:hanging="9"/>
        <w:spacing w:after="0" w:line="309" w:lineRule="auto"/>
        <w:tabs>
          <w:tab w:leader="none" w:pos="329" w:val="left"/>
        </w:tabs>
        <w:numPr>
          <w:ilvl w:val="0"/>
          <w:numId w:val="395"/>
        </w:numPr>
        <w:rPr>
          <w:rFonts w:ascii="Arial" w:cs="Arial" w:eastAsia="Arial" w:hAnsi="Arial"/>
          <w:sz w:val="15"/>
          <w:szCs w:val="15"/>
          <w:b w:val="1"/>
          <w:bCs w:val="1"/>
          <w:color w:val="auto"/>
        </w:rPr>
      </w:pPr>
      <w:r>
        <w:rPr>
          <w:rFonts w:ascii="Arial" w:cs="Arial" w:eastAsia="Arial" w:hAnsi="Arial"/>
          <w:sz w:val="15"/>
          <w:szCs w:val="15"/>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28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Umbrella Development &amp; Supply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Seer, Inc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Hamilton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49"/>
          </w:cols>
          <w:pgMar w:left="311" w:top="166" w:right="339" w:bottom="1440" w:gutter="0" w:footer="0" w:header="0"/>
        </w:sectPr>
      </w:pPr>
    </w:p>
    <w:bookmarkStart w:id="487" w:name="page488"/>
    <w:bookmarkEnd w:id="487"/>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7720" w:type="dxa"/>
            <w:vAlign w:val="bottom"/>
          </w:tcPr>
          <w:p>
            <w:pPr>
              <w:ind w:left="4560"/>
              <w:spacing w:after="0"/>
              <w:rPr>
                <w:sz w:val="20"/>
                <w:szCs w:val="20"/>
                <w:color w:val="auto"/>
              </w:rPr>
            </w:pPr>
            <w:r>
              <w:rPr>
                <w:rFonts w:ascii="Arial" w:cs="Arial" w:eastAsia="Arial" w:hAnsi="Arial"/>
                <w:sz w:val="15"/>
                <w:szCs w:val="15"/>
                <w:color w:val="auto"/>
              </w:rPr>
              <w:t>Table of Contents</w:t>
            </w:r>
          </w:p>
        </w:tc>
        <w:tc>
          <w:tcPr>
            <w:tcW w:w="2120" w:type="dxa"/>
            <w:vAlign w:val="bottom"/>
          </w:tcPr>
          <w:p>
            <w:pPr>
              <w:spacing w:after="0"/>
              <w:rPr>
                <w:sz w:val="17"/>
                <w:szCs w:val="17"/>
                <w:color w:val="auto"/>
              </w:rPr>
            </w:pPr>
          </w:p>
        </w:tc>
      </w:tr>
      <w:tr>
        <w:trPr>
          <w:trHeight w:val="212"/>
        </w:trPr>
        <w:tc>
          <w:tcPr>
            <w:tcW w:w="8200" w:type="dxa"/>
            <w:vAlign w:val="bottom"/>
            <w:gridSpan w:val="2"/>
          </w:tcPr>
          <w:p>
            <w:pPr>
              <w:spacing w:after="0"/>
              <w:rPr>
                <w:sz w:val="20"/>
                <w:szCs w:val="20"/>
                <w:color w:val="auto"/>
              </w:rPr>
            </w:pPr>
            <w:r>
              <w:rPr>
                <w:rFonts w:ascii="Arial" w:cs="Arial" w:eastAsia="Arial" w:hAnsi="Arial"/>
                <w:sz w:val="14"/>
                <w:szCs w:val="14"/>
                <w:color w:val="auto"/>
              </w:rPr>
              <w:t>ARTICLE 1 – DEFINITIONS</w:t>
            </w:r>
          </w:p>
        </w:tc>
        <w:tc>
          <w:tcPr>
            <w:tcW w:w="2120" w:type="dxa"/>
            <w:vAlign w:val="bottom"/>
          </w:tcPr>
          <w:p>
            <w:pPr>
              <w:ind w:left="1980"/>
              <w:spacing w:after="0"/>
              <w:rPr>
                <w:sz w:val="20"/>
                <w:szCs w:val="20"/>
                <w:color w:val="auto"/>
              </w:rPr>
            </w:pPr>
            <w:r>
              <w:rPr>
                <w:rFonts w:ascii="Arial" w:cs="Arial" w:eastAsia="Arial" w:hAnsi="Arial"/>
                <w:sz w:val="14"/>
                <w:szCs w:val="14"/>
                <w:color w:val="auto"/>
              </w:rPr>
              <w:t>4</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2 – SUPPLY, PRICING, FORECASTS, ORDERS, SERVICES</w:t>
            </w:r>
          </w:p>
        </w:tc>
        <w:tc>
          <w:tcPr>
            <w:tcW w:w="2120" w:type="dxa"/>
            <w:vAlign w:val="bottom"/>
          </w:tcPr>
          <w:p>
            <w:pPr>
              <w:ind w:left="1980"/>
              <w:spacing w:after="0"/>
              <w:rPr>
                <w:sz w:val="20"/>
                <w:szCs w:val="20"/>
                <w:color w:val="auto"/>
              </w:rPr>
            </w:pPr>
            <w:r>
              <w:rPr>
                <w:rFonts w:ascii="Arial" w:cs="Arial" w:eastAsia="Arial" w:hAnsi="Arial"/>
                <w:sz w:val="14"/>
                <w:szCs w:val="14"/>
                <w:color w:val="auto"/>
              </w:rPr>
              <w:t>6</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2.1</w:t>
            </w:r>
          </w:p>
        </w:tc>
        <w:tc>
          <w:tcPr>
            <w:tcW w:w="7720" w:type="dxa"/>
            <w:vAlign w:val="bottom"/>
          </w:tcPr>
          <w:p>
            <w:pPr>
              <w:ind w:left="200"/>
              <w:spacing w:after="0"/>
              <w:rPr>
                <w:sz w:val="20"/>
                <w:szCs w:val="20"/>
                <w:color w:val="auto"/>
              </w:rPr>
            </w:pPr>
            <w:r>
              <w:rPr>
                <w:rFonts w:ascii="Arial" w:cs="Arial" w:eastAsia="Arial" w:hAnsi="Arial"/>
                <w:sz w:val="14"/>
                <w:szCs w:val="14"/>
                <w:color w:val="auto"/>
              </w:rPr>
              <w:t>Supply of Product.</w:t>
            </w:r>
          </w:p>
        </w:tc>
        <w:tc>
          <w:tcPr>
            <w:tcW w:w="2120" w:type="dxa"/>
            <w:vAlign w:val="bottom"/>
          </w:tcPr>
          <w:p>
            <w:pPr>
              <w:ind w:left="1980"/>
              <w:spacing w:after="0"/>
              <w:rPr>
                <w:sz w:val="20"/>
                <w:szCs w:val="20"/>
                <w:color w:val="auto"/>
              </w:rPr>
            </w:pPr>
            <w:r>
              <w:rPr>
                <w:rFonts w:ascii="Arial" w:cs="Arial" w:eastAsia="Arial" w:hAnsi="Arial"/>
                <w:sz w:val="14"/>
                <w:szCs w:val="14"/>
                <w:color w:val="auto"/>
              </w:rPr>
              <w:t>6</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2.2</w:t>
            </w:r>
          </w:p>
        </w:tc>
        <w:tc>
          <w:tcPr>
            <w:tcW w:w="7720" w:type="dxa"/>
            <w:vAlign w:val="bottom"/>
          </w:tcPr>
          <w:p>
            <w:pPr>
              <w:ind w:left="200"/>
              <w:spacing w:after="0"/>
              <w:rPr>
                <w:sz w:val="20"/>
                <w:szCs w:val="20"/>
                <w:color w:val="auto"/>
              </w:rPr>
            </w:pPr>
            <w:r>
              <w:rPr>
                <w:rFonts w:ascii="Arial" w:cs="Arial" w:eastAsia="Arial" w:hAnsi="Arial"/>
                <w:sz w:val="14"/>
                <w:szCs w:val="14"/>
                <w:color w:val="auto"/>
              </w:rPr>
              <w:t>Prices.</w:t>
            </w:r>
          </w:p>
        </w:tc>
        <w:tc>
          <w:tcPr>
            <w:tcW w:w="2120" w:type="dxa"/>
            <w:vAlign w:val="bottom"/>
          </w:tcPr>
          <w:p>
            <w:pPr>
              <w:ind w:left="1980"/>
              <w:spacing w:after="0"/>
              <w:rPr>
                <w:sz w:val="20"/>
                <w:szCs w:val="20"/>
                <w:color w:val="auto"/>
              </w:rPr>
            </w:pPr>
            <w:r>
              <w:rPr>
                <w:rFonts w:ascii="Arial" w:cs="Arial" w:eastAsia="Arial" w:hAnsi="Arial"/>
                <w:sz w:val="14"/>
                <w:szCs w:val="14"/>
                <w:color w:val="auto"/>
              </w:rPr>
              <w:t>6</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2.3</w:t>
            </w:r>
          </w:p>
        </w:tc>
        <w:tc>
          <w:tcPr>
            <w:tcW w:w="7720" w:type="dxa"/>
            <w:vAlign w:val="bottom"/>
          </w:tcPr>
          <w:p>
            <w:pPr>
              <w:ind w:left="200"/>
              <w:spacing w:after="0"/>
              <w:rPr>
                <w:sz w:val="20"/>
                <w:szCs w:val="20"/>
                <w:color w:val="auto"/>
              </w:rPr>
            </w:pPr>
            <w:r>
              <w:rPr>
                <w:rFonts w:ascii="Arial" w:cs="Arial" w:eastAsia="Arial" w:hAnsi="Arial"/>
                <w:sz w:val="14"/>
                <w:szCs w:val="14"/>
                <w:color w:val="auto"/>
              </w:rPr>
              <w:t>Price Adjustments.</w:t>
            </w:r>
          </w:p>
        </w:tc>
        <w:tc>
          <w:tcPr>
            <w:tcW w:w="2120" w:type="dxa"/>
            <w:vAlign w:val="bottom"/>
          </w:tcPr>
          <w:p>
            <w:pPr>
              <w:ind w:left="1980"/>
              <w:spacing w:after="0"/>
              <w:rPr>
                <w:sz w:val="20"/>
                <w:szCs w:val="20"/>
                <w:color w:val="auto"/>
              </w:rPr>
            </w:pPr>
            <w:r>
              <w:rPr>
                <w:rFonts w:ascii="Arial" w:cs="Arial" w:eastAsia="Arial" w:hAnsi="Arial"/>
                <w:sz w:val="14"/>
                <w:szCs w:val="14"/>
                <w:color w:val="auto"/>
              </w:rPr>
              <w:t>7</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2.4</w:t>
            </w:r>
          </w:p>
        </w:tc>
        <w:tc>
          <w:tcPr>
            <w:tcW w:w="7720" w:type="dxa"/>
            <w:vAlign w:val="bottom"/>
          </w:tcPr>
          <w:p>
            <w:pPr>
              <w:ind w:left="200"/>
              <w:spacing w:after="0"/>
              <w:rPr>
                <w:sz w:val="20"/>
                <w:szCs w:val="20"/>
                <w:color w:val="auto"/>
              </w:rPr>
            </w:pPr>
            <w:r>
              <w:rPr>
                <w:rFonts w:ascii="Arial" w:cs="Arial" w:eastAsia="Arial" w:hAnsi="Arial"/>
                <w:sz w:val="14"/>
                <w:szCs w:val="14"/>
                <w:color w:val="auto"/>
              </w:rPr>
              <w:t>Forecasts.</w:t>
            </w:r>
          </w:p>
        </w:tc>
        <w:tc>
          <w:tcPr>
            <w:tcW w:w="2120" w:type="dxa"/>
            <w:vAlign w:val="bottom"/>
          </w:tcPr>
          <w:p>
            <w:pPr>
              <w:ind w:left="1980"/>
              <w:spacing w:after="0"/>
              <w:rPr>
                <w:sz w:val="20"/>
                <w:szCs w:val="20"/>
                <w:color w:val="auto"/>
              </w:rPr>
            </w:pPr>
            <w:r>
              <w:rPr>
                <w:rFonts w:ascii="Arial" w:cs="Arial" w:eastAsia="Arial" w:hAnsi="Arial"/>
                <w:sz w:val="14"/>
                <w:szCs w:val="14"/>
                <w:color w:val="auto"/>
              </w:rPr>
              <w:t>7</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2.5</w:t>
            </w:r>
          </w:p>
        </w:tc>
        <w:tc>
          <w:tcPr>
            <w:tcW w:w="7720" w:type="dxa"/>
            <w:vAlign w:val="bottom"/>
          </w:tcPr>
          <w:p>
            <w:pPr>
              <w:ind w:left="200"/>
              <w:spacing w:after="0"/>
              <w:rPr>
                <w:sz w:val="20"/>
                <w:szCs w:val="20"/>
                <w:color w:val="auto"/>
              </w:rPr>
            </w:pPr>
            <w:r>
              <w:rPr>
                <w:rFonts w:ascii="Arial" w:cs="Arial" w:eastAsia="Arial" w:hAnsi="Arial"/>
                <w:sz w:val="14"/>
                <w:szCs w:val="14"/>
                <w:color w:val="auto"/>
              </w:rPr>
              <w:t>Orders.</w:t>
            </w:r>
          </w:p>
        </w:tc>
        <w:tc>
          <w:tcPr>
            <w:tcW w:w="2120" w:type="dxa"/>
            <w:vAlign w:val="bottom"/>
          </w:tcPr>
          <w:p>
            <w:pPr>
              <w:ind w:left="1980"/>
              <w:spacing w:after="0"/>
              <w:rPr>
                <w:sz w:val="20"/>
                <w:szCs w:val="20"/>
                <w:color w:val="auto"/>
              </w:rPr>
            </w:pPr>
            <w:r>
              <w:rPr>
                <w:rFonts w:ascii="Arial" w:cs="Arial" w:eastAsia="Arial" w:hAnsi="Arial"/>
                <w:sz w:val="14"/>
                <w:szCs w:val="14"/>
                <w:color w:val="auto"/>
              </w:rPr>
              <w:t>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2.6</w:t>
            </w:r>
          </w:p>
        </w:tc>
        <w:tc>
          <w:tcPr>
            <w:tcW w:w="7720" w:type="dxa"/>
            <w:vAlign w:val="bottom"/>
          </w:tcPr>
          <w:p>
            <w:pPr>
              <w:ind w:left="200"/>
              <w:spacing w:after="0"/>
              <w:rPr>
                <w:sz w:val="20"/>
                <w:szCs w:val="20"/>
                <w:color w:val="auto"/>
              </w:rPr>
            </w:pPr>
            <w:r>
              <w:rPr>
                <w:rFonts w:ascii="Arial" w:cs="Arial" w:eastAsia="Arial" w:hAnsi="Arial"/>
                <w:sz w:val="14"/>
                <w:szCs w:val="14"/>
                <w:color w:val="auto"/>
              </w:rPr>
              <w:t>Performance of Engineering Services.</w:t>
            </w:r>
          </w:p>
        </w:tc>
        <w:tc>
          <w:tcPr>
            <w:tcW w:w="2120" w:type="dxa"/>
            <w:vAlign w:val="bottom"/>
          </w:tcPr>
          <w:p>
            <w:pPr>
              <w:ind w:left="1980"/>
              <w:spacing w:after="0"/>
              <w:rPr>
                <w:sz w:val="20"/>
                <w:szCs w:val="20"/>
                <w:color w:val="auto"/>
              </w:rPr>
            </w:pPr>
            <w:r>
              <w:rPr>
                <w:rFonts w:ascii="Arial" w:cs="Arial" w:eastAsia="Arial" w:hAnsi="Arial"/>
                <w:sz w:val="14"/>
                <w:szCs w:val="14"/>
                <w:color w:val="auto"/>
              </w:rPr>
              <w:t>8</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3 - PAYMENT AND DELIVERY</w:t>
            </w:r>
          </w:p>
        </w:tc>
        <w:tc>
          <w:tcPr>
            <w:tcW w:w="2120" w:type="dxa"/>
            <w:vAlign w:val="bottom"/>
          </w:tcPr>
          <w:p>
            <w:pPr>
              <w:ind w:left="1980"/>
              <w:spacing w:after="0"/>
              <w:rPr>
                <w:sz w:val="20"/>
                <w:szCs w:val="20"/>
                <w:color w:val="auto"/>
              </w:rPr>
            </w:pPr>
            <w:r>
              <w:rPr>
                <w:rFonts w:ascii="Arial" w:cs="Arial" w:eastAsia="Arial" w:hAnsi="Arial"/>
                <w:sz w:val="14"/>
                <w:szCs w:val="14"/>
                <w:color w:val="auto"/>
              </w:rPr>
              <w:t>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3.1</w:t>
            </w:r>
          </w:p>
        </w:tc>
        <w:tc>
          <w:tcPr>
            <w:tcW w:w="7720" w:type="dxa"/>
            <w:vAlign w:val="bottom"/>
          </w:tcPr>
          <w:p>
            <w:pPr>
              <w:ind w:left="200"/>
              <w:spacing w:after="0"/>
              <w:rPr>
                <w:sz w:val="20"/>
                <w:szCs w:val="20"/>
                <w:color w:val="auto"/>
              </w:rPr>
            </w:pPr>
            <w:r>
              <w:rPr>
                <w:rFonts w:ascii="Arial" w:cs="Arial" w:eastAsia="Arial" w:hAnsi="Arial"/>
                <w:sz w:val="14"/>
                <w:szCs w:val="14"/>
                <w:color w:val="auto"/>
              </w:rPr>
              <w:t>Payment Terms.</w:t>
            </w:r>
          </w:p>
        </w:tc>
        <w:tc>
          <w:tcPr>
            <w:tcW w:w="2120" w:type="dxa"/>
            <w:vAlign w:val="bottom"/>
          </w:tcPr>
          <w:p>
            <w:pPr>
              <w:ind w:left="1980"/>
              <w:spacing w:after="0"/>
              <w:rPr>
                <w:sz w:val="20"/>
                <w:szCs w:val="20"/>
                <w:color w:val="auto"/>
              </w:rPr>
            </w:pPr>
            <w:r>
              <w:rPr>
                <w:rFonts w:ascii="Arial" w:cs="Arial" w:eastAsia="Arial" w:hAnsi="Arial"/>
                <w:sz w:val="14"/>
                <w:szCs w:val="14"/>
                <w:color w:val="auto"/>
              </w:rPr>
              <w:t>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3.2</w:t>
            </w:r>
          </w:p>
        </w:tc>
        <w:tc>
          <w:tcPr>
            <w:tcW w:w="7720" w:type="dxa"/>
            <w:vAlign w:val="bottom"/>
          </w:tcPr>
          <w:p>
            <w:pPr>
              <w:ind w:left="200"/>
              <w:spacing w:after="0"/>
              <w:rPr>
                <w:sz w:val="20"/>
                <w:szCs w:val="20"/>
                <w:color w:val="auto"/>
              </w:rPr>
            </w:pPr>
            <w:r>
              <w:rPr>
                <w:rFonts w:ascii="Arial" w:cs="Arial" w:eastAsia="Arial" w:hAnsi="Arial"/>
                <w:sz w:val="14"/>
                <w:szCs w:val="14"/>
                <w:color w:val="auto"/>
              </w:rPr>
              <w:t>Delivery.</w:t>
            </w:r>
          </w:p>
        </w:tc>
        <w:tc>
          <w:tcPr>
            <w:tcW w:w="2120" w:type="dxa"/>
            <w:vAlign w:val="bottom"/>
          </w:tcPr>
          <w:p>
            <w:pPr>
              <w:ind w:left="1980"/>
              <w:spacing w:after="0"/>
              <w:rPr>
                <w:sz w:val="20"/>
                <w:szCs w:val="20"/>
                <w:color w:val="auto"/>
              </w:rPr>
            </w:pPr>
            <w:r>
              <w:rPr>
                <w:rFonts w:ascii="Arial" w:cs="Arial" w:eastAsia="Arial" w:hAnsi="Arial"/>
                <w:sz w:val="14"/>
                <w:szCs w:val="14"/>
                <w:color w:val="auto"/>
              </w:rPr>
              <w:t>9</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4 - TRAINING</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10</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4.1</w:t>
            </w:r>
          </w:p>
        </w:tc>
        <w:tc>
          <w:tcPr>
            <w:tcW w:w="7720" w:type="dxa"/>
            <w:vAlign w:val="bottom"/>
          </w:tcPr>
          <w:p>
            <w:pPr>
              <w:ind w:left="200"/>
              <w:spacing w:after="0"/>
              <w:rPr>
                <w:sz w:val="20"/>
                <w:szCs w:val="20"/>
                <w:color w:val="auto"/>
              </w:rPr>
            </w:pPr>
            <w:r>
              <w:rPr>
                <w:rFonts w:ascii="Arial" w:cs="Arial" w:eastAsia="Arial" w:hAnsi="Arial"/>
                <w:sz w:val="14"/>
                <w:szCs w:val="14"/>
                <w:color w:val="auto"/>
              </w:rPr>
              <w:t>Technical Training.</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10</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4.2</w:t>
            </w:r>
          </w:p>
        </w:tc>
        <w:tc>
          <w:tcPr>
            <w:tcW w:w="7720" w:type="dxa"/>
            <w:vAlign w:val="bottom"/>
          </w:tcPr>
          <w:p>
            <w:pPr>
              <w:ind w:left="200"/>
              <w:spacing w:after="0"/>
              <w:rPr>
                <w:sz w:val="20"/>
                <w:szCs w:val="20"/>
                <w:color w:val="auto"/>
              </w:rPr>
            </w:pPr>
            <w:r>
              <w:rPr>
                <w:rFonts w:ascii="Arial" w:cs="Arial" w:eastAsia="Arial" w:hAnsi="Arial"/>
                <w:sz w:val="14"/>
                <w:szCs w:val="14"/>
                <w:color w:val="auto"/>
              </w:rPr>
              <w:t>Training Materials.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10</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5 - IMPROVEMENTS AND CHANGES TO THE PRODUCT</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10</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6 – TERM</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11</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6.1</w:t>
            </w:r>
          </w:p>
        </w:tc>
        <w:tc>
          <w:tcPr>
            <w:tcW w:w="7720" w:type="dxa"/>
            <w:vAlign w:val="bottom"/>
          </w:tcPr>
          <w:p>
            <w:pPr>
              <w:ind w:left="200"/>
              <w:spacing w:after="0"/>
              <w:rPr>
                <w:sz w:val="20"/>
                <w:szCs w:val="20"/>
                <w:color w:val="auto"/>
              </w:rPr>
            </w:pPr>
            <w:r>
              <w:rPr>
                <w:rFonts w:ascii="Arial" w:cs="Arial" w:eastAsia="Arial" w:hAnsi="Arial"/>
                <w:sz w:val="14"/>
                <w:szCs w:val="14"/>
                <w:color w:val="auto"/>
              </w:rPr>
              <w:t>Initial Term.</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11</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6.2</w:t>
            </w:r>
          </w:p>
        </w:tc>
        <w:tc>
          <w:tcPr>
            <w:tcW w:w="7720" w:type="dxa"/>
            <w:vAlign w:val="bottom"/>
          </w:tcPr>
          <w:p>
            <w:pPr>
              <w:ind w:left="200"/>
              <w:spacing w:after="0"/>
              <w:rPr>
                <w:sz w:val="20"/>
                <w:szCs w:val="20"/>
                <w:color w:val="auto"/>
              </w:rPr>
            </w:pPr>
            <w:r>
              <w:rPr>
                <w:rFonts w:ascii="Arial" w:cs="Arial" w:eastAsia="Arial" w:hAnsi="Arial"/>
                <w:sz w:val="14"/>
                <w:szCs w:val="14"/>
                <w:color w:val="auto"/>
              </w:rPr>
              <w:t>Automatic Extensions.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11</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7 – TERMINATION</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11</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7.1</w:t>
            </w:r>
          </w:p>
        </w:tc>
        <w:tc>
          <w:tcPr>
            <w:tcW w:w="7720" w:type="dxa"/>
            <w:vAlign w:val="bottom"/>
          </w:tcPr>
          <w:p>
            <w:pPr>
              <w:ind w:left="200"/>
              <w:spacing w:after="0"/>
              <w:rPr>
                <w:sz w:val="20"/>
                <w:szCs w:val="20"/>
                <w:color w:val="auto"/>
              </w:rPr>
            </w:pPr>
            <w:r>
              <w:rPr>
                <w:rFonts w:ascii="Arial" w:cs="Arial" w:eastAsia="Arial" w:hAnsi="Arial"/>
                <w:sz w:val="14"/>
                <w:szCs w:val="14"/>
                <w:color w:val="auto"/>
              </w:rPr>
              <w:t>Termination by Buyer for Convenience.</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11</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7.2</w:t>
            </w:r>
          </w:p>
        </w:tc>
        <w:tc>
          <w:tcPr>
            <w:tcW w:w="7720" w:type="dxa"/>
            <w:vAlign w:val="bottom"/>
          </w:tcPr>
          <w:p>
            <w:pPr>
              <w:ind w:left="200"/>
              <w:spacing w:after="0"/>
              <w:rPr>
                <w:sz w:val="20"/>
                <w:szCs w:val="20"/>
                <w:color w:val="auto"/>
              </w:rPr>
            </w:pPr>
            <w:r>
              <w:rPr>
                <w:rFonts w:ascii="Arial" w:cs="Arial" w:eastAsia="Arial" w:hAnsi="Arial"/>
                <w:sz w:val="14"/>
                <w:szCs w:val="14"/>
                <w:color w:val="auto"/>
              </w:rPr>
              <w:t>Termination by Hamilton for Discontinuance of Business.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11</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7.3</w:t>
            </w:r>
          </w:p>
        </w:tc>
        <w:tc>
          <w:tcPr>
            <w:tcW w:w="7720" w:type="dxa"/>
            <w:vAlign w:val="bottom"/>
          </w:tcPr>
          <w:p>
            <w:pPr>
              <w:ind w:left="200"/>
              <w:spacing w:after="0"/>
              <w:rPr>
                <w:sz w:val="20"/>
                <w:szCs w:val="20"/>
                <w:color w:val="auto"/>
              </w:rPr>
            </w:pPr>
            <w:r>
              <w:rPr>
                <w:rFonts w:ascii="Arial" w:cs="Arial" w:eastAsia="Arial" w:hAnsi="Arial"/>
                <w:sz w:val="14"/>
                <w:szCs w:val="14"/>
                <w:color w:val="auto"/>
              </w:rPr>
              <w:t>Termination for Breach.</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12</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7.4</w:t>
            </w:r>
          </w:p>
        </w:tc>
        <w:tc>
          <w:tcPr>
            <w:tcW w:w="7720" w:type="dxa"/>
            <w:vAlign w:val="bottom"/>
          </w:tcPr>
          <w:p>
            <w:pPr>
              <w:ind w:left="200"/>
              <w:spacing w:after="0"/>
              <w:rPr>
                <w:sz w:val="20"/>
                <w:szCs w:val="20"/>
                <w:color w:val="auto"/>
              </w:rPr>
            </w:pPr>
            <w:r>
              <w:rPr>
                <w:rFonts w:ascii="Arial" w:cs="Arial" w:eastAsia="Arial" w:hAnsi="Arial"/>
                <w:sz w:val="14"/>
                <w:szCs w:val="14"/>
                <w:color w:val="auto"/>
              </w:rPr>
              <w:t>Termination for Insolvency.</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12</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7.5</w:t>
            </w:r>
          </w:p>
        </w:tc>
        <w:tc>
          <w:tcPr>
            <w:tcW w:w="7720" w:type="dxa"/>
            <w:vAlign w:val="bottom"/>
          </w:tcPr>
          <w:p>
            <w:pPr>
              <w:ind w:left="200"/>
              <w:spacing w:after="0"/>
              <w:rPr>
                <w:sz w:val="20"/>
                <w:szCs w:val="20"/>
                <w:color w:val="auto"/>
              </w:rPr>
            </w:pPr>
            <w:r>
              <w:rPr>
                <w:rFonts w:ascii="Arial" w:cs="Arial" w:eastAsia="Arial" w:hAnsi="Arial"/>
                <w:sz w:val="14"/>
                <w:szCs w:val="14"/>
                <w:color w:val="auto"/>
              </w:rPr>
              <w:t>Termination by Hamilton for Competitor Acquisition.</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12</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7.6</w:t>
            </w:r>
          </w:p>
        </w:tc>
        <w:tc>
          <w:tcPr>
            <w:tcW w:w="7720" w:type="dxa"/>
            <w:vAlign w:val="bottom"/>
          </w:tcPr>
          <w:p>
            <w:pPr>
              <w:ind w:left="200"/>
              <w:spacing w:after="0"/>
              <w:rPr>
                <w:sz w:val="20"/>
                <w:szCs w:val="20"/>
                <w:color w:val="auto"/>
              </w:rPr>
            </w:pPr>
            <w:r>
              <w:rPr>
                <w:rFonts w:ascii="Arial" w:cs="Arial" w:eastAsia="Arial" w:hAnsi="Arial"/>
                <w:sz w:val="14"/>
                <w:szCs w:val="14"/>
                <w:color w:val="auto"/>
              </w:rPr>
              <w:t>Effect of Termination.</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12</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8 – INVENTORY</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13</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8.1</w:t>
            </w:r>
          </w:p>
        </w:tc>
        <w:tc>
          <w:tcPr>
            <w:tcW w:w="7720" w:type="dxa"/>
            <w:vAlign w:val="bottom"/>
          </w:tcPr>
          <w:p>
            <w:pPr>
              <w:ind w:left="200"/>
              <w:spacing w:after="0"/>
              <w:rPr>
                <w:sz w:val="20"/>
                <w:szCs w:val="20"/>
                <w:color w:val="auto"/>
              </w:rPr>
            </w:pPr>
            <w:r>
              <w:rPr>
                <w:rFonts w:ascii="Arial" w:cs="Arial" w:eastAsia="Arial" w:hAnsi="Arial"/>
                <w:sz w:val="14"/>
                <w:szCs w:val="14"/>
                <w:color w:val="auto"/>
              </w:rPr>
              <w:t>Inventory/Tooling.</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13</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9 – LIMITED WARRANTY, PRODUCT ACCEPTANCE, SUPPORT SERVICES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13</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9.1</w:t>
            </w:r>
          </w:p>
        </w:tc>
        <w:tc>
          <w:tcPr>
            <w:tcW w:w="7720" w:type="dxa"/>
            <w:vAlign w:val="bottom"/>
          </w:tcPr>
          <w:p>
            <w:pPr>
              <w:ind w:left="200"/>
              <w:spacing w:after="0"/>
              <w:rPr>
                <w:sz w:val="20"/>
                <w:szCs w:val="20"/>
                <w:color w:val="auto"/>
              </w:rPr>
            </w:pPr>
            <w:r>
              <w:rPr>
                <w:rFonts w:ascii="Arial" w:cs="Arial" w:eastAsia="Arial" w:hAnsi="Arial"/>
                <w:sz w:val="14"/>
                <w:szCs w:val="14"/>
                <w:color w:val="auto"/>
              </w:rPr>
              <w:t>Warranty.</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13</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9.2</w:t>
            </w:r>
          </w:p>
        </w:tc>
        <w:tc>
          <w:tcPr>
            <w:tcW w:w="7720" w:type="dxa"/>
            <w:vAlign w:val="bottom"/>
          </w:tcPr>
          <w:p>
            <w:pPr>
              <w:ind w:left="200"/>
              <w:spacing w:after="0"/>
              <w:rPr>
                <w:sz w:val="20"/>
                <w:szCs w:val="20"/>
                <w:color w:val="auto"/>
              </w:rPr>
            </w:pPr>
            <w:r>
              <w:rPr>
                <w:rFonts w:ascii="Arial" w:cs="Arial" w:eastAsia="Arial" w:hAnsi="Arial"/>
                <w:sz w:val="14"/>
                <w:szCs w:val="14"/>
                <w:color w:val="auto"/>
              </w:rPr>
              <w:t>Product Acceptance.</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13</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9.3</w:t>
            </w:r>
          </w:p>
        </w:tc>
        <w:tc>
          <w:tcPr>
            <w:tcW w:w="7720" w:type="dxa"/>
            <w:vAlign w:val="bottom"/>
          </w:tcPr>
          <w:p>
            <w:pPr>
              <w:ind w:left="200"/>
              <w:spacing w:after="0"/>
              <w:rPr>
                <w:sz w:val="20"/>
                <w:szCs w:val="20"/>
                <w:color w:val="auto"/>
              </w:rPr>
            </w:pPr>
            <w:r>
              <w:rPr>
                <w:rFonts w:ascii="Arial" w:cs="Arial" w:eastAsia="Arial" w:hAnsi="Arial"/>
                <w:sz w:val="14"/>
                <w:szCs w:val="14"/>
                <w:color w:val="auto"/>
              </w:rPr>
              <w:t>Support Services.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14</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10 – COMPLIANCE</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15</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11 - REGULATORY MATTERS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15</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11.1</w:t>
            </w:r>
          </w:p>
        </w:tc>
        <w:tc>
          <w:tcPr>
            <w:tcW w:w="7720" w:type="dxa"/>
            <w:vAlign w:val="bottom"/>
          </w:tcPr>
          <w:p>
            <w:pPr>
              <w:ind w:left="200"/>
              <w:spacing w:after="0"/>
              <w:rPr>
                <w:sz w:val="20"/>
                <w:szCs w:val="20"/>
                <w:color w:val="auto"/>
              </w:rPr>
            </w:pPr>
            <w:r>
              <w:rPr>
                <w:rFonts w:ascii="Arial" w:cs="Arial" w:eastAsia="Arial" w:hAnsi="Arial"/>
                <w:sz w:val="14"/>
                <w:szCs w:val="14"/>
                <w:color w:val="auto"/>
              </w:rPr>
              <w:t>Notification of Certain Events.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15</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12 - FAILURE TO SUPPLY; FORCE MAJEURE</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15</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12.1</w:t>
            </w:r>
          </w:p>
        </w:tc>
        <w:tc>
          <w:tcPr>
            <w:tcW w:w="7720" w:type="dxa"/>
            <w:vAlign w:val="bottom"/>
          </w:tcPr>
          <w:p>
            <w:pPr>
              <w:ind w:left="200"/>
              <w:spacing w:after="0"/>
              <w:rPr>
                <w:sz w:val="20"/>
                <w:szCs w:val="20"/>
                <w:color w:val="auto"/>
              </w:rPr>
            </w:pPr>
            <w:r>
              <w:rPr>
                <w:rFonts w:ascii="Arial" w:cs="Arial" w:eastAsia="Arial" w:hAnsi="Arial"/>
                <w:sz w:val="14"/>
                <w:szCs w:val="14"/>
                <w:color w:val="auto"/>
              </w:rPr>
              <w:t>Failure to Supply.</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16</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12.2</w:t>
            </w:r>
          </w:p>
        </w:tc>
        <w:tc>
          <w:tcPr>
            <w:tcW w:w="7720" w:type="dxa"/>
            <w:vAlign w:val="bottom"/>
          </w:tcPr>
          <w:p>
            <w:pPr>
              <w:ind w:left="200"/>
              <w:spacing w:after="0"/>
              <w:rPr>
                <w:sz w:val="20"/>
                <w:szCs w:val="20"/>
                <w:color w:val="auto"/>
              </w:rPr>
            </w:pPr>
            <w:r>
              <w:rPr>
                <w:rFonts w:ascii="Arial" w:cs="Arial" w:eastAsia="Arial" w:hAnsi="Arial"/>
                <w:sz w:val="14"/>
                <w:szCs w:val="14"/>
                <w:color w:val="auto"/>
              </w:rPr>
              <w:t>Force Majeure Events.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16</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12.3</w:t>
            </w:r>
          </w:p>
        </w:tc>
        <w:tc>
          <w:tcPr>
            <w:tcW w:w="7720" w:type="dxa"/>
            <w:vAlign w:val="bottom"/>
          </w:tcPr>
          <w:p>
            <w:pPr>
              <w:ind w:left="200"/>
              <w:spacing w:after="0"/>
              <w:rPr>
                <w:sz w:val="20"/>
                <w:szCs w:val="20"/>
                <w:color w:val="auto"/>
              </w:rPr>
            </w:pPr>
            <w:r>
              <w:rPr>
                <w:rFonts w:ascii="Arial" w:cs="Arial" w:eastAsia="Arial" w:hAnsi="Arial"/>
                <w:sz w:val="14"/>
                <w:szCs w:val="14"/>
                <w:color w:val="auto"/>
              </w:rPr>
              <w:t>Other Arrangements.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16</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13 - LABELING; ARTWORK; PROPRIETARY RIGHTS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16</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13.3</w:t>
            </w:r>
          </w:p>
        </w:tc>
        <w:tc>
          <w:tcPr>
            <w:tcW w:w="7720" w:type="dxa"/>
            <w:vAlign w:val="bottom"/>
          </w:tcPr>
          <w:p>
            <w:pPr>
              <w:ind w:left="200"/>
              <w:spacing w:after="0"/>
              <w:rPr>
                <w:sz w:val="20"/>
                <w:szCs w:val="20"/>
                <w:color w:val="auto"/>
              </w:rPr>
            </w:pPr>
            <w:r>
              <w:rPr>
                <w:rFonts w:ascii="Arial" w:cs="Arial" w:eastAsia="Arial" w:hAnsi="Arial"/>
                <w:sz w:val="14"/>
                <w:szCs w:val="14"/>
                <w:color w:val="auto"/>
              </w:rPr>
              <w:t>Instrument Skin; Packaging.</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17</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13.4</w:t>
            </w:r>
          </w:p>
        </w:tc>
        <w:tc>
          <w:tcPr>
            <w:tcW w:w="7720" w:type="dxa"/>
            <w:vAlign w:val="bottom"/>
          </w:tcPr>
          <w:p>
            <w:pPr>
              <w:ind w:left="200"/>
              <w:spacing w:after="0"/>
              <w:rPr>
                <w:sz w:val="20"/>
                <w:szCs w:val="20"/>
                <w:color w:val="auto"/>
              </w:rPr>
            </w:pPr>
            <w:r>
              <w:rPr>
                <w:rFonts w:ascii="Arial" w:cs="Arial" w:eastAsia="Arial" w:hAnsi="Arial"/>
                <w:sz w:val="14"/>
                <w:szCs w:val="14"/>
                <w:color w:val="auto"/>
              </w:rPr>
              <w:t>Intellectual Property.</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17</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14 - GENERAL AND SPECIFIC REPRESENTATIONS AND WARRANTIES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17</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14.1</w:t>
            </w:r>
          </w:p>
        </w:tc>
        <w:tc>
          <w:tcPr>
            <w:tcW w:w="7720" w:type="dxa"/>
            <w:vAlign w:val="bottom"/>
          </w:tcPr>
          <w:p>
            <w:pPr>
              <w:ind w:left="200"/>
              <w:spacing w:after="0"/>
              <w:rPr>
                <w:sz w:val="20"/>
                <w:szCs w:val="20"/>
                <w:color w:val="auto"/>
              </w:rPr>
            </w:pPr>
            <w:r>
              <w:rPr>
                <w:rFonts w:ascii="Arial" w:cs="Arial" w:eastAsia="Arial" w:hAnsi="Arial"/>
                <w:sz w:val="14"/>
                <w:szCs w:val="14"/>
                <w:color w:val="auto"/>
              </w:rPr>
              <w:t>Corporate Standing.</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17</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14.2</w:t>
            </w:r>
          </w:p>
        </w:tc>
        <w:tc>
          <w:tcPr>
            <w:tcW w:w="7720" w:type="dxa"/>
            <w:vAlign w:val="bottom"/>
          </w:tcPr>
          <w:p>
            <w:pPr>
              <w:ind w:left="200"/>
              <w:spacing w:after="0"/>
              <w:rPr>
                <w:sz w:val="20"/>
                <w:szCs w:val="20"/>
                <w:color w:val="auto"/>
              </w:rPr>
            </w:pPr>
            <w:r>
              <w:rPr>
                <w:rFonts w:ascii="Arial" w:cs="Arial" w:eastAsia="Arial" w:hAnsi="Arial"/>
                <w:sz w:val="14"/>
                <w:szCs w:val="14"/>
                <w:color w:val="auto"/>
              </w:rPr>
              <w:t>Due Authorization/Enforceability.</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17</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14.3</w:t>
            </w:r>
          </w:p>
        </w:tc>
        <w:tc>
          <w:tcPr>
            <w:tcW w:w="7720" w:type="dxa"/>
            <w:vAlign w:val="bottom"/>
          </w:tcPr>
          <w:p>
            <w:pPr>
              <w:ind w:left="200"/>
              <w:spacing w:after="0"/>
              <w:rPr>
                <w:sz w:val="20"/>
                <w:szCs w:val="20"/>
                <w:color w:val="auto"/>
              </w:rPr>
            </w:pPr>
            <w:r>
              <w:rPr>
                <w:rFonts w:ascii="Arial" w:cs="Arial" w:eastAsia="Arial" w:hAnsi="Arial"/>
                <w:sz w:val="14"/>
                <w:szCs w:val="14"/>
                <w:color w:val="auto"/>
              </w:rPr>
              <w:t>No Infringement.</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14.4</w:t>
            </w:r>
          </w:p>
        </w:tc>
        <w:tc>
          <w:tcPr>
            <w:tcW w:w="7720" w:type="dxa"/>
            <w:vAlign w:val="bottom"/>
          </w:tcPr>
          <w:p>
            <w:pPr>
              <w:ind w:left="200"/>
              <w:spacing w:after="0"/>
              <w:rPr>
                <w:sz w:val="20"/>
                <w:szCs w:val="20"/>
                <w:color w:val="auto"/>
              </w:rPr>
            </w:pPr>
            <w:r>
              <w:rPr>
                <w:rFonts w:ascii="Arial" w:cs="Arial" w:eastAsia="Arial" w:hAnsi="Arial"/>
                <w:sz w:val="14"/>
                <w:szCs w:val="14"/>
                <w:color w:val="auto"/>
              </w:rPr>
              <w:t>Title.</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14.5</w:t>
            </w:r>
          </w:p>
        </w:tc>
        <w:tc>
          <w:tcPr>
            <w:tcW w:w="7720" w:type="dxa"/>
            <w:vAlign w:val="bottom"/>
          </w:tcPr>
          <w:p>
            <w:pPr>
              <w:ind w:left="200"/>
              <w:spacing w:after="0"/>
              <w:rPr>
                <w:sz w:val="20"/>
                <w:szCs w:val="20"/>
                <w:color w:val="auto"/>
              </w:rPr>
            </w:pPr>
            <w:r>
              <w:rPr>
                <w:rFonts w:ascii="Arial" w:cs="Arial" w:eastAsia="Arial" w:hAnsi="Arial"/>
                <w:sz w:val="14"/>
                <w:szCs w:val="14"/>
                <w:color w:val="auto"/>
              </w:rPr>
              <w:t>ISO Certification.</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14.6</w:t>
            </w:r>
          </w:p>
        </w:tc>
        <w:tc>
          <w:tcPr>
            <w:tcW w:w="7720" w:type="dxa"/>
            <w:vAlign w:val="bottom"/>
          </w:tcPr>
          <w:p>
            <w:pPr>
              <w:ind w:left="200"/>
              <w:spacing w:after="0"/>
              <w:rPr>
                <w:sz w:val="20"/>
                <w:szCs w:val="20"/>
                <w:color w:val="auto"/>
              </w:rPr>
            </w:pPr>
            <w:r>
              <w:rPr>
                <w:rFonts w:ascii="Arial" w:cs="Arial" w:eastAsia="Arial" w:hAnsi="Arial"/>
                <w:sz w:val="14"/>
                <w:szCs w:val="14"/>
                <w:color w:val="auto"/>
              </w:rPr>
              <w:t>Buyer’s Assays.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18</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15 – INDEMNIFICATION / INSURANCE</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15.1</w:t>
            </w:r>
          </w:p>
        </w:tc>
        <w:tc>
          <w:tcPr>
            <w:tcW w:w="7720" w:type="dxa"/>
            <w:vAlign w:val="bottom"/>
          </w:tcPr>
          <w:p>
            <w:pPr>
              <w:ind w:left="200"/>
              <w:spacing w:after="0"/>
              <w:rPr>
                <w:sz w:val="20"/>
                <w:szCs w:val="20"/>
                <w:color w:val="auto"/>
              </w:rPr>
            </w:pPr>
            <w:r>
              <w:rPr>
                <w:rFonts w:ascii="Arial" w:cs="Arial" w:eastAsia="Arial" w:hAnsi="Arial"/>
                <w:sz w:val="14"/>
                <w:szCs w:val="14"/>
                <w:color w:val="auto"/>
              </w:rPr>
              <w:t>Indemnification by Hamilton.</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15.2</w:t>
            </w:r>
          </w:p>
        </w:tc>
        <w:tc>
          <w:tcPr>
            <w:tcW w:w="7720" w:type="dxa"/>
            <w:vAlign w:val="bottom"/>
          </w:tcPr>
          <w:p>
            <w:pPr>
              <w:ind w:left="200"/>
              <w:spacing w:after="0"/>
              <w:rPr>
                <w:sz w:val="20"/>
                <w:szCs w:val="20"/>
                <w:color w:val="auto"/>
              </w:rPr>
            </w:pPr>
            <w:r>
              <w:rPr>
                <w:rFonts w:ascii="Arial" w:cs="Arial" w:eastAsia="Arial" w:hAnsi="Arial"/>
                <w:sz w:val="14"/>
                <w:szCs w:val="14"/>
                <w:color w:val="auto"/>
              </w:rPr>
              <w:t>Indemnification by Buyer.</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18</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15.3</w:t>
            </w:r>
          </w:p>
        </w:tc>
        <w:tc>
          <w:tcPr>
            <w:tcW w:w="7720" w:type="dxa"/>
            <w:vAlign w:val="bottom"/>
          </w:tcPr>
          <w:p>
            <w:pPr>
              <w:ind w:left="200"/>
              <w:spacing w:after="0"/>
              <w:rPr>
                <w:sz w:val="20"/>
                <w:szCs w:val="20"/>
                <w:color w:val="auto"/>
              </w:rPr>
            </w:pPr>
            <w:r>
              <w:rPr>
                <w:rFonts w:ascii="Arial" w:cs="Arial" w:eastAsia="Arial" w:hAnsi="Arial"/>
                <w:sz w:val="14"/>
                <w:szCs w:val="14"/>
                <w:color w:val="auto"/>
              </w:rPr>
              <w:t>Claims.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19</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15.4</w:t>
            </w:r>
          </w:p>
        </w:tc>
        <w:tc>
          <w:tcPr>
            <w:tcW w:w="7720" w:type="dxa"/>
            <w:vAlign w:val="bottom"/>
          </w:tcPr>
          <w:p>
            <w:pPr>
              <w:ind w:left="200"/>
              <w:spacing w:after="0"/>
              <w:rPr>
                <w:sz w:val="20"/>
                <w:szCs w:val="20"/>
                <w:color w:val="auto"/>
              </w:rPr>
            </w:pPr>
            <w:r>
              <w:rPr>
                <w:rFonts w:ascii="Arial" w:cs="Arial" w:eastAsia="Arial" w:hAnsi="Arial"/>
                <w:sz w:val="14"/>
                <w:szCs w:val="14"/>
                <w:color w:val="auto"/>
              </w:rPr>
              <w:t>Insurance.</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19</w:t>
            </w:r>
          </w:p>
        </w:tc>
      </w:tr>
      <w:tr>
        <w:trPr>
          <w:trHeight w:val="204"/>
        </w:trPr>
        <w:tc>
          <w:tcPr>
            <w:tcW w:w="8200" w:type="dxa"/>
            <w:vAlign w:val="bottom"/>
            <w:gridSpan w:val="2"/>
          </w:tcPr>
          <w:p>
            <w:pPr>
              <w:spacing w:after="0"/>
              <w:rPr>
                <w:sz w:val="20"/>
                <w:szCs w:val="20"/>
                <w:color w:val="auto"/>
              </w:rPr>
            </w:pPr>
            <w:r>
              <w:rPr>
                <w:rFonts w:ascii="Arial" w:cs="Arial" w:eastAsia="Arial" w:hAnsi="Arial"/>
                <w:sz w:val="14"/>
                <w:szCs w:val="14"/>
                <w:color w:val="auto"/>
              </w:rPr>
              <w:t>ARTICLE 16 – MISCELLANEOUS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19</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16.1</w:t>
            </w:r>
          </w:p>
        </w:tc>
        <w:tc>
          <w:tcPr>
            <w:tcW w:w="7720" w:type="dxa"/>
            <w:vAlign w:val="bottom"/>
          </w:tcPr>
          <w:p>
            <w:pPr>
              <w:ind w:left="200"/>
              <w:spacing w:after="0"/>
              <w:rPr>
                <w:sz w:val="20"/>
                <w:szCs w:val="20"/>
                <w:color w:val="auto"/>
              </w:rPr>
            </w:pPr>
            <w:r>
              <w:rPr>
                <w:rFonts w:ascii="Arial" w:cs="Arial" w:eastAsia="Arial" w:hAnsi="Arial"/>
                <w:sz w:val="14"/>
                <w:szCs w:val="14"/>
                <w:color w:val="auto"/>
              </w:rPr>
              <w:t>Confidentiality.</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19</w:t>
            </w:r>
          </w:p>
        </w:tc>
      </w:tr>
      <w:tr>
        <w:trPr>
          <w:trHeight w:val="204"/>
        </w:trPr>
        <w:tc>
          <w:tcPr>
            <w:tcW w:w="480" w:type="dxa"/>
            <w:vAlign w:val="bottom"/>
          </w:tcPr>
          <w:p>
            <w:pPr>
              <w:spacing w:after="0"/>
              <w:rPr>
                <w:sz w:val="20"/>
                <w:szCs w:val="20"/>
                <w:color w:val="auto"/>
              </w:rPr>
            </w:pPr>
            <w:r>
              <w:rPr>
                <w:rFonts w:ascii="Arial" w:cs="Arial" w:eastAsia="Arial" w:hAnsi="Arial"/>
                <w:sz w:val="14"/>
                <w:szCs w:val="14"/>
                <w:color w:val="auto"/>
              </w:rPr>
              <w:t>16.2</w:t>
            </w:r>
          </w:p>
        </w:tc>
        <w:tc>
          <w:tcPr>
            <w:tcW w:w="7720" w:type="dxa"/>
            <w:vAlign w:val="bottom"/>
          </w:tcPr>
          <w:p>
            <w:pPr>
              <w:ind w:left="200"/>
              <w:spacing w:after="0"/>
              <w:rPr>
                <w:sz w:val="20"/>
                <w:szCs w:val="20"/>
                <w:color w:val="auto"/>
              </w:rPr>
            </w:pPr>
            <w:r>
              <w:rPr>
                <w:rFonts w:ascii="Arial" w:cs="Arial" w:eastAsia="Arial" w:hAnsi="Arial"/>
                <w:sz w:val="14"/>
                <w:szCs w:val="14"/>
                <w:color w:val="auto"/>
              </w:rPr>
              <w:t>Public Announcements.</w:t>
            </w:r>
          </w:p>
        </w:tc>
        <w:tc>
          <w:tcPr>
            <w:tcW w:w="2120" w:type="dxa"/>
            <w:vAlign w:val="bottom"/>
          </w:tcPr>
          <w:p>
            <w:pPr>
              <w:ind w:left="1980"/>
              <w:spacing w:after="0"/>
              <w:rPr>
                <w:sz w:val="20"/>
                <w:szCs w:val="20"/>
                <w:color w:val="auto"/>
              </w:rPr>
            </w:pPr>
            <w:r>
              <w:rPr>
                <w:rFonts w:ascii="Arial" w:cs="Arial" w:eastAsia="Arial" w:hAnsi="Arial"/>
                <w:sz w:val="14"/>
                <w:szCs w:val="14"/>
                <w:color w:val="auto"/>
                <w:w w:val="76"/>
              </w:rPr>
              <w:t>20</w:t>
            </w:r>
          </w:p>
        </w:tc>
      </w:tr>
    </w:tbl>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0320"/>
          </w:cols>
          <w:pgMar w:left="320" w:top="870" w:right="1259" w:bottom="1440" w:gutter="0" w:footer="0" w:header="0"/>
        </w:sectPr>
      </w:pPr>
    </w:p>
    <w:bookmarkStart w:id="488" w:name="page489"/>
    <w:bookmarkEnd w:id="488"/>
    <w:tbl>
      <w:tblPr>
        <w:tblLayout w:type="fixed"/>
        <w:tblInd w:w="0" w:type="dxa"/>
        <w:tblCellMar>
          <w:top w:w="0" w:type="dxa"/>
          <w:left w:w="0" w:type="dxa"/>
          <w:bottom w:w="0" w:type="dxa"/>
          <w:right w:w="0" w:type="dxa"/>
        </w:tblCellMar>
      </w:tblPr>
      <w:tr>
        <w:trPr>
          <w:trHeight w:val="183"/>
        </w:trPr>
        <w:tc>
          <w:tcPr>
            <w:tcW w:w="520" w:type="dxa"/>
            <w:vAlign w:val="bottom"/>
          </w:tcPr>
          <w:p>
            <w:pPr>
              <w:spacing w:after="0"/>
              <w:rPr>
                <w:sz w:val="20"/>
                <w:szCs w:val="20"/>
                <w:color w:val="auto"/>
              </w:rPr>
            </w:pPr>
            <w:r>
              <w:rPr>
                <w:rFonts w:ascii="Arial" w:cs="Arial" w:eastAsia="Arial" w:hAnsi="Arial"/>
                <w:sz w:val="14"/>
                <w:szCs w:val="14"/>
                <w:color w:val="auto"/>
              </w:rPr>
              <w:t>16.3</w:t>
            </w:r>
          </w:p>
        </w:tc>
        <w:tc>
          <w:tcPr>
            <w:tcW w:w="5840" w:type="dxa"/>
            <w:vAlign w:val="bottom"/>
          </w:tcPr>
          <w:p>
            <w:pPr>
              <w:ind w:left="160"/>
              <w:spacing w:after="0"/>
              <w:rPr>
                <w:sz w:val="20"/>
                <w:szCs w:val="20"/>
                <w:color w:val="auto"/>
              </w:rPr>
            </w:pPr>
            <w:r>
              <w:rPr>
                <w:rFonts w:ascii="Arial" w:cs="Arial" w:eastAsia="Arial" w:hAnsi="Arial"/>
                <w:sz w:val="14"/>
                <w:szCs w:val="14"/>
                <w:color w:val="auto"/>
              </w:rPr>
              <w:t>Arbitration.</w:t>
            </w:r>
          </w:p>
        </w:tc>
        <w:tc>
          <w:tcPr>
            <w:tcW w:w="39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16.4</w:t>
            </w:r>
          </w:p>
        </w:tc>
        <w:tc>
          <w:tcPr>
            <w:tcW w:w="5840" w:type="dxa"/>
            <w:vAlign w:val="bottom"/>
          </w:tcPr>
          <w:p>
            <w:pPr>
              <w:ind w:left="160"/>
              <w:spacing w:after="0"/>
              <w:rPr>
                <w:sz w:val="20"/>
                <w:szCs w:val="20"/>
                <w:color w:val="auto"/>
              </w:rPr>
            </w:pPr>
            <w:r>
              <w:rPr>
                <w:rFonts w:ascii="Arial" w:cs="Arial" w:eastAsia="Arial" w:hAnsi="Arial"/>
                <w:sz w:val="14"/>
                <w:szCs w:val="14"/>
                <w:color w:val="auto"/>
              </w:rPr>
              <w:t>Governing Law.</w:t>
            </w:r>
          </w:p>
        </w:tc>
        <w:tc>
          <w:tcPr>
            <w:tcW w:w="39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16.5</w:t>
            </w:r>
          </w:p>
        </w:tc>
        <w:tc>
          <w:tcPr>
            <w:tcW w:w="5840" w:type="dxa"/>
            <w:vAlign w:val="bottom"/>
          </w:tcPr>
          <w:p>
            <w:pPr>
              <w:ind w:left="160"/>
              <w:spacing w:after="0"/>
              <w:rPr>
                <w:sz w:val="20"/>
                <w:szCs w:val="20"/>
                <w:color w:val="auto"/>
              </w:rPr>
            </w:pPr>
            <w:r>
              <w:rPr>
                <w:rFonts w:ascii="Arial" w:cs="Arial" w:eastAsia="Arial" w:hAnsi="Arial"/>
                <w:sz w:val="14"/>
                <w:szCs w:val="14"/>
                <w:color w:val="auto"/>
              </w:rPr>
              <w:t>Relationship of the Parties.</w:t>
            </w:r>
          </w:p>
        </w:tc>
        <w:tc>
          <w:tcPr>
            <w:tcW w:w="39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16.6</w:t>
            </w:r>
          </w:p>
        </w:tc>
        <w:tc>
          <w:tcPr>
            <w:tcW w:w="5840" w:type="dxa"/>
            <w:vAlign w:val="bottom"/>
          </w:tcPr>
          <w:p>
            <w:pPr>
              <w:ind w:left="160"/>
              <w:spacing w:after="0"/>
              <w:rPr>
                <w:sz w:val="20"/>
                <w:szCs w:val="20"/>
                <w:color w:val="auto"/>
              </w:rPr>
            </w:pPr>
            <w:r>
              <w:rPr>
                <w:rFonts w:ascii="Arial" w:cs="Arial" w:eastAsia="Arial" w:hAnsi="Arial"/>
                <w:sz w:val="14"/>
                <w:szCs w:val="14"/>
                <w:color w:val="auto"/>
              </w:rPr>
              <w:t>Entire Agreement.</w:t>
            </w:r>
          </w:p>
        </w:tc>
        <w:tc>
          <w:tcPr>
            <w:tcW w:w="39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16.7</w:t>
            </w:r>
          </w:p>
        </w:tc>
        <w:tc>
          <w:tcPr>
            <w:tcW w:w="5840" w:type="dxa"/>
            <w:vAlign w:val="bottom"/>
          </w:tcPr>
          <w:p>
            <w:pPr>
              <w:ind w:left="160"/>
              <w:spacing w:after="0"/>
              <w:rPr>
                <w:sz w:val="20"/>
                <w:szCs w:val="20"/>
                <w:color w:val="auto"/>
              </w:rPr>
            </w:pPr>
            <w:r>
              <w:rPr>
                <w:rFonts w:ascii="Arial" w:cs="Arial" w:eastAsia="Arial" w:hAnsi="Arial"/>
                <w:sz w:val="14"/>
                <w:szCs w:val="14"/>
                <w:color w:val="auto"/>
              </w:rPr>
              <w:t>Headings.</w:t>
            </w:r>
          </w:p>
        </w:tc>
        <w:tc>
          <w:tcPr>
            <w:tcW w:w="39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16.8</w:t>
            </w:r>
          </w:p>
        </w:tc>
        <w:tc>
          <w:tcPr>
            <w:tcW w:w="5840" w:type="dxa"/>
            <w:vAlign w:val="bottom"/>
          </w:tcPr>
          <w:p>
            <w:pPr>
              <w:ind w:left="160"/>
              <w:spacing w:after="0"/>
              <w:rPr>
                <w:sz w:val="20"/>
                <w:szCs w:val="20"/>
                <w:color w:val="auto"/>
              </w:rPr>
            </w:pPr>
            <w:r>
              <w:rPr>
                <w:rFonts w:ascii="Arial" w:cs="Arial" w:eastAsia="Arial" w:hAnsi="Arial"/>
                <w:sz w:val="14"/>
                <w:szCs w:val="14"/>
                <w:color w:val="auto"/>
              </w:rPr>
              <w:t>Notices.</w:t>
            </w:r>
          </w:p>
        </w:tc>
        <w:tc>
          <w:tcPr>
            <w:tcW w:w="39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16.9</w:t>
            </w:r>
          </w:p>
        </w:tc>
        <w:tc>
          <w:tcPr>
            <w:tcW w:w="5840" w:type="dxa"/>
            <w:vAlign w:val="bottom"/>
          </w:tcPr>
          <w:p>
            <w:pPr>
              <w:ind w:left="160"/>
              <w:spacing w:after="0"/>
              <w:rPr>
                <w:sz w:val="20"/>
                <w:szCs w:val="20"/>
                <w:color w:val="auto"/>
              </w:rPr>
            </w:pPr>
            <w:r>
              <w:rPr>
                <w:rFonts w:ascii="Arial" w:cs="Arial" w:eastAsia="Arial" w:hAnsi="Arial"/>
                <w:sz w:val="14"/>
                <w:szCs w:val="14"/>
                <w:color w:val="auto"/>
              </w:rPr>
              <w:t>Failure to Exercise.</w:t>
            </w:r>
          </w:p>
        </w:tc>
        <w:tc>
          <w:tcPr>
            <w:tcW w:w="3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16.1</w:t>
            </w:r>
          </w:p>
        </w:tc>
        <w:tc>
          <w:tcPr>
            <w:tcW w:w="5840" w:type="dxa"/>
            <w:vAlign w:val="bottom"/>
          </w:tcPr>
          <w:p>
            <w:pPr>
              <w:ind w:left="160"/>
              <w:spacing w:after="0"/>
              <w:rPr>
                <w:sz w:val="20"/>
                <w:szCs w:val="20"/>
                <w:color w:val="auto"/>
              </w:rPr>
            </w:pPr>
            <w:r>
              <w:rPr>
                <w:rFonts w:ascii="Arial" w:cs="Arial" w:eastAsia="Arial" w:hAnsi="Arial"/>
                <w:sz w:val="14"/>
                <w:szCs w:val="14"/>
                <w:color w:val="auto"/>
              </w:rPr>
              <w:t>Assignment.</w:t>
            </w:r>
          </w:p>
        </w:tc>
        <w:tc>
          <w:tcPr>
            <w:tcW w:w="3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16.11</w:t>
            </w:r>
          </w:p>
        </w:tc>
        <w:tc>
          <w:tcPr>
            <w:tcW w:w="5840" w:type="dxa"/>
            <w:vAlign w:val="bottom"/>
          </w:tcPr>
          <w:p>
            <w:pPr>
              <w:ind w:left="160"/>
              <w:spacing w:after="0"/>
              <w:rPr>
                <w:sz w:val="20"/>
                <w:szCs w:val="20"/>
                <w:color w:val="auto"/>
              </w:rPr>
            </w:pPr>
            <w:r>
              <w:rPr>
                <w:rFonts w:ascii="Arial" w:cs="Arial" w:eastAsia="Arial" w:hAnsi="Arial"/>
                <w:sz w:val="14"/>
                <w:szCs w:val="14"/>
                <w:color w:val="auto"/>
              </w:rPr>
              <w:t>Severability.</w:t>
            </w:r>
          </w:p>
        </w:tc>
        <w:tc>
          <w:tcPr>
            <w:tcW w:w="3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16.12</w:t>
            </w:r>
          </w:p>
        </w:tc>
        <w:tc>
          <w:tcPr>
            <w:tcW w:w="5840" w:type="dxa"/>
            <w:vAlign w:val="bottom"/>
          </w:tcPr>
          <w:p>
            <w:pPr>
              <w:ind w:left="160"/>
              <w:spacing w:after="0"/>
              <w:rPr>
                <w:sz w:val="20"/>
                <w:szCs w:val="20"/>
                <w:color w:val="auto"/>
              </w:rPr>
            </w:pPr>
            <w:r>
              <w:rPr>
                <w:rFonts w:ascii="Arial" w:cs="Arial" w:eastAsia="Arial" w:hAnsi="Arial"/>
                <w:sz w:val="14"/>
                <w:szCs w:val="14"/>
                <w:color w:val="auto"/>
              </w:rPr>
              <w:t>Expenses.</w:t>
            </w:r>
          </w:p>
        </w:tc>
        <w:tc>
          <w:tcPr>
            <w:tcW w:w="3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16.13</w:t>
            </w:r>
          </w:p>
        </w:tc>
        <w:tc>
          <w:tcPr>
            <w:tcW w:w="5840" w:type="dxa"/>
            <w:vAlign w:val="bottom"/>
          </w:tcPr>
          <w:p>
            <w:pPr>
              <w:ind w:left="160"/>
              <w:spacing w:after="0"/>
              <w:rPr>
                <w:sz w:val="20"/>
                <w:szCs w:val="20"/>
                <w:color w:val="auto"/>
              </w:rPr>
            </w:pPr>
            <w:r>
              <w:rPr>
                <w:rFonts w:ascii="Arial" w:cs="Arial" w:eastAsia="Arial" w:hAnsi="Arial"/>
                <w:sz w:val="14"/>
                <w:szCs w:val="14"/>
                <w:color w:val="auto"/>
              </w:rPr>
              <w:t>Maintaining Records.</w:t>
            </w:r>
          </w:p>
        </w:tc>
        <w:tc>
          <w:tcPr>
            <w:tcW w:w="3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16.14</w:t>
            </w:r>
          </w:p>
        </w:tc>
        <w:tc>
          <w:tcPr>
            <w:tcW w:w="5840" w:type="dxa"/>
            <w:vAlign w:val="bottom"/>
          </w:tcPr>
          <w:p>
            <w:pPr>
              <w:ind w:left="160"/>
              <w:spacing w:after="0"/>
              <w:rPr>
                <w:sz w:val="20"/>
                <w:szCs w:val="20"/>
                <w:color w:val="auto"/>
              </w:rPr>
            </w:pPr>
            <w:r>
              <w:rPr>
                <w:rFonts w:ascii="Arial" w:cs="Arial" w:eastAsia="Arial" w:hAnsi="Arial"/>
                <w:sz w:val="14"/>
                <w:szCs w:val="14"/>
                <w:color w:val="auto"/>
              </w:rPr>
              <w:t>Project Work Scope Schedule.</w:t>
            </w:r>
          </w:p>
        </w:tc>
        <w:tc>
          <w:tcPr>
            <w:tcW w:w="3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16.15</w:t>
            </w:r>
          </w:p>
        </w:tc>
        <w:tc>
          <w:tcPr>
            <w:tcW w:w="5840" w:type="dxa"/>
            <w:vAlign w:val="bottom"/>
          </w:tcPr>
          <w:p>
            <w:pPr>
              <w:ind w:left="160"/>
              <w:spacing w:after="0"/>
              <w:rPr>
                <w:sz w:val="20"/>
                <w:szCs w:val="20"/>
                <w:color w:val="auto"/>
              </w:rPr>
            </w:pPr>
            <w:r>
              <w:rPr>
                <w:rFonts w:ascii="Arial" w:cs="Arial" w:eastAsia="Arial" w:hAnsi="Arial"/>
                <w:sz w:val="14"/>
                <w:szCs w:val="14"/>
                <w:color w:val="auto"/>
              </w:rPr>
              <w:t>Interpretation.</w:t>
            </w:r>
          </w:p>
        </w:tc>
        <w:tc>
          <w:tcPr>
            <w:tcW w:w="3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4"/>
        </w:trPr>
        <w:tc>
          <w:tcPr>
            <w:tcW w:w="520" w:type="dxa"/>
            <w:vAlign w:val="bottom"/>
          </w:tcPr>
          <w:p>
            <w:pPr>
              <w:spacing w:after="0"/>
              <w:rPr>
                <w:sz w:val="20"/>
                <w:szCs w:val="20"/>
                <w:color w:val="auto"/>
              </w:rPr>
            </w:pPr>
            <w:r>
              <w:rPr>
                <w:rFonts w:ascii="Arial" w:cs="Arial" w:eastAsia="Arial" w:hAnsi="Arial"/>
                <w:sz w:val="14"/>
                <w:szCs w:val="14"/>
                <w:color w:val="auto"/>
              </w:rPr>
              <w:t>16.16</w:t>
            </w:r>
          </w:p>
        </w:tc>
        <w:tc>
          <w:tcPr>
            <w:tcW w:w="5840" w:type="dxa"/>
            <w:vAlign w:val="bottom"/>
          </w:tcPr>
          <w:p>
            <w:pPr>
              <w:ind w:left="160"/>
              <w:spacing w:after="0"/>
              <w:rPr>
                <w:sz w:val="20"/>
                <w:szCs w:val="20"/>
                <w:color w:val="auto"/>
              </w:rPr>
            </w:pPr>
            <w:r>
              <w:rPr>
                <w:rFonts w:ascii="Arial" w:cs="Arial" w:eastAsia="Arial" w:hAnsi="Arial"/>
                <w:sz w:val="14"/>
                <w:szCs w:val="14"/>
                <w:color w:val="auto"/>
              </w:rPr>
              <w:t>Counterparts.</w:t>
            </w:r>
          </w:p>
        </w:tc>
        <w:tc>
          <w:tcPr>
            <w:tcW w:w="39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4"/>
        </w:trPr>
        <w:tc>
          <w:tcPr>
            <w:tcW w:w="6360" w:type="dxa"/>
            <w:vAlign w:val="bottom"/>
            <w:gridSpan w:val="2"/>
          </w:tcPr>
          <w:p>
            <w:pPr>
              <w:spacing w:after="0"/>
              <w:rPr>
                <w:sz w:val="20"/>
                <w:szCs w:val="20"/>
                <w:color w:val="auto"/>
              </w:rPr>
            </w:pPr>
            <w:r>
              <w:rPr>
                <w:rFonts w:ascii="Arial" w:cs="Arial" w:eastAsia="Arial" w:hAnsi="Arial"/>
                <w:sz w:val="14"/>
                <w:szCs w:val="14"/>
                <w:color w:val="auto"/>
              </w:rPr>
              <w:t>Exhibit 1 – Instrument</w:t>
            </w:r>
          </w:p>
        </w:tc>
        <w:tc>
          <w:tcPr>
            <w:tcW w:w="39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4"/>
        </w:trPr>
        <w:tc>
          <w:tcPr>
            <w:tcW w:w="6360" w:type="dxa"/>
            <w:vAlign w:val="bottom"/>
            <w:gridSpan w:val="2"/>
          </w:tcPr>
          <w:p>
            <w:pPr>
              <w:spacing w:after="0"/>
              <w:rPr>
                <w:sz w:val="20"/>
                <w:szCs w:val="20"/>
                <w:color w:val="auto"/>
              </w:rPr>
            </w:pPr>
            <w:r>
              <w:rPr>
                <w:rFonts w:ascii="Arial" w:cs="Arial" w:eastAsia="Arial" w:hAnsi="Arial"/>
                <w:sz w:val="14"/>
                <w:szCs w:val="14"/>
                <w:color w:val="auto"/>
              </w:rPr>
              <w:t>Exhibit 2 – Price Schedule</w:t>
            </w:r>
          </w:p>
        </w:tc>
        <w:tc>
          <w:tcPr>
            <w:tcW w:w="39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4"/>
        </w:trPr>
        <w:tc>
          <w:tcPr>
            <w:tcW w:w="6360" w:type="dxa"/>
            <w:vAlign w:val="bottom"/>
            <w:gridSpan w:val="2"/>
          </w:tcPr>
          <w:p>
            <w:pPr>
              <w:spacing w:after="0"/>
              <w:rPr>
                <w:sz w:val="20"/>
                <w:szCs w:val="20"/>
                <w:color w:val="auto"/>
              </w:rPr>
            </w:pPr>
            <w:r>
              <w:rPr>
                <w:rFonts w:ascii="Arial" w:cs="Arial" w:eastAsia="Arial" w:hAnsi="Arial"/>
                <w:sz w:val="14"/>
                <w:szCs w:val="14"/>
                <w:color w:val="auto"/>
              </w:rPr>
              <w:t>Exhibit 3 – Service Terms and Conditions</w:t>
            </w:r>
          </w:p>
        </w:tc>
        <w:tc>
          <w:tcPr>
            <w:tcW w:w="39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4"/>
        </w:trPr>
        <w:tc>
          <w:tcPr>
            <w:tcW w:w="6360" w:type="dxa"/>
            <w:vAlign w:val="bottom"/>
            <w:gridSpan w:val="2"/>
          </w:tcPr>
          <w:p>
            <w:pPr>
              <w:spacing w:after="0"/>
              <w:rPr>
                <w:sz w:val="20"/>
                <w:szCs w:val="20"/>
                <w:color w:val="auto"/>
              </w:rPr>
            </w:pPr>
            <w:r>
              <w:rPr>
                <w:rFonts w:ascii="Arial" w:cs="Arial" w:eastAsia="Arial" w:hAnsi="Arial"/>
                <w:sz w:val="14"/>
                <w:szCs w:val="14"/>
                <w:color w:val="auto"/>
              </w:rPr>
              <w:t>Exhibit 4 – Change Notification</w:t>
            </w:r>
          </w:p>
        </w:tc>
        <w:tc>
          <w:tcPr>
            <w:tcW w:w="39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4"/>
        </w:trPr>
        <w:tc>
          <w:tcPr>
            <w:tcW w:w="6360" w:type="dxa"/>
            <w:vAlign w:val="bottom"/>
            <w:gridSpan w:val="2"/>
          </w:tcPr>
          <w:p>
            <w:pPr>
              <w:spacing w:after="0"/>
              <w:rPr>
                <w:sz w:val="20"/>
                <w:szCs w:val="20"/>
                <w:color w:val="auto"/>
              </w:rPr>
            </w:pPr>
            <w:r>
              <w:rPr>
                <w:rFonts w:ascii="Arial" w:cs="Arial" w:eastAsia="Arial" w:hAnsi="Arial"/>
                <w:sz w:val="14"/>
                <w:szCs w:val="14"/>
                <w:color w:val="auto"/>
              </w:rPr>
              <w:t>Exhibit 5 – Site Requirements</w:t>
            </w:r>
          </w:p>
        </w:tc>
        <w:tc>
          <w:tcPr>
            <w:tcW w:w="3960" w:type="dxa"/>
            <w:vAlign w:val="bottom"/>
          </w:tcPr>
          <w:p>
            <w:pPr>
              <w:jc w:val="right"/>
              <w:spacing w:after="0"/>
              <w:rPr>
                <w:sz w:val="20"/>
                <w:szCs w:val="20"/>
                <w:color w:val="auto"/>
              </w:rPr>
            </w:pPr>
            <w:r>
              <w:rPr>
                <w:rFonts w:ascii="Arial" w:cs="Arial" w:eastAsia="Arial" w:hAnsi="Arial"/>
                <w:sz w:val="14"/>
                <w:szCs w:val="14"/>
                <w:color w:val="auto"/>
              </w:rPr>
              <w:t>45</w:t>
            </w:r>
          </w:p>
        </w:tc>
      </w:tr>
    </w:tbl>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0320"/>
          </w:cols>
          <w:pgMar w:left="320" w:top="920" w:right="1259" w:bottom="1440" w:gutter="0" w:footer="0" w:header="0"/>
        </w:sectPr>
      </w:pPr>
    </w:p>
    <w:bookmarkStart w:id="489" w:name="page490"/>
    <w:bookmarkEnd w:id="489"/>
    <w:p>
      <w:pPr>
        <w:jc w:val="center"/>
        <w:ind w:right="-8"/>
        <w:spacing w:after="0"/>
        <w:rPr>
          <w:sz w:val="20"/>
          <w:szCs w:val="20"/>
          <w:color w:val="auto"/>
        </w:rPr>
      </w:pPr>
      <w:r>
        <w:rPr>
          <w:rFonts w:ascii="Arial" w:cs="Arial" w:eastAsia="Arial" w:hAnsi="Arial"/>
          <w:sz w:val="15"/>
          <w:szCs w:val="15"/>
          <w:b w:val="1"/>
          <w:bCs w:val="1"/>
          <w:color w:val="auto"/>
        </w:rPr>
        <w:t>UMBRELLA DEVELOPMENT &amp; SUPPLY AGREEMENT</w:t>
      </w:r>
    </w:p>
    <w:p>
      <w:pPr>
        <w:spacing w:after="0" w:line="191" w:lineRule="exact"/>
        <w:rPr>
          <w:sz w:val="20"/>
          <w:szCs w:val="20"/>
          <w:color w:val="auto"/>
        </w:rPr>
      </w:pPr>
    </w:p>
    <w:p>
      <w:pPr>
        <w:jc w:val="both"/>
        <w:ind w:left="9"/>
        <w:spacing w:after="0" w:line="281" w:lineRule="auto"/>
        <w:rPr>
          <w:sz w:val="20"/>
          <w:szCs w:val="20"/>
          <w:color w:val="auto"/>
        </w:rPr>
      </w:pPr>
      <w:r>
        <w:rPr>
          <w:rFonts w:ascii="Arial" w:cs="Arial" w:eastAsia="Arial" w:hAnsi="Arial"/>
          <w:sz w:val="15"/>
          <w:szCs w:val="15"/>
          <w:color w:val="auto"/>
        </w:rPr>
        <w:t>This UMBRELLA DEVELOPMENT &amp; SUPPLY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by and between SEER, INC., a State of California corporation (“</w:t>
      </w:r>
      <w:r>
        <w:rPr>
          <w:rFonts w:ascii="Arial" w:cs="Arial" w:eastAsia="Arial" w:hAnsi="Arial"/>
          <w:sz w:val="15"/>
          <w:szCs w:val="15"/>
          <w:b w:val="1"/>
          <w:bCs w:val="1"/>
          <w:color w:val="auto"/>
        </w:rPr>
        <w:t>Buyer</w:t>
      </w:r>
      <w:r>
        <w:rPr>
          <w:rFonts w:ascii="Arial" w:cs="Arial" w:eastAsia="Arial" w:hAnsi="Arial"/>
          <w:sz w:val="15"/>
          <w:szCs w:val="15"/>
          <w:color w:val="auto"/>
        </w:rPr>
        <w:t>”), and HAMILTON COMPANY, a State of Nevada corporation (“</w:t>
      </w:r>
      <w:r>
        <w:rPr>
          <w:rFonts w:ascii="Arial" w:cs="Arial" w:eastAsia="Arial" w:hAnsi="Arial"/>
          <w:sz w:val="15"/>
          <w:szCs w:val="15"/>
          <w:b w:val="1"/>
          <w:bCs w:val="1"/>
          <w:color w:val="auto"/>
        </w:rPr>
        <w:t>Hamilton</w:t>
      </w:r>
      <w:r>
        <w:rPr>
          <w:rFonts w:ascii="Arial" w:cs="Arial" w:eastAsia="Arial" w:hAnsi="Arial"/>
          <w:sz w:val="15"/>
          <w:szCs w:val="15"/>
          <w:color w:val="auto"/>
        </w:rPr>
        <w:t>”), is effective as of March 9, 2020 (the “</w:t>
      </w:r>
      <w:r>
        <w:rPr>
          <w:rFonts w:ascii="Arial" w:cs="Arial" w:eastAsia="Arial" w:hAnsi="Arial"/>
          <w:sz w:val="15"/>
          <w:szCs w:val="15"/>
          <w:b w:val="1"/>
          <w:bCs w:val="1"/>
          <w:color w:val="auto"/>
        </w:rPr>
        <w:t>Effective Date</w:t>
      </w:r>
      <w:r>
        <w:rPr>
          <w:rFonts w:ascii="Arial" w:cs="Arial" w:eastAsia="Arial" w:hAnsi="Arial"/>
          <w:sz w:val="15"/>
          <w:szCs w:val="15"/>
          <w:color w:val="auto"/>
        </w:rPr>
        <w:t>”). Buyer and Hamilton may be referred to individually as a “</w:t>
      </w:r>
      <w:r>
        <w:rPr>
          <w:rFonts w:ascii="Arial" w:cs="Arial" w:eastAsia="Arial" w:hAnsi="Arial"/>
          <w:sz w:val="15"/>
          <w:szCs w:val="15"/>
          <w:b w:val="1"/>
          <w:b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23" w:lineRule="exact"/>
        <w:rPr>
          <w:sz w:val="20"/>
          <w:szCs w:val="20"/>
          <w:color w:val="auto"/>
        </w:rPr>
      </w:pPr>
    </w:p>
    <w:p>
      <w:pPr>
        <w:jc w:val="both"/>
        <w:ind w:left="9"/>
        <w:spacing w:after="0" w:line="295" w:lineRule="auto"/>
        <w:rPr>
          <w:sz w:val="20"/>
          <w:szCs w:val="20"/>
          <w:color w:val="auto"/>
        </w:rPr>
      </w:pPr>
      <w:r>
        <w:rPr>
          <w:rFonts w:ascii="Arial" w:cs="Arial" w:eastAsia="Arial" w:hAnsi="Arial"/>
          <w:sz w:val="15"/>
          <w:szCs w:val="15"/>
          <w:color w:val="auto"/>
        </w:rPr>
        <w:t>Buyer is a life sciences company focused on developing and commercializing its Proteograph™ platform for high-throughput and accurate analyses of the proteome for research and clinical applications;</w:t>
      </w:r>
    </w:p>
    <w:p>
      <w:pPr>
        <w:spacing w:after="0" w:line="121" w:lineRule="exact"/>
        <w:rPr>
          <w:sz w:val="20"/>
          <w:szCs w:val="20"/>
          <w:color w:val="auto"/>
        </w:rPr>
      </w:pPr>
    </w:p>
    <w:p>
      <w:pPr>
        <w:jc w:val="both"/>
        <w:ind w:left="9" w:right="20"/>
        <w:spacing w:after="0" w:line="295" w:lineRule="auto"/>
        <w:rPr>
          <w:sz w:val="20"/>
          <w:szCs w:val="20"/>
          <w:color w:val="auto"/>
        </w:rPr>
      </w:pPr>
      <w:r>
        <w:rPr>
          <w:rFonts w:ascii="Arial" w:cs="Arial" w:eastAsia="Arial" w:hAnsi="Arial"/>
          <w:sz w:val="15"/>
          <w:szCs w:val="15"/>
          <w:color w:val="auto"/>
        </w:rPr>
        <w:t>Hamilton is in the business of developing liquid handling solutions, assisting with the development of application specifications of liquid handling processes and selling the Products (as defined below); and</w:t>
      </w:r>
    </w:p>
    <w:p>
      <w:pPr>
        <w:spacing w:after="0" w:line="121" w:lineRule="exact"/>
        <w:rPr>
          <w:sz w:val="20"/>
          <w:szCs w:val="20"/>
          <w:color w:val="auto"/>
        </w:rPr>
      </w:pPr>
    </w:p>
    <w:p>
      <w:pPr>
        <w:jc w:val="both"/>
        <w:ind w:left="9" w:right="20"/>
        <w:spacing w:after="0" w:line="295" w:lineRule="auto"/>
        <w:rPr>
          <w:sz w:val="20"/>
          <w:szCs w:val="20"/>
          <w:color w:val="auto"/>
        </w:rPr>
      </w:pPr>
      <w:r>
        <w:rPr>
          <w:rFonts w:ascii="Arial" w:cs="Arial" w:eastAsia="Arial" w:hAnsi="Arial"/>
          <w:sz w:val="15"/>
          <w:szCs w:val="15"/>
          <w:color w:val="auto"/>
        </w:rPr>
        <w:t>Buyer desires to purchase directly from Hamilton the Products and receive support for aftermarket activities from Hamilton, and Hamilton desires to sell the Products and provide such support to Buyer, all pursuant to the terms and conditions of this Agreement.</w:t>
      </w:r>
    </w:p>
    <w:p>
      <w:pPr>
        <w:spacing w:after="0" w:line="121" w:lineRule="exact"/>
        <w:rPr>
          <w:sz w:val="20"/>
          <w:szCs w:val="20"/>
          <w:color w:val="auto"/>
        </w:rPr>
      </w:pPr>
    </w:p>
    <w:p>
      <w:pPr>
        <w:jc w:val="both"/>
        <w:ind w:left="9"/>
        <w:spacing w:after="0" w:line="295" w:lineRule="auto"/>
        <w:rPr>
          <w:sz w:val="20"/>
          <w:szCs w:val="20"/>
          <w:color w:val="auto"/>
        </w:rPr>
      </w:pPr>
      <w:r>
        <w:rPr>
          <w:rFonts w:ascii="Arial" w:cs="Arial" w:eastAsia="Arial" w:hAnsi="Arial"/>
          <w:sz w:val="15"/>
          <w:szCs w:val="15"/>
          <w:color w:val="auto"/>
        </w:rPr>
        <w:t>In consideration of the mutual covenants set forth herein and for other good and valuable consideration, the receipt and sufficiency of which are hereby acknowledged, the Parties hereto covenant and agree as follows:</w:t>
      </w:r>
    </w:p>
    <w:p>
      <w:pPr>
        <w:spacing w:after="0" w:line="12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ARTICLE 1 – DEFINITIONS</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5"/>
          <w:szCs w:val="15"/>
          <w:color w:val="auto"/>
        </w:rPr>
        <w:t>As used throughout this Agreement, each of the following initially capitalized terms has the respective meaning set forth below:</w:t>
      </w:r>
    </w:p>
    <w:p>
      <w:pPr>
        <w:spacing w:after="0" w:line="189" w:lineRule="exact"/>
        <w:rPr>
          <w:sz w:val="20"/>
          <w:szCs w:val="20"/>
          <w:color w:val="auto"/>
        </w:rPr>
      </w:pPr>
    </w:p>
    <w:p>
      <w:pPr>
        <w:jc w:val="both"/>
        <w:ind w:left="549" w:hanging="549"/>
        <w:spacing w:after="0" w:line="264" w:lineRule="auto"/>
        <w:tabs>
          <w:tab w:leader="none" w:pos="539" w:val="left"/>
        </w:tabs>
        <w:numPr>
          <w:ilvl w:val="0"/>
          <w:numId w:val="3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of a Party hereto means any entity that directly or indirectly controls, is controlled by or is under common control with such Party, for so long as such control exists. For purposes of this definition only, “</w:t>
      </w:r>
      <w:r>
        <w:rPr>
          <w:rFonts w:ascii="Arial" w:cs="Arial" w:eastAsia="Arial" w:hAnsi="Arial"/>
          <w:sz w:val="15"/>
          <w:szCs w:val="15"/>
          <w:b w:val="1"/>
          <w:bCs w:val="1"/>
          <w:color w:val="auto"/>
        </w:rPr>
        <w:t>control</w:t>
      </w:r>
      <w:r>
        <w:rPr>
          <w:rFonts w:ascii="Arial" w:cs="Arial" w:eastAsia="Arial" w:hAnsi="Arial"/>
          <w:sz w:val="15"/>
          <w:szCs w:val="15"/>
          <w:color w:val="auto"/>
        </w:rPr>
        <w:t>” (and, with correlative meanings, the terms “controlled by” and “under common control with”) means, in the case of a corporation, the ownership of more than fifty percent (50%) of the outstanding voting securities thereof or, in the case of any other type of entity, an interest that results in the ability to direct or cause the direction of the management and policies of such Party or the power to appoint more than 50% of the members of the governing body of the Party.</w:t>
      </w:r>
    </w:p>
    <w:p>
      <w:pPr>
        <w:spacing w:after="0" w:line="141" w:lineRule="exact"/>
        <w:rPr>
          <w:rFonts w:ascii="Arial" w:cs="Arial" w:eastAsia="Arial" w:hAnsi="Arial"/>
          <w:sz w:val="15"/>
          <w:szCs w:val="15"/>
          <w:color w:val="auto"/>
        </w:rPr>
      </w:pPr>
    </w:p>
    <w:p>
      <w:pPr>
        <w:jc w:val="both"/>
        <w:ind w:left="549" w:hanging="549"/>
        <w:spacing w:after="0" w:line="275" w:lineRule="auto"/>
        <w:tabs>
          <w:tab w:leader="none" w:pos="539" w:val="left"/>
        </w:tabs>
        <w:numPr>
          <w:ilvl w:val="0"/>
          <w:numId w:val="3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Applicable Laws</w:t>
      </w:r>
      <w:r>
        <w:rPr>
          <w:rFonts w:ascii="Arial" w:cs="Arial" w:eastAsia="Arial" w:hAnsi="Arial"/>
          <w:sz w:val="15"/>
          <w:szCs w:val="15"/>
          <w:color w:val="auto"/>
        </w:rPr>
        <w:t>” means all federal, state, provincial, local, national and supra-national laws, statutes, rules and regulations, including any rules, regulations, guidance, guidelines or requirements of Regulatory Authorities, national securities exchanges or securities listing organizations, in any country, and applicable customary and reasonable industry practices, in each case that are in effect from time to time during the Term and applicable to a particular activity hereunder.</w:t>
      </w:r>
    </w:p>
    <w:p>
      <w:pPr>
        <w:spacing w:after="0" w:line="133" w:lineRule="exact"/>
        <w:rPr>
          <w:rFonts w:ascii="Arial" w:cs="Arial" w:eastAsia="Arial" w:hAnsi="Arial"/>
          <w:sz w:val="15"/>
          <w:szCs w:val="15"/>
          <w:color w:val="auto"/>
        </w:rPr>
      </w:pPr>
    </w:p>
    <w:p>
      <w:pPr>
        <w:ind w:left="529" w:hanging="529"/>
        <w:spacing w:after="0"/>
        <w:tabs>
          <w:tab w:leader="none" w:pos="529" w:val="left"/>
        </w:tabs>
        <w:numPr>
          <w:ilvl w:val="0"/>
          <w:numId w:val="3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means any day other than a Saturday, Sunday or other day on which banks in Reno, Nevada are authorized or required by law to close.</w:t>
      </w:r>
    </w:p>
    <w:p>
      <w:pPr>
        <w:spacing w:after="0" w:line="190" w:lineRule="exact"/>
        <w:rPr>
          <w:rFonts w:ascii="Arial" w:cs="Arial" w:eastAsia="Arial" w:hAnsi="Arial"/>
          <w:sz w:val="15"/>
          <w:szCs w:val="15"/>
          <w:color w:val="auto"/>
        </w:rPr>
      </w:pPr>
    </w:p>
    <w:p>
      <w:pPr>
        <w:jc w:val="both"/>
        <w:ind w:left="549" w:hanging="549"/>
        <w:spacing w:after="0" w:line="261" w:lineRule="auto"/>
        <w:tabs>
          <w:tab w:leader="none" w:pos="539" w:val="left"/>
        </w:tabs>
        <w:numPr>
          <w:ilvl w:val="0"/>
          <w:numId w:val="3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Buyer’s Technology</w:t>
      </w:r>
      <w:r>
        <w:rPr>
          <w:rFonts w:ascii="Arial" w:cs="Arial" w:eastAsia="Arial" w:hAnsi="Arial"/>
          <w:sz w:val="15"/>
          <w:szCs w:val="15"/>
          <w:color w:val="auto"/>
        </w:rPr>
        <w:t>” means any Buyer Intellectual Property that is proprietary to Buyer and/or its Affiliates, including but not limited to Buyer’s Know-How, trade secrets, Proteograph™ platform and related technology and Confidential Information (to the extent not otherwise incorporating Hamilton Technology or Confidential Information). For clarity, Buyer’s Technology includes all assays and related Methods included in or otherwise necessary to exploit Buyer’s Proteograph™ platform (collectively, “</w:t>
      </w:r>
      <w:r>
        <w:rPr>
          <w:rFonts w:ascii="Arial" w:cs="Arial" w:eastAsia="Arial" w:hAnsi="Arial"/>
          <w:sz w:val="15"/>
          <w:szCs w:val="15"/>
          <w:b w:val="1"/>
          <w:bCs w:val="1"/>
          <w:color w:val="auto"/>
        </w:rPr>
        <w:t>Buyer’s Assays</w:t>
      </w:r>
      <w:r>
        <w:rPr>
          <w:rFonts w:ascii="Arial" w:cs="Arial" w:eastAsia="Arial" w:hAnsi="Arial"/>
          <w:sz w:val="15"/>
          <w:szCs w:val="15"/>
          <w:color w:val="auto"/>
        </w:rPr>
        <w:t>”). For clarity, Hamilton may manufacture and/or sell an Instrument that may compete with Final Product herein, so long as the Instrument does not contain Buyer Technology, proprietary information, or any technology or information based substantially on technology or information provided by Buyer or derived from such Buyer-provided technology or information.</w:t>
      </w:r>
    </w:p>
    <w:p>
      <w:pPr>
        <w:spacing w:after="0" w:line="146" w:lineRule="exact"/>
        <w:rPr>
          <w:rFonts w:ascii="Arial" w:cs="Arial" w:eastAsia="Arial" w:hAnsi="Arial"/>
          <w:sz w:val="15"/>
          <w:szCs w:val="15"/>
          <w:color w:val="auto"/>
        </w:rPr>
      </w:pPr>
    </w:p>
    <w:p>
      <w:pPr>
        <w:ind w:left="549" w:right="20" w:hanging="549"/>
        <w:spacing w:after="0" w:line="298" w:lineRule="auto"/>
        <w:tabs>
          <w:tab w:leader="none" w:pos="539" w:val="left"/>
        </w:tabs>
        <w:numPr>
          <w:ilvl w:val="0"/>
          <w:numId w:val="3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Commercial Launch</w:t>
      </w:r>
      <w:r>
        <w:rPr>
          <w:rFonts w:ascii="Arial" w:cs="Arial" w:eastAsia="Arial" w:hAnsi="Arial"/>
          <w:sz w:val="15"/>
          <w:szCs w:val="15"/>
          <w:color w:val="auto"/>
        </w:rPr>
        <w:t>” means the first date upon which Buyer makes Final Product available to the public for purchase and commercial use by third party customers.</w:t>
      </w:r>
    </w:p>
    <w:p>
      <w:pPr>
        <w:spacing w:after="0" w:line="200" w:lineRule="exact"/>
        <w:rPr>
          <w:sz w:val="20"/>
          <w:szCs w:val="20"/>
          <w:color w:val="auto"/>
        </w:rPr>
      </w:pPr>
    </w:p>
    <w:p>
      <w:pPr>
        <w:spacing w:after="0" w:line="334"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9"/>
          </w:cols>
          <w:pgMar w:left="311" w:top="868" w:right="319" w:bottom="1440" w:gutter="0" w:footer="0" w:header="0"/>
        </w:sectPr>
      </w:pPr>
    </w:p>
    <w:bookmarkStart w:id="490" w:name="page491"/>
    <w:bookmarkEnd w:id="490"/>
    <w:p>
      <w:pPr>
        <w:ind w:left="549" w:hanging="549"/>
        <w:spacing w:after="0" w:line="282" w:lineRule="auto"/>
        <w:tabs>
          <w:tab w:leader="none" w:pos="539"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Consumables</w:t>
      </w:r>
      <w:r>
        <w:rPr>
          <w:rFonts w:ascii="Arial" w:cs="Arial" w:eastAsia="Arial" w:hAnsi="Arial"/>
          <w:sz w:val="15"/>
          <w:szCs w:val="15"/>
          <w:color w:val="auto"/>
        </w:rPr>
        <w:t>” means the Hamilton provided disposable tips (i.e., Nested Conductive Filter and Clear Tips), reagent reservoirs and other consumables (if any) described in the applicable Project Work Scope Schedule.</w:t>
      </w:r>
    </w:p>
    <w:p>
      <w:pPr>
        <w:spacing w:after="0" w:line="117" w:lineRule="exact"/>
        <w:rPr>
          <w:rFonts w:ascii="Arial" w:cs="Arial" w:eastAsia="Arial" w:hAnsi="Arial"/>
          <w:sz w:val="15"/>
          <w:szCs w:val="15"/>
          <w:color w:val="auto"/>
        </w:rPr>
      </w:pPr>
    </w:p>
    <w:p>
      <w:pPr>
        <w:ind w:left="549" w:hanging="549"/>
        <w:spacing w:after="0" w:line="282" w:lineRule="auto"/>
        <w:tabs>
          <w:tab w:leader="none" w:pos="539"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Customer Requirement Specifications</w:t>
      </w:r>
      <w:r>
        <w:rPr>
          <w:rFonts w:ascii="Arial" w:cs="Arial" w:eastAsia="Arial" w:hAnsi="Arial"/>
          <w:sz w:val="15"/>
          <w:szCs w:val="15"/>
          <w:color w:val="auto"/>
        </w:rPr>
        <w:t>” or “</w:t>
      </w:r>
      <w:r>
        <w:rPr>
          <w:rFonts w:ascii="Arial" w:cs="Arial" w:eastAsia="Arial" w:hAnsi="Arial"/>
          <w:sz w:val="15"/>
          <w:szCs w:val="15"/>
          <w:b w:val="1"/>
          <w:bCs w:val="1"/>
          <w:color w:val="auto"/>
        </w:rPr>
        <w:t>CRS</w:t>
      </w:r>
      <w:r>
        <w:rPr>
          <w:rFonts w:ascii="Arial" w:cs="Arial" w:eastAsia="Arial" w:hAnsi="Arial"/>
          <w:sz w:val="15"/>
          <w:szCs w:val="15"/>
          <w:color w:val="auto"/>
        </w:rPr>
        <w:t>” means a required document (maintained outside this Agreement) outlining the Buyer’s requirements for a project, updated and agreed upon between the Parties.</w:t>
      </w:r>
    </w:p>
    <w:p>
      <w:pPr>
        <w:spacing w:after="0" w:line="117" w:lineRule="exact"/>
        <w:rPr>
          <w:rFonts w:ascii="Arial" w:cs="Arial" w:eastAsia="Arial" w:hAnsi="Arial"/>
          <w:sz w:val="15"/>
          <w:szCs w:val="15"/>
          <w:color w:val="auto"/>
        </w:rPr>
      </w:pPr>
    </w:p>
    <w:p>
      <w:pPr>
        <w:ind w:left="529" w:hanging="529"/>
        <w:spacing w:after="0"/>
        <w:tabs>
          <w:tab w:leader="none" w:pos="529"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U.S. Food and Drug Administration, or any successor agency thereto.</w:t>
      </w:r>
    </w:p>
    <w:p>
      <w:pPr>
        <w:spacing w:after="0" w:line="179" w:lineRule="exact"/>
        <w:rPr>
          <w:rFonts w:ascii="Arial" w:cs="Arial" w:eastAsia="Arial" w:hAnsi="Arial"/>
          <w:sz w:val="15"/>
          <w:szCs w:val="15"/>
          <w:color w:val="auto"/>
        </w:rPr>
      </w:pPr>
    </w:p>
    <w:p>
      <w:pPr>
        <w:jc w:val="both"/>
        <w:ind w:left="549" w:hanging="549"/>
        <w:spacing w:after="0" w:line="259" w:lineRule="auto"/>
        <w:tabs>
          <w:tab w:leader="none" w:pos="539"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Final Product</w:t>
      </w:r>
      <w:r>
        <w:rPr>
          <w:rFonts w:ascii="Arial" w:cs="Arial" w:eastAsia="Arial" w:hAnsi="Arial"/>
          <w:sz w:val="15"/>
          <w:szCs w:val="15"/>
          <w:color w:val="auto"/>
        </w:rPr>
        <w:t>” means each of Buyer’s final saleable products comprising, collectively, the Product and any Buyer or third party offered products, and consumables used on or in conjunction with the Product not included in the Instrument bill of materials (“</w:t>
      </w:r>
      <w:r>
        <w:rPr>
          <w:rFonts w:ascii="Arial" w:cs="Arial" w:eastAsia="Arial" w:hAnsi="Arial"/>
          <w:sz w:val="15"/>
          <w:szCs w:val="15"/>
          <w:b w:val="1"/>
          <w:bCs w:val="1"/>
          <w:color w:val="auto"/>
        </w:rPr>
        <w:t>BOM</w:t>
      </w:r>
      <w:r>
        <w:rPr>
          <w:rFonts w:ascii="Arial" w:cs="Arial" w:eastAsia="Arial" w:hAnsi="Arial"/>
          <w:sz w:val="15"/>
          <w:szCs w:val="15"/>
          <w:color w:val="auto"/>
        </w:rPr>
        <w:t>”) set forth in the applicable Project Work Scope Schedule.</w:t>
      </w:r>
    </w:p>
    <w:p>
      <w:pPr>
        <w:spacing w:after="0" w:line="133" w:lineRule="exact"/>
        <w:rPr>
          <w:rFonts w:ascii="Arial" w:cs="Arial" w:eastAsia="Arial" w:hAnsi="Arial"/>
          <w:sz w:val="15"/>
          <w:szCs w:val="15"/>
          <w:color w:val="auto"/>
        </w:rPr>
      </w:pPr>
    </w:p>
    <w:p>
      <w:pPr>
        <w:ind w:left="549" w:hanging="549"/>
        <w:spacing w:after="0"/>
        <w:tabs>
          <w:tab w:leader="none" w:pos="549"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Fiscal Year</w:t>
      </w:r>
      <w:r>
        <w:rPr>
          <w:rFonts w:ascii="Arial" w:cs="Arial" w:eastAsia="Arial" w:hAnsi="Arial"/>
          <w:sz w:val="15"/>
          <w:szCs w:val="15"/>
          <w:color w:val="auto"/>
        </w:rPr>
        <w:t>” means the 12-month period starting July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of a calendar year and ending June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of the following calendar year.</w:t>
      </w:r>
    </w:p>
    <w:p>
      <w:pPr>
        <w:spacing w:after="0" w:line="134" w:lineRule="exact"/>
        <w:rPr>
          <w:rFonts w:ascii="Arial" w:cs="Arial" w:eastAsia="Arial" w:hAnsi="Arial"/>
          <w:sz w:val="15"/>
          <w:szCs w:val="15"/>
          <w:color w:val="auto"/>
        </w:rPr>
      </w:pPr>
    </w:p>
    <w:p>
      <w:pPr>
        <w:ind w:left="549" w:right="40" w:hanging="549"/>
        <w:spacing w:after="0" w:line="259" w:lineRule="auto"/>
        <w:tabs>
          <w:tab w:leader="none" w:pos="533"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Hamilton Technology</w:t>
      </w:r>
      <w:r>
        <w:rPr>
          <w:rFonts w:ascii="Arial" w:cs="Arial" w:eastAsia="Arial" w:hAnsi="Arial"/>
          <w:sz w:val="15"/>
          <w:szCs w:val="15"/>
          <w:color w:val="auto"/>
        </w:rPr>
        <w:t>” means any Hamilton Intellectual Property that is proprietary to Hamilton and/or its Affiliates, including but not limited to Hamilton’s Know-How, trade secrets, manufacturing processes, Product data, Confidential Information and Specifications (to the extent not otherwise incorporating Buyer’s Technology or Confidential Information).</w:t>
      </w:r>
    </w:p>
    <w:p>
      <w:pPr>
        <w:spacing w:after="0" w:line="134" w:lineRule="exact"/>
        <w:rPr>
          <w:rFonts w:ascii="Arial" w:cs="Arial" w:eastAsia="Arial" w:hAnsi="Arial"/>
          <w:sz w:val="15"/>
          <w:szCs w:val="15"/>
          <w:color w:val="auto"/>
        </w:rPr>
      </w:pPr>
    </w:p>
    <w:p>
      <w:pPr>
        <w:ind w:left="549" w:hanging="549"/>
        <w:spacing w:after="0"/>
        <w:tabs>
          <w:tab w:leader="none" w:pos="549"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Instrument</w:t>
      </w:r>
      <w:r>
        <w:rPr>
          <w:rFonts w:ascii="Arial" w:cs="Arial" w:eastAsia="Arial" w:hAnsi="Arial"/>
          <w:sz w:val="15"/>
          <w:szCs w:val="15"/>
          <w:color w:val="auto"/>
        </w:rPr>
        <w:t>” means the configured automated liquid handling workstation(s) identified as described in the applicable Project Work Scope Schedule.</w:t>
      </w:r>
    </w:p>
    <w:p>
      <w:pPr>
        <w:spacing w:after="0" w:line="179" w:lineRule="exact"/>
        <w:rPr>
          <w:rFonts w:ascii="Arial" w:cs="Arial" w:eastAsia="Arial" w:hAnsi="Arial"/>
          <w:sz w:val="15"/>
          <w:szCs w:val="15"/>
          <w:color w:val="auto"/>
        </w:rPr>
      </w:pPr>
    </w:p>
    <w:p>
      <w:pPr>
        <w:jc w:val="both"/>
        <w:ind w:left="549" w:hanging="549"/>
        <w:spacing w:after="0" w:line="243" w:lineRule="auto"/>
        <w:tabs>
          <w:tab w:leader="none" w:pos="544"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means any item, property, process, product, trade secret, or similar creation or right, whether or not patentable, copyrightable, trademarkable or otherwise protectable under intellectual property or other Applicable Laws, as well as all inventions, discoveries, methods, ideas, designs, developments, hardware, firmware, software and programs (including object code and source code), improvements, innovations, formulas, processes, assays, written works, know-how, techniques, works of authorship and technology developed, conceived, contemplated, written, completed, reduced to practice, or learned by a Party, including any enhancements or modifications made by such Party (including its employees, agents, contractors and subcontractors) at any time to the above, and intellectual property rights worldwide associated with or relating to the foregoing whether arising under statutory or common law or by contract and whether or not perfected, now existing or hereafter filed, issued, or acquired, including all (i) patent rights (including patent applications and disclosures), (ii) rights of priority, (iii) rights associated with works of authorship including copyrights and mask work rights, (iv) trademark rights, (v) rights relating to the protection of trade secrets and non-public, confidential or proprietary information, and (vi) any right analogous to those set forth herein and any other proprietary rights relating to intangible property (collectively, (i)-(vi), “</w:t>
      </w:r>
      <w:r>
        <w:rPr>
          <w:rFonts w:ascii="Arial" w:cs="Arial" w:eastAsia="Arial" w:hAnsi="Arial"/>
          <w:sz w:val="15"/>
          <w:szCs w:val="15"/>
          <w:b w:val="1"/>
          <w:bCs w:val="1"/>
          <w:color w:val="auto"/>
        </w:rPr>
        <w:t>Intellectual Property Rights</w:t>
      </w:r>
      <w:r>
        <w:rPr>
          <w:rFonts w:ascii="Arial" w:cs="Arial" w:eastAsia="Arial" w:hAnsi="Arial"/>
          <w:sz w:val="15"/>
          <w:szCs w:val="15"/>
          <w:color w:val="auto"/>
        </w:rPr>
        <w:t>”).</w:t>
      </w:r>
    </w:p>
    <w:p>
      <w:pPr>
        <w:spacing w:after="0" w:line="138" w:lineRule="exact"/>
        <w:rPr>
          <w:rFonts w:ascii="Arial" w:cs="Arial" w:eastAsia="Arial" w:hAnsi="Arial"/>
          <w:sz w:val="15"/>
          <w:szCs w:val="15"/>
          <w:color w:val="auto"/>
        </w:rPr>
      </w:pPr>
    </w:p>
    <w:p>
      <w:pPr>
        <w:jc w:val="both"/>
        <w:ind w:left="549" w:hanging="549"/>
        <w:spacing w:after="0" w:line="259" w:lineRule="auto"/>
        <w:tabs>
          <w:tab w:leader="none" w:pos="544"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Know-How</w:t>
      </w:r>
      <w:r>
        <w:rPr>
          <w:rFonts w:ascii="Arial" w:cs="Arial" w:eastAsia="Arial" w:hAnsi="Arial"/>
          <w:sz w:val="15"/>
          <w:szCs w:val="15"/>
          <w:color w:val="auto"/>
        </w:rPr>
        <w:t>” means, with respect to a Party, any and all technical information presently available or generated during the Term of this Agreement that relates to the Products or any improvements thereto made by such Party (including its employees, agents, contractors and subcontractors) and shall include, without limitation, all manufacturing data and any other information relating thereto and useful for the development, manufacture, use or effectiveness of such Products.</w:t>
      </w:r>
    </w:p>
    <w:p>
      <w:pPr>
        <w:spacing w:after="0" w:line="134" w:lineRule="exact"/>
        <w:rPr>
          <w:rFonts w:ascii="Arial" w:cs="Arial" w:eastAsia="Arial" w:hAnsi="Arial"/>
          <w:sz w:val="15"/>
          <w:szCs w:val="15"/>
          <w:color w:val="auto"/>
        </w:rPr>
      </w:pPr>
    </w:p>
    <w:p>
      <w:pPr>
        <w:ind w:left="549" w:hanging="549"/>
        <w:spacing w:after="0" w:line="282" w:lineRule="auto"/>
        <w:tabs>
          <w:tab w:leader="none" w:pos="544"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Method</w:t>
      </w:r>
      <w:r>
        <w:rPr>
          <w:rFonts w:ascii="Arial" w:cs="Arial" w:eastAsia="Arial" w:hAnsi="Arial"/>
          <w:sz w:val="15"/>
          <w:szCs w:val="15"/>
          <w:color w:val="auto"/>
        </w:rPr>
        <w:t>” means a workflow for processing an assay in order to qualitatively assess or quantitatively measure the presence, amount, or functional activity of a target application.</w:t>
      </w:r>
    </w:p>
    <w:p>
      <w:pPr>
        <w:spacing w:after="0" w:line="117" w:lineRule="exact"/>
        <w:rPr>
          <w:rFonts w:ascii="Arial" w:cs="Arial" w:eastAsia="Arial" w:hAnsi="Arial"/>
          <w:sz w:val="15"/>
          <w:szCs w:val="15"/>
          <w:color w:val="auto"/>
        </w:rPr>
      </w:pPr>
    </w:p>
    <w:p>
      <w:pPr>
        <w:jc w:val="both"/>
        <w:ind w:left="549" w:hanging="549"/>
        <w:spacing w:after="0" w:line="252" w:lineRule="auto"/>
        <w:tabs>
          <w:tab w:leader="none" w:pos="544"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Product</w:t>
      </w:r>
      <w:r>
        <w:rPr>
          <w:rFonts w:ascii="Arial" w:cs="Arial" w:eastAsia="Arial" w:hAnsi="Arial"/>
          <w:sz w:val="15"/>
          <w:szCs w:val="15"/>
          <w:color w:val="auto"/>
        </w:rPr>
        <w:t>” means, individually and/or collectively, the Instrument and Consumables and the associated Hamilton provided accessories, software, supplies and Spare Parts, in each case listed on a Project Work Scope Schedule(s) or Instrument BOM. For the avoidance of doubt, any and all products, consumables and other items incorporated in Final Product or intended for use with the Instrument, but in each case not supplied by Hamilton hereunder, are expressly excluded from the definition of Product.</w:t>
      </w:r>
    </w:p>
    <w:p>
      <w:pPr>
        <w:spacing w:after="0" w:line="138" w:lineRule="exact"/>
        <w:rPr>
          <w:rFonts w:ascii="Arial" w:cs="Arial" w:eastAsia="Arial" w:hAnsi="Arial"/>
          <w:sz w:val="15"/>
          <w:szCs w:val="15"/>
          <w:color w:val="auto"/>
        </w:rPr>
      </w:pPr>
    </w:p>
    <w:p>
      <w:pPr>
        <w:ind w:left="549" w:hanging="549"/>
        <w:spacing w:after="0" w:line="298" w:lineRule="auto"/>
        <w:tabs>
          <w:tab w:leader="none" w:pos="544" w:val="left"/>
        </w:tabs>
        <w:numPr>
          <w:ilvl w:val="0"/>
          <w:numId w:val="3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Project Work Scope Schedule</w:t>
      </w:r>
      <w:r>
        <w:rPr>
          <w:rFonts w:ascii="Arial" w:cs="Arial" w:eastAsia="Arial" w:hAnsi="Arial"/>
          <w:sz w:val="15"/>
          <w:szCs w:val="15"/>
          <w:color w:val="auto"/>
        </w:rPr>
        <w:t>” means each individual project specific scope, attached hereto (or to be attached hereto) as Exhibits and incorporated into this Agreement by reference, outlining the deliverables</w:t>
      </w:r>
    </w:p>
    <w:p>
      <w:pPr>
        <w:spacing w:after="0" w:line="200" w:lineRule="exact"/>
        <w:rPr>
          <w:sz w:val="20"/>
          <w:szCs w:val="20"/>
          <w:color w:val="auto"/>
        </w:rPr>
      </w:pPr>
    </w:p>
    <w:p>
      <w:pPr>
        <w:spacing w:after="0" w:line="334"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9"/>
          </w:cols>
          <w:pgMar w:left="311" w:top="868" w:right="319" w:bottom="1440" w:gutter="0" w:footer="0" w:header="0"/>
        </w:sectPr>
      </w:pPr>
    </w:p>
    <w:bookmarkStart w:id="491" w:name="page492"/>
    <w:bookmarkEnd w:id="491"/>
    <w:p>
      <w:pPr>
        <w:ind w:left="549"/>
        <w:spacing w:after="0" w:line="279" w:lineRule="auto"/>
        <w:rPr>
          <w:sz w:val="20"/>
          <w:szCs w:val="20"/>
          <w:color w:val="auto"/>
        </w:rPr>
      </w:pPr>
      <w:r>
        <w:rPr>
          <w:rFonts w:ascii="Arial" w:cs="Arial" w:eastAsia="Arial" w:hAnsi="Arial"/>
          <w:sz w:val="15"/>
          <w:szCs w:val="15"/>
          <w:color w:val="auto"/>
        </w:rPr>
        <w:t>based on the CRS, Product Specifications, Product pricing, and applicable lead time for Product, as may be entered into or amended by the Parties from time to time during the Term.</w:t>
      </w:r>
    </w:p>
    <w:p>
      <w:pPr>
        <w:spacing w:after="0" w:line="119" w:lineRule="exact"/>
        <w:rPr>
          <w:sz w:val="20"/>
          <w:szCs w:val="20"/>
          <w:color w:val="auto"/>
        </w:rPr>
      </w:pPr>
    </w:p>
    <w:p>
      <w:pPr>
        <w:ind w:left="549" w:hanging="549"/>
        <w:spacing w:after="0"/>
        <w:tabs>
          <w:tab w:leader="none" w:pos="54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Purchase Order</w:t>
      </w:r>
      <w:r>
        <w:rPr>
          <w:rFonts w:ascii="Arial" w:cs="Arial" w:eastAsia="Arial" w:hAnsi="Arial"/>
          <w:sz w:val="15"/>
          <w:szCs w:val="15"/>
          <w:color w:val="auto"/>
        </w:rPr>
        <w:t>” means a written request from Buyer submitted to Hamilton requesting the supply of Products in accordance with section 2.5.</w:t>
      </w:r>
    </w:p>
    <w:p>
      <w:pPr>
        <w:spacing w:after="0" w:line="179" w:lineRule="exact"/>
        <w:rPr>
          <w:rFonts w:ascii="Arial" w:cs="Arial" w:eastAsia="Arial" w:hAnsi="Arial"/>
          <w:sz w:val="15"/>
          <w:szCs w:val="15"/>
          <w:color w:val="auto"/>
        </w:rPr>
      </w:pPr>
    </w:p>
    <w:p>
      <w:pPr>
        <w:ind w:left="549" w:hanging="549"/>
        <w:spacing w:after="0"/>
        <w:tabs>
          <w:tab w:leader="none" w:pos="54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Quarter</w:t>
      </w:r>
      <w:r>
        <w:rPr>
          <w:rFonts w:ascii="Arial" w:cs="Arial" w:eastAsia="Arial" w:hAnsi="Arial"/>
          <w:sz w:val="15"/>
          <w:szCs w:val="15"/>
          <w:color w:val="auto"/>
        </w:rPr>
        <w:t>” means each period of three consecutive calendar months commencing on July 1, October 1, January 1 and April 1 of each Fiscal Year.</w:t>
      </w:r>
    </w:p>
    <w:p>
      <w:pPr>
        <w:spacing w:after="0" w:line="179" w:lineRule="exact"/>
        <w:rPr>
          <w:rFonts w:ascii="Arial" w:cs="Arial" w:eastAsia="Arial" w:hAnsi="Arial"/>
          <w:sz w:val="15"/>
          <w:szCs w:val="15"/>
          <w:color w:val="auto"/>
        </w:rPr>
      </w:pPr>
    </w:p>
    <w:p>
      <w:pPr>
        <w:ind w:left="549" w:hanging="549"/>
        <w:spacing w:after="0"/>
        <w:tabs>
          <w:tab w:leader="none" w:pos="54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Raw Materials</w:t>
      </w:r>
      <w:r>
        <w:rPr>
          <w:rFonts w:ascii="Arial" w:cs="Arial" w:eastAsia="Arial" w:hAnsi="Arial"/>
          <w:sz w:val="15"/>
          <w:szCs w:val="15"/>
          <w:color w:val="auto"/>
        </w:rPr>
        <w:t>” means the materials, components, and packaging required to manufacture and package the Product in accordance with the Specifications.</w:t>
      </w:r>
    </w:p>
    <w:p>
      <w:pPr>
        <w:spacing w:after="0" w:line="179" w:lineRule="exact"/>
        <w:rPr>
          <w:rFonts w:ascii="Arial" w:cs="Arial" w:eastAsia="Arial" w:hAnsi="Arial"/>
          <w:sz w:val="15"/>
          <w:szCs w:val="15"/>
          <w:color w:val="auto"/>
        </w:rPr>
      </w:pPr>
    </w:p>
    <w:p>
      <w:pPr>
        <w:jc w:val="both"/>
        <w:ind w:left="549" w:hanging="549"/>
        <w:spacing w:after="0" w:line="259" w:lineRule="auto"/>
        <w:tabs>
          <w:tab w:leader="none" w:pos="544"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Regulatory Authority</w:t>
      </w:r>
      <w:r>
        <w:rPr>
          <w:rFonts w:ascii="Arial" w:cs="Arial" w:eastAsia="Arial" w:hAnsi="Arial"/>
          <w:sz w:val="15"/>
          <w:szCs w:val="15"/>
          <w:color w:val="auto"/>
        </w:rPr>
        <w:t>” means any applicable government regulatory authority involved in granting approvals for the use, development, manufacture or commercialization of Products, including the FDA, or any other national, supra-national, regional, state or local regulatory agency, department, bureau, commission, council or other governmental entity with authority over the use, manufacture or commercialization of Products, or any successor agency thereto.</w:t>
      </w:r>
    </w:p>
    <w:p>
      <w:pPr>
        <w:spacing w:after="0" w:line="134" w:lineRule="exact"/>
        <w:rPr>
          <w:rFonts w:ascii="Arial" w:cs="Arial" w:eastAsia="Arial" w:hAnsi="Arial"/>
          <w:sz w:val="15"/>
          <w:szCs w:val="15"/>
          <w:color w:val="auto"/>
        </w:rPr>
      </w:pPr>
    </w:p>
    <w:p>
      <w:pPr>
        <w:ind w:left="549" w:right="280" w:hanging="549"/>
        <w:spacing w:after="0" w:line="282" w:lineRule="auto"/>
        <w:tabs>
          <w:tab w:leader="none" w:pos="544"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Representatives</w:t>
      </w:r>
      <w:r>
        <w:rPr>
          <w:rFonts w:ascii="Arial" w:cs="Arial" w:eastAsia="Arial" w:hAnsi="Arial"/>
          <w:sz w:val="15"/>
          <w:szCs w:val="15"/>
          <w:color w:val="auto"/>
        </w:rPr>
        <w:t>” means, in respect of a Party, its subsidiaries and its Affiliates’ respective directors, officers, managers, members, employees, contractors and agents.</w:t>
      </w:r>
    </w:p>
    <w:p>
      <w:pPr>
        <w:spacing w:after="0" w:line="117" w:lineRule="exact"/>
        <w:rPr>
          <w:rFonts w:ascii="Arial" w:cs="Arial" w:eastAsia="Arial" w:hAnsi="Arial"/>
          <w:sz w:val="15"/>
          <w:szCs w:val="15"/>
          <w:color w:val="auto"/>
        </w:rPr>
      </w:pPr>
    </w:p>
    <w:p>
      <w:pPr>
        <w:ind w:left="549" w:hanging="549"/>
        <w:spacing w:after="0"/>
        <w:tabs>
          <w:tab w:leader="none" w:pos="54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Service</w:t>
      </w:r>
      <w:r>
        <w:rPr>
          <w:rFonts w:ascii="Arial" w:cs="Arial" w:eastAsia="Arial" w:hAnsi="Arial"/>
          <w:sz w:val="15"/>
          <w:szCs w:val="15"/>
          <w:color w:val="auto"/>
        </w:rPr>
        <w:t>” means aftermarket hardware support and maintenance for Instruments under warranty or extended service agreement, as described in Exhibit 3.</w:t>
      </w:r>
    </w:p>
    <w:p>
      <w:pPr>
        <w:spacing w:after="0" w:line="179" w:lineRule="exact"/>
        <w:rPr>
          <w:rFonts w:ascii="Arial" w:cs="Arial" w:eastAsia="Arial" w:hAnsi="Arial"/>
          <w:sz w:val="15"/>
          <w:szCs w:val="15"/>
          <w:color w:val="auto"/>
        </w:rPr>
      </w:pPr>
    </w:p>
    <w:p>
      <w:pPr>
        <w:ind w:left="549" w:hanging="549"/>
        <w:spacing w:after="0"/>
        <w:tabs>
          <w:tab w:leader="none" w:pos="54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Spare Parts</w:t>
      </w:r>
      <w:r>
        <w:rPr>
          <w:rFonts w:ascii="Arial" w:cs="Arial" w:eastAsia="Arial" w:hAnsi="Arial"/>
          <w:sz w:val="15"/>
          <w:szCs w:val="15"/>
          <w:color w:val="auto"/>
        </w:rPr>
        <w:t>” means items required for the care or enhancement of the original Product.</w:t>
      </w:r>
    </w:p>
    <w:p>
      <w:pPr>
        <w:spacing w:after="0" w:line="179" w:lineRule="exact"/>
        <w:rPr>
          <w:rFonts w:ascii="Arial" w:cs="Arial" w:eastAsia="Arial" w:hAnsi="Arial"/>
          <w:sz w:val="15"/>
          <w:szCs w:val="15"/>
          <w:color w:val="auto"/>
        </w:rPr>
      </w:pPr>
    </w:p>
    <w:p>
      <w:pPr>
        <w:jc w:val="both"/>
        <w:ind w:left="549" w:hanging="549"/>
        <w:spacing w:after="0" w:line="252" w:lineRule="auto"/>
        <w:tabs>
          <w:tab w:leader="none" w:pos="544"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Specifications</w:t>
      </w:r>
      <w:r>
        <w:rPr>
          <w:rFonts w:ascii="Arial" w:cs="Arial" w:eastAsia="Arial" w:hAnsi="Arial"/>
          <w:sz w:val="15"/>
          <w:szCs w:val="15"/>
          <w:color w:val="auto"/>
        </w:rPr>
        <w:t>” means, with respect to a Product, the specifications for the design, composition, product safety assurance, manufacture, packaging, acceptance criteria and quality control of such Product set forth or referenced in the applicable Project Work Scope Schedule. In addition, the Specifications shall include compliance with Applicable Laws. For clarity, the Specifications are Hamilton’s property to the extent not incorporating Buyer’s Technology or Confidential Information.</w:t>
      </w:r>
    </w:p>
    <w:p>
      <w:pPr>
        <w:spacing w:after="0" w:line="138" w:lineRule="exact"/>
        <w:rPr>
          <w:rFonts w:ascii="Arial" w:cs="Arial" w:eastAsia="Arial" w:hAnsi="Arial"/>
          <w:sz w:val="15"/>
          <w:szCs w:val="15"/>
          <w:color w:val="auto"/>
        </w:rPr>
      </w:pPr>
    </w:p>
    <w:p>
      <w:pPr>
        <w:ind w:left="549" w:hanging="549"/>
        <w:spacing w:after="0"/>
        <w:tabs>
          <w:tab w:leader="none" w:pos="549"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Term</w:t>
      </w:r>
      <w:r>
        <w:rPr>
          <w:rFonts w:ascii="Arial" w:cs="Arial" w:eastAsia="Arial" w:hAnsi="Arial"/>
          <w:sz w:val="15"/>
          <w:szCs w:val="15"/>
          <w:color w:val="auto"/>
        </w:rPr>
        <w:t>” means the Initial Term and any Extended Term.</w:t>
      </w:r>
    </w:p>
    <w:p>
      <w:pPr>
        <w:spacing w:after="0" w:line="18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ARTICLE 2 – SUPPLY, PRICING, FORECASTS, ORDERS, SERVICES</w:t>
      </w:r>
    </w:p>
    <w:p>
      <w:pPr>
        <w:spacing w:after="0" w:line="180" w:lineRule="exact"/>
        <w:rPr>
          <w:sz w:val="20"/>
          <w:szCs w:val="20"/>
          <w:color w:val="auto"/>
        </w:rPr>
      </w:pPr>
    </w:p>
    <w:p>
      <w:pPr>
        <w:ind w:left="9"/>
        <w:spacing w:after="0"/>
        <w:tabs>
          <w:tab w:leader="none" w:pos="529"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4"/>
          <w:szCs w:val="14"/>
          <w:color w:val="auto"/>
        </w:rPr>
        <w:t>Supply of Product.</w:t>
      </w:r>
    </w:p>
    <w:p>
      <w:pPr>
        <w:spacing w:after="0" w:line="180" w:lineRule="exact"/>
        <w:rPr>
          <w:sz w:val="20"/>
          <w:szCs w:val="20"/>
          <w:color w:val="auto"/>
        </w:rPr>
      </w:pPr>
    </w:p>
    <w:p>
      <w:pPr>
        <w:jc w:val="both"/>
        <w:ind w:left="549" w:right="20" w:hanging="272"/>
        <w:spacing w:after="0" w:line="279" w:lineRule="auto"/>
        <w:rPr>
          <w:sz w:val="20"/>
          <w:szCs w:val="20"/>
          <w:color w:val="auto"/>
        </w:rPr>
      </w:pPr>
      <w:r>
        <w:rPr>
          <w:rFonts w:ascii="Arial" w:cs="Arial" w:eastAsia="Arial" w:hAnsi="Arial"/>
          <w:sz w:val="15"/>
          <w:szCs w:val="15"/>
          <w:color w:val="auto"/>
        </w:rPr>
        <w:t>2.1.1</w:t>
      </w:r>
      <w:r>
        <w:rPr>
          <w:sz w:val="20"/>
          <w:szCs w:val="20"/>
          <w:color w:val="auto"/>
        </w:rPr>
        <w:t xml:space="preserve"> </w:t>
      </w:r>
      <w:r>
        <w:rPr>
          <w:rFonts w:ascii="Arial" w:cs="Arial" w:eastAsia="Arial" w:hAnsi="Arial"/>
          <w:sz w:val="15"/>
          <w:szCs w:val="15"/>
          <w:color w:val="auto"/>
        </w:rPr>
        <w:t>During the Term, Hamilton shall supply Buyer with those quantities of Product ordered by Buyer pursuant to this Agreement, subject to the ordering procedures set forth in section 2.5 below. Each Product sold hereunder will conform to the Specifications for such Product.</w:t>
      </w:r>
    </w:p>
    <w:p>
      <w:pPr>
        <w:spacing w:after="0" w:line="121" w:lineRule="exact"/>
        <w:rPr>
          <w:sz w:val="20"/>
          <w:szCs w:val="20"/>
          <w:color w:val="auto"/>
        </w:rPr>
      </w:pPr>
    </w:p>
    <w:p>
      <w:pPr>
        <w:jc w:val="both"/>
        <w:ind w:left="549" w:hanging="272"/>
        <w:spacing w:after="0" w:line="279" w:lineRule="auto"/>
        <w:rPr>
          <w:sz w:val="20"/>
          <w:szCs w:val="20"/>
          <w:color w:val="auto"/>
        </w:rPr>
      </w:pPr>
      <w:r>
        <w:rPr>
          <w:rFonts w:ascii="Arial" w:cs="Arial" w:eastAsia="Arial" w:hAnsi="Arial"/>
          <w:sz w:val="15"/>
          <w:szCs w:val="15"/>
          <w:color w:val="auto"/>
        </w:rPr>
        <w:t>2.1.2</w:t>
      </w:r>
      <w:r>
        <w:rPr>
          <w:sz w:val="20"/>
          <w:szCs w:val="20"/>
          <w:color w:val="auto"/>
        </w:rPr>
        <w:t xml:space="preserve"> </w:t>
      </w:r>
      <w:r>
        <w:rPr>
          <w:rFonts w:ascii="Arial" w:cs="Arial" w:eastAsia="Arial" w:hAnsi="Arial"/>
          <w:sz w:val="15"/>
          <w:szCs w:val="15"/>
          <w:color w:val="auto"/>
        </w:rPr>
        <w:t>Buyer may request at any time by written notice to change any one or more of the following: (a) method of packaging; (b) carrier; or (c) place and/or time of delivery, subject to section 2.5.3. Hamilton shall accept and implement such changes as soon as reasonably practical at Buyer’s expense.</w:t>
      </w:r>
    </w:p>
    <w:p>
      <w:pPr>
        <w:spacing w:after="0" w:line="121" w:lineRule="exact"/>
        <w:rPr>
          <w:sz w:val="20"/>
          <w:szCs w:val="20"/>
          <w:color w:val="auto"/>
        </w:rPr>
      </w:pPr>
    </w:p>
    <w:p>
      <w:pPr>
        <w:jc w:val="both"/>
        <w:ind w:left="549" w:hanging="272"/>
        <w:spacing w:after="0" w:line="251" w:lineRule="auto"/>
        <w:rPr>
          <w:sz w:val="20"/>
          <w:szCs w:val="20"/>
          <w:color w:val="auto"/>
        </w:rPr>
      </w:pPr>
      <w:r>
        <w:rPr>
          <w:rFonts w:ascii="Arial" w:cs="Arial" w:eastAsia="Arial" w:hAnsi="Arial"/>
          <w:sz w:val="15"/>
          <w:szCs w:val="15"/>
          <w:color w:val="auto"/>
        </w:rPr>
        <w:t>2.1.3</w:t>
      </w:r>
      <w:r>
        <w:rPr>
          <w:sz w:val="20"/>
          <w:szCs w:val="20"/>
          <w:color w:val="auto"/>
        </w:rPr>
        <w:t xml:space="preserve"> </w:t>
      </w:r>
      <w:r>
        <w:rPr>
          <w:rFonts w:ascii="Arial" w:cs="Arial" w:eastAsia="Arial" w:hAnsi="Arial"/>
          <w:sz w:val="15"/>
          <w:szCs w:val="15"/>
          <w:color w:val="auto"/>
        </w:rPr>
        <w:t>Hamilton may subcontract or delegate any portion (but not all) of its obligations under this Agreement, provided that Hamilton shall (a) ensure that each subcontractor has and maintains all appropriate qualifications, and (b) be responsible for each subcontractor’s performance hereunder (including performance or non-performance by such subcontractor that would constitute a breach of this Agreement if conducted by Hamilton) as if Hamilton were itself performing such activities.</w:t>
      </w:r>
    </w:p>
    <w:p>
      <w:pPr>
        <w:spacing w:after="0" w:line="142" w:lineRule="exact"/>
        <w:rPr>
          <w:sz w:val="20"/>
          <w:szCs w:val="20"/>
          <w:color w:val="auto"/>
        </w:rPr>
      </w:pPr>
    </w:p>
    <w:p>
      <w:pPr>
        <w:ind w:left="9"/>
        <w:spacing w:after="0"/>
        <w:tabs>
          <w:tab w:leader="none" w:pos="529"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color w:val="auto"/>
        </w:rPr>
        <w:t>Prices.</w:t>
      </w:r>
    </w:p>
    <w:p>
      <w:pPr>
        <w:spacing w:after="0" w:line="180" w:lineRule="exact"/>
        <w:rPr>
          <w:sz w:val="20"/>
          <w:szCs w:val="20"/>
          <w:color w:val="auto"/>
        </w:rPr>
      </w:pPr>
    </w:p>
    <w:p>
      <w:pPr>
        <w:jc w:val="both"/>
        <w:ind w:left="549"/>
        <w:spacing w:after="0" w:line="258" w:lineRule="auto"/>
        <w:rPr>
          <w:sz w:val="20"/>
          <w:szCs w:val="20"/>
          <w:color w:val="auto"/>
        </w:rPr>
      </w:pPr>
      <w:r>
        <w:rPr>
          <w:rFonts w:ascii="Arial" w:cs="Arial" w:eastAsia="Arial" w:hAnsi="Arial"/>
          <w:sz w:val="15"/>
          <w:szCs w:val="15"/>
          <w:color w:val="auto"/>
        </w:rPr>
        <w:t>The prices for Products sold by Hamilton to Buyer during the Term are as set forth in the applicable Project Work Scope Schedule and subject to adjustment only as expressly provided herein. Such prices shall include all of Hamilton’s costs of normal packaging, labeling and testing in accordance with the Specifications. The price for Product does not include any shipping, freight, insurance or tax (other than</w:t>
      </w:r>
    </w:p>
    <w:p>
      <w:pPr>
        <w:spacing w:after="0" w:line="200" w:lineRule="exact"/>
        <w:rPr>
          <w:sz w:val="20"/>
          <w:szCs w:val="20"/>
          <w:color w:val="auto"/>
        </w:rPr>
      </w:pPr>
    </w:p>
    <w:p>
      <w:pPr>
        <w:spacing w:after="0" w:line="352"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9"/>
          </w:cols>
          <w:pgMar w:left="311" w:top="870" w:right="319" w:bottom="1440" w:gutter="0" w:footer="0" w:header="0"/>
        </w:sectPr>
      </w:pPr>
    </w:p>
    <w:bookmarkStart w:id="492" w:name="page493"/>
    <w:bookmarkEnd w:id="492"/>
    <w:p>
      <w:pPr>
        <w:ind w:left="540"/>
        <w:spacing w:after="0" w:line="279" w:lineRule="auto"/>
        <w:rPr>
          <w:sz w:val="20"/>
          <w:szCs w:val="20"/>
          <w:color w:val="auto"/>
        </w:rPr>
      </w:pPr>
      <w:r>
        <w:rPr>
          <w:rFonts w:ascii="Arial" w:cs="Arial" w:eastAsia="Arial" w:hAnsi="Arial"/>
          <w:sz w:val="15"/>
          <w:szCs w:val="15"/>
          <w:color w:val="auto"/>
        </w:rPr>
        <w:t>taxes on Hamilton’s income). Such shipping, freight, insurance, and tax expenses shall, to the extent incurred by Hamilton, be invoiced separately by Hamilton and borne by Buyer.</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color w:val="auto"/>
        </w:rPr>
        <w:t>Price Adjustments.</w:t>
      </w:r>
    </w:p>
    <w:p>
      <w:pPr>
        <w:spacing w:after="0" w:line="180" w:lineRule="exact"/>
        <w:rPr>
          <w:sz w:val="20"/>
          <w:szCs w:val="20"/>
          <w:color w:val="auto"/>
        </w:rPr>
      </w:pPr>
    </w:p>
    <w:p>
      <w:pPr>
        <w:jc w:val="both"/>
        <w:ind w:left="540" w:hanging="272"/>
        <w:spacing w:after="0" w:line="247" w:lineRule="auto"/>
        <w:rPr>
          <w:sz w:val="20"/>
          <w:szCs w:val="20"/>
          <w:color w:val="auto"/>
        </w:rPr>
      </w:pPr>
      <w:r>
        <w:rPr>
          <w:rFonts w:ascii="Arial" w:cs="Arial" w:eastAsia="Arial" w:hAnsi="Arial"/>
          <w:sz w:val="15"/>
          <w:szCs w:val="15"/>
          <w:color w:val="auto"/>
        </w:rPr>
        <w:t>2.3.1</w:t>
      </w:r>
      <w:r>
        <w:rPr>
          <w:sz w:val="20"/>
          <w:szCs w:val="20"/>
          <w:color w:val="auto"/>
        </w:rPr>
        <w:t xml:space="preserve"> </w:t>
      </w:r>
      <w:r>
        <w:rPr>
          <w:rFonts w:ascii="Arial" w:cs="Arial" w:eastAsia="Arial" w:hAnsi="Arial"/>
          <w:sz w:val="15"/>
          <w:szCs w:val="15"/>
          <w:color w:val="auto"/>
        </w:rPr>
        <w:t>Annual Adjustments. Prices will be in effect and fixed for the duration of the Initial Term. Not later than 90 days prior to the beginning of the Extended Term, Hamilton may provide to Buyer an updated price list effective for the Extended Term to the extent reflecting actual changes to Hamilton’s list pricing for Products (which updated pricing, for clarity, shall be subject to the discounting described in this section 2.3 below). No later than 30 days prior to the beginning of the Extended Term, the relevant Exhibit(s) shall be amended and signed by both Parties to reflect any agreed price changes. A price change will not affect Purchase Orders placed by Buyer during the Initial Term.</w:t>
      </w:r>
    </w:p>
    <w:p>
      <w:pPr>
        <w:spacing w:after="0" w:line="146" w:lineRule="exact"/>
        <w:rPr>
          <w:sz w:val="20"/>
          <w:szCs w:val="20"/>
          <w:color w:val="auto"/>
        </w:rPr>
      </w:pPr>
    </w:p>
    <w:p>
      <w:pPr>
        <w:jc w:val="both"/>
        <w:ind w:left="540" w:hanging="272"/>
        <w:spacing w:after="0"/>
        <w:rPr>
          <w:sz w:val="20"/>
          <w:szCs w:val="20"/>
          <w:color w:val="auto"/>
        </w:rPr>
      </w:pPr>
      <w:r>
        <w:rPr>
          <w:rFonts w:ascii="Arial" w:cs="Arial" w:eastAsia="Arial" w:hAnsi="Arial"/>
          <w:sz w:val="15"/>
          <w:szCs w:val="15"/>
          <w:color w:val="auto"/>
        </w:rPr>
        <w:t>2.3.2</w:t>
      </w:r>
      <w:r>
        <w:rPr>
          <w:sz w:val="20"/>
          <w:szCs w:val="20"/>
          <w:color w:val="auto"/>
        </w:rPr>
        <w:t xml:space="preserve"> </w:t>
      </w:r>
      <w:r>
        <w:rPr>
          <w:rFonts w:ascii="Arial" w:cs="Arial" w:eastAsia="Arial" w:hAnsi="Arial"/>
          <w:sz w:val="15"/>
          <w:szCs w:val="15"/>
          <w:color w:val="auto"/>
        </w:rPr>
        <w:t>Tier Levels for Instrument purchases. The price for Instruments will be discounted as set forth in the applicable Project Work Scope Schedule based upon the cumulative number of Instruments ordered by Buyer over each 12-month period commencing on the first day of the Quarter during which Commercial Launch occurs, provided that Instruments ordered by Buyer prior to the first day of such Quarter will be deemed, for purposes of this section 2.3.2, to have been ordered during the first such 12-month period. The discount will initially be calculated based on Buyer’s Initial Forecast or Rolling Forecast, as applicable, for such 12-month period. If Buyer orders fewer Instruments than forecasted during the applicable 12-month period the discount will be recalculated to the appropriate tier for the number of Instruments ordered in such 12-month period, and Buyer will be required to pay Hamilton the difference between the discount taken and the discount earned. If Buyer orders more Instruments than forecasted during the applicable 12-month period, the discount will be recalculated to the appropriate tier for the number of Instruments ordered in such 12-month period, but Hamilton will not be required to credit or refund Buyer the difference between the discount taken and the discount earned for orders previously completed during such 12-month period. For example, with respect to a 12-month period, if Buyer estimated in its Rolling Forecast that it will order [***] Instruments, Buyer will be charged [***] pricing for each Instrument ordered by Buyer during such 12-month period ([***] units x $[***] per unit, $[***]). If Buyer actually ordered [***] units in aggregate during such 12-month period, the pricing will be adjusted to [***] pricing for each Instrument ordered by Buyer during such 12-month period, and Buyer will pay to Hamilton the difference ([***] units x $[***] per unit, $[***]).</w:t>
      </w:r>
    </w:p>
    <w:p>
      <w:pPr>
        <w:spacing w:after="0" w:line="327" w:lineRule="exact"/>
        <w:rPr>
          <w:sz w:val="20"/>
          <w:szCs w:val="20"/>
          <w:color w:val="auto"/>
        </w:rPr>
      </w:pPr>
    </w:p>
    <w:p>
      <w:pPr>
        <w:jc w:val="both"/>
        <w:ind w:left="540" w:hanging="272"/>
        <w:spacing w:after="0" w:line="241" w:lineRule="auto"/>
        <w:rPr>
          <w:sz w:val="20"/>
          <w:szCs w:val="20"/>
          <w:color w:val="auto"/>
        </w:rPr>
      </w:pPr>
      <w:r>
        <w:rPr>
          <w:rFonts w:ascii="Arial" w:cs="Arial" w:eastAsia="Arial" w:hAnsi="Arial"/>
          <w:sz w:val="15"/>
          <w:szCs w:val="15"/>
          <w:color w:val="auto"/>
        </w:rPr>
        <w:t>2.3.3</w:t>
      </w:r>
      <w:r>
        <w:rPr>
          <w:sz w:val="20"/>
          <w:szCs w:val="20"/>
          <w:color w:val="auto"/>
        </w:rPr>
        <w:t xml:space="preserve"> </w:t>
      </w:r>
      <w:r>
        <w:rPr>
          <w:rFonts w:ascii="Arial" w:cs="Arial" w:eastAsia="Arial" w:hAnsi="Arial"/>
          <w:sz w:val="15"/>
          <w:szCs w:val="15"/>
          <w:color w:val="auto"/>
        </w:rPr>
        <w:t>Tier Levels for disposable tip purchases. The price for disposable tips will be discounted as set forth in the applicable Project Work Scope Schedule based upon the cumulative number of disposable tip cases ordered by Buyer over each 12-month period commencing on the first day of the Quarter during which Commercial Launch occurs, provided that disposable tip cases ordered by Buyer prior to the first day of such Quarter will be deemed, for purposes of this section 2.3.3, to have been ordered during the first such 12-month period. The discount will initially be calculated based on Buyer’s Initial Forecast or Rolling Forecast, as applicable, for such 12-month period. If Buyer orders fewer disposable tip cases than forecasted during the applicable 12-month period the discount will be recalculated to the appropriate tier for the number of disposable tip cases ordered in such 12 month period, and Buyer will be required to pay Hamilton the difference between the discount taken and the discount earned. If Buyer orders more disposable tip cases than forecasted during the applicable 12-month period the discount will be recalculated to the appropriate tier for the number of disposable cases ordered in such 12 month period, but Hamilton will not be required to credit or refund Buyer the difference between the discount taken and the discount earned for orders previously completed during such 12-month period.</w:t>
      </w:r>
    </w:p>
    <w:p>
      <w:pPr>
        <w:spacing w:after="0" w:line="326"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4"/>
          <w:szCs w:val="14"/>
          <w:color w:val="auto"/>
        </w:rPr>
        <w:t>Forecasts.</w:t>
      </w:r>
    </w:p>
    <w:p>
      <w:pPr>
        <w:spacing w:after="0" w:line="180" w:lineRule="exact"/>
        <w:rPr>
          <w:sz w:val="20"/>
          <w:szCs w:val="20"/>
          <w:color w:val="auto"/>
        </w:rPr>
      </w:pPr>
    </w:p>
    <w:p>
      <w:pPr>
        <w:jc w:val="both"/>
        <w:ind w:left="540"/>
        <w:spacing w:after="0" w:line="245" w:lineRule="auto"/>
        <w:rPr>
          <w:sz w:val="20"/>
          <w:szCs w:val="20"/>
          <w:color w:val="auto"/>
        </w:rPr>
      </w:pPr>
      <w:r>
        <w:rPr>
          <w:rFonts w:ascii="Arial" w:cs="Arial" w:eastAsia="Arial" w:hAnsi="Arial"/>
          <w:sz w:val="15"/>
          <w:szCs w:val="15"/>
          <w:color w:val="auto"/>
        </w:rPr>
        <w:t>No later than one Quarter prior to Commercial Launch, Buyer shall provide Hamilton with Buyer’s anticipated number of Instruments and Consumables that Buyer plans to purchase for the 12-month period commencing on the first day of such Quarter (“</w:t>
      </w:r>
      <w:r>
        <w:rPr>
          <w:rFonts w:ascii="Arial" w:cs="Arial" w:eastAsia="Arial" w:hAnsi="Arial"/>
          <w:sz w:val="15"/>
          <w:szCs w:val="15"/>
          <w:b w:val="1"/>
          <w:bCs w:val="1"/>
          <w:color w:val="auto"/>
        </w:rPr>
        <w:t>Initial Forecast</w:t>
      </w:r>
      <w:r>
        <w:rPr>
          <w:rFonts w:ascii="Arial" w:cs="Arial" w:eastAsia="Arial" w:hAnsi="Arial"/>
          <w:sz w:val="15"/>
          <w:szCs w:val="15"/>
          <w:color w:val="auto"/>
        </w:rPr>
        <w:t>”). Thereafter, at least 60 calendar days prior to the beginning of each fiscal Quarter (i.e. by the first day of May, August, November and February) the Buyer will provide an update of Buyer’s anticipated number of Instruments and Consumables for the 12-month period beginning on the first day of the Quarter for which the forecast is applicable ("</w:t>
      </w:r>
      <w:r>
        <w:rPr>
          <w:rFonts w:ascii="Arial" w:cs="Arial" w:eastAsia="Arial" w:hAnsi="Arial"/>
          <w:sz w:val="15"/>
          <w:szCs w:val="15"/>
          <w:b w:val="1"/>
          <w:bCs w:val="1"/>
          <w:color w:val="auto"/>
        </w:rPr>
        <w:t>Rolling</w:t>
      </w:r>
      <w:r>
        <w:rPr>
          <w:rFonts w:ascii="Arial" w:cs="Arial" w:eastAsia="Arial" w:hAnsi="Arial"/>
          <w:sz w:val="15"/>
          <w:szCs w:val="15"/>
          <w:color w:val="auto"/>
        </w:rPr>
        <w:t xml:space="preserve"> </w:t>
      </w:r>
      <w:r>
        <w:rPr>
          <w:rFonts w:ascii="Arial" w:cs="Arial" w:eastAsia="Arial" w:hAnsi="Arial"/>
          <w:sz w:val="15"/>
          <w:szCs w:val="15"/>
          <w:b w:val="1"/>
          <w:bCs w:val="1"/>
          <w:color w:val="auto"/>
        </w:rPr>
        <w:t>Forecast</w:t>
      </w:r>
      <w:r>
        <w:rPr>
          <w:rFonts w:ascii="Arial" w:cs="Arial" w:eastAsia="Arial" w:hAnsi="Arial"/>
          <w:sz w:val="15"/>
          <w:szCs w:val="15"/>
          <w:color w:val="auto"/>
        </w:rPr>
        <w:t>"). Such Rolling Forecasts shall be prepared in good faith by Buyer in order to facilitate Hamilton’s timely manufacture according to the terms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493" w:name="page494"/>
    <w:bookmarkEnd w:id="493"/>
    <w:p>
      <w:pPr>
        <w:jc w:val="both"/>
        <w:ind w:left="540"/>
        <w:spacing w:after="0" w:line="264" w:lineRule="auto"/>
        <w:rPr>
          <w:sz w:val="20"/>
          <w:szCs w:val="20"/>
          <w:color w:val="auto"/>
        </w:rPr>
      </w:pPr>
      <w:r>
        <w:rPr>
          <w:rFonts w:ascii="Arial" w:cs="Arial" w:eastAsia="Arial" w:hAnsi="Arial"/>
          <w:sz w:val="15"/>
          <w:szCs w:val="15"/>
          <w:color w:val="auto"/>
        </w:rPr>
        <w:t>Except as expressly provided herein, the number of Instruments and Consumables included in the Initial Forecast and each Rolling Forecast shall be non-binding on the Parties and will be provided for planning purposes only, provided that Buyer shall attempt to make each forecast as accurate as reasonably possible.</w:t>
      </w:r>
    </w:p>
    <w:p>
      <w:pPr>
        <w:spacing w:after="0" w:line="313"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4"/>
          <w:szCs w:val="14"/>
          <w:color w:val="auto"/>
        </w:rPr>
        <w:t>Orders.</w:t>
      </w:r>
    </w:p>
    <w:p>
      <w:pPr>
        <w:spacing w:after="0" w:line="180" w:lineRule="exact"/>
        <w:rPr>
          <w:sz w:val="20"/>
          <w:szCs w:val="20"/>
          <w:color w:val="auto"/>
        </w:rPr>
      </w:pPr>
    </w:p>
    <w:p>
      <w:pPr>
        <w:jc w:val="both"/>
        <w:ind w:left="540" w:hanging="272"/>
        <w:spacing w:after="0" w:line="245" w:lineRule="auto"/>
        <w:rPr>
          <w:sz w:val="20"/>
          <w:szCs w:val="20"/>
          <w:color w:val="auto"/>
        </w:rPr>
      </w:pPr>
      <w:r>
        <w:rPr>
          <w:rFonts w:ascii="Arial" w:cs="Arial" w:eastAsia="Arial" w:hAnsi="Arial"/>
          <w:sz w:val="15"/>
          <w:szCs w:val="15"/>
          <w:color w:val="auto"/>
        </w:rPr>
        <w:t>2.5.1</w:t>
      </w:r>
      <w:r>
        <w:rPr>
          <w:sz w:val="20"/>
          <w:szCs w:val="20"/>
          <w:color w:val="auto"/>
        </w:rPr>
        <w:t xml:space="preserve"> </w:t>
      </w:r>
      <w:r>
        <w:rPr>
          <w:rFonts w:ascii="Arial" w:cs="Arial" w:eastAsia="Arial" w:hAnsi="Arial"/>
          <w:sz w:val="15"/>
          <w:szCs w:val="15"/>
          <w:color w:val="auto"/>
        </w:rPr>
        <w:t>Subject to section 2.5.4, Buyer shall place orders directly to Hamilton, and not through a third party, for Product by written or electronic Purchase Order. Such Purchase Orders shall set forth the desired date of delivery with respect to the Products ordered and shall be placed in accordance with the Product lead-time stated in the Project Work Scope Schedule(s). A Purchase Order will be deemed accepted by Hamilton upon the first of the following to occur: (a) Hamilton making, signing, or delivering to Buyer any letter, form, or other writing or instrument acknowledging acceptance of the Purchase Order, (b) any performance by Hamilton under the Purchase Order; or (c) Hamilton failing to make, sign or deliver any letter, form or other writing or instrument rejecting the Purchase Order within 10 business days of receipt. Once accepted (or deemed accepted), a Purchase Order will be binding upon the Parties.</w:t>
      </w:r>
    </w:p>
    <w:p>
      <w:pPr>
        <w:spacing w:after="0" w:line="147" w:lineRule="exact"/>
        <w:rPr>
          <w:sz w:val="20"/>
          <w:szCs w:val="20"/>
          <w:color w:val="auto"/>
        </w:rPr>
      </w:pPr>
    </w:p>
    <w:p>
      <w:pPr>
        <w:jc w:val="both"/>
        <w:ind w:left="540" w:hanging="272"/>
        <w:spacing w:after="0" w:line="247" w:lineRule="auto"/>
        <w:rPr>
          <w:sz w:val="20"/>
          <w:szCs w:val="20"/>
          <w:color w:val="auto"/>
        </w:rPr>
      </w:pPr>
      <w:r>
        <w:rPr>
          <w:rFonts w:ascii="Arial" w:cs="Arial" w:eastAsia="Arial" w:hAnsi="Arial"/>
          <w:sz w:val="15"/>
          <w:szCs w:val="15"/>
          <w:color w:val="auto"/>
        </w:rPr>
        <w:t>2.5.2</w:t>
      </w:r>
      <w:r>
        <w:rPr>
          <w:sz w:val="20"/>
          <w:szCs w:val="20"/>
          <w:color w:val="auto"/>
        </w:rPr>
        <w:t xml:space="preserve"> </w:t>
      </w:r>
      <w:r>
        <w:rPr>
          <w:rFonts w:ascii="Arial" w:cs="Arial" w:eastAsia="Arial" w:hAnsi="Arial"/>
          <w:sz w:val="15"/>
          <w:szCs w:val="15"/>
          <w:color w:val="auto"/>
        </w:rPr>
        <w:t>Hamilton agrees to accept blanket Purchase Orders for Products, which Buyer may cancel upon 60 days’ written notice to Hamilton. Notwithstanding the foregoing, Buyer shall be obligated to purchase any finished Product or Raw Material that Hamilton has completed or ordered, as applicable, in furtherance of providing the Products ordered by Buyer pursuant to any blanket Purchase Order prior to the date Hamilton receives such notice of cancellation from Buyer. Hamilton shall use commercially reasonable efforts to mitigate expenses related to any such cancellation by Buyer. For clarity, manufacturing of Instruments against a blanket Purchase Order will not occur until Buyer provides required delivery dates (allowing for Product lead times).</w:t>
      </w:r>
    </w:p>
    <w:p>
      <w:pPr>
        <w:spacing w:after="0" w:line="146" w:lineRule="exact"/>
        <w:rPr>
          <w:sz w:val="20"/>
          <w:szCs w:val="20"/>
          <w:color w:val="auto"/>
        </w:rPr>
      </w:pPr>
    </w:p>
    <w:p>
      <w:pPr>
        <w:jc w:val="both"/>
        <w:ind w:left="540" w:hanging="272"/>
        <w:spacing w:after="0" w:line="279" w:lineRule="auto"/>
        <w:rPr>
          <w:sz w:val="20"/>
          <w:szCs w:val="20"/>
          <w:color w:val="auto"/>
        </w:rPr>
      </w:pPr>
      <w:r>
        <w:rPr>
          <w:rFonts w:ascii="Arial" w:cs="Arial" w:eastAsia="Arial" w:hAnsi="Arial"/>
          <w:sz w:val="15"/>
          <w:szCs w:val="15"/>
          <w:color w:val="auto"/>
        </w:rPr>
        <w:t>2.5.3</w:t>
      </w:r>
      <w:r>
        <w:rPr>
          <w:sz w:val="20"/>
          <w:szCs w:val="20"/>
          <w:color w:val="auto"/>
        </w:rPr>
        <w:t xml:space="preserve"> </w:t>
      </w:r>
      <w:r>
        <w:rPr>
          <w:rFonts w:ascii="Arial" w:cs="Arial" w:eastAsia="Arial" w:hAnsi="Arial"/>
          <w:sz w:val="15"/>
          <w:szCs w:val="15"/>
          <w:color w:val="auto"/>
        </w:rPr>
        <w:t>Buyer may, at any time prior to shipment, request to change the delivery schedule of ordered Instruments upon notice to Hamilton. Such change requests may only be made once per Quarter.</w:t>
      </w:r>
    </w:p>
    <w:p>
      <w:pPr>
        <w:spacing w:after="0" w:line="121" w:lineRule="exact"/>
        <w:rPr>
          <w:sz w:val="20"/>
          <w:szCs w:val="20"/>
          <w:color w:val="auto"/>
        </w:rPr>
      </w:pPr>
    </w:p>
    <w:p>
      <w:pPr>
        <w:jc w:val="both"/>
        <w:ind w:left="540" w:right="20" w:hanging="272"/>
        <w:spacing w:after="0" w:line="258" w:lineRule="auto"/>
        <w:rPr>
          <w:sz w:val="20"/>
          <w:szCs w:val="20"/>
          <w:color w:val="auto"/>
        </w:rPr>
      </w:pPr>
      <w:r>
        <w:rPr>
          <w:rFonts w:ascii="Arial" w:cs="Arial" w:eastAsia="Arial" w:hAnsi="Arial"/>
          <w:sz w:val="15"/>
          <w:szCs w:val="15"/>
          <w:color w:val="auto"/>
        </w:rPr>
        <w:t>2.5.4</w:t>
      </w:r>
      <w:r>
        <w:rPr>
          <w:sz w:val="20"/>
          <w:szCs w:val="20"/>
          <w:color w:val="auto"/>
        </w:rPr>
        <w:t xml:space="preserve"> </w:t>
      </w:r>
      <w:r>
        <w:rPr>
          <w:rFonts w:ascii="Arial" w:cs="Arial" w:eastAsia="Arial" w:hAnsi="Arial"/>
          <w:sz w:val="15"/>
          <w:szCs w:val="15"/>
          <w:color w:val="auto"/>
        </w:rPr>
        <w:t>Notwithstanding anything to the contrary in this Agreement, Hamilton will accept and fulfill Consumable orders placed by Buyer’s customers directly with Hamilton. Buyer will not be responsible for orders placed by its customers, and Hamilton’s recourse for non-payment will solely be against such customers and not against Buyer.</w:t>
      </w:r>
    </w:p>
    <w:p>
      <w:pPr>
        <w:spacing w:after="0" w:line="137" w:lineRule="exact"/>
        <w:rPr>
          <w:sz w:val="20"/>
          <w:szCs w:val="20"/>
          <w:color w:val="auto"/>
        </w:rPr>
      </w:pPr>
    </w:p>
    <w:p>
      <w:pPr>
        <w:jc w:val="both"/>
        <w:ind w:left="540" w:right="20" w:hanging="272"/>
        <w:spacing w:after="0" w:line="279" w:lineRule="auto"/>
        <w:rPr>
          <w:sz w:val="20"/>
          <w:szCs w:val="20"/>
          <w:color w:val="auto"/>
        </w:rPr>
      </w:pPr>
      <w:r>
        <w:rPr>
          <w:rFonts w:ascii="Arial" w:cs="Arial" w:eastAsia="Arial" w:hAnsi="Arial"/>
          <w:sz w:val="15"/>
          <w:szCs w:val="15"/>
          <w:color w:val="auto"/>
        </w:rPr>
        <w:t>2.5.5</w:t>
      </w:r>
      <w:r>
        <w:rPr>
          <w:sz w:val="20"/>
          <w:szCs w:val="20"/>
          <w:color w:val="auto"/>
        </w:rPr>
        <w:t xml:space="preserve"> </w:t>
      </w:r>
      <w:r>
        <w:rPr>
          <w:rFonts w:ascii="Arial" w:cs="Arial" w:eastAsia="Arial" w:hAnsi="Arial"/>
          <w:sz w:val="15"/>
          <w:szCs w:val="15"/>
          <w:color w:val="auto"/>
        </w:rPr>
        <w:t>Hamilton will accept and fill Purchase Orders up to 115% of the forecasted quantities by Buyer and use commercially reasonable efforts to supply additional Products ordered in excess of 115% of the forecasted quantities by Buyer.</w:t>
      </w:r>
    </w:p>
    <w:p>
      <w:pPr>
        <w:spacing w:after="0" w:line="121" w:lineRule="exact"/>
        <w:rPr>
          <w:sz w:val="20"/>
          <w:szCs w:val="20"/>
          <w:color w:val="auto"/>
        </w:rPr>
      </w:pPr>
    </w:p>
    <w:p>
      <w:pPr>
        <w:jc w:val="both"/>
        <w:ind w:left="540" w:hanging="272"/>
        <w:spacing w:after="0" w:line="279" w:lineRule="auto"/>
        <w:rPr>
          <w:sz w:val="20"/>
          <w:szCs w:val="20"/>
          <w:color w:val="auto"/>
        </w:rPr>
      </w:pPr>
      <w:r>
        <w:rPr>
          <w:rFonts w:ascii="Arial" w:cs="Arial" w:eastAsia="Arial" w:hAnsi="Arial"/>
          <w:sz w:val="15"/>
          <w:szCs w:val="15"/>
          <w:color w:val="auto"/>
        </w:rPr>
        <w:t>2.5.6</w:t>
      </w:r>
      <w:r>
        <w:rPr>
          <w:sz w:val="20"/>
          <w:szCs w:val="20"/>
          <w:color w:val="auto"/>
        </w:rPr>
        <w:t xml:space="preserve"> </w:t>
      </w:r>
      <w:r>
        <w:rPr>
          <w:rFonts w:ascii="Arial" w:cs="Arial" w:eastAsia="Arial" w:hAnsi="Arial"/>
          <w:sz w:val="15"/>
          <w:szCs w:val="15"/>
          <w:color w:val="auto"/>
        </w:rPr>
        <w:t>From time to time prior to Commercial Launch, Buyer may place orders, and Hamilton shall accept such orders, for manufacture and supply of beta prototype instruments, all on the terms and conditions of this Agreement.</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5"/>
          <w:szCs w:val="15"/>
          <w:color w:val="auto"/>
        </w:rPr>
        <w:t>Performance of Engineering Services.</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Hamilton agrees to perform the non-recurring engineering (NRE) and other services described in each Project Work Scope Schedule and deliver to Buyer all deliverables in accordance with all Applicable Laws and the respective specifications, schedules and other criteria described in such Project Work Scope Schedule. For clarity, Hamilton shall perform such services at its facility in Reno, Nevada except as expressly set forth in the applicable Project Work Scope Schedule or otherwise mutually agreed in writing by the Parties. Buyer shall remit payment of any applicable fees within 45 days of the date of receipt of an applicable invoice from Hamilton following performance.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3 - PAYMENT AND DELIVERY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4"/>
          <w:szCs w:val="14"/>
          <w:color w:val="auto"/>
        </w:rPr>
        <w:t>Payment Terms.</w:t>
      </w:r>
    </w:p>
    <w:p>
      <w:pPr>
        <w:spacing w:after="0" w:line="180" w:lineRule="exact"/>
        <w:rPr>
          <w:sz w:val="20"/>
          <w:szCs w:val="20"/>
          <w:color w:val="auto"/>
        </w:rPr>
      </w:pPr>
    </w:p>
    <w:p>
      <w:pPr>
        <w:ind w:left="540" w:right="60" w:hanging="272"/>
        <w:spacing w:after="0" w:line="279" w:lineRule="auto"/>
        <w:rPr>
          <w:sz w:val="20"/>
          <w:szCs w:val="20"/>
          <w:color w:val="auto"/>
        </w:rPr>
      </w:pPr>
      <w:r>
        <w:rPr>
          <w:rFonts w:ascii="Arial" w:cs="Arial" w:eastAsia="Arial" w:hAnsi="Arial"/>
          <w:sz w:val="15"/>
          <w:szCs w:val="15"/>
          <w:color w:val="auto"/>
        </w:rPr>
        <w:t>3.1.1</w:t>
      </w:r>
      <w:r>
        <w:rPr>
          <w:sz w:val="20"/>
          <w:szCs w:val="20"/>
          <w:color w:val="auto"/>
        </w:rPr>
        <w:t xml:space="preserve"> </w:t>
      </w:r>
      <w:r>
        <w:rPr>
          <w:rFonts w:ascii="Arial" w:cs="Arial" w:eastAsia="Arial" w:hAnsi="Arial"/>
          <w:sz w:val="15"/>
          <w:szCs w:val="15"/>
          <w:color w:val="auto"/>
        </w:rPr>
        <w:t>Hamilton shall send Buyer an invoice for all Product purchases to Buyer’s address set forth on the front of an applicable Purchase Order. Such invoices shall be dated and sent no earlier than the date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494" w:name="page495"/>
    <w:bookmarkEnd w:id="494"/>
    <w:p>
      <w:pPr>
        <w:jc w:val="both"/>
        <w:ind w:left="540"/>
        <w:spacing w:after="0" w:line="236" w:lineRule="auto"/>
        <w:rPr>
          <w:sz w:val="20"/>
          <w:szCs w:val="20"/>
          <w:color w:val="auto"/>
        </w:rPr>
      </w:pPr>
      <w:r>
        <w:rPr>
          <w:rFonts w:ascii="Arial" w:cs="Arial" w:eastAsia="Arial" w:hAnsi="Arial"/>
          <w:sz w:val="15"/>
          <w:szCs w:val="15"/>
          <w:color w:val="auto"/>
        </w:rPr>
        <w:t>shipment. Provided that the Products delivered comply with the terms of this Agreement, Buyer shall pay in U.S. dollars the amount shown on such invoice. Buyer shall remit payment to Hamilton (i) within days of the date of receipt of an applicable invoice (Net 45) until Buyer has achieved “Tier 2” pricing with respect to Instruments (i.e., ordered [***] units), and (ii) thereafter, within 60 days of the date of receipt of an applicable invoice (Net 60). Buyer shall make payments by check, or electronic transfer of funds.</w:t>
      </w:r>
    </w:p>
    <w:p>
      <w:pPr>
        <w:spacing w:after="0" w:line="139" w:lineRule="exact"/>
        <w:rPr>
          <w:sz w:val="20"/>
          <w:szCs w:val="20"/>
          <w:color w:val="auto"/>
        </w:rPr>
      </w:pPr>
    </w:p>
    <w:p>
      <w:pPr>
        <w:jc w:val="both"/>
        <w:ind w:left="540" w:hanging="272"/>
        <w:spacing w:after="0" w:line="236" w:lineRule="auto"/>
        <w:rPr>
          <w:sz w:val="20"/>
          <w:szCs w:val="20"/>
          <w:color w:val="auto"/>
        </w:rPr>
      </w:pPr>
      <w:r>
        <w:rPr>
          <w:rFonts w:ascii="Arial" w:cs="Arial" w:eastAsia="Arial" w:hAnsi="Arial"/>
          <w:sz w:val="15"/>
          <w:szCs w:val="15"/>
          <w:color w:val="auto"/>
        </w:rPr>
        <w:t>3.1.2</w:t>
      </w:r>
      <w:r>
        <w:rPr>
          <w:sz w:val="20"/>
          <w:szCs w:val="20"/>
          <w:color w:val="auto"/>
        </w:rPr>
        <w:t xml:space="preserve"> </w:t>
      </w:r>
      <w:r>
        <w:rPr>
          <w:rFonts w:ascii="Arial" w:cs="Arial" w:eastAsia="Arial" w:hAnsi="Arial"/>
          <w:sz w:val="15"/>
          <w:szCs w:val="15"/>
          <w:color w:val="auto"/>
        </w:rPr>
        <w:t>Buyer shall pay interest on all undisputed late payments at the lesser of the rate of one percent (1%) per month or the highest rate permissible under applicable law, calculated daily and compounded monthly from the date payment was due. In addition to all other remedies available under this Agreement or at law (which Hamilton does not waive by the exercise of any rights hereunder), Hamilton shall be entitled to suspend the delivery of any Product if Buyer fails to pay any undisputed amounts when due hereunder and such failure continues for 10 business days following Buyer’s receipt of written notice thereof.</w:t>
      </w:r>
    </w:p>
    <w:p>
      <w:pPr>
        <w:spacing w:after="0" w:line="139"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color w:val="auto"/>
        </w:rPr>
        <w:t>Delivery.</w:t>
      </w:r>
    </w:p>
    <w:p>
      <w:pPr>
        <w:spacing w:after="0" w:line="168" w:lineRule="exact"/>
        <w:rPr>
          <w:sz w:val="20"/>
          <w:szCs w:val="20"/>
          <w:color w:val="auto"/>
        </w:rPr>
      </w:pPr>
    </w:p>
    <w:p>
      <w:pPr>
        <w:jc w:val="both"/>
        <w:ind w:left="540" w:hanging="272"/>
        <w:spacing w:after="0" w:line="228" w:lineRule="auto"/>
        <w:rPr>
          <w:sz w:val="20"/>
          <w:szCs w:val="20"/>
          <w:color w:val="auto"/>
        </w:rPr>
      </w:pPr>
      <w:r>
        <w:rPr>
          <w:rFonts w:ascii="Arial" w:cs="Arial" w:eastAsia="Arial" w:hAnsi="Arial"/>
          <w:sz w:val="15"/>
          <w:szCs w:val="15"/>
          <w:color w:val="auto"/>
        </w:rPr>
        <w:t>3.2.1</w:t>
      </w:r>
      <w:r>
        <w:rPr>
          <w:sz w:val="20"/>
          <w:szCs w:val="20"/>
          <w:color w:val="auto"/>
        </w:rPr>
        <w:t xml:space="preserve"> </w:t>
      </w:r>
      <w:r>
        <w:rPr>
          <w:rFonts w:ascii="Arial" w:cs="Arial" w:eastAsia="Arial" w:hAnsi="Arial"/>
          <w:sz w:val="15"/>
          <w:szCs w:val="15"/>
          <w:color w:val="auto"/>
        </w:rPr>
        <w:t>All Products shipped domestically (i.e., within the U.S.) shall be shipped to the location expressed on the Purchase Order, via FCA Hamilton’s manufacturing facility (INCOTERMS 2020). All Products shipped internationally shall be shipped to the location expressed on the Purchase Order, via Ex Works Hamilton’s manufacturing facility (INCOTERMS 2020). Hamilton shall (a) pack each of the Products in a manner suitable for export shipment, (b) arrange for shipment of the Products and (c) place the Products on a common carrier for shipment and shall promptly forward the full set of requisite shipping documents to Buyer. Accordingly, title to the Products and risk of loss thereof shall transfer to Buyer upon delivery to such common carrier. All shipments shall be accompanied by a packing slip that describes the Products, states the Purchase Order number, part number and quantity delivered and shows the shipment’s destination. Disposal of all packaging and packing materials is Buyer’s responsibility. For clarity, Hamilton shall manufacture Products solely at its facility in Reno, Nevada, except as expressly set forth in the applicable Project Work Scope Schedule or otherwise mutually agreed in writing by the Parties.</w:t>
      </w:r>
    </w:p>
    <w:p>
      <w:pPr>
        <w:spacing w:after="0" w:line="143"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5"/>
          <w:szCs w:val="15"/>
          <w:color w:val="auto"/>
        </w:rPr>
        <w:t>3.2.2</w:t>
      </w:r>
      <w:r>
        <w:rPr>
          <w:sz w:val="20"/>
          <w:szCs w:val="20"/>
          <w:color w:val="auto"/>
        </w:rPr>
        <w:tab/>
      </w:r>
      <w:r>
        <w:rPr>
          <w:rFonts w:ascii="Arial" w:cs="Arial" w:eastAsia="Arial" w:hAnsi="Arial"/>
          <w:sz w:val="15"/>
          <w:szCs w:val="15"/>
          <w:color w:val="auto"/>
        </w:rPr>
        <w:t>In order for Hamilton to ensure that all Products are shipped timely, Buyer shall submit a completed Site Requirement form as referenced within Exhibit</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5 to Hamilton at least 30 days prior to the delivery date. Failure to do so may cause a delay in shipping of Product, for which Hamilton shall not be liable.</w:t>
      </w:r>
    </w:p>
    <w:p>
      <w:pPr>
        <w:spacing w:after="0" w:line="150" w:lineRule="exact"/>
        <w:rPr>
          <w:sz w:val="20"/>
          <w:szCs w:val="20"/>
          <w:color w:val="auto"/>
        </w:rPr>
      </w:pPr>
    </w:p>
    <w:p>
      <w:pPr>
        <w:jc w:val="both"/>
        <w:ind w:left="540" w:hanging="272"/>
        <w:spacing w:after="0" w:line="263" w:lineRule="auto"/>
        <w:rPr>
          <w:sz w:val="20"/>
          <w:szCs w:val="20"/>
          <w:color w:val="auto"/>
        </w:rPr>
      </w:pPr>
      <w:r>
        <w:rPr>
          <w:rFonts w:ascii="Arial" w:cs="Arial" w:eastAsia="Arial" w:hAnsi="Arial"/>
          <w:sz w:val="15"/>
          <w:szCs w:val="15"/>
          <w:color w:val="auto"/>
        </w:rPr>
        <w:t>3.2.3</w:t>
      </w:r>
      <w:r>
        <w:rPr>
          <w:sz w:val="20"/>
          <w:szCs w:val="20"/>
          <w:color w:val="auto"/>
        </w:rPr>
        <w:t xml:space="preserve"> </w:t>
      </w:r>
      <w:r>
        <w:rPr>
          <w:rFonts w:ascii="Arial" w:cs="Arial" w:eastAsia="Arial" w:hAnsi="Arial"/>
          <w:sz w:val="15"/>
          <w:szCs w:val="15"/>
          <w:color w:val="auto"/>
        </w:rPr>
        <w:t>When assistance from third party riggers is required to assist with placement of Instruments the expense will, to the extent incurred by Hamilton, be added to the respective invoice and be the responsibility of Buyer.</w:t>
      </w:r>
    </w:p>
    <w:p>
      <w:pPr>
        <w:spacing w:after="0" w:line="122" w:lineRule="exact"/>
        <w:rPr>
          <w:sz w:val="20"/>
          <w:szCs w:val="20"/>
          <w:color w:val="auto"/>
        </w:rPr>
      </w:pPr>
    </w:p>
    <w:p>
      <w:pPr>
        <w:jc w:val="both"/>
        <w:ind w:left="540" w:hanging="272"/>
        <w:spacing w:after="0" w:line="221" w:lineRule="auto"/>
        <w:rPr>
          <w:sz w:val="20"/>
          <w:szCs w:val="20"/>
          <w:color w:val="auto"/>
        </w:rPr>
      </w:pPr>
      <w:r>
        <w:rPr>
          <w:rFonts w:ascii="Arial" w:cs="Arial" w:eastAsia="Arial" w:hAnsi="Arial"/>
          <w:sz w:val="15"/>
          <w:szCs w:val="15"/>
          <w:color w:val="auto"/>
        </w:rPr>
        <w:t>3.2.4</w:t>
      </w:r>
      <w:r>
        <w:rPr>
          <w:sz w:val="20"/>
          <w:szCs w:val="20"/>
          <w:color w:val="auto"/>
        </w:rPr>
        <w:t xml:space="preserve"> </w:t>
      </w:r>
      <w:r>
        <w:rPr>
          <w:rFonts w:ascii="Arial" w:cs="Arial" w:eastAsia="Arial" w:hAnsi="Arial"/>
          <w:sz w:val="15"/>
          <w:szCs w:val="15"/>
          <w:color w:val="auto"/>
        </w:rPr>
        <w:t>For shipments of Products requested by Buyer to be delayed by more than 60 days in accordance with section 2.5.3, the Parties agree that (a) as to Instruments, Buyer is permitted to reschedule shipment of up to two Instruments at no additional charge, (b) for each Instrument, Buyer shall be responsible to pay Hamilton a monthly storage fee of $[***] USD per unit that is not shipped on or by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and (c) as to Consumables, Buyer is permitted to reschedule shipment at no additional charge. Buyer shall remit payment of such charges applied in this section 3.2.4 (b) within 45 days of the date of receipt of an applicable invoice from Hamilton following the applicable storage.</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5"/>
          <w:szCs w:val="15"/>
          <w:color w:val="auto"/>
        </w:rPr>
        <w:t>Installation, Qualification.</w:t>
      </w:r>
    </w:p>
    <w:p>
      <w:pPr>
        <w:spacing w:after="0" w:line="168" w:lineRule="exact"/>
        <w:rPr>
          <w:sz w:val="20"/>
          <w:szCs w:val="20"/>
          <w:color w:val="auto"/>
        </w:rPr>
      </w:pPr>
    </w:p>
    <w:p>
      <w:pPr>
        <w:jc w:val="both"/>
        <w:ind w:left="540"/>
        <w:spacing w:after="0"/>
        <w:rPr>
          <w:sz w:val="20"/>
          <w:szCs w:val="20"/>
          <w:color w:val="auto"/>
        </w:rPr>
      </w:pPr>
      <w:r>
        <w:rPr>
          <w:rFonts w:ascii="Arial" w:cs="Arial" w:eastAsia="Arial" w:hAnsi="Arial"/>
          <w:sz w:val="15"/>
          <w:szCs w:val="15"/>
          <w:color w:val="auto"/>
        </w:rPr>
        <w:t>Except as previously agreed in writing by Buyer, Hamilton shall be responsible for installing and qualifying each Instrument in accordance with the Specifications, Hamilton’s standard operating procedures (SOPs) and the applicable Project Scope Work Schedule. Such installation and qualification shall be at Buyer’s expense, except as otherwise mutually agreed in writing by the Parties. Payment for installation and qualification services (to the extent not included in Instrument pricing) will be due within 45 days from the date of Buyer’s receipt of an applicable invoice from Hamilton following such installation and qualification.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4 - TRAINING</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4"/>
          <w:szCs w:val="14"/>
          <w:color w:val="auto"/>
        </w:rPr>
        <w:t>Technical Training.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9</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59" w:right="319" w:bottom="1440" w:gutter="0" w:footer="0" w:header="0"/>
        </w:sectPr>
      </w:pPr>
    </w:p>
    <w:bookmarkStart w:id="495" w:name="page496"/>
    <w:bookmarkEnd w:id="495"/>
    <w:p>
      <w:pPr>
        <w:ind w:left="540" w:right="20" w:hanging="272"/>
        <w:spacing w:after="0" w:line="247" w:lineRule="auto"/>
        <w:rPr>
          <w:sz w:val="20"/>
          <w:szCs w:val="20"/>
          <w:color w:val="auto"/>
        </w:rPr>
      </w:pPr>
      <w:r>
        <w:rPr>
          <w:rFonts w:ascii="Arial" w:cs="Arial" w:eastAsia="Arial" w:hAnsi="Arial"/>
          <w:sz w:val="15"/>
          <w:szCs w:val="15"/>
          <w:color w:val="auto"/>
        </w:rPr>
        <w:t>4.1.1</w:t>
      </w:r>
      <w:r>
        <w:rPr>
          <w:sz w:val="20"/>
          <w:szCs w:val="20"/>
          <w:color w:val="auto"/>
        </w:rPr>
        <w:t xml:space="preserve"> </w:t>
      </w:r>
      <w:r>
        <w:rPr>
          <w:rFonts w:ascii="Arial" w:cs="Arial" w:eastAsia="Arial" w:hAnsi="Arial"/>
          <w:sz w:val="15"/>
          <w:szCs w:val="15"/>
          <w:color w:val="auto"/>
        </w:rPr>
        <w:t xml:space="preserve">During the Term of this Agreement, Hamilton shall, at its expense, provide Buyer with one course per Product of basic user training for two of Buyer’s </w:t>
      </w:r>
      <w:r>
        <w:rPr>
          <w:rFonts w:ascii="Arial" w:cs="Arial" w:eastAsia="Arial" w:hAnsi="Arial"/>
          <w:sz w:val="15"/>
          <w:szCs w:val="15"/>
          <w:color w:val="auto"/>
          <w:highlight w:val="white"/>
        </w:rPr>
        <w:t>employees and one service training for two of Buyer’s employees who will be engaged in the technical support of the Product</w:t>
      </w:r>
      <w:r>
        <w:rPr>
          <w:rFonts w:ascii="Arial" w:cs="Arial" w:eastAsia="Arial" w:hAnsi="Arial"/>
          <w:sz w:val="15"/>
          <w:szCs w:val="15"/>
          <w:color w:val="666666"/>
          <w:highlight w:val="white"/>
        </w:rPr>
        <w:t>.</w:t>
      </w:r>
      <w:r>
        <w:rPr>
          <w:rFonts w:ascii="Arial" w:cs="Arial" w:eastAsia="Arial" w:hAnsi="Arial"/>
          <w:sz w:val="15"/>
          <w:szCs w:val="15"/>
          <w:color w:val="auto"/>
          <w:highlight w:val="white"/>
        </w:rPr>
        <w:t xml:space="preserve"> Training will be conducted at Hamilton's facility in Reno, NV or at Buyer's facility in Redwood City, CA as mutually agreed. If conducted at other than Hamilton's facility, Hamilton shall pay for the salary of its instructor(s) and Buyer shall pay all reasonable costs incurred by Hamilton's instructor(s) for travel and living expenses during the period of such training in accordance with 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-551180</wp:posOffset>
            </wp:positionV>
            <wp:extent cx="6620510" cy="1079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20510" cy="107950"/>
                    </a:xfrm>
                    <a:prstGeom prst="rect">
                      <a:avLst/>
                    </a:prstGeom>
                    <a:noFill/>
                  </pic:spPr>
                </pic:pic>
              </a:graphicData>
            </a:graphic>
          </wp:anchor>
        </w:drawing>
      </w:r>
    </w:p>
    <w:p>
      <w:pPr>
        <w:spacing w:after="0" w:line="126" w:lineRule="exact"/>
        <w:rPr>
          <w:sz w:val="20"/>
          <w:szCs w:val="20"/>
          <w:color w:val="auto"/>
        </w:rPr>
      </w:pPr>
    </w:p>
    <w:p>
      <w:pPr>
        <w:ind w:left="540" w:right="380" w:hanging="272"/>
        <w:spacing w:after="0" w:line="251" w:lineRule="auto"/>
        <w:rPr>
          <w:sz w:val="20"/>
          <w:szCs w:val="20"/>
          <w:color w:val="auto"/>
        </w:rPr>
      </w:pPr>
      <w:r>
        <w:rPr>
          <w:rFonts w:ascii="Arial" w:cs="Arial" w:eastAsia="Arial" w:hAnsi="Arial"/>
          <w:sz w:val="15"/>
          <w:szCs w:val="15"/>
          <w:color w:val="auto"/>
        </w:rPr>
        <w:t>4.1.2</w:t>
      </w:r>
      <w:r>
        <w:rPr>
          <w:sz w:val="20"/>
          <w:szCs w:val="20"/>
          <w:color w:val="auto"/>
        </w:rPr>
        <w:t xml:space="preserve"> </w:t>
      </w:r>
      <w:r>
        <w:rPr>
          <w:rFonts w:ascii="Arial" w:cs="Arial" w:eastAsia="Arial" w:hAnsi="Arial"/>
          <w:sz w:val="15"/>
          <w:szCs w:val="15"/>
          <w:color w:val="auto"/>
        </w:rPr>
        <w:t xml:space="preserve">At Buyer’s request, additional training courses will be offered to Buyer at Buyer’s expense in accordance with Exhibit 3. Such training shall cover in </w:t>
      </w:r>
      <w:r>
        <w:rPr>
          <w:rFonts w:ascii="Arial" w:cs="Arial" w:eastAsia="Arial" w:hAnsi="Arial"/>
          <w:sz w:val="15"/>
          <w:szCs w:val="15"/>
          <w:color w:val="auto"/>
          <w:highlight w:val="white"/>
        </w:rPr>
        <w:t>detail, the installation, configuration, operation, troubleshooting, adjustment, and test and maintenance of the Product. Hamilton shall provide a reasonable quantity of appropriate Product as training aids. When such classes are conducted at Buyer's facilities, Buyer shall provide one Instrument for every two trainees as well as required service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-445770</wp:posOffset>
            </wp:positionV>
            <wp:extent cx="6743065" cy="107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43065" cy="107950"/>
                    </a:xfrm>
                    <a:prstGeom prst="rect">
                      <a:avLst/>
                    </a:prstGeom>
                    <a:noFill/>
                  </pic:spPr>
                </pic:pic>
              </a:graphicData>
            </a:graphic>
          </wp:anchor>
        </w:drawing>
      </w:r>
    </w:p>
    <w:p>
      <w:pPr>
        <w:spacing w:after="0" w:line="122" w:lineRule="exact"/>
        <w:rPr>
          <w:sz w:val="20"/>
          <w:szCs w:val="20"/>
          <w:color w:val="auto"/>
        </w:rPr>
      </w:pPr>
    </w:p>
    <w:p>
      <w:pPr>
        <w:ind w:left="540" w:right="300" w:hanging="272"/>
        <w:spacing w:after="0" w:line="279" w:lineRule="auto"/>
        <w:rPr>
          <w:sz w:val="20"/>
          <w:szCs w:val="20"/>
          <w:color w:val="auto"/>
        </w:rPr>
      </w:pPr>
      <w:r>
        <w:rPr>
          <w:rFonts w:ascii="Arial" w:cs="Arial" w:eastAsia="Arial" w:hAnsi="Arial"/>
          <w:sz w:val="15"/>
          <w:szCs w:val="15"/>
          <w:color w:val="auto"/>
        </w:rPr>
        <w:t>4.1.3</w:t>
      </w:r>
      <w:r>
        <w:rPr>
          <w:sz w:val="20"/>
          <w:szCs w:val="20"/>
          <w:color w:val="auto"/>
        </w:rPr>
        <w:t xml:space="preserve"> </w:t>
      </w:r>
      <w:r>
        <w:rPr>
          <w:rFonts w:ascii="Arial" w:cs="Arial" w:eastAsia="Arial" w:hAnsi="Arial"/>
          <w:sz w:val="15"/>
          <w:szCs w:val="15"/>
          <w:color w:val="auto"/>
        </w:rPr>
        <w:t xml:space="preserve">Buyer is responsible to remit payment for training within 30 days of the date of receipt of an applicable invoice following completion of the applicable </w:t>
      </w:r>
      <w:r>
        <w:rPr>
          <w:rFonts w:ascii="Arial" w:cs="Arial" w:eastAsia="Arial" w:hAnsi="Arial"/>
          <w:sz w:val="15"/>
          <w:szCs w:val="15"/>
          <w:color w:val="auto"/>
          <w:highlight w:val="white"/>
        </w:rPr>
        <w:t>training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-241935</wp:posOffset>
            </wp:positionV>
            <wp:extent cx="6569710" cy="107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69710" cy="107950"/>
                    </a:xfrm>
                    <a:prstGeom prst="rect">
                      <a:avLst/>
                    </a:prstGeom>
                    <a:noFill/>
                  </pic:spPr>
                </pic:pic>
              </a:graphicData>
            </a:graphic>
          </wp:anchor>
        </w:drawing>
      </w:r>
    </w:p>
    <w:p>
      <w:pPr>
        <w:spacing w:after="0" w:line="10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Training Materials.</w:t>
      </w:r>
    </w:p>
    <w:p>
      <w:pPr>
        <w:spacing w:after="0" w:line="180" w:lineRule="exact"/>
        <w:rPr>
          <w:sz w:val="20"/>
          <w:szCs w:val="20"/>
          <w:color w:val="auto"/>
        </w:rPr>
      </w:pPr>
    </w:p>
    <w:p>
      <w:pPr>
        <w:jc w:val="both"/>
        <w:ind w:left="540" w:hanging="272"/>
        <w:spacing w:after="0" w:line="251" w:lineRule="auto"/>
        <w:rPr>
          <w:sz w:val="20"/>
          <w:szCs w:val="20"/>
          <w:color w:val="auto"/>
        </w:rPr>
      </w:pPr>
      <w:r>
        <w:rPr>
          <w:rFonts w:ascii="Arial" w:cs="Arial" w:eastAsia="Arial" w:hAnsi="Arial"/>
          <w:sz w:val="15"/>
          <w:szCs w:val="15"/>
          <w:color w:val="auto"/>
        </w:rPr>
        <w:t>4.2.1</w:t>
      </w:r>
      <w:r>
        <w:rPr>
          <w:sz w:val="20"/>
          <w:szCs w:val="20"/>
          <w:color w:val="auto"/>
        </w:rPr>
        <w:t xml:space="preserve"> </w:t>
      </w:r>
      <w:r>
        <w:rPr>
          <w:rFonts w:ascii="Arial" w:cs="Arial" w:eastAsia="Arial" w:hAnsi="Arial"/>
          <w:sz w:val="15"/>
          <w:szCs w:val="15"/>
          <w:color w:val="auto"/>
        </w:rPr>
        <w:t xml:space="preserve">During the Term of this Agreement, Hamilton shall provide Buyer with all materials utilized to provide training in connection with the Products. Training materials shall include, but are not limited to, instructor guides, overheads, student workbooks, and manual/guides. Hamilton shall provide masters of such training materials in both hard copy and electronic media. Buyer is permitted to use such material in training Buyer's sales and support staff and its customers </w:t>
      </w:r>
      <w:r>
        <w:rPr>
          <w:rFonts w:ascii="Arial" w:cs="Arial" w:eastAsia="Arial" w:hAnsi="Arial"/>
          <w:sz w:val="15"/>
          <w:szCs w:val="15"/>
          <w:color w:val="auto"/>
          <w:highlight w:val="white"/>
        </w:rPr>
        <w:t>on the Products or as otherwise necessary or reasonably useful to exercise its rights or fulfill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-445770</wp:posOffset>
            </wp:positionV>
            <wp:extent cx="6807835" cy="3244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7835" cy="324485"/>
                    </a:xfrm>
                    <a:prstGeom prst="rect">
                      <a:avLst/>
                    </a:prstGeom>
                    <a:noFill/>
                  </pic:spPr>
                </pic:pic>
              </a:graphicData>
            </a:graphic>
          </wp:anchor>
        </w:drawing>
      </w:r>
    </w:p>
    <w:p>
      <w:pPr>
        <w:spacing w:after="0" w:line="122" w:lineRule="exact"/>
        <w:rPr>
          <w:sz w:val="20"/>
          <w:szCs w:val="20"/>
          <w:color w:val="auto"/>
        </w:rPr>
      </w:pPr>
    </w:p>
    <w:p>
      <w:pPr>
        <w:jc w:val="both"/>
        <w:ind w:left="540" w:hanging="272"/>
        <w:spacing w:after="0" w:line="258" w:lineRule="auto"/>
        <w:rPr>
          <w:sz w:val="20"/>
          <w:szCs w:val="20"/>
          <w:color w:val="auto"/>
        </w:rPr>
      </w:pPr>
      <w:r>
        <w:rPr>
          <w:rFonts w:ascii="Arial" w:cs="Arial" w:eastAsia="Arial" w:hAnsi="Arial"/>
          <w:sz w:val="15"/>
          <w:szCs w:val="15"/>
          <w:color w:val="auto"/>
        </w:rPr>
        <w:t>4.2.2</w:t>
      </w:r>
      <w:r>
        <w:rPr>
          <w:sz w:val="20"/>
          <w:szCs w:val="20"/>
          <w:color w:val="auto"/>
        </w:rPr>
        <w:t xml:space="preserve"> </w:t>
      </w:r>
      <w:r>
        <w:rPr>
          <w:rFonts w:ascii="Arial" w:cs="Arial" w:eastAsia="Arial" w:hAnsi="Arial"/>
          <w:sz w:val="15"/>
          <w:szCs w:val="15"/>
          <w:color w:val="auto"/>
        </w:rPr>
        <w:t xml:space="preserve">Hamilton hereby grants to Buyer a royalty-free, non-exclusive, worldwide license to use, modify, create derivative works based upon, reproduce, display, </w:t>
      </w:r>
      <w:r>
        <w:rPr>
          <w:rFonts w:ascii="Arial" w:cs="Arial" w:eastAsia="Arial" w:hAnsi="Arial"/>
          <w:sz w:val="15"/>
          <w:szCs w:val="15"/>
          <w:color w:val="auto"/>
          <w:highlight w:val="white"/>
        </w:rPr>
        <w:t>demonstrate and distribute the training materials (whether modified or unmodified but excluding proprietary technical information relating to the Products) for course development use solely in connection with the Products distributed under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-340995</wp:posOffset>
            </wp:positionV>
            <wp:extent cx="6764655" cy="107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64655" cy="10795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5 - IMPROVEMENTS AND CHANGES TO THE PRODUCT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color w:val="auto"/>
        </w:rPr>
        <w:t>Improvements.</w:t>
      </w:r>
    </w:p>
    <w:p>
      <w:pPr>
        <w:spacing w:after="0" w:line="180" w:lineRule="exact"/>
        <w:rPr>
          <w:sz w:val="20"/>
          <w:szCs w:val="20"/>
          <w:color w:val="auto"/>
        </w:rPr>
      </w:pPr>
    </w:p>
    <w:p>
      <w:pPr>
        <w:jc w:val="both"/>
        <w:ind w:left="540"/>
        <w:spacing w:after="0" w:line="244" w:lineRule="auto"/>
        <w:rPr>
          <w:sz w:val="20"/>
          <w:szCs w:val="20"/>
          <w:color w:val="auto"/>
        </w:rPr>
      </w:pPr>
      <w:r>
        <w:rPr>
          <w:rFonts w:ascii="Arial" w:cs="Arial" w:eastAsia="Arial" w:hAnsi="Arial"/>
          <w:sz w:val="15"/>
          <w:szCs w:val="15"/>
          <w:color w:val="auto"/>
        </w:rPr>
        <w:t>From time to time upon written notification, Buyer may request to modify the work in a related CRS or Project Work Scope Schedule (including but not limited to changes in the drawings, designs, Specifications and/or packaging of the Products) (“</w:t>
      </w:r>
      <w:r>
        <w:rPr>
          <w:rFonts w:ascii="Arial" w:cs="Arial" w:eastAsia="Arial" w:hAnsi="Arial"/>
          <w:sz w:val="15"/>
          <w:szCs w:val="15"/>
          <w:b w:val="1"/>
          <w:bCs w:val="1"/>
          <w:color w:val="auto"/>
        </w:rPr>
        <w:t>Change Order</w:t>
      </w:r>
      <w:r>
        <w:rPr>
          <w:rFonts w:ascii="Arial" w:cs="Arial" w:eastAsia="Arial" w:hAnsi="Arial"/>
          <w:sz w:val="15"/>
          <w:szCs w:val="15"/>
          <w:color w:val="auto"/>
        </w:rPr>
        <w:t>”). For clarity, Hamilton will not be required to perform work that is beyond the initial scope of work described in the Project Work Scope Schedule or CRS without an approved Change Order. Hamilton will use commercially reasonable efforts to approve a Change Order based on assessment of needs, risks, and resources. Hamilton reserves the right to charge Buyer for additional labor and expense in connection with a Change Order. Buyer will be responsible for additional labor, expense, and price increases that may occur due to any change to the Project Work Scope Schedule or CRS caused by inclusion of a Change Order, in each case solely to the extent previously approved in writing by Buyer.</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5"/>
          <w:szCs w:val="15"/>
          <w:color w:val="auto"/>
        </w:rPr>
        <w:t>Critical Parts.</w:t>
      </w:r>
    </w:p>
    <w:p>
      <w:pPr>
        <w:spacing w:after="0" w:line="180"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From time to time during the Term, the Parties shall define a list of specific components/parts used in a Product that are considered critical to the functionality of Instrument performance or to safety, environmental or other governmental compliance of the Product, and shall update the applicable Project Work Scope Schedule (“</w:t>
      </w:r>
      <w:r>
        <w:rPr>
          <w:rFonts w:ascii="Arial" w:cs="Arial" w:eastAsia="Arial" w:hAnsi="Arial"/>
          <w:sz w:val="15"/>
          <w:szCs w:val="15"/>
          <w:b w:val="1"/>
          <w:bCs w:val="1"/>
          <w:color w:val="auto"/>
        </w:rPr>
        <w:t>Critical Parts</w:t>
      </w:r>
      <w:r>
        <w:rPr>
          <w:rFonts w:ascii="Arial" w:cs="Arial" w:eastAsia="Arial" w:hAnsi="Arial"/>
          <w:sz w:val="15"/>
          <w:szCs w:val="15"/>
          <w:color w:val="auto"/>
        </w:rPr>
        <w:t>”). As of the Effective Date, Critical Parts are listed on Exhibit 4.</w:t>
      </w:r>
    </w:p>
    <w:p>
      <w:pPr>
        <w:spacing w:after="0" w:line="126"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5"/>
          <w:szCs w:val="15"/>
          <w:color w:val="auto"/>
        </w:rPr>
        <w:t>Change Notification.</w:t>
      </w:r>
    </w:p>
    <w:p>
      <w:pPr>
        <w:spacing w:after="0" w:line="180" w:lineRule="exact"/>
        <w:rPr>
          <w:sz w:val="20"/>
          <w:szCs w:val="20"/>
          <w:color w:val="auto"/>
        </w:rPr>
      </w:pPr>
    </w:p>
    <w:p>
      <w:pPr>
        <w:jc w:val="both"/>
        <w:ind w:left="540"/>
        <w:spacing w:after="0" w:line="279" w:lineRule="auto"/>
        <w:rPr>
          <w:sz w:val="20"/>
          <w:szCs w:val="20"/>
          <w:color w:val="auto"/>
        </w:rPr>
      </w:pPr>
      <w:r>
        <w:rPr>
          <w:rFonts w:ascii="Arial" w:cs="Arial" w:eastAsia="Arial" w:hAnsi="Arial"/>
          <w:sz w:val="15"/>
          <w:szCs w:val="15"/>
          <w:color w:val="auto"/>
          <w:highlight w:val="white"/>
        </w:rPr>
        <w:t>Hamilton shall not make any changes to Critical Parts without prior approval from Buyer except as outlined in Exhibit 4. Buyer has 90 days from the date of receipt of Hamilton’s notification therefor to (a) accept such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10</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496" w:name="page497"/>
    <w:bookmarkEnd w:id="496"/>
    <w:p>
      <w:pPr>
        <w:jc w:val="both"/>
        <w:ind w:left="540"/>
        <w:spacing w:after="0" w:line="263" w:lineRule="auto"/>
        <w:rPr>
          <w:sz w:val="20"/>
          <w:szCs w:val="20"/>
          <w:color w:val="auto"/>
        </w:rPr>
      </w:pPr>
      <w:r>
        <w:rPr>
          <w:rFonts w:ascii="Arial" w:cs="Arial" w:eastAsia="Arial" w:hAnsi="Arial"/>
          <w:sz w:val="15"/>
          <w:szCs w:val="15"/>
          <w:color w:val="auto"/>
          <w:highlight w:val="white"/>
        </w:rPr>
        <w:t>change to a Critical Part and/or Specification, (b) reject such change, in which case Buyer may continue to place Purchase Orders for Products during the 6-month period following such rejection with the unchanged Critical Part and/or Specifications for delivery during the 18-month period following such implementation (provided, for clarity, that Buyer may place Purchase Orders for changed Products notwithstanding such rejection), or (c) request a Change Order for consideration. For clarity, Hamilton shall accept all such Purchase Orders, and shall use commercially reasonable efforts to approve all such Change Orders, in each case in accordance with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6 – TERM</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4"/>
          <w:szCs w:val="14"/>
          <w:color w:val="auto"/>
        </w:rPr>
        <w:t>Initial Term.</w:t>
      </w:r>
    </w:p>
    <w:p>
      <w:pPr>
        <w:spacing w:after="0" w:line="189" w:lineRule="exact"/>
        <w:rPr>
          <w:sz w:val="20"/>
          <w:szCs w:val="20"/>
          <w:color w:val="auto"/>
        </w:rPr>
      </w:pPr>
    </w:p>
    <w:p>
      <w:pPr>
        <w:jc w:val="both"/>
        <w:ind w:left="540"/>
        <w:spacing w:after="0" w:line="298" w:lineRule="auto"/>
        <w:rPr>
          <w:sz w:val="20"/>
          <w:szCs w:val="20"/>
          <w:color w:val="auto"/>
        </w:rPr>
      </w:pPr>
      <w:r>
        <w:rPr>
          <w:rFonts w:ascii="Arial" w:cs="Arial" w:eastAsia="Arial" w:hAnsi="Arial"/>
          <w:sz w:val="15"/>
          <w:szCs w:val="15"/>
          <w:color w:val="auto"/>
        </w:rPr>
        <w:t>The initial term of this Agreement (the “</w:t>
      </w:r>
      <w:r>
        <w:rPr>
          <w:rFonts w:ascii="Arial" w:cs="Arial" w:eastAsia="Arial" w:hAnsi="Arial"/>
          <w:sz w:val="15"/>
          <w:szCs w:val="15"/>
          <w:b w:val="1"/>
          <w:bCs w:val="1"/>
          <w:color w:val="auto"/>
        </w:rPr>
        <w:t>Initial Term</w:t>
      </w:r>
      <w:r>
        <w:rPr>
          <w:rFonts w:ascii="Arial" w:cs="Arial" w:eastAsia="Arial" w:hAnsi="Arial"/>
          <w:sz w:val="15"/>
          <w:szCs w:val="15"/>
          <w:color w:val="auto"/>
        </w:rPr>
        <w:t>”) shall commence on the Effective Date hereof and remain in effect for a period of three years following Commercial Launch, unless sooner terminated as expressly provided herein.</w:t>
      </w:r>
    </w:p>
    <w:p>
      <w:pPr>
        <w:spacing w:after="0" w:line="119"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4"/>
          <w:szCs w:val="14"/>
          <w:color w:val="auto"/>
        </w:rPr>
        <w:t>Automatic Extensions.</w:t>
      </w:r>
    </w:p>
    <w:p>
      <w:pPr>
        <w:spacing w:after="0" w:line="189" w:lineRule="exact"/>
        <w:rPr>
          <w:sz w:val="20"/>
          <w:szCs w:val="20"/>
          <w:color w:val="auto"/>
        </w:rPr>
      </w:pPr>
    </w:p>
    <w:p>
      <w:pPr>
        <w:jc w:val="both"/>
        <w:ind w:left="540" w:hanging="272"/>
        <w:spacing w:after="0" w:line="298" w:lineRule="auto"/>
        <w:rPr>
          <w:sz w:val="20"/>
          <w:szCs w:val="20"/>
          <w:color w:val="auto"/>
        </w:rPr>
      </w:pPr>
      <w:r>
        <w:rPr>
          <w:rFonts w:ascii="Arial" w:cs="Arial" w:eastAsia="Arial" w:hAnsi="Arial"/>
          <w:sz w:val="15"/>
          <w:szCs w:val="15"/>
          <w:color w:val="auto"/>
        </w:rPr>
        <w:t>6.2.1</w:t>
      </w:r>
      <w:r>
        <w:rPr>
          <w:sz w:val="20"/>
          <w:szCs w:val="20"/>
          <w:color w:val="auto"/>
        </w:rPr>
        <w:t xml:space="preserve"> </w:t>
      </w:r>
      <w:r>
        <w:rPr>
          <w:rFonts w:ascii="Arial" w:cs="Arial" w:eastAsia="Arial" w:hAnsi="Arial"/>
          <w:sz w:val="15"/>
          <w:szCs w:val="15"/>
          <w:color w:val="auto"/>
        </w:rPr>
        <w:t>This Agreement shall renew for a [***] renewal period following the Initial Term (the “</w:t>
      </w:r>
      <w:r>
        <w:rPr>
          <w:rFonts w:ascii="Arial" w:cs="Arial" w:eastAsia="Arial" w:hAnsi="Arial"/>
          <w:sz w:val="15"/>
          <w:szCs w:val="15"/>
          <w:b w:val="1"/>
          <w:bCs w:val="1"/>
          <w:color w:val="auto"/>
        </w:rPr>
        <w:t>Extended Term</w:t>
      </w:r>
      <w:r>
        <w:rPr>
          <w:rFonts w:ascii="Arial" w:cs="Arial" w:eastAsia="Arial" w:hAnsi="Arial"/>
          <w:sz w:val="15"/>
          <w:szCs w:val="15"/>
          <w:color w:val="auto"/>
        </w:rPr>
        <w:t>”) upon Buyer’s delivery of written notice given to Hamilton at least 90 days prior to the end of the Initial Term.</w:t>
      </w:r>
    </w:p>
    <w:p>
      <w:pPr>
        <w:spacing w:after="0" w:line="119"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5"/>
          <w:szCs w:val="15"/>
          <w:color w:val="auto"/>
        </w:rPr>
        <w:t>6.2.2</w:t>
      </w:r>
      <w:r>
        <w:rPr>
          <w:sz w:val="20"/>
          <w:szCs w:val="20"/>
          <w:color w:val="auto"/>
        </w:rPr>
        <w:tab/>
      </w:r>
      <w:r>
        <w:rPr>
          <w:rFonts w:ascii="Arial" w:cs="Arial" w:eastAsia="Arial" w:hAnsi="Arial"/>
          <w:sz w:val="15"/>
          <w:szCs w:val="15"/>
          <w:color w:val="auto"/>
        </w:rPr>
        <w:t>Deliveries will be scheduled after the Term for Purchase Orders issued during the Term and unfulfilled as of the end of the Term.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7 – TERMINATION</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4"/>
          <w:szCs w:val="14"/>
          <w:color w:val="auto"/>
        </w:rPr>
        <w:t>Termination by Buyer for Convenience.</w:t>
      </w:r>
    </w:p>
    <w:p>
      <w:pPr>
        <w:spacing w:after="0" w:line="191" w:lineRule="exact"/>
        <w:rPr>
          <w:sz w:val="20"/>
          <w:szCs w:val="20"/>
          <w:color w:val="auto"/>
        </w:rPr>
      </w:pPr>
    </w:p>
    <w:p>
      <w:pPr>
        <w:ind w:left="540" w:right="60"/>
        <w:spacing w:after="0" w:line="295" w:lineRule="auto"/>
        <w:rPr>
          <w:sz w:val="20"/>
          <w:szCs w:val="20"/>
          <w:color w:val="auto"/>
        </w:rPr>
      </w:pPr>
      <w:r>
        <w:rPr>
          <w:rFonts w:ascii="Arial" w:cs="Arial" w:eastAsia="Arial" w:hAnsi="Arial"/>
          <w:sz w:val="15"/>
          <w:szCs w:val="15"/>
          <w:color w:val="auto"/>
        </w:rPr>
        <w:t>Buyer may terminate this Agreement, or any Project Work Scope Schedule with or without cause, upon 120 days prior written notice to Hamilton, and subject to any accrued or outstanding obligations of Buyer under this Agreement.</w:t>
      </w:r>
    </w:p>
    <w:p>
      <w:pPr>
        <w:spacing w:after="0" w:line="121" w:lineRule="exact"/>
        <w:rPr>
          <w:sz w:val="20"/>
          <w:szCs w:val="20"/>
          <w:color w:val="auto"/>
        </w:rPr>
      </w:pPr>
    </w:p>
    <w:p>
      <w:pPr>
        <w:jc w:val="both"/>
        <w:ind w:left="540" w:hanging="272"/>
        <w:spacing w:after="0" w:line="270" w:lineRule="auto"/>
        <w:rPr>
          <w:sz w:val="20"/>
          <w:szCs w:val="20"/>
          <w:color w:val="auto"/>
        </w:rPr>
      </w:pPr>
      <w:r>
        <w:rPr>
          <w:rFonts w:ascii="Arial" w:cs="Arial" w:eastAsia="Arial" w:hAnsi="Arial"/>
          <w:sz w:val="15"/>
          <w:szCs w:val="15"/>
          <w:color w:val="auto"/>
        </w:rPr>
        <w:t>7.1.1</w:t>
      </w:r>
      <w:r>
        <w:rPr>
          <w:sz w:val="20"/>
          <w:szCs w:val="20"/>
          <w:color w:val="auto"/>
        </w:rPr>
        <w:t xml:space="preserve"> </w:t>
      </w:r>
      <w:r>
        <w:rPr>
          <w:rFonts w:ascii="Arial" w:cs="Arial" w:eastAsia="Arial" w:hAnsi="Arial"/>
          <w:sz w:val="15"/>
          <w:szCs w:val="15"/>
          <w:color w:val="auto"/>
        </w:rPr>
        <w:t>Upon receipt of a termination notice for any Project Work Scope Schedule, unless otherwise directed by Buyer, Hamilton shall take commercially reasonable steps to mitigate any expenses or losses arising from such termination, including but not limited to: (i) stopping work under all Purchase Orders to the extent specified; (ii) terminating all orders to the extent they relate to terminated work; and (iii) placing no further orders for Raw Materials, goods, supplies or services required to be furnished by Hamilton to complete the Products ordered hereunder (collectively, “</w:t>
      </w:r>
      <w:r>
        <w:rPr>
          <w:rFonts w:ascii="Arial" w:cs="Arial" w:eastAsia="Arial" w:hAnsi="Arial"/>
          <w:sz w:val="15"/>
          <w:szCs w:val="15"/>
          <w:b w:val="1"/>
          <w:bCs w:val="1"/>
          <w:color w:val="auto"/>
        </w:rPr>
        <w:t>Material</w:t>
      </w:r>
      <w:r>
        <w:rPr>
          <w:rFonts w:ascii="Arial" w:cs="Arial" w:eastAsia="Arial" w:hAnsi="Arial"/>
          <w:sz w:val="15"/>
          <w:szCs w:val="15"/>
          <w:color w:val="auto"/>
        </w:rPr>
        <w:t>”).</w:t>
      </w:r>
    </w:p>
    <w:p>
      <w:pPr>
        <w:spacing w:after="0" w:line="132" w:lineRule="exact"/>
        <w:rPr>
          <w:sz w:val="20"/>
          <w:szCs w:val="20"/>
          <w:color w:val="auto"/>
        </w:rPr>
      </w:pPr>
    </w:p>
    <w:p>
      <w:pPr>
        <w:jc w:val="both"/>
        <w:ind w:left="540" w:hanging="272"/>
        <w:spacing w:after="0" w:line="274" w:lineRule="auto"/>
        <w:rPr>
          <w:sz w:val="20"/>
          <w:szCs w:val="20"/>
          <w:color w:val="auto"/>
        </w:rPr>
      </w:pPr>
      <w:r>
        <w:rPr>
          <w:rFonts w:ascii="Arial" w:cs="Arial" w:eastAsia="Arial" w:hAnsi="Arial"/>
          <w:sz w:val="15"/>
          <w:szCs w:val="15"/>
          <w:color w:val="auto"/>
        </w:rPr>
        <w:t>7.1.2</w:t>
      </w:r>
      <w:r>
        <w:rPr>
          <w:sz w:val="20"/>
          <w:szCs w:val="20"/>
          <w:color w:val="auto"/>
        </w:rPr>
        <w:t xml:space="preserve"> </w:t>
      </w:r>
      <w:r>
        <w:rPr>
          <w:rFonts w:ascii="Arial" w:cs="Arial" w:eastAsia="Arial" w:hAnsi="Arial"/>
          <w:sz w:val="15"/>
          <w:szCs w:val="15"/>
          <w:color w:val="auto"/>
        </w:rPr>
        <w:t>Upon termination of any Project Work Scope Schedule, Hamilton shall use commercially reasonable effort to (i) settle all claims with its suppliers for Raw Materials, (ii) use commercially reasonable effort to sell any Material relating to the terminated work, and (iii) re-direct finished Product to other products or customers to minimize Buyer’s liability.</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5"/>
          <w:szCs w:val="15"/>
          <w:color w:val="auto"/>
        </w:rPr>
        <w:t>Termination by Hamilton for Discontinuance of Business.</w:t>
      </w:r>
    </w:p>
    <w:p>
      <w:pPr>
        <w:spacing w:after="0" w:line="191"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Hamilton may terminate this Agreement at any time upon 365 days’ prior written notice to Buyer in the event Hamilton determines in its sole and absolute discretion to discontinue the manufacture and sale of the Instruments. Buyer shall be entitled to place Purchase Orders for such discontinued Instruments for delivery during the 18 -month period following such termination. In addition, if requested by Buyer, Hamilton will cooperate with Buyer to amend and restate this Agreement to replace such discontinued Instruments with Hamilton’s intended replacement instrument(s), including without limitation the MicroLab® VANTAGE Liquid Handling System product lines.</w:t>
      </w:r>
    </w:p>
    <w:p>
      <w:pPr>
        <w:spacing w:after="0" w:line="145"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4"/>
          <w:szCs w:val="14"/>
          <w:color w:val="auto"/>
        </w:rPr>
        <w:t>Termination for Breach.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11</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497" w:name="page498"/>
    <w:bookmarkEnd w:id="497"/>
    <w:p>
      <w:pPr>
        <w:ind w:left="540" w:right="100"/>
        <w:spacing w:after="0" w:line="243" w:lineRule="auto"/>
        <w:rPr>
          <w:sz w:val="20"/>
          <w:szCs w:val="20"/>
          <w:color w:val="auto"/>
        </w:rPr>
      </w:pPr>
      <w:r>
        <w:rPr>
          <w:rFonts w:ascii="Arial" w:cs="Arial" w:eastAsia="Arial" w:hAnsi="Arial"/>
          <w:sz w:val="15"/>
          <w:szCs w:val="15"/>
          <w:color w:val="auto"/>
        </w:rPr>
        <w:t>This Agreement may be terminated, prior to the expiration of the Term, by either Party by giving written notice of its intent to terminate and stating the grounds therefore if the other Party shall have materially breached or materially failed in the observance or performance of any representation, warranty, guarantee, covenant or obligation under this Agreement. The Party receiving such notice shall have 60 days from the date of receipt thereof to cure such breach or failure. In the event such breach is cured during such period, such notice shall be of no force or effect and this Agreement shall not be terminated. If the breach is not cured, this Agreement will terminate 60 days after a Party receives such notice. Notwithstanding the foregoing, if the Party alleged to be in material breach of this Agreement disputes such breach in good faith by written notice to the alleging Party promptly after receiving notice of such breach, the alleging Party shall not have the right to terminate this Agreement pursuant to this section 7.3 unless it has been determined that this Agreement was materially breached in accordance with section 16.3 and the breaching Party fails to comply with its obligations hereunder within 60 days after such determination.</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4"/>
          <w:szCs w:val="14"/>
          <w:color w:val="auto"/>
        </w:rPr>
        <w:t>Termination for Insolvency.</w:t>
      </w:r>
    </w:p>
    <w:p>
      <w:pPr>
        <w:spacing w:after="0" w:line="180"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Either Party may terminate this Agreement with notice to the other Party: (a) if a proceeding or case shall be commenced against the other Party hereto in any court of competent jurisdiction, seeking (1) its liquidation, reorganization, dissolution or winding-up, or the composition or readjustment of its debts, (2) the appointment of a trustee, receiver, custodian, liquidator or the like of the Party or of all or any substantial part of its assets, or (3) similar relief under any bankruptcy laws, and in each case (1)-(3) such proceeding or case is not voluntarily dismissed within a period of 90 days; or (b) in the event an order for relief against the other Party hereto shall be entered in an involuntary case under the Bankruptcy Code or any bankruptcy law.</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5"/>
          <w:szCs w:val="15"/>
          <w:color w:val="auto"/>
        </w:rPr>
        <w:t>[*** represents one paragraph of the termination policy]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4"/>
          <w:szCs w:val="14"/>
          <w:color w:val="auto"/>
        </w:rPr>
        <w:t>Effect of Termination.</w:t>
      </w:r>
    </w:p>
    <w:p>
      <w:pPr>
        <w:spacing w:after="0" w:line="180" w:lineRule="exact"/>
        <w:rPr>
          <w:sz w:val="20"/>
          <w:szCs w:val="20"/>
          <w:color w:val="auto"/>
        </w:rPr>
      </w:pPr>
    </w:p>
    <w:p>
      <w:pPr>
        <w:jc w:val="both"/>
        <w:ind w:left="540"/>
        <w:spacing w:after="0" w:line="243" w:lineRule="auto"/>
        <w:rPr>
          <w:sz w:val="20"/>
          <w:szCs w:val="20"/>
          <w:color w:val="auto"/>
        </w:rPr>
      </w:pPr>
      <w:r>
        <w:rPr>
          <w:rFonts w:ascii="Arial" w:cs="Arial" w:eastAsia="Arial" w:hAnsi="Arial"/>
          <w:sz w:val="15"/>
          <w:szCs w:val="15"/>
          <w:color w:val="auto"/>
        </w:rPr>
        <w:t>In the event of termination of this Agreement by either Party in accordance with the terms of this Agreement, other than termination by Buyer for Hamilton’s material breach, Buyer shall be liable for the following: (a) payment for all Products ordered by Buyer whether or not delivered or in transit to Buyer or its customer as well as all finished Products in Hamilton’s inventory prior to written notification of Termination, (b) payment for all work-in-process related to any Product, and (c) payment for all non-cancelable Hamilton purchase orders for Materials to be used by Hamilton in the production of Products in amounts necessary to fulfill Buyer’s Rolling Forecast for 12 months. Hamilton shall use commercially reasonable efforts to minimize cancellation charges by returning inventory and Material for credit, canceling Material on order and applying Material to other Hamilton projects (when possible and at the sole and absolute discretion of Hamilton). Upon Buyer’s payment of the amounts outlined above, all work-in-process, and components in Hamilton’s possession and control or on order (non-cancelable) shall be delivered to and become property of Buyer on an as is basis.</w:t>
      </w:r>
    </w:p>
    <w:p>
      <w:pPr>
        <w:spacing w:after="0" w:line="147" w:lineRule="exact"/>
        <w:rPr>
          <w:sz w:val="20"/>
          <w:szCs w:val="20"/>
          <w:color w:val="auto"/>
        </w:rPr>
      </w:pPr>
    </w:p>
    <w:p>
      <w:pPr>
        <w:jc w:val="both"/>
        <w:ind w:left="540"/>
        <w:spacing w:after="0" w:line="251" w:lineRule="auto"/>
        <w:rPr>
          <w:sz w:val="20"/>
          <w:szCs w:val="20"/>
          <w:color w:val="auto"/>
        </w:rPr>
      </w:pPr>
      <w:r>
        <w:rPr>
          <w:rFonts w:ascii="Arial" w:cs="Arial" w:eastAsia="Arial" w:hAnsi="Arial"/>
          <w:sz w:val="15"/>
          <w:szCs w:val="15"/>
          <w:color w:val="auto"/>
        </w:rPr>
        <w:t>In the event of termination of this Agreement by either Party or expiration of this Agreement, Buyer shall have the right to purchase Consumables, Spare Parts, and other Products, excluding the Instrument, for a period of seven years, at Hamilton’s then applicable price for such items, if and to the extent that such items are regularly stocked by Hamilton. Buyer expressly acknowledges and agrees that Hamilton has no obligation to stock or order any such items, and Buyer’s rights set forth in this section 7.6 are limited to Hamilton’s inventory.</w:t>
      </w:r>
    </w:p>
    <w:p>
      <w:pPr>
        <w:spacing w:after="0" w:line="142" w:lineRule="exact"/>
        <w:rPr>
          <w:sz w:val="20"/>
          <w:szCs w:val="20"/>
          <w:color w:val="auto"/>
        </w:rPr>
      </w:pPr>
    </w:p>
    <w:p>
      <w:pPr>
        <w:jc w:val="both"/>
        <w:ind w:left="540"/>
        <w:spacing w:after="0" w:line="251" w:lineRule="auto"/>
        <w:rPr>
          <w:sz w:val="20"/>
          <w:szCs w:val="20"/>
          <w:color w:val="auto"/>
        </w:rPr>
      </w:pPr>
      <w:r>
        <w:rPr>
          <w:rFonts w:ascii="Arial" w:cs="Arial" w:eastAsia="Arial" w:hAnsi="Arial"/>
          <w:sz w:val="15"/>
          <w:szCs w:val="15"/>
          <w:color w:val="auto"/>
        </w:rPr>
        <w:t>Termination or expiration of this Agreement shall not relieve a Party from any liability or obligation that, at the time of termination or expiration, has accrued to the other Party. The provisions of articles 1, 7, 11 (solely for a period of three years), 14, 15 (with respect to section 15.4, solely for 3 years), and 16 (with respect to section 16.1, solely for seven years) and sections 3.1, 4.2.2, 8.1.1, 9.1, 13.1 (solely with respect to Products supplied under this Agreement) and 13.4 shall survive the expiration or termination of this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8 – INVENTORY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12</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498" w:name="page499"/>
    <w:bookmarkEnd w:id="498"/>
    <w:p>
      <w:pPr>
        <w:spacing w:after="0"/>
        <w:tabs>
          <w:tab w:leader="none" w:pos="520" w:val="left"/>
        </w:tabs>
        <w:rPr>
          <w:sz w:val="20"/>
          <w:szCs w:val="20"/>
          <w:color w:val="auto"/>
        </w:rPr>
      </w:pPr>
      <w:r>
        <w:rPr>
          <w:rFonts w:ascii="Arial" w:cs="Arial" w:eastAsia="Arial" w:hAnsi="Arial"/>
          <w:sz w:val="15"/>
          <w:szCs w:val="15"/>
          <w:color w:val="auto"/>
        </w:rPr>
        <w:t>8.1</w:t>
      </w:r>
      <w:r>
        <w:rPr>
          <w:sz w:val="20"/>
          <w:szCs w:val="20"/>
          <w:color w:val="auto"/>
        </w:rPr>
        <w:tab/>
      </w:r>
      <w:r>
        <w:rPr>
          <w:rFonts w:ascii="Arial" w:cs="Arial" w:eastAsia="Arial" w:hAnsi="Arial"/>
          <w:sz w:val="14"/>
          <w:szCs w:val="14"/>
          <w:color w:val="auto"/>
        </w:rPr>
        <w:t>Inventory/Tooling.</w:t>
      </w:r>
    </w:p>
    <w:p>
      <w:pPr>
        <w:spacing w:after="0" w:line="180" w:lineRule="exact"/>
        <w:rPr>
          <w:sz w:val="20"/>
          <w:szCs w:val="20"/>
          <w:color w:val="auto"/>
        </w:rPr>
      </w:pPr>
    </w:p>
    <w:p>
      <w:pPr>
        <w:jc w:val="both"/>
        <w:ind w:left="540" w:hanging="272"/>
        <w:spacing w:after="0" w:line="245" w:lineRule="auto"/>
        <w:rPr>
          <w:sz w:val="20"/>
          <w:szCs w:val="20"/>
          <w:color w:val="auto"/>
        </w:rPr>
      </w:pPr>
      <w:r>
        <w:rPr>
          <w:rFonts w:ascii="Arial" w:cs="Arial" w:eastAsia="Arial" w:hAnsi="Arial"/>
          <w:sz w:val="15"/>
          <w:szCs w:val="15"/>
          <w:color w:val="auto"/>
        </w:rPr>
        <w:t>8.1.1</w:t>
      </w:r>
      <w:r>
        <w:rPr>
          <w:sz w:val="20"/>
          <w:szCs w:val="20"/>
          <w:color w:val="auto"/>
        </w:rPr>
        <w:t xml:space="preserve"> </w:t>
      </w:r>
      <w:r>
        <w:rPr>
          <w:rFonts w:ascii="Arial" w:cs="Arial" w:eastAsia="Arial" w:hAnsi="Arial"/>
          <w:sz w:val="15"/>
          <w:szCs w:val="15"/>
          <w:color w:val="auto"/>
        </w:rPr>
        <w:t>Unless otherwise agreed to in writing: (i) title to tooling, equipment, or material furnished to Hamilton by Buyer, or paid for by Buyer, and any replacement thereof, including any materials affixed thereto, is and shall remain solely Buyer’s property; and (ii) Hamilton holds such property solely as bailee. Hamilton shall not substitute any property for Buyer’s property or use Buyer’s property for any purpose other than for filling Buyer’s Purchase Orders. Hamilton shall keep accurate records showing that Buyer’s property is held on behalf of Buyer, and on Buyer’s written request shall furnish Buyer as soon as reasonably practical, an inventory of Buyer’s property held by Hamilton. Upon Buyer’s request, Hamilton shall transfer to Buyer all such tooling, equipment and/or material, as well as copies of any related drawings or other documentation, at Buyer’s expense.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9 – LIMITED WARRANTY, PRODUCT ACCEPTANCE, SUPPORT SERVICES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4"/>
          <w:szCs w:val="14"/>
          <w:color w:val="auto"/>
        </w:rPr>
        <w:t>Warranty.</w:t>
      </w:r>
    </w:p>
    <w:p>
      <w:pPr>
        <w:spacing w:after="0" w:line="180" w:lineRule="exact"/>
        <w:rPr>
          <w:sz w:val="20"/>
          <w:szCs w:val="20"/>
          <w:color w:val="auto"/>
        </w:rPr>
      </w:pPr>
    </w:p>
    <w:p>
      <w:pPr>
        <w:jc w:val="both"/>
        <w:ind w:left="540" w:hanging="272"/>
        <w:spacing w:after="0" w:line="247" w:lineRule="auto"/>
        <w:rPr>
          <w:sz w:val="20"/>
          <w:szCs w:val="20"/>
          <w:color w:val="auto"/>
        </w:rPr>
      </w:pPr>
      <w:r>
        <w:rPr>
          <w:rFonts w:ascii="Arial" w:cs="Arial" w:eastAsia="Arial" w:hAnsi="Arial"/>
          <w:sz w:val="15"/>
          <w:szCs w:val="15"/>
          <w:color w:val="auto"/>
        </w:rPr>
        <w:t>9.1.1</w:t>
      </w:r>
      <w:r>
        <w:rPr>
          <w:sz w:val="20"/>
          <w:szCs w:val="20"/>
          <w:color w:val="auto"/>
        </w:rPr>
        <w:t xml:space="preserve"> </w:t>
      </w:r>
      <w:r>
        <w:rPr>
          <w:rFonts w:ascii="Arial" w:cs="Arial" w:eastAsia="Arial" w:hAnsi="Arial"/>
          <w:sz w:val="15"/>
          <w:szCs w:val="15"/>
          <w:color w:val="auto"/>
        </w:rPr>
        <w:t xml:space="preserve">Hamilton represents and warrants to Buyer that all Products, at the time of shipment to Buyer, shall be (i) of merchantable quality, and (ii) manufactured in accordance and conformity with the Specifications. </w:t>
      </w:r>
      <w:r>
        <w:rPr>
          <w:rFonts w:ascii="Arial" w:cs="Arial" w:eastAsia="Arial" w:hAnsi="Arial"/>
          <w:sz w:val="15"/>
          <w:szCs w:val="15"/>
          <w:color w:val="231F20"/>
        </w:rPr>
        <w:t>The warranty period is [***],</w:t>
      </w:r>
      <w:r>
        <w:rPr>
          <w:rFonts w:ascii="Arial" w:cs="Arial" w:eastAsia="Arial" w:hAnsi="Arial"/>
          <w:sz w:val="15"/>
          <w:szCs w:val="15"/>
          <w:color w:val="auto"/>
        </w:rPr>
        <w:t xml:space="preserve"> whichever is earlier, or such longer period required under Applicable Laws</w:t>
      </w:r>
      <w:r>
        <w:rPr>
          <w:rFonts w:ascii="Arial" w:cs="Arial" w:eastAsia="Arial" w:hAnsi="Arial"/>
          <w:sz w:val="15"/>
          <w:szCs w:val="15"/>
          <w:color w:val="231F20"/>
        </w:rPr>
        <w:t>.</w:t>
      </w:r>
      <w:r>
        <w:rPr>
          <w:rFonts w:ascii="Arial" w:cs="Arial" w:eastAsia="Arial" w:hAnsi="Arial"/>
          <w:sz w:val="15"/>
          <w:szCs w:val="15"/>
          <w:color w:val="auto"/>
        </w:rPr>
        <w:t xml:space="preserve"> </w:t>
      </w:r>
      <w:r>
        <w:rPr>
          <w:rFonts w:ascii="Arial" w:cs="Arial" w:eastAsia="Arial" w:hAnsi="Arial"/>
          <w:sz w:val="15"/>
          <w:szCs w:val="15"/>
          <w:color w:val="231F20"/>
        </w:rPr>
        <w:t>The “</w:t>
      </w:r>
      <w:r>
        <w:rPr>
          <w:rFonts w:ascii="Arial" w:cs="Arial" w:eastAsia="Arial" w:hAnsi="Arial"/>
          <w:sz w:val="15"/>
          <w:szCs w:val="15"/>
          <w:b w:val="1"/>
          <w:bCs w:val="1"/>
          <w:color w:val="231F20"/>
        </w:rPr>
        <w:t>Installation Date</w:t>
      </w:r>
      <w:r>
        <w:rPr>
          <w:rFonts w:ascii="Arial" w:cs="Arial" w:eastAsia="Arial" w:hAnsi="Arial"/>
          <w:sz w:val="15"/>
          <w:szCs w:val="15"/>
          <w:color w:val="231F20"/>
        </w:rPr>
        <w:t>” shall be that date on which the Instrument has been installed at Buyer’s or its customer’s facility and the installation qualification to show performance to Specification has been met. For clarity, such representations and warranties shall extend to all Products regardless of the country of sale or installation.</w:t>
      </w:r>
    </w:p>
    <w:p>
      <w:pPr>
        <w:spacing w:after="0" w:line="146" w:lineRule="exact"/>
        <w:rPr>
          <w:sz w:val="20"/>
          <w:szCs w:val="20"/>
          <w:color w:val="auto"/>
        </w:rPr>
      </w:pPr>
    </w:p>
    <w:p>
      <w:pPr>
        <w:jc w:val="both"/>
        <w:ind w:left="540" w:hanging="272"/>
        <w:spacing w:after="0" w:line="244" w:lineRule="auto"/>
        <w:rPr>
          <w:sz w:val="20"/>
          <w:szCs w:val="20"/>
          <w:color w:val="auto"/>
        </w:rPr>
      </w:pPr>
      <w:r>
        <w:rPr>
          <w:rFonts w:ascii="Arial" w:cs="Arial" w:eastAsia="Arial" w:hAnsi="Arial"/>
          <w:sz w:val="15"/>
          <w:szCs w:val="15"/>
          <w:color w:val="auto"/>
        </w:rPr>
        <w:t>9.1.2</w:t>
      </w:r>
      <w:r>
        <w:rPr>
          <w:sz w:val="20"/>
          <w:szCs w:val="20"/>
          <w:color w:val="auto"/>
        </w:rPr>
        <w:t xml:space="preserve"> </w:t>
      </w:r>
      <w:r>
        <w:rPr>
          <w:rFonts w:ascii="Arial" w:cs="Arial" w:eastAsia="Arial" w:hAnsi="Arial"/>
          <w:sz w:val="15"/>
          <w:szCs w:val="15"/>
          <w:color w:val="231F20"/>
        </w:rPr>
        <w:t xml:space="preserve">The Product is designed and validated exclusively with CO-RE technology tips. Buyer acknowledges and agrees that the Instrument performance Specifications shall not apply to the use of non-Hamilton CO-RE tips on the Instrument. For clarity, use of non-Hamilton CO-RE tips shall void the Instrument performance Specifications and warranty. </w:t>
      </w:r>
      <w:r>
        <w:rPr>
          <w:rFonts w:ascii="Arial" w:cs="Arial" w:eastAsia="Arial" w:hAnsi="Arial"/>
          <w:sz w:val="15"/>
          <w:szCs w:val="15"/>
          <w:color w:val="000000"/>
        </w:rPr>
        <w:t>The warranty shall include full parts and labor during the initial warranty time period. For Materials that Hamilton</w:t>
      </w:r>
      <w:r>
        <w:rPr>
          <w:rFonts w:ascii="Arial" w:cs="Arial" w:eastAsia="Arial" w:hAnsi="Arial"/>
          <w:sz w:val="15"/>
          <w:szCs w:val="15"/>
          <w:color w:val="231F20"/>
        </w:rPr>
        <w:t xml:space="preserve"> </w:t>
      </w:r>
      <w:r>
        <w:rPr>
          <w:rFonts w:ascii="Arial" w:cs="Arial" w:eastAsia="Arial" w:hAnsi="Arial"/>
          <w:sz w:val="15"/>
          <w:szCs w:val="15"/>
          <w:color w:val="000000"/>
        </w:rPr>
        <w:t xml:space="preserve">purchases from a third party, Hamilton shall, to the extent Hamilton is permitted by such third party to do, assign any warranties extended by such third party to Buyer, provided, for clarity, that such assignment shall not limit any of the warranties provided hereunder by Hamilton. </w:t>
      </w:r>
      <w:r>
        <w:rPr>
          <w:rFonts w:ascii="Arial" w:cs="Arial" w:eastAsia="Arial" w:hAnsi="Arial"/>
          <w:sz w:val="15"/>
          <w:szCs w:val="15"/>
          <w:color w:val="231F20"/>
        </w:rPr>
        <w:t>The warranty expressly does not cover</w:t>
      </w:r>
      <w:r>
        <w:rPr>
          <w:rFonts w:ascii="Arial" w:cs="Arial" w:eastAsia="Arial" w:hAnsi="Arial"/>
          <w:sz w:val="15"/>
          <w:szCs w:val="15"/>
          <w:color w:val="000000"/>
        </w:rPr>
        <w:t xml:space="preserve"> </w:t>
      </w:r>
      <w:r>
        <w:rPr>
          <w:rFonts w:ascii="Arial" w:cs="Arial" w:eastAsia="Arial" w:hAnsi="Arial"/>
          <w:sz w:val="15"/>
          <w:szCs w:val="15"/>
          <w:color w:val="231F20"/>
        </w:rPr>
        <w:t>damage caused by normal wear, maintenance performed by a third-party failure to observe the operating instructions, installation not carried out by Hamilton and replacement costs of any Consumables.</w:t>
      </w:r>
    </w:p>
    <w:p>
      <w:pPr>
        <w:spacing w:after="0" w:line="147" w:lineRule="exact"/>
        <w:rPr>
          <w:sz w:val="20"/>
          <w:szCs w:val="20"/>
          <w:color w:val="auto"/>
        </w:rPr>
      </w:pPr>
    </w:p>
    <w:p>
      <w:pPr>
        <w:jc w:val="both"/>
        <w:ind w:left="540" w:hanging="272"/>
        <w:spacing w:after="0" w:line="245" w:lineRule="auto"/>
        <w:rPr>
          <w:sz w:val="20"/>
          <w:szCs w:val="20"/>
          <w:color w:val="auto"/>
        </w:rPr>
      </w:pPr>
      <w:r>
        <w:rPr>
          <w:rFonts w:ascii="Arial" w:cs="Arial" w:eastAsia="Arial" w:hAnsi="Arial"/>
          <w:sz w:val="15"/>
          <w:szCs w:val="15"/>
          <w:color w:val="auto"/>
        </w:rPr>
        <w:t>9.1.3</w:t>
      </w:r>
      <w:r>
        <w:rPr>
          <w:sz w:val="20"/>
          <w:szCs w:val="20"/>
          <w:color w:val="auto"/>
        </w:rPr>
        <w:t xml:space="preserve"> </w:t>
      </w:r>
      <w:r>
        <w:rPr>
          <w:rFonts w:ascii="Arial" w:cs="Arial" w:eastAsia="Arial" w:hAnsi="Arial"/>
          <w:sz w:val="15"/>
          <w:szCs w:val="15"/>
          <w:color w:val="auto"/>
        </w:rPr>
        <w:t>EXCEPT AS SET FORTH IN THIS AGREEMENT, INCLUDING SECTIONS 9.1.1 AND 9.1.2 ABOVE, THE PRODUCTS ARE PROVIDED BY HAMILTON ON AN “AS IS” BASIS, WITH NO WARRANTIES OF ANY KIND. EXCEPT AS SET FORTH IN THIS AGREEMENT, INCLUDING SECTIONS 9.1.1 AND 9.1.2 ABOVE, HAMILTON AND BUYER EACH DISCLAIMS TO THE FULLEST EXTENT PERMITTED BY LAW, ALL EXPRESS, IMPLIED, AND STATUTORY WARRANTIES, INCLUDING, WITHOUT LIMITATION, THE WARRANTIES OF MERCHANTABILITY, AND FITNESS FOR A PARTICULAR PURPOSE. EXCEPT AS OTHERWISE SET FORTH IN THIS AGREEMENT, REPAIR OR REPLACEMENT OF THE PRODUCTS BY HAMILTON IS BUYER’S SOLE AND EXCLUSIVE REMEDY OF ANY BREACH OF ANY WARRANTY SET FORTH IN SECTION 9.1.1.</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4"/>
          <w:szCs w:val="14"/>
          <w:color w:val="auto"/>
        </w:rPr>
        <w:t>Product Acceptance.</w:t>
      </w:r>
    </w:p>
    <w:p>
      <w:pPr>
        <w:spacing w:after="0" w:line="180" w:lineRule="exact"/>
        <w:rPr>
          <w:sz w:val="20"/>
          <w:szCs w:val="20"/>
          <w:color w:val="auto"/>
        </w:rPr>
      </w:pPr>
    </w:p>
    <w:p>
      <w:pPr>
        <w:jc w:val="both"/>
        <w:ind w:left="540" w:hanging="272"/>
        <w:spacing w:after="0" w:line="243" w:lineRule="auto"/>
        <w:rPr>
          <w:sz w:val="20"/>
          <w:szCs w:val="20"/>
          <w:color w:val="auto"/>
        </w:rPr>
      </w:pPr>
      <w:r>
        <w:rPr>
          <w:rFonts w:ascii="Arial" w:cs="Arial" w:eastAsia="Arial" w:hAnsi="Arial"/>
          <w:sz w:val="15"/>
          <w:szCs w:val="15"/>
          <w:color w:val="auto"/>
        </w:rPr>
        <w:t>9.2.1</w:t>
      </w:r>
      <w:r>
        <w:rPr>
          <w:sz w:val="20"/>
          <w:szCs w:val="20"/>
          <w:color w:val="auto"/>
        </w:rPr>
        <w:t xml:space="preserve"> </w:t>
      </w:r>
      <w:r>
        <w:rPr>
          <w:rFonts w:ascii="Arial" w:cs="Arial" w:eastAsia="Arial" w:hAnsi="Arial"/>
          <w:sz w:val="15"/>
          <w:szCs w:val="15"/>
          <w:color w:val="auto"/>
        </w:rPr>
        <w:t>After delivery of a shipment of any Products to Buyer or Buyer’s customer, Buyer shall have 30 days following installation to examine such Products to determine if they conform to the Specifications, are free from defects in design and otherwise comply with the warranties set forth in section 9.1, and, on the basis of such examination, to accept or reject such shipment. Any claims for failure to so conform or for such defects (“</w:t>
      </w:r>
      <w:r>
        <w:rPr>
          <w:rFonts w:ascii="Arial" w:cs="Arial" w:eastAsia="Arial" w:hAnsi="Arial"/>
          <w:sz w:val="15"/>
          <w:szCs w:val="15"/>
          <w:b w:val="1"/>
          <w:bCs w:val="1"/>
          <w:color w:val="auto"/>
        </w:rPr>
        <w:t>Product Claims</w:t>
      </w:r>
      <w:r>
        <w:rPr>
          <w:rFonts w:ascii="Arial" w:cs="Arial" w:eastAsia="Arial" w:hAnsi="Arial"/>
          <w:sz w:val="15"/>
          <w:szCs w:val="15"/>
          <w:color w:val="auto"/>
        </w:rPr>
        <w:t>”) shall be made by Buyer in writing to Hamilton, within such 30 days, indicating the non-conforming characteristics of the Products (“</w:t>
      </w:r>
      <w:r>
        <w:rPr>
          <w:rFonts w:ascii="Arial" w:cs="Arial" w:eastAsia="Arial" w:hAnsi="Arial"/>
          <w:sz w:val="15"/>
          <w:szCs w:val="15"/>
          <w:b w:val="1"/>
          <w:bCs w:val="1"/>
          <w:color w:val="auto"/>
        </w:rPr>
        <w:t>RMA Product</w:t>
      </w:r>
      <w:r>
        <w:rPr>
          <w:rFonts w:ascii="Arial" w:cs="Arial" w:eastAsia="Arial" w:hAnsi="Arial"/>
          <w:sz w:val="15"/>
          <w:szCs w:val="15"/>
          <w:color w:val="auto"/>
        </w:rPr>
        <w:t>”). Hamilton will provide a Return Material Authorization (RMA) number prior to the return of the RMA Product to Hamilton. Hamilton will make reasonable effort to provide an RMA number within 24 hours, but in no event will an RMA number be issued more than two Business Days after Hamilton’s receipt of the Product Claim. Notwithstanding the foregoing, if Buyer or its customer first discovers that any Product fails to conform with the Specifications, is defective in design and/or otherwise does not comply with the warranties set forth in section 9.1 after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13</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499" w:name="page500"/>
    <w:bookmarkEnd w:id="499"/>
    <w:p>
      <w:pPr>
        <w:jc w:val="both"/>
        <w:ind w:left="540"/>
        <w:spacing w:after="0" w:line="259" w:lineRule="auto"/>
        <w:rPr>
          <w:sz w:val="20"/>
          <w:szCs w:val="20"/>
          <w:color w:val="auto"/>
        </w:rPr>
      </w:pPr>
      <w:r>
        <w:rPr>
          <w:rFonts w:ascii="Arial" w:cs="Arial" w:eastAsia="Arial" w:hAnsi="Arial"/>
          <w:sz w:val="15"/>
          <w:szCs w:val="15"/>
          <w:color w:val="auto"/>
        </w:rPr>
        <w:t>acceptance thereof, and such failure would not have been readily discoverable from a reasonable inspection or review of the Product (any, a “</w:t>
      </w:r>
      <w:r>
        <w:rPr>
          <w:rFonts w:ascii="Arial" w:cs="Arial" w:eastAsia="Arial" w:hAnsi="Arial"/>
          <w:sz w:val="15"/>
          <w:szCs w:val="15"/>
          <w:b w:val="1"/>
          <w:bCs w:val="1"/>
          <w:color w:val="auto"/>
        </w:rPr>
        <w:t>Latent Defect</w:t>
      </w:r>
      <w:r>
        <w:rPr>
          <w:rFonts w:ascii="Arial" w:cs="Arial" w:eastAsia="Arial" w:hAnsi="Arial"/>
          <w:sz w:val="15"/>
          <w:szCs w:val="15"/>
          <w:color w:val="auto"/>
        </w:rPr>
        <w:t>”), Buyer shall have the continuing right to reject the Products, provided it notifies Hamilton of the Latent Defect promptly after discovery or knowledge, as applicable, thereof.</w:t>
      </w:r>
    </w:p>
    <w:p>
      <w:pPr>
        <w:spacing w:after="0" w:line="136"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Buyer shall have no obligation to pay for any RMA Products that are subject to Product Claims under investigation by Hamilton. However, if payment has already been made by Buyer, then as promptly as possible after the submission of a Product Claim by Buyer, Buyer will initiate negotiations for discrepancy resolution with Hamilton. Options for resolution for confirmed non-conforming Product include but are not limited to, at Buyer’s discretion, (i) provide Buyer with a refund of the full amount paid by Buyer for such RMA Products, (ii) issue Buyer a credit against future billings equal to the full amount paid by Buyer for such RMA Products, (iii) direct a Hamilton certified engineer to repair such RMA Products, or (iv) replace such RMA Products.</w:t>
      </w:r>
    </w:p>
    <w:p>
      <w:pPr>
        <w:spacing w:after="0" w:line="146"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Hamilton shall pay for all shipping costs of returning RMA Products that are the subject of Product Claims. Hamilton shall bear the risk of loss for such RMA Products from the time such RMA Products are picked up at or shipped from Buyer, or Buyer’s customer premises for return delivery. If no such Defect is found, Buyer shall reimburse Hamilton for all reasonable fees, costs and expenses incurred to analyze and, if requested by Buyer, replace the non-defective RMA Product and Buyer shall bear responsibility for (1) all transportation costs to and from Hamilton’s designated facility, (2) the price of the Product found to be conforming, and (3) the price of the replacement Product (if any).</w:t>
      </w:r>
    </w:p>
    <w:p>
      <w:pPr>
        <w:spacing w:after="0" w:line="146" w:lineRule="exact"/>
        <w:rPr>
          <w:sz w:val="20"/>
          <w:szCs w:val="20"/>
          <w:color w:val="auto"/>
        </w:rPr>
      </w:pPr>
    </w:p>
    <w:p>
      <w:pPr>
        <w:jc w:val="both"/>
        <w:ind w:left="540" w:hanging="272"/>
        <w:spacing w:after="0" w:line="241" w:lineRule="auto"/>
        <w:rPr>
          <w:sz w:val="20"/>
          <w:szCs w:val="20"/>
          <w:color w:val="auto"/>
        </w:rPr>
      </w:pPr>
      <w:r>
        <w:rPr>
          <w:rFonts w:ascii="Arial" w:cs="Arial" w:eastAsia="Arial" w:hAnsi="Arial"/>
          <w:sz w:val="15"/>
          <w:szCs w:val="15"/>
          <w:color w:val="auto"/>
        </w:rPr>
        <w:t>9.2.2</w:t>
      </w:r>
      <w:r>
        <w:rPr>
          <w:sz w:val="20"/>
          <w:szCs w:val="20"/>
          <w:color w:val="auto"/>
        </w:rPr>
        <w:t xml:space="preserve"> </w:t>
      </w:r>
      <w:r>
        <w:rPr>
          <w:rFonts w:ascii="Arial" w:cs="Arial" w:eastAsia="Arial" w:hAnsi="Arial"/>
          <w:sz w:val="15"/>
          <w:szCs w:val="15"/>
          <w:color w:val="auto"/>
        </w:rPr>
        <w:t>If, after Hamilton has received and inspected RMA Products returned by Buyer pursuant to section 9.2.1, the Parties disagree as to the RMA Product’s conformance to the Specifications or whether the RMA Product has a defect or otherwise fails to comply with the warranties set forth in section 9.1, such matter shall be referred to a review committee (the “Review Committee”). The Review Committee shall consist of representatives from each of Buyer and Hamilton and will meet as required. The Review Committee shall review any material or data presented by Buyer that supports its Product Claim that any Product is defective, fails to conform to Specification or otherwise does not comply with the warranties set forth in section 9.1 (e.g., that such Product has affected assay quality). Hamilton may present any material or data in opposition to such Product Claim. The Review Committee may request such additional information or data from the Parties or independently gather such additional data or information, as it deems necessary to settle any disagreement. All resolutions of disagreements by the Review Committee shall be made in good faith and on a timely basis, and the Parties agree to abide by all such resolutions. In addition to settling disagreements in accordance with this section 9.2.2, the Review Committee may also discuss any issues relating to performance or quality of the Products generally.</w:t>
      </w:r>
    </w:p>
    <w:p>
      <w:pPr>
        <w:spacing w:after="0" w:line="326" w:lineRule="exact"/>
        <w:rPr>
          <w:sz w:val="20"/>
          <w:szCs w:val="20"/>
          <w:color w:val="auto"/>
        </w:rPr>
      </w:pPr>
    </w:p>
    <w:p>
      <w:pPr>
        <w:jc w:val="both"/>
        <w:ind w:left="540" w:hanging="272"/>
        <w:spacing w:after="0" w:line="251" w:lineRule="auto"/>
        <w:rPr>
          <w:sz w:val="20"/>
          <w:szCs w:val="20"/>
          <w:color w:val="auto"/>
        </w:rPr>
      </w:pPr>
      <w:r>
        <w:rPr>
          <w:rFonts w:ascii="Arial" w:cs="Arial" w:eastAsia="Arial" w:hAnsi="Arial"/>
          <w:sz w:val="15"/>
          <w:szCs w:val="15"/>
          <w:color w:val="auto"/>
        </w:rPr>
        <w:t>9.2.3</w:t>
      </w:r>
      <w:r>
        <w:rPr>
          <w:sz w:val="20"/>
          <w:szCs w:val="20"/>
          <w:color w:val="auto"/>
        </w:rPr>
        <w:t xml:space="preserve"> </w:t>
      </w:r>
      <w:r>
        <w:rPr>
          <w:rFonts w:ascii="Arial" w:cs="Arial" w:eastAsia="Arial" w:hAnsi="Arial"/>
          <w:sz w:val="15"/>
          <w:szCs w:val="15"/>
          <w:color w:val="auto"/>
        </w:rPr>
        <w:t>In the event the Review Committee is unable to resolve such disagreement within 60 days, such disagreement may be submitted for determination by an independent laboratory mutually selected by the Parties and the decision of such independent laboratory (absent manifest error) shall be final and binding on the Parties as to the RMA Product conformance's to the Specifications or whether the RMA Product has a defect or otherwise fails to comply with the warranties set forth in section 9.1. The independent laboratory's fees shall be borne by the non-prevailing Party.</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4"/>
          <w:szCs w:val="14"/>
          <w:color w:val="auto"/>
        </w:rPr>
        <w:t>Support Services.</w:t>
      </w:r>
    </w:p>
    <w:p>
      <w:pPr>
        <w:spacing w:after="0" w:line="180"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At Buyer’s request and expense, Hamilton shall provide to Buyer and its customers the “third level support” Services described in Exhibit 3 at the rates specified therein, either on an annual service contract or time-and-materials basis. Payment for all Services will be due within 45 days from the date of Buyer’s receipt of an applicable invoice from Hamilton following performance or, with respect to annual contracts, within 45 days from the date of Buyer’s receipt of an applicable invoice from Hamilton. For clarity, as between the Parties, Buyer shall be responsible for performing all “first level support” and “second level support” services described in Exhibit 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10 – COMPLIANCE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Each Party covenants and agrees to comply with all Applicable Laws in connection with its performance of this Agreement.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14</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68" w:right="319" w:bottom="1440" w:gutter="0" w:footer="0" w:header="0"/>
        </w:sectPr>
      </w:pPr>
    </w:p>
    <w:bookmarkStart w:id="500" w:name="page501"/>
    <w:bookmarkEnd w:id="500"/>
    <w:p>
      <w:pPr>
        <w:ind w:left="540" w:right="60" w:hanging="544"/>
        <w:spacing w:after="0" w:line="267" w:lineRule="auto"/>
        <w:tabs>
          <w:tab w:leader="none" w:pos="52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5"/>
          <w:szCs w:val="15"/>
          <w:color w:val="auto"/>
        </w:rPr>
        <w:t>Hamilton represents and warrants that: (a) it holds all necessary authorizations and permits for any and all manufacturing and supply of Products under this Agreement from the relevant Regulatory Authorities, except where the failure to so hold could not be reasonably expected to have a material adverse effect on Hamilton; and (b) it holds all necessary authorizations and permits from the relevant Regulatory Authorities for the sale, exportation, importation, shipment, holding and further processing of Products, except where the failure to so hold could not be reasonably expected to have a material adverse effect on Hamilton.</w:t>
      </w:r>
    </w:p>
    <w:p>
      <w:pPr>
        <w:spacing w:after="0" w:line="141" w:lineRule="exact"/>
        <w:rPr>
          <w:sz w:val="20"/>
          <w:szCs w:val="20"/>
          <w:color w:val="auto"/>
        </w:rPr>
      </w:pPr>
    </w:p>
    <w:p>
      <w:pPr>
        <w:ind w:left="540" w:right="100" w:hanging="544"/>
        <w:spacing w:after="0" w:line="295" w:lineRule="auto"/>
        <w:tabs>
          <w:tab w:leader="none" w:pos="52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5"/>
          <w:szCs w:val="15"/>
          <w:color w:val="auto"/>
        </w:rPr>
        <w:t>Buyer acknowledges that Hamilton has informed it that U.S. law (Nevada) and U.S. Export Administration Regulations govern and may prohibit the re-export or other disposition of Products and related technical data received by Buyer or its customers without prior approval from the applicable Regulatory Authorities.</w:t>
      </w:r>
    </w:p>
    <w:p>
      <w:pPr>
        <w:spacing w:after="0" w:line="121" w:lineRule="exact"/>
        <w:rPr>
          <w:sz w:val="20"/>
          <w:szCs w:val="20"/>
          <w:color w:val="auto"/>
        </w:rPr>
      </w:pPr>
    </w:p>
    <w:p>
      <w:pPr>
        <w:ind w:left="540" w:right="60" w:hanging="544"/>
        <w:spacing w:after="0" w:line="263" w:lineRule="auto"/>
        <w:tabs>
          <w:tab w:leader="none" w:pos="52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5"/>
          <w:szCs w:val="15"/>
          <w:color w:val="auto"/>
        </w:rPr>
        <w:t>Buyer agrees that diversion of Products from destinations identified in the “Shipper's Export Declaration” constitutes a fundamental and material breach under this Agreement. If Products are diverted from intended destinations, the sale may be voided in the sole discretion of Hamilton, and all right, title and interest in Products shall revert to Hamilton. In the event of such breach, and without limiting any other right or remedy available to Hamilton hereunder, at law, in equity or otherwise, Buyer shall be liable to Hamilton for all costs, fees and expenses incurred by Hamilton in connection with recovery of Products, including reasonable attorney fees.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11 - REGULATORY MATTERS</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11.1</w:t>
        <w:tab/>
        <w:t>Notification of Certain Events.</w:t>
      </w:r>
    </w:p>
    <w:p>
      <w:pPr>
        <w:spacing w:after="0" w:line="191" w:lineRule="exact"/>
        <w:rPr>
          <w:sz w:val="20"/>
          <w:szCs w:val="20"/>
          <w:color w:val="auto"/>
        </w:rPr>
      </w:pPr>
    </w:p>
    <w:p>
      <w:pPr>
        <w:jc w:val="both"/>
        <w:ind w:left="540" w:hanging="272"/>
        <w:spacing w:after="0" w:line="274" w:lineRule="auto"/>
        <w:rPr>
          <w:sz w:val="20"/>
          <w:szCs w:val="20"/>
          <w:color w:val="auto"/>
        </w:rPr>
      </w:pPr>
      <w:r>
        <w:rPr>
          <w:rFonts w:ascii="Arial" w:cs="Arial" w:eastAsia="Arial" w:hAnsi="Arial"/>
          <w:sz w:val="15"/>
          <w:szCs w:val="15"/>
          <w:color w:val="auto"/>
        </w:rPr>
        <w:t>11.1.1</w:t>
      </w:r>
      <w:r>
        <w:rPr>
          <w:sz w:val="20"/>
          <w:szCs w:val="20"/>
          <w:color w:val="auto"/>
        </w:rPr>
        <w:t xml:space="preserve"> </w:t>
      </w:r>
      <w:r>
        <w:rPr>
          <w:rFonts w:ascii="Arial" w:cs="Arial" w:eastAsia="Arial" w:hAnsi="Arial"/>
          <w:sz w:val="15"/>
          <w:szCs w:val="15"/>
          <w:color w:val="auto"/>
        </w:rPr>
        <w:t>If Hamilton becomes aware of information that reasonably suggests that the Product, or any component thereof, has caused or contributed to a death or serious injury due to a malfunction of the Product, or any component thereof, Hamilton shall notify Buyer within one business day of becoming aware of such information and, at Buyer’s request, shall provide Buyer with any other material facts or information that Hamilton has relating thereto.</w:t>
      </w:r>
    </w:p>
    <w:p>
      <w:pPr>
        <w:spacing w:after="0" w:line="136" w:lineRule="exact"/>
        <w:rPr>
          <w:sz w:val="20"/>
          <w:szCs w:val="20"/>
          <w:color w:val="auto"/>
        </w:rPr>
      </w:pPr>
    </w:p>
    <w:p>
      <w:pPr>
        <w:ind w:left="260"/>
        <w:spacing w:after="0"/>
        <w:tabs>
          <w:tab w:leader="none" w:pos="1040" w:val="left"/>
        </w:tabs>
        <w:rPr>
          <w:sz w:val="20"/>
          <w:szCs w:val="20"/>
          <w:color w:val="auto"/>
        </w:rPr>
      </w:pPr>
      <w:r>
        <w:rPr>
          <w:rFonts w:ascii="Arial" w:cs="Arial" w:eastAsia="Arial" w:hAnsi="Arial"/>
          <w:sz w:val="15"/>
          <w:szCs w:val="15"/>
          <w:color w:val="auto"/>
        </w:rPr>
        <w:t>11.1.2</w:t>
      </w:r>
      <w:r>
        <w:rPr>
          <w:sz w:val="20"/>
          <w:szCs w:val="20"/>
          <w:color w:val="auto"/>
        </w:rPr>
        <w:tab/>
      </w:r>
      <w:r>
        <w:rPr>
          <w:rFonts w:ascii="Arial" w:cs="Arial" w:eastAsia="Arial" w:hAnsi="Arial"/>
          <w:sz w:val="15"/>
          <w:szCs w:val="15"/>
          <w:color w:val="auto"/>
        </w:rPr>
        <w:t>Hamilton shall notify Buyer in the event of a loss of ISO certification.</w:t>
      </w:r>
    </w:p>
    <w:p>
      <w:pPr>
        <w:spacing w:after="0" w:line="191" w:lineRule="exact"/>
        <w:rPr>
          <w:sz w:val="20"/>
          <w:szCs w:val="20"/>
          <w:color w:val="auto"/>
        </w:rPr>
      </w:pPr>
    </w:p>
    <w:p>
      <w:pPr>
        <w:jc w:val="both"/>
        <w:ind w:left="540" w:hanging="272"/>
        <w:spacing w:after="0" w:line="295" w:lineRule="auto"/>
        <w:rPr>
          <w:sz w:val="20"/>
          <w:szCs w:val="20"/>
          <w:color w:val="auto"/>
        </w:rPr>
      </w:pPr>
      <w:r>
        <w:rPr>
          <w:rFonts w:ascii="Arial" w:cs="Arial" w:eastAsia="Arial" w:hAnsi="Arial"/>
          <w:sz w:val="15"/>
          <w:szCs w:val="15"/>
          <w:color w:val="auto"/>
        </w:rPr>
        <w:t>11.1.3</w:t>
      </w:r>
      <w:r>
        <w:rPr>
          <w:sz w:val="20"/>
          <w:szCs w:val="20"/>
          <w:color w:val="auto"/>
        </w:rPr>
        <w:t xml:space="preserve"> </w:t>
      </w:r>
      <w:r>
        <w:rPr>
          <w:rFonts w:ascii="Arial" w:cs="Arial" w:eastAsia="Arial" w:hAnsi="Arial"/>
          <w:sz w:val="15"/>
          <w:szCs w:val="15"/>
          <w:color w:val="auto"/>
        </w:rPr>
        <w:t>Hamilton shall notify Buyer of any audit from a regulatory body, of its factory for the manufacture of the Instrument, or any request for information from the regulatory body related to the manufacture of the Instrument, as soon as possible after Hamilton receives notice of such audit or such request.</w:t>
      </w:r>
    </w:p>
    <w:p>
      <w:pPr>
        <w:spacing w:after="0" w:line="121" w:lineRule="exact"/>
        <w:rPr>
          <w:sz w:val="20"/>
          <w:szCs w:val="20"/>
          <w:color w:val="auto"/>
        </w:rPr>
      </w:pPr>
    </w:p>
    <w:p>
      <w:pPr>
        <w:jc w:val="both"/>
        <w:ind w:left="540" w:right="20" w:hanging="272"/>
        <w:spacing w:after="0" w:line="274" w:lineRule="auto"/>
        <w:rPr>
          <w:sz w:val="20"/>
          <w:szCs w:val="20"/>
          <w:color w:val="auto"/>
        </w:rPr>
      </w:pPr>
      <w:r>
        <w:rPr>
          <w:rFonts w:ascii="Arial" w:cs="Arial" w:eastAsia="Arial" w:hAnsi="Arial"/>
          <w:sz w:val="15"/>
          <w:szCs w:val="15"/>
          <w:color w:val="auto"/>
        </w:rPr>
        <w:t>11.1.4</w:t>
      </w:r>
      <w:r>
        <w:rPr>
          <w:sz w:val="20"/>
          <w:szCs w:val="20"/>
          <w:color w:val="auto"/>
        </w:rPr>
        <w:t xml:space="preserve"> </w:t>
      </w:r>
      <w:r>
        <w:rPr>
          <w:rFonts w:ascii="Arial" w:cs="Arial" w:eastAsia="Arial" w:hAnsi="Arial"/>
          <w:sz w:val="15"/>
          <w:szCs w:val="15"/>
          <w:color w:val="auto"/>
        </w:rPr>
        <w:t>If Buyer becomes aware of information that reasonably suggests that the Final Product has caused or contributed to a death or serious injury due to a malfunction of the Final Product, or any component thereof, Buyer shall notify Hamilton within one business day of becoming aware of such information and, at Hamilton’s request, shall provide Hamilton with any other material facts or information that Buyer has relating thereto.</w:t>
      </w:r>
    </w:p>
    <w:p>
      <w:pPr>
        <w:spacing w:after="0" w:line="136" w:lineRule="exact"/>
        <w:rPr>
          <w:sz w:val="20"/>
          <w:szCs w:val="20"/>
          <w:color w:val="auto"/>
        </w:rPr>
      </w:pPr>
    </w:p>
    <w:p>
      <w:pPr>
        <w:jc w:val="both"/>
        <w:ind w:left="540" w:hanging="272"/>
        <w:spacing w:after="0" w:line="267" w:lineRule="auto"/>
        <w:rPr>
          <w:sz w:val="20"/>
          <w:szCs w:val="20"/>
          <w:color w:val="auto"/>
        </w:rPr>
      </w:pPr>
      <w:r>
        <w:rPr>
          <w:rFonts w:ascii="Arial" w:cs="Arial" w:eastAsia="Arial" w:hAnsi="Arial"/>
          <w:sz w:val="15"/>
          <w:szCs w:val="15"/>
          <w:color w:val="auto"/>
        </w:rPr>
        <w:t>11.1.5</w:t>
      </w:r>
      <w:r>
        <w:rPr>
          <w:sz w:val="20"/>
          <w:szCs w:val="20"/>
          <w:color w:val="auto"/>
        </w:rPr>
        <w:t xml:space="preserve"> </w:t>
      </w:r>
      <w:r>
        <w:rPr>
          <w:rFonts w:ascii="Arial" w:cs="Arial" w:eastAsia="Arial" w:hAnsi="Arial"/>
          <w:sz w:val="15"/>
          <w:szCs w:val="15"/>
          <w:color w:val="auto"/>
        </w:rPr>
        <w:t>For the purposes of Final Product registration with a government, regulatory agency or notified body, Buyer is solely responsible for registering and paying applicable fees for registration. Hamilton may provide, upon request, design and verification documentation as applicable and defined per CRS to assist Buyer in the registration process. Hamilton may be listed (when applicable) as a Contract Manufacturer, per U.S. FDA Definitions of Establishment Activities, for the Instrument in the U.S. only.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12 - FAILURE TO SUPPLY; FORCE MAJEURE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4"/>
          <w:szCs w:val="14"/>
          <w:color w:val="auto"/>
        </w:rPr>
        <w:t>Failure to Supply.</w:t>
      </w:r>
    </w:p>
    <w:p>
      <w:pPr>
        <w:spacing w:after="0" w:line="180" w:lineRule="exact"/>
        <w:rPr>
          <w:sz w:val="20"/>
          <w:szCs w:val="20"/>
          <w:color w:val="auto"/>
        </w:rPr>
      </w:pPr>
    </w:p>
    <w:p>
      <w:pPr>
        <w:ind w:right="240"/>
        <w:spacing w:after="0" w:line="251" w:lineRule="auto"/>
        <w:rPr>
          <w:sz w:val="20"/>
          <w:szCs w:val="20"/>
          <w:color w:val="auto"/>
        </w:rPr>
      </w:pPr>
      <w:r>
        <w:rPr>
          <w:rFonts w:ascii="Arial" w:cs="Arial" w:eastAsia="Arial" w:hAnsi="Arial"/>
          <w:sz w:val="15"/>
          <w:szCs w:val="15"/>
          <w:color w:val="auto"/>
        </w:rPr>
        <w:t>Hamilton will immediately notify Buyer in writing in the event that Hamilton is unable or anticipates that it will be unable to supply Products in the quantities and by the delivery dates specified in accepted Purchase Orders in accordance with this Agreement (any, a “Failure to Supply”). In the event of a Failure to Supply, Buyer shall have the rights, without limiting other rights and remedies available to Buyer arising from Hamilton’s breach of this Agreement, (a) to terminate this Agreement in its entirety immediately upon written notice to Hamilton in the event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15</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501" w:name="page502"/>
    <w:bookmarkEnd w:id="501"/>
    <w:p>
      <w:pPr>
        <w:ind w:right="60"/>
        <w:spacing w:after="0" w:line="263" w:lineRule="auto"/>
        <w:rPr>
          <w:sz w:val="20"/>
          <w:szCs w:val="20"/>
          <w:color w:val="auto"/>
        </w:rPr>
      </w:pPr>
      <w:r>
        <w:rPr>
          <w:rFonts w:ascii="Arial" w:cs="Arial" w:eastAsia="Arial" w:hAnsi="Arial"/>
          <w:sz w:val="15"/>
          <w:szCs w:val="15"/>
          <w:color w:val="auto"/>
        </w:rPr>
        <w:t>a Failure to Supply continues for more than one hundred eighty (180) days, and (b) to cancel Purchase Orders for any quantities of Products affected by such Failure to Supply effective upon notice to Hamilton without penalty or liability.</w:t>
      </w:r>
    </w:p>
    <w:p>
      <w:pPr>
        <w:spacing w:after="0" w:line="122"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12.2</w:t>
      </w:r>
      <w:r>
        <w:rPr>
          <w:sz w:val="20"/>
          <w:szCs w:val="20"/>
          <w:color w:val="auto"/>
        </w:rPr>
        <w:tab/>
      </w:r>
      <w:r>
        <w:rPr>
          <w:rFonts w:ascii="Arial" w:cs="Arial" w:eastAsia="Arial" w:hAnsi="Arial"/>
          <w:sz w:val="15"/>
          <w:szCs w:val="15"/>
          <w:color w:val="auto"/>
        </w:rPr>
        <w:t>Force Majeure Events.</w:t>
      </w:r>
    </w:p>
    <w:p>
      <w:pPr>
        <w:spacing w:after="0" w:line="168" w:lineRule="exact"/>
        <w:rPr>
          <w:sz w:val="20"/>
          <w:szCs w:val="20"/>
          <w:color w:val="auto"/>
        </w:rPr>
      </w:pPr>
    </w:p>
    <w:p>
      <w:pPr>
        <w:jc w:val="both"/>
        <w:ind w:left="540"/>
        <w:spacing w:after="0"/>
        <w:rPr>
          <w:sz w:val="20"/>
          <w:szCs w:val="20"/>
          <w:color w:val="auto"/>
        </w:rPr>
      </w:pPr>
      <w:r>
        <w:rPr>
          <w:rFonts w:ascii="Arial" w:cs="Arial" w:eastAsia="Arial" w:hAnsi="Arial"/>
          <w:sz w:val="15"/>
          <w:szCs w:val="15"/>
          <w:color w:val="auto"/>
        </w:rPr>
        <w:t>Except as otherwise provided in this section 12.2, the failure of either Party to perform the terms of this Agreement in whole or in part will be temporarily excused if such failure is the result of causes beyond such Party’s reasonable control, including, without limitation, acts of God, flood, earthquake, wind and lightning, insurrections, riots, war and warlike operations, civil commotion, fires, explosions, accidents, terrorist acts, acts of the public enemy, epidemics, and changes in laws or regulations or restrictions of any Regulatory Authority (collectively, a “</w:t>
      </w:r>
      <w:r>
        <w:rPr>
          <w:rFonts w:ascii="Arial" w:cs="Arial" w:eastAsia="Arial" w:hAnsi="Arial"/>
          <w:sz w:val="15"/>
          <w:szCs w:val="15"/>
          <w:b w:val="1"/>
          <w:bCs w:val="1"/>
          <w:color w:val="auto"/>
        </w:rPr>
        <w:t>Force Majeure Event</w:t>
      </w:r>
      <w:r>
        <w:rPr>
          <w:rFonts w:ascii="Arial" w:cs="Arial" w:eastAsia="Arial" w:hAnsi="Arial"/>
          <w:sz w:val="15"/>
          <w:szCs w:val="15"/>
          <w:color w:val="auto"/>
        </w:rPr>
        <w:t>”). If performance of this Agreement is excused pursuant to this section 12.2, the Party thus excused will use reasonable efforts to avoid, remove and correct the circumstances which caused the failure to perform, and the Party excused from performance will resume performance with the utmost dispatch when such circumstances are avoided, removed or corrected.</w:t>
      </w:r>
    </w:p>
    <w:p>
      <w:pPr>
        <w:spacing w:after="0" w:line="260" w:lineRule="exact"/>
        <w:rPr>
          <w:sz w:val="20"/>
          <w:szCs w:val="20"/>
          <w:color w:val="auto"/>
        </w:rPr>
      </w:pPr>
    </w:p>
    <w:p>
      <w:pPr>
        <w:jc w:val="both"/>
        <w:ind w:left="540" w:right="20"/>
        <w:spacing w:after="0" w:line="263" w:lineRule="auto"/>
        <w:rPr>
          <w:sz w:val="20"/>
          <w:szCs w:val="20"/>
          <w:color w:val="auto"/>
        </w:rPr>
      </w:pPr>
      <w:r>
        <w:rPr>
          <w:rFonts w:ascii="Arial" w:cs="Arial" w:eastAsia="Arial" w:hAnsi="Arial"/>
          <w:sz w:val="15"/>
          <w:szCs w:val="15"/>
          <w:color w:val="auto"/>
        </w:rPr>
        <w:t>A Party claiming to be unable to perform its obligations under this Agreement (either on time or at all) in any of the circumstances set out in this section 12.2 shall notify the other Party of the nature and extent of the circumstances in question as soon as practicable.</w:t>
      </w:r>
    </w:p>
    <w:p>
      <w:pPr>
        <w:spacing w:after="0" w:line="122"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This section 12.2 shall cease to apply when such circumstances have ceased to have effect on the performance of this Agreement and the Party affected shall give notice to the other Party that the circumstances have ceased.</w:t>
      </w:r>
    </w:p>
    <w:p>
      <w:pPr>
        <w:spacing w:after="0" w:line="122" w:lineRule="exact"/>
        <w:rPr>
          <w:sz w:val="20"/>
          <w:szCs w:val="20"/>
          <w:color w:val="auto"/>
        </w:rPr>
      </w:pPr>
    </w:p>
    <w:p>
      <w:pPr>
        <w:jc w:val="both"/>
        <w:ind w:left="540" w:right="20"/>
        <w:spacing w:after="0" w:line="263" w:lineRule="auto"/>
        <w:rPr>
          <w:sz w:val="20"/>
          <w:szCs w:val="20"/>
          <w:color w:val="auto"/>
        </w:rPr>
      </w:pPr>
      <w:r>
        <w:rPr>
          <w:rFonts w:ascii="Arial" w:cs="Arial" w:eastAsia="Arial" w:hAnsi="Arial"/>
          <w:sz w:val="15"/>
          <w:szCs w:val="15"/>
          <w:color w:val="auto"/>
        </w:rPr>
        <w:t>If any circumstance relied on by either Party for the purposes of this section 12.2 continues for more than six months, the other Party shall be entitled to terminate this Agreement immediately by providing the other Party written notice of termination.</w:t>
      </w:r>
    </w:p>
    <w:p>
      <w:pPr>
        <w:spacing w:after="0" w:line="122"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12.3</w:t>
      </w:r>
      <w:r>
        <w:rPr>
          <w:sz w:val="20"/>
          <w:szCs w:val="20"/>
          <w:color w:val="auto"/>
        </w:rPr>
        <w:tab/>
      </w:r>
      <w:r>
        <w:rPr>
          <w:rFonts w:ascii="Arial" w:cs="Arial" w:eastAsia="Arial" w:hAnsi="Arial"/>
          <w:sz w:val="14"/>
          <w:szCs w:val="14"/>
          <w:color w:val="auto"/>
        </w:rPr>
        <w:t>Other Arrangements.</w:t>
      </w:r>
    </w:p>
    <w:p>
      <w:pPr>
        <w:spacing w:after="0" w:line="168" w:lineRule="exact"/>
        <w:rPr>
          <w:sz w:val="20"/>
          <w:szCs w:val="20"/>
          <w:color w:val="auto"/>
        </w:rPr>
      </w:pPr>
    </w:p>
    <w:p>
      <w:pPr>
        <w:jc w:val="both"/>
        <w:ind w:left="540"/>
        <w:spacing w:after="0" w:line="242" w:lineRule="auto"/>
        <w:rPr>
          <w:sz w:val="20"/>
          <w:szCs w:val="20"/>
          <w:color w:val="auto"/>
        </w:rPr>
      </w:pPr>
      <w:r>
        <w:rPr>
          <w:rFonts w:ascii="Arial" w:cs="Arial" w:eastAsia="Arial" w:hAnsi="Arial"/>
          <w:sz w:val="15"/>
          <w:szCs w:val="15"/>
          <w:color w:val="auto"/>
        </w:rPr>
        <w:t>Notwithstanding the provisions of section 12.2, in the event that due to the occurrence of a Force Majeure Event, Hamilton shall be unable to supply any Product in such quantities as Buyer shall request and in compliance with the delivery schedule requested by Buyer, then Buyer shall be permitted (with no obligation or liability to Hamilton) to obtain such product similar to the Product affected from another supplier until such time Hamilton can resume supply.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13 - LABELING; ARTWORK; PROPRIETARY RIGHTS</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13.1</w:t>
      </w:r>
      <w:r>
        <w:rPr>
          <w:sz w:val="20"/>
          <w:szCs w:val="20"/>
          <w:color w:val="auto"/>
        </w:rPr>
        <w:tab/>
      </w:r>
      <w:r>
        <w:rPr>
          <w:rFonts w:ascii="Arial" w:cs="Arial" w:eastAsia="Arial" w:hAnsi="Arial"/>
          <w:sz w:val="15"/>
          <w:szCs w:val="15"/>
          <w:color w:val="auto"/>
        </w:rPr>
        <w:t>Buyer’s use of Hamilton Marks.</w:t>
      </w:r>
    </w:p>
    <w:p>
      <w:pPr>
        <w:spacing w:after="0" w:line="166" w:lineRule="exact"/>
        <w:rPr>
          <w:sz w:val="20"/>
          <w:szCs w:val="20"/>
          <w:color w:val="auto"/>
        </w:rPr>
      </w:pPr>
    </w:p>
    <w:p>
      <w:pPr>
        <w:jc w:val="both"/>
        <w:ind w:left="540"/>
        <w:spacing w:after="0" w:line="237" w:lineRule="auto"/>
        <w:rPr>
          <w:sz w:val="20"/>
          <w:szCs w:val="20"/>
          <w:color w:val="auto"/>
        </w:rPr>
      </w:pPr>
      <w:r>
        <w:rPr>
          <w:rFonts w:ascii="Arial" w:cs="Arial" w:eastAsia="Arial" w:hAnsi="Arial"/>
          <w:sz w:val="15"/>
          <w:szCs w:val="15"/>
          <w:color w:val="auto"/>
        </w:rPr>
        <w:t>Buyer shall have the limited right to use Hamilton’s corporate name, trademarks, trade names, artwork, logos and designs (“</w:t>
      </w:r>
      <w:r>
        <w:rPr>
          <w:rFonts w:ascii="Arial" w:cs="Arial" w:eastAsia="Arial" w:hAnsi="Arial"/>
          <w:sz w:val="15"/>
          <w:szCs w:val="15"/>
          <w:b w:val="1"/>
          <w:bCs w:val="1"/>
          <w:color w:val="auto"/>
        </w:rPr>
        <w:t>Hamilton Marks</w:t>
      </w:r>
      <w:r>
        <w:rPr>
          <w:rFonts w:ascii="Arial" w:cs="Arial" w:eastAsia="Arial" w:hAnsi="Arial"/>
          <w:sz w:val="15"/>
          <w:szCs w:val="15"/>
          <w:color w:val="auto"/>
        </w:rPr>
        <w:t>”) to the extent (i) affixed to any Product; (ii) required by law after written notice to Hamilton; or (iii) otherwise provided in this Agreement. The name “Hamilton”, its trademark or associated design will appear on the front of the Instrument, in a place visible to end-users of the Final Product and will be no larger than 0.5 inches high by 2.5 inches wide. Hamilton hereby grants to Buyer and its Affiliates a nonexclusive right and license to use the Hamilton Marks in accordance with this section 13.1.</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13.2</w:t>
      </w:r>
      <w:r>
        <w:rPr>
          <w:sz w:val="20"/>
          <w:szCs w:val="20"/>
          <w:color w:val="auto"/>
        </w:rPr>
        <w:tab/>
      </w:r>
      <w:r>
        <w:rPr>
          <w:rFonts w:ascii="Arial" w:cs="Arial" w:eastAsia="Arial" w:hAnsi="Arial"/>
          <w:sz w:val="15"/>
          <w:szCs w:val="15"/>
          <w:color w:val="auto"/>
        </w:rPr>
        <w:t>Hamilton’s use of Buyers Marks.</w:t>
      </w:r>
    </w:p>
    <w:p>
      <w:pPr>
        <w:spacing w:after="0" w:line="166" w:lineRule="exact"/>
        <w:rPr>
          <w:sz w:val="20"/>
          <w:szCs w:val="20"/>
          <w:color w:val="auto"/>
        </w:rPr>
      </w:pPr>
    </w:p>
    <w:p>
      <w:pPr>
        <w:jc w:val="both"/>
        <w:ind w:left="540"/>
        <w:spacing w:after="0" w:line="231" w:lineRule="auto"/>
        <w:rPr>
          <w:sz w:val="20"/>
          <w:szCs w:val="20"/>
          <w:color w:val="auto"/>
        </w:rPr>
      </w:pPr>
      <w:r>
        <w:rPr>
          <w:rFonts w:ascii="Arial" w:cs="Arial" w:eastAsia="Arial" w:hAnsi="Arial"/>
          <w:sz w:val="15"/>
          <w:szCs w:val="15"/>
          <w:color w:val="auto"/>
        </w:rPr>
        <w:t>Hamilton shall have the limited right and obligation to use Buyer’s corporate name, trademarks, trade names, artwork, logos and designs (“</w:t>
      </w:r>
      <w:r>
        <w:rPr>
          <w:rFonts w:ascii="Arial" w:cs="Arial" w:eastAsia="Arial" w:hAnsi="Arial"/>
          <w:sz w:val="15"/>
          <w:szCs w:val="15"/>
          <w:b w:val="1"/>
          <w:bCs w:val="1"/>
          <w:color w:val="auto"/>
        </w:rPr>
        <w:t>Buyer’s Marks</w:t>
      </w:r>
      <w:r>
        <w:rPr>
          <w:rFonts w:ascii="Arial" w:cs="Arial" w:eastAsia="Arial" w:hAnsi="Arial"/>
          <w:sz w:val="15"/>
          <w:szCs w:val="15"/>
          <w:color w:val="auto"/>
        </w:rPr>
        <w:t>”) to the extent (i) mutually agreed by the Parties; (ii) requested by Buyer in writing to Hamilton in order to brand the Instrument or Products necessary to exercise rights or fulfill obligations in this Agreement; (iii) required by law after written notice to Buyer; or (iv) otherwise provided in this Agreement. Without limiting the foregoing, the name “Seer, Inc.”, its trademark or associated design will appear on the front of the Instrument, in a place visible to end-users of the Final Product, as instructed by Buyer in writing. Buyer hereby grants to Hamilton a nonexclusive right and license to use the Buyer’s Marks in accordance with this section 13.2. Buyer shall own all right, title and interest in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16</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59" w:right="319" w:bottom="1440" w:gutter="0" w:footer="0" w:header="0"/>
        </w:sectPr>
      </w:pPr>
    </w:p>
    <w:bookmarkStart w:id="502" w:name="page503"/>
    <w:bookmarkEnd w:id="502"/>
    <w:p>
      <w:pPr>
        <w:ind w:left="540"/>
        <w:spacing w:after="0"/>
        <w:rPr>
          <w:sz w:val="20"/>
          <w:szCs w:val="20"/>
          <w:color w:val="auto"/>
        </w:rPr>
      </w:pPr>
      <w:r>
        <w:rPr>
          <w:rFonts w:ascii="Arial" w:cs="Arial" w:eastAsia="Arial" w:hAnsi="Arial"/>
          <w:sz w:val="15"/>
          <w:szCs w:val="15"/>
          <w:color w:val="auto"/>
        </w:rPr>
        <w:t>and to the Buyer’s Marks, and all goodwill from the use of the Buyer’s Marks shall vest in and inure to the benefit of Buyer.</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13.3</w:t>
      </w:r>
      <w:r>
        <w:rPr>
          <w:sz w:val="20"/>
          <w:szCs w:val="20"/>
          <w:color w:val="auto"/>
        </w:rPr>
        <w:tab/>
      </w:r>
      <w:r>
        <w:rPr>
          <w:rFonts w:ascii="Arial" w:cs="Arial" w:eastAsia="Arial" w:hAnsi="Arial"/>
          <w:sz w:val="15"/>
          <w:szCs w:val="15"/>
          <w:color w:val="auto"/>
        </w:rPr>
        <w:t>Instrument Skin; Packaging.</w:t>
      </w:r>
    </w:p>
    <w:p>
      <w:pPr>
        <w:spacing w:after="0" w:line="180" w:lineRule="exact"/>
        <w:rPr>
          <w:sz w:val="20"/>
          <w:szCs w:val="20"/>
          <w:color w:val="auto"/>
        </w:rPr>
      </w:pPr>
    </w:p>
    <w:p>
      <w:pPr>
        <w:jc w:val="both"/>
        <w:ind w:left="540"/>
        <w:spacing w:after="0" w:line="251" w:lineRule="auto"/>
        <w:rPr>
          <w:sz w:val="20"/>
          <w:szCs w:val="20"/>
          <w:color w:val="auto"/>
        </w:rPr>
      </w:pPr>
      <w:r>
        <w:rPr>
          <w:rFonts w:ascii="Arial" w:cs="Arial" w:eastAsia="Arial" w:hAnsi="Arial"/>
          <w:sz w:val="15"/>
          <w:szCs w:val="15"/>
          <w:color w:val="auto"/>
        </w:rPr>
        <w:t>Buyer shall select, in consultation with Hamilton, the design and appearance of the “skin” of each Instrument reasonably prior to manufacture. For clarity, the Instrument prices set forth in Exhibit 2 are inclusive of any such skin, except to the extent that Buyer requests a skin following the Effective Date that is materially more expensive to manufacture (as supported by competent written evidence) than the skin(s) discussed by the Parties and selected in principle by Buyer prior to the Effective Date.</w:t>
      </w:r>
    </w:p>
    <w:p>
      <w:pPr>
        <w:spacing w:after="0" w:line="142" w:lineRule="exact"/>
        <w:rPr>
          <w:sz w:val="20"/>
          <w:szCs w:val="20"/>
          <w:color w:val="auto"/>
        </w:rPr>
      </w:pPr>
    </w:p>
    <w:p>
      <w:pPr>
        <w:jc w:val="both"/>
        <w:ind w:left="540"/>
        <w:spacing w:after="0" w:line="279" w:lineRule="auto"/>
        <w:rPr>
          <w:sz w:val="20"/>
          <w:szCs w:val="20"/>
          <w:color w:val="auto"/>
        </w:rPr>
      </w:pPr>
      <w:r>
        <w:rPr>
          <w:rFonts w:ascii="Arial" w:cs="Arial" w:eastAsia="Arial" w:hAnsi="Arial"/>
          <w:sz w:val="15"/>
          <w:szCs w:val="15"/>
          <w:color w:val="auto"/>
        </w:rPr>
        <w:t>Buyer and Hamilton shall jointly agree, prior to release, on the appearance and text of any labeling and packaging used in connection with the Product or any finished product containing the Product. Product is to be packaged for shipment in a manner that ensures quality of delivery to Buyer.</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13.4</w:t>
      </w:r>
      <w:r>
        <w:rPr>
          <w:sz w:val="20"/>
          <w:szCs w:val="20"/>
          <w:color w:val="auto"/>
        </w:rPr>
        <w:tab/>
      </w:r>
      <w:r>
        <w:rPr>
          <w:rFonts w:ascii="Arial" w:cs="Arial" w:eastAsia="Arial" w:hAnsi="Arial"/>
          <w:sz w:val="14"/>
          <w:szCs w:val="14"/>
          <w:color w:val="auto"/>
        </w:rPr>
        <w:t>Intellectual Property.</w:t>
      </w:r>
    </w:p>
    <w:p>
      <w:pPr>
        <w:spacing w:after="0" w:line="180"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Subject to section 13.1, all rights, title and interest in Hamilton Technology, Hamilton Marks, and other Hamilton Intellectual Property are and shall remain solely with and the property of Hamilton. Subject to section 13.2, all rights, title and interest in Buyer’s Technology, Buyer’s Marks (including all goodwill therein and thereto), and other Buyer Intellectual Property are and shall remain solely with and the property of Buyer. Accordingly, Buyer hereby assigns all of its right, title and interest in and to Hamilton Intellectual Property to Hamilton, and Hamilton hereby assigns all of its right, title and interest in and to Buyer Intellectual Property to Buyer. Each Party agrees to execute any and all papers and documents that are necessary or convenient to perfect the foregoing assignments.</w:t>
      </w:r>
    </w:p>
    <w:p>
      <w:pPr>
        <w:spacing w:after="0" w:line="146" w:lineRule="exact"/>
        <w:rPr>
          <w:sz w:val="20"/>
          <w:szCs w:val="20"/>
          <w:color w:val="auto"/>
        </w:rPr>
      </w:pPr>
    </w:p>
    <w:p>
      <w:pPr>
        <w:jc w:val="both"/>
        <w:ind w:left="540"/>
        <w:spacing w:after="0" w:line="279" w:lineRule="auto"/>
        <w:rPr>
          <w:sz w:val="20"/>
          <w:szCs w:val="20"/>
          <w:color w:val="auto"/>
        </w:rPr>
      </w:pPr>
      <w:r>
        <w:rPr>
          <w:rFonts w:ascii="Arial" w:cs="Arial" w:eastAsia="Arial" w:hAnsi="Arial"/>
          <w:sz w:val="15"/>
          <w:szCs w:val="15"/>
          <w:color w:val="auto"/>
        </w:rPr>
        <w:t>It is not intended that any Intellectual Property will be jointly developed by the Parties. If the Parties anticipate that they will jointly develop Intellectual Property, they will negotiate a separate agreement to address ownership of such Intellectual Property.</w:t>
      </w:r>
    </w:p>
    <w:p>
      <w:pPr>
        <w:spacing w:after="0" w:line="121" w:lineRule="exact"/>
        <w:rPr>
          <w:sz w:val="20"/>
          <w:szCs w:val="20"/>
          <w:color w:val="auto"/>
        </w:rPr>
      </w:pPr>
    </w:p>
    <w:p>
      <w:pPr>
        <w:jc w:val="both"/>
        <w:ind w:left="540"/>
        <w:spacing w:after="0" w:line="244" w:lineRule="auto"/>
        <w:rPr>
          <w:sz w:val="20"/>
          <w:szCs w:val="20"/>
          <w:color w:val="auto"/>
        </w:rPr>
      </w:pPr>
      <w:r>
        <w:rPr>
          <w:rFonts w:ascii="Arial" w:cs="Arial" w:eastAsia="Arial" w:hAnsi="Arial"/>
          <w:sz w:val="15"/>
          <w:szCs w:val="15"/>
          <w:color w:val="auto"/>
        </w:rPr>
        <w:t>The Parties acknowledge and agree that all Intellectual Property Rights associated with the MicroLab® NIMBUS, MicroLab® STAR, and MicroLab® VANTAGE Liquid Handling System product lines are owned solely and exclusively by Hamilton and that nothing in this Agreement grants or conveys to Buyer or any other party any ownership, right, title or interest, or any security interest in the MicroLab® NIMBUS, MicroLab® STAR, and MicroLab® VANTAGE Liquid Handling System product line other than permissive rights granted to Buyer herein. The Parties further acknowledge and agree that all Intellectual Property Rights associated with the Proteograph™ platform (including without limitation in or to any Buyer’s Assays) are owned solely and exclusively by Buyer and that nothing in this Agreement grants or conveys to Hamilton or any other party any ownership, right, title or interest, or any security interest in the Proteograph™ platform (or such Buyer’s Assays). All rights not expressly granted herein are reserved by the owner thereof.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14 - GENERAL AND SPECIFIC REPRESENTATIONS AND WARRANTIES</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14.1</w:t>
      </w:r>
      <w:r>
        <w:rPr>
          <w:sz w:val="20"/>
          <w:szCs w:val="20"/>
          <w:color w:val="auto"/>
        </w:rPr>
        <w:tab/>
      </w:r>
      <w:r>
        <w:rPr>
          <w:rFonts w:ascii="Arial" w:cs="Arial" w:eastAsia="Arial" w:hAnsi="Arial"/>
          <w:sz w:val="15"/>
          <w:szCs w:val="15"/>
          <w:color w:val="auto"/>
        </w:rPr>
        <w:t>Corporate Standing.</w:t>
      </w:r>
    </w:p>
    <w:p>
      <w:pPr>
        <w:spacing w:after="0" w:line="180" w:lineRule="exact"/>
        <w:rPr>
          <w:sz w:val="20"/>
          <w:szCs w:val="20"/>
          <w:color w:val="auto"/>
        </w:rPr>
      </w:pPr>
    </w:p>
    <w:p>
      <w:pPr>
        <w:jc w:val="both"/>
        <w:ind w:left="540"/>
        <w:spacing w:after="0" w:line="258" w:lineRule="auto"/>
        <w:rPr>
          <w:sz w:val="20"/>
          <w:szCs w:val="20"/>
          <w:color w:val="auto"/>
        </w:rPr>
      </w:pPr>
      <w:r>
        <w:rPr>
          <w:rFonts w:ascii="Arial" w:cs="Arial" w:eastAsia="Arial" w:hAnsi="Arial"/>
          <w:sz w:val="15"/>
          <w:szCs w:val="15"/>
          <w:color w:val="auto"/>
        </w:rPr>
        <w:t>Buyer and Hamilton each represents and warrants to the other that it is duly organized, validly existing and in good standing under the laws of the jurisdiction in which incorporated, organized or formed, as applicable, and that it has full authority and power to carry on the business presently being conducted by it and to enter into and perform its obligations under this Agreement.</w:t>
      </w:r>
    </w:p>
    <w:p>
      <w:pPr>
        <w:spacing w:after="0" w:line="137"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14.2</w:t>
      </w:r>
      <w:r>
        <w:rPr>
          <w:sz w:val="20"/>
          <w:szCs w:val="20"/>
          <w:color w:val="auto"/>
        </w:rPr>
        <w:tab/>
      </w:r>
      <w:r>
        <w:rPr>
          <w:rFonts w:ascii="Arial" w:cs="Arial" w:eastAsia="Arial" w:hAnsi="Arial"/>
          <w:sz w:val="15"/>
          <w:szCs w:val="15"/>
          <w:color w:val="auto"/>
        </w:rPr>
        <w:t>Due Authorization/Enforceability.</w:t>
      </w:r>
    </w:p>
    <w:p>
      <w:pPr>
        <w:spacing w:after="0" w:line="180"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Buyer and Hamilton each represents and warrants to the other that (i) it has taken all actions necessary to authorize the execution and delivery of this Agreement and the performance of its obligations hereunder, (ii) the individual executing this Agreement on its behalf has the legal power, right and authority to bind such Party to the terms and conditions of this Agreement, and (iii) and this Agreement is a valid and binding obligation of the Party, enforceable according to its terms.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17</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59" w:right="319" w:bottom="1440" w:gutter="0" w:footer="0" w:header="0"/>
        </w:sectPr>
      </w:pPr>
    </w:p>
    <w:bookmarkStart w:id="503" w:name="page504"/>
    <w:bookmarkEnd w:id="503"/>
    <w:p>
      <w:pPr>
        <w:spacing w:after="0"/>
        <w:tabs>
          <w:tab w:leader="none" w:pos="520" w:val="left"/>
        </w:tabs>
        <w:rPr>
          <w:sz w:val="20"/>
          <w:szCs w:val="20"/>
          <w:color w:val="auto"/>
        </w:rPr>
      </w:pPr>
      <w:r>
        <w:rPr>
          <w:rFonts w:ascii="Arial" w:cs="Arial" w:eastAsia="Arial" w:hAnsi="Arial"/>
          <w:sz w:val="15"/>
          <w:szCs w:val="15"/>
          <w:color w:val="auto"/>
        </w:rPr>
        <w:t>14.3</w:t>
      </w:r>
      <w:r>
        <w:rPr>
          <w:sz w:val="20"/>
          <w:szCs w:val="20"/>
          <w:color w:val="auto"/>
        </w:rPr>
        <w:tab/>
      </w:r>
      <w:r>
        <w:rPr>
          <w:rFonts w:ascii="Arial" w:cs="Arial" w:eastAsia="Arial" w:hAnsi="Arial"/>
          <w:sz w:val="15"/>
          <w:szCs w:val="15"/>
          <w:color w:val="auto"/>
        </w:rPr>
        <w:t>No Infringement.</w:t>
      </w:r>
    </w:p>
    <w:p>
      <w:pPr>
        <w:spacing w:after="0" w:line="180" w:lineRule="exact"/>
        <w:rPr>
          <w:sz w:val="20"/>
          <w:szCs w:val="20"/>
          <w:color w:val="auto"/>
        </w:rPr>
      </w:pPr>
    </w:p>
    <w:p>
      <w:pPr>
        <w:jc w:val="both"/>
        <w:ind w:left="540"/>
        <w:spacing w:after="0" w:line="279" w:lineRule="auto"/>
        <w:rPr>
          <w:sz w:val="20"/>
          <w:szCs w:val="20"/>
          <w:color w:val="auto"/>
        </w:rPr>
      </w:pPr>
      <w:r>
        <w:rPr>
          <w:rFonts w:ascii="Arial" w:cs="Arial" w:eastAsia="Arial" w:hAnsi="Arial"/>
          <w:sz w:val="15"/>
          <w:szCs w:val="15"/>
          <w:color w:val="auto"/>
        </w:rPr>
        <w:t>Hamilton represents and warrants to Buyer that the manufacture, use or sale of the Products do not infringe on any patent, trademark or other intellectual property of any third party.</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14.4</w:t>
      </w:r>
      <w:r>
        <w:rPr>
          <w:sz w:val="20"/>
          <w:szCs w:val="20"/>
          <w:color w:val="auto"/>
        </w:rPr>
        <w:tab/>
      </w:r>
      <w:r>
        <w:rPr>
          <w:rFonts w:ascii="Arial" w:cs="Arial" w:eastAsia="Arial" w:hAnsi="Arial"/>
          <w:sz w:val="14"/>
          <w:szCs w:val="14"/>
          <w:color w:val="auto"/>
        </w:rPr>
        <w:t>Title.</w:t>
      </w:r>
    </w:p>
    <w:p>
      <w:pPr>
        <w:spacing w:after="0" w:line="180" w:lineRule="exact"/>
        <w:rPr>
          <w:sz w:val="20"/>
          <w:szCs w:val="20"/>
          <w:color w:val="auto"/>
        </w:rPr>
      </w:pPr>
    </w:p>
    <w:p>
      <w:pPr>
        <w:jc w:val="both"/>
        <w:ind w:left="540" w:right="20"/>
        <w:spacing w:after="0" w:line="279" w:lineRule="auto"/>
        <w:rPr>
          <w:sz w:val="20"/>
          <w:szCs w:val="20"/>
          <w:color w:val="auto"/>
        </w:rPr>
      </w:pPr>
      <w:r>
        <w:rPr>
          <w:rFonts w:ascii="Arial" w:cs="Arial" w:eastAsia="Arial" w:hAnsi="Arial"/>
          <w:sz w:val="15"/>
          <w:szCs w:val="15"/>
          <w:color w:val="auto"/>
        </w:rPr>
        <w:t>Hamilton represents and warrants to Buyer that title to all Product supplied to Buyer under this Agreement shall pass as provided in this Agreement, free and clear of any security interest, lien, or other encumbrance.</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14.5</w:t>
      </w:r>
      <w:r>
        <w:rPr>
          <w:sz w:val="20"/>
          <w:szCs w:val="20"/>
          <w:color w:val="auto"/>
        </w:rPr>
        <w:tab/>
      </w:r>
      <w:r>
        <w:rPr>
          <w:rFonts w:ascii="Arial" w:cs="Arial" w:eastAsia="Arial" w:hAnsi="Arial"/>
          <w:sz w:val="15"/>
          <w:szCs w:val="15"/>
          <w:color w:val="auto"/>
        </w:rPr>
        <w:t>ISO Certification.</w:t>
      </w:r>
    </w:p>
    <w:p>
      <w:pPr>
        <w:spacing w:after="0" w:line="180" w:lineRule="exact"/>
        <w:rPr>
          <w:sz w:val="20"/>
          <w:szCs w:val="20"/>
          <w:color w:val="auto"/>
        </w:rPr>
      </w:pPr>
    </w:p>
    <w:p>
      <w:pPr>
        <w:jc w:val="both"/>
        <w:ind w:left="540"/>
        <w:spacing w:after="0" w:line="279" w:lineRule="auto"/>
        <w:rPr>
          <w:sz w:val="20"/>
          <w:szCs w:val="20"/>
          <w:color w:val="auto"/>
        </w:rPr>
      </w:pPr>
      <w:r>
        <w:rPr>
          <w:rFonts w:ascii="Arial" w:cs="Arial" w:eastAsia="Arial" w:hAnsi="Arial"/>
          <w:sz w:val="15"/>
          <w:szCs w:val="15"/>
          <w:color w:val="auto"/>
        </w:rPr>
        <w:t>Hamilton represents and warrants to Buyer that it has and will maintain during the Term ISO certification for its manufacturing facilities and all other regulatory authorizations and approvals necessary to manufacture and supply the Products and perform the Services in accordance with this Agreement.</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14.6</w:t>
      </w:r>
      <w:r>
        <w:rPr>
          <w:sz w:val="20"/>
          <w:szCs w:val="20"/>
          <w:color w:val="auto"/>
        </w:rPr>
        <w:tab/>
      </w:r>
      <w:r>
        <w:rPr>
          <w:rFonts w:ascii="Arial" w:cs="Arial" w:eastAsia="Arial" w:hAnsi="Arial"/>
          <w:sz w:val="15"/>
          <w:szCs w:val="15"/>
          <w:color w:val="auto"/>
        </w:rPr>
        <w:t>Buyer’s Assays.</w:t>
      </w:r>
    </w:p>
    <w:p>
      <w:pPr>
        <w:spacing w:after="0" w:line="180" w:lineRule="exact"/>
        <w:rPr>
          <w:sz w:val="20"/>
          <w:szCs w:val="20"/>
          <w:color w:val="auto"/>
        </w:rPr>
      </w:pPr>
    </w:p>
    <w:p>
      <w:pPr>
        <w:jc w:val="both"/>
        <w:ind w:left="540"/>
        <w:spacing w:after="0" w:line="251" w:lineRule="auto"/>
        <w:rPr>
          <w:sz w:val="20"/>
          <w:szCs w:val="20"/>
          <w:color w:val="auto"/>
        </w:rPr>
      </w:pPr>
      <w:r>
        <w:rPr>
          <w:rFonts w:ascii="Arial" w:cs="Arial" w:eastAsia="Arial" w:hAnsi="Arial"/>
          <w:sz w:val="15"/>
          <w:szCs w:val="15"/>
          <w:color w:val="auto"/>
        </w:rPr>
        <w:t>Hamilton represents and warrants to Buyer that, during the period commencing on the effective date of the Prior CDA and continuing until the Effective Date, neither it nor any of its Affiliates has filed, or caused to be filed, a patent application claiming in whole or in part any Buyer’s Assays. Hamilton agrees, during the Term, not to incorporate into any instrument or product or otherwise practice any Buyer’s Assays or other Buyer’s Technology, except, in each case, on behalf of Buyer pursuant to this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15 – INDEMNIFICATION / INSURANCE</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15.1</w:t>
      </w:r>
      <w:r>
        <w:rPr>
          <w:sz w:val="20"/>
          <w:szCs w:val="20"/>
          <w:color w:val="auto"/>
        </w:rPr>
        <w:tab/>
      </w:r>
      <w:r>
        <w:rPr>
          <w:rFonts w:ascii="Arial" w:cs="Arial" w:eastAsia="Arial" w:hAnsi="Arial"/>
          <w:sz w:val="15"/>
          <w:szCs w:val="15"/>
          <w:color w:val="auto"/>
        </w:rPr>
        <w:t>Indemnification by Hamilton.</w:t>
      </w:r>
    </w:p>
    <w:p>
      <w:pPr>
        <w:spacing w:after="0" w:line="180" w:lineRule="exact"/>
        <w:rPr>
          <w:sz w:val="20"/>
          <w:szCs w:val="20"/>
          <w:color w:val="auto"/>
        </w:rPr>
      </w:pPr>
    </w:p>
    <w:p>
      <w:pPr>
        <w:jc w:val="both"/>
        <w:ind w:left="540"/>
        <w:spacing w:after="0" w:line="243" w:lineRule="auto"/>
        <w:rPr>
          <w:sz w:val="20"/>
          <w:szCs w:val="20"/>
          <w:color w:val="auto"/>
        </w:rPr>
      </w:pPr>
      <w:r>
        <w:rPr>
          <w:rFonts w:ascii="Arial" w:cs="Arial" w:eastAsia="Arial" w:hAnsi="Arial"/>
          <w:sz w:val="15"/>
          <w:szCs w:val="15"/>
          <w:color w:val="auto"/>
        </w:rPr>
        <w:t>Except as otherwise limited hereby, Hamilton shall indemnify, defend and hold harmless Buyer and its Representatives from and against any and all losses, liabilities, costs, expenses, or damages (including reasonable attorney’s fees and related costs), based upon, arising out of, or resulting from a claim or demand by a third party (each a “</w:t>
      </w:r>
      <w:r>
        <w:rPr>
          <w:rFonts w:ascii="Arial" w:cs="Arial" w:eastAsia="Arial" w:hAnsi="Arial"/>
          <w:sz w:val="15"/>
          <w:szCs w:val="15"/>
          <w:b w:val="1"/>
          <w:bCs w:val="1"/>
          <w:color w:val="auto"/>
        </w:rPr>
        <w:t>Claim</w:t>
      </w:r>
      <w:r>
        <w:rPr>
          <w:rFonts w:ascii="Arial" w:cs="Arial" w:eastAsia="Arial" w:hAnsi="Arial"/>
          <w:sz w:val="15"/>
          <w:szCs w:val="15"/>
          <w:color w:val="auto"/>
        </w:rPr>
        <w:t>” and collectively, the “</w:t>
      </w:r>
      <w:r>
        <w:rPr>
          <w:rFonts w:ascii="Arial" w:cs="Arial" w:eastAsia="Arial" w:hAnsi="Arial"/>
          <w:sz w:val="15"/>
          <w:szCs w:val="15"/>
          <w:b w:val="1"/>
          <w:bCs w:val="1"/>
          <w:color w:val="auto"/>
        </w:rPr>
        <w:t>Claims</w:t>
      </w:r>
      <w:r>
        <w:rPr>
          <w:rFonts w:ascii="Arial" w:cs="Arial" w:eastAsia="Arial" w:hAnsi="Arial"/>
          <w:sz w:val="15"/>
          <w:szCs w:val="15"/>
          <w:color w:val="auto"/>
        </w:rPr>
        <w:t>”) due to: (a) any breach in the performance of Hamilton’s obligations under this Agreement, including any representation or warranty; (b) any gross negligence or willful misconduct by Hamilton or any of its Representatives; (c) any violation of Applicable Law by Hamilton or any of its Representatives; or (d) any allegation that Hamilton or the use of its Intellectual Property in connection with the Products infringes a patent, trademark, copyright, trade secret or any Intellectual Property Right of a third party, except to the extent that any such allegation is based upon allegations that the use of Buyer’s Intellectual Property embodied in the Products infringes a patent, trademark, copyright, trade secret or any Intellectual Property Right of a third party.</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15.2</w:t>
      </w:r>
      <w:r>
        <w:rPr>
          <w:sz w:val="20"/>
          <w:szCs w:val="20"/>
          <w:color w:val="auto"/>
        </w:rPr>
        <w:tab/>
      </w:r>
      <w:r>
        <w:rPr>
          <w:rFonts w:ascii="Arial" w:cs="Arial" w:eastAsia="Arial" w:hAnsi="Arial"/>
          <w:sz w:val="14"/>
          <w:szCs w:val="14"/>
          <w:color w:val="auto"/>
        </w:rPr>
        <w:t>Indemnification by Buyer.</w:t>
      </w:r>
    </w:p>
    <w:p>
      <w:pPr>
        <w:spacing w:after="0" w:line="180" w:lineRule="exact"/>
        <w:rPr>
          <w:sz w:val="20"/>
          <w:szCs w:val="20"/>
          <w:color w:val="auto"/>
        </w:rPr>
      </w:pPr>
    </w:p>
    <w:p>
      <w:pPr>
        <w:jc w:val="both"/>
        <w:ind w:left="540"/>
        <w:spacing w:after="0" w:line="244" w:lineRule="auto"/>
        <w:rPr>
          <w:sz w:val="20"/>
          <w:szCs w:val="20"/>
          <w:color w:val="auto"/>
        </w:rPr>
      </w:pPr>
      <w:r>
        <w:rPr>
          <w:rFonts w:ascii="Arial" w:cs="Arial" w:eastAsia="Arial" w:hAnsi="Arial"/>
          <w:sz w:val="15"/>
          <w:szCs w:val="15"/>
          <w:color w:val="auto"/>
        </w:rPr>
        <w:t>Except as otherwise limited hereby, Buyer shall indemnify, defend and hold harmless Hamilton and its Representatives from and against any and all Claims due to: (a) any breach in the performance of Buyer’s obligations under this Agreement, including any representation or warranty; (b) any gross negligence or willful misconduct by Buyer or any of its Representatives; (c) any violation of Applicable Law by Buyer or any of its Representatives; or (d) any allegation that Buyer or the use of its Intellectual Property, infringes a patent, trademark, copyright, trade secret or any Intellectual Property Right of a third party, except to the extent that any such allegation is based upon allegations that the use of Hamilton’s Intellectual Property embodied in or used to manufacture the Products infringes a patent, trademark, copyright, trade secret or any Intellectual Property Right of a third party. Buyer shall have no such obligation to indemnify, defend or hold harmless for a Claim under this section 15.2 to the extent Hamilton is responsible for such Claim pursuant to section 15.1 above.</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15.3</w:t>
      </w:r>
      <w:r>
        <w:rPr>
          <w:sz w:val="20"/>
          <w:szCs w:val="20"/>
          <w:color w:val="auto"/>
        </w:rPr>
        <w:tab/>
      </w:r>
      <w:r>
        <w:rPr>
          <w:rFonts w:ascii="Arial" w:cs="Arial" w:eastAsia="Arial" w:hAnsi="Arial"/>
          <w:sz w:val="15"/>
          <w:szCs w:val="15"/>
          <w:color w:val="auto"/>
        </w:rPr>
        <w:t>Claims.</w:t>
      </w:r>
    </w:p>
    <w:p>
      <w:pPr>
        <w:spacing w:after="0" w:line="178" w:lineRule="exact"/>
        <w:rPr>
          <w:sz w:val="20"/>
          <w:szCs w:val="20"/>
          <w:color w:val="auto"/>
        </w:rPr>
      </w:pPr>
    </w:p>
    <w:p>
      <w:pPr>
        <w:jc w:val="both"/>
        <w:ind w:left="540"/>
        <w:spacing w:after="0" w:line="282" w:lineRule="auto"/>
        <w:rPr>
          <w:sz w:val="20"/>
          <w:szCs w:val="20"/>
          <w:color w:val="auto"/>
        </w:rPr>
      </w:pPr>
      <w:r>
        <w:rPr>
          <w:rFonts w:ascii="Arial" w:cs="Arial" w:eastAsia="Arial" w:hAnsi="Arial"/>
          <w:sz w:val="15"/>
          <w:szCs w:val="15"/>
          <w:color w:val="auto"/>
        </w:rPr>
        <w:t>A party having the right to indemnification hereunder (the “</w:t>
      </w:r>
      <w:r>
        <w:rPr>
          <w:rFonts w:ascii="Arial" w:cs="Arial" w:eastAsia="Arial" w:hAnsi="Arial"/>
          <w:sz w:val="15"/>
          <w:szCs w:val="15"/>
          <w:b w:val="1"/>
          <w:bCs w:val="1"/>
          <w:color w:val="auto"/>
        </w:rPr>
        <w:t>Indemnified Party</w:t>
      </w:r>
      <w:r>
        <w:rPr>
          <w:rFonts w:ascii="Arial" w:cs="Arial" w:eastAsia="Arial" w:hAnsi="Arial"/>
          <w:sz w:val="15"/>
          <w:szCs w:val="15"/>
          <w:color w:val="auto"/>
        </w:rPr>
        <w:t>”) shall promptly notify the other (the “</w:t>
      </w:r>
      <w:r>
        <w:rPr>
          <w:rFonts w:ascii="Arial" w:cs="Arial" w:eastAsia="Arial" w:hAnsi="Arial"/>
          <w:sz w:val="15"/>
          <w:szCs w:val="15"/>
          <w:b w:val="1"/>
          <w:bCs w:val="1"/>
          <w:color w:val="auto"/>
        </w:rPr>
        <w:t>Indemnifying Party</w:t>
      </w:r>
      <w:r>
        <w:rPr>
          <w:rFonts w:ascii="Arial" w:cs="Arial" w:eastAsia="Arial" w:hAnsi="Arial"/>
          <w:sz w:val="15"/>
          <w:szCs w:val="15"/>
          <w:color w:val="auto"/>
        </w:rPr>
        <w:t>”) of the commencement of any action, suit or proceeding for which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18</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504" w:name="page505"/>
    <w:bookmarkEnd w:id="504"/>
    <w:p>
      <w:pPr>
        <w:jc w:val="both"/>
        <w:ind w:left="540"/>
        <w:spacing w:after="0" w:line="242" w:lineRule="auto"/>
        <w:rPr>
          <w:sz w:val="20"/>
          <w:szCs w:val="20"/>
          <w:color w:val="auto"/>
        </w:rPr>
      </w:pPr>
      <w:r>
        <w:rPr>
          <w:rFonts w:ascii="Arial" w:cs="Arial" w:eastAsia="Arial" w:hAnsi="Arial"/>
          <w:sz w:val="15"/>
          <w:szCs w:val="15"/>
          <w:color w:val="auto"/>
        </w:rPr>
        <w:t>indemnification may be sought, and the Indemnifying Party, through counsel reasonable satisfactory to the Indemnified Party, shall assume the defense thereof; provided, however, that the Indemnified Party shall be entitled to participate in any such action, suit or proceeding with counsel of its own choice, but at its own expense. If the Indemnifying Party fails to assume the defense within a reasonable time, the Indemnified Party may assume such defense and the reasonable fees and expenses of its attorneys will be covered by the indemnity provided for in this article 15. The Indemnifying Party shall not, without the written consent of the Indemnified Party, which consent shall not be unreasonably withheld: (i) settle or compromise any action, suit or proceeding or consent to the entry of any judgment which does not include as an unconditional term thereof the delivery by the claimant or plaintiff to the Indemnified Party of a written release from all liability in respect of such action, suit or proceeding; or (ii) settle or compromise any action, suit or proceeding in any manner which may materially and adversely affect the Indemnified Party other than as a result of money damages or other money payments. The Indemnifying Party shall have the exclusive right to control the action, suit or proceeding and, subject to the foregoing, enter into any settlement with respect thereto.</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15.4</w:t>
      </w:r>
      <w:r>
        <w:rPr>
          <w:sz w:val="20"/>
          <w:szCs w:val="20"/>
          <w:color w:val="auto"/>
        </w:rPr>
        <w:tab/>
      </w:r>
      <w:r>
        <w:rPr>
          <w:rFonts w:ascii="Arial" w:cs="Arial" w:eastAsia="Arial" w:hAnsi="Arial"/>
          <w:sz w:val="14"/>
          <w:szCs w:val="14"/>
          <w:color w:val="auto"/>
        </w:rPr>
        <w:t>Insurance.</w:t>
      </w:r>
    </w:p>
    <w:p>
      <w:pPr>
        <w:spacing w:after="0" w:line="191" w:lineRule="exact"/>
        <w:rPr>
          <w:sz w:val="20"/>
          <w:szCs w:val="20"/>
          <w:color w:val="auto"/>
        </w:rPr>
      </w:pPr>
    </w:p>
    <w:p>
      <w:pPr>
        <w:jc w:val="both"/>
        <w:ind w:left="540"/>
        <w:spacing w:after="0" w:line="267" w:lineRule="auto"/>
        <w:rPr>
          <w:sz w:val="20"/>
          <w:szCs w:val="20"/>
          <w:color w:val="auto"/>
        </w:rPr>
      </w:pPr>
      <w:r>
        <w:rPr>
          <w:rFonts w:ascii="Arial" w:cs="Arial" w:eastAsia="Arial" w:hAnsi="Arial"/>
          <w:sz w:val="15"/>
          <w:szCs w:val="15"/>
          <w:color w:val="auto"/>
        </w:rPr>
        <w:t>Hamilton’s Insurance Minimum Requirements. Hamilton will maintain, for the Term, policies of liability insurance, with product liability coverage’s with minimum limits of [***] per occurrence and [***] in the aggregate. Hamilton shall, upon Buyer’s request, provide a certificate of insurance which will evidence the foregoing coverage limits and the insurer’s agreement to notify Buyer in writing of any proposed cancellation of such policies at least thirty (30) days before any such cancellation is to be effective.</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Buyer’s Insurance Minimum Requirements. Buyer will maintain, for the Term, policies of liability insurance, with product liability coverage with minimum limits of</w:t>
      </w:r>
    </w:p>
    <w:p>
      <w:pPr>
        <w:spacing w:after="0" w:line="27" w:lineRule="exact"/>
        <w:rPr>
          <w:sz w:val="20"/>
          <w:szCs w:val="20"/>
          <w:color w:val="auto"/>
        </w:rPr>
      </w:pPr>
    </w:p>
    <w:p>
      <w:pPr>
        <w:jc w:val="both"/>
        <w:ind w:left="540" w:right="20" w:hanging="4"/>
        <w:spacing w:after="0" w:line="261" w:lineRule="auto"/>
        <w:tabs>
          <w:tab w:leader="none" w:pos="870" w:val="left"/>
        </w:tabs>
        <w:numPr>
          <w:ilvl w:val="0"/>
          <w:numId w:val="399"/>
        </w:numPr>
        <w:rPr>
          <w:rFonts w:ascii="Arial" w:cs="Arial" w:eastAsia="Arial" w:hAnsi="Arial"/>
          <w:sz w:val="15"/>
          <w:szCs w:val="15"/>
          <w:color w:val="auto"/>
        </w:rPr>
      </w:pPr>
      <w:r>
        <w:rPr>
          <w:rFonts w:ascii="Arial" w:cs="Arial" w:eastAsia="Arial" w:hAnsi="Arial"/>
          <w:sz w:val="15"/>
          <w:szCs w:val="15"/>
          <w:color w:val="auto"/>
        </w:rPr>
        <w:t>per occurrence and [***] in the aggregate. Buyer shall, upon Hamilton’s request, provide a certificate of insurance which will evidence the foregoing coverage limits and the insurer’s agreement to notify Hamilton in writing of any proposed cancellation of such policies at least thirty (30) days before any such cancellation is to be effective.</w:t>
      </w:r>
    </w:p>
    <w:p>
      <w:pPr>
        <w:spacing w:after="0" w:line="146" w:lineRule="exact"/>
        <w:rPr>
          <w:sz w:val="20"/>
          <w:szCs w:val="20"/>
          <w:color w:val="auto"/>
        </w:rPr>
      </w:pPr>
    </w:p>
    <w:p>
      <w:pPr>
        <w:jc w:val="both"/>
        <w:ind w:left="540" w:right="20"/>
        <w:spacing w:after="0" w:line="295" w:lineRule="auto"/>
        <w:rPr>
          <w:sz w:val="20"/>
          <w:szCs w:val="20"/>
          <w:color w:val="auto"/>
        </w:rPr>
      </w:pPr>
      <w:r>
        <w:rPr>
          <w:rFonts w:ascii="Arial" w:cs="Arial" w:eastAsia="Arial" w:hAnsi="Arial"/>
          <w:sz w:val="15"/>
          <w:szCs w:val="15"/>
          <w:color w:val="auto"/>
        </w:rPr>
        <w:t>Upon the other Party’s request, each Party shall provide to the other Party a certificate of coverage or other written evidence reasonably satisfactory to the other Party of such insurance coverage.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16 – MISCELLANEOUS</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16.1</w:t>
      </w:r>
      <w:r>
        <w:rPr>
          <w:sz w:val="20"/>
          <w:szCs w:val="20"/>
          <w:color w:val="auto"/>
        </w:rPr>
        <w:tab/>
      </w:r>
      <w:r>
        <w:rPr>
          <w:rFonts w:ascii="Arial" w:cs="Arial" w:eastAsia="Arial" w:hAnsi="Arial"/>
          <w:sz w:val="14"/>
          <w:szCs w:val="14"/>
          <w:color w:val="auto"/>
        </w:rPr>
        <w:t>Confidentiality.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Confidentiality Term. During the Term, and for a period of five years thereafter, the Parties shall take such steps as are reasonably required to protect</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Confidential Information (as hereinafter defined) supplied or revealed to it (the “</w:t>
      </w:r>
      <w:r>
        <w:rPr>
          <w:rFonts w:ascii="Arial" w:cs="Arial" w:eastAsia="Arial" w:hAnsi="Arial"/>
          <w:sz w:val="15"/>
          <w:szCs w:val="15"/>
          <w:b w:val="1"/>
          <w:bCs w:val="1"/>
          <w:color w:val="auto"/>
        </w:rPr>
        <w:t>Receiving Party</w:t>
      </w:r>
      <w:r>
        <w:rPr>
          <w:rFonts w:ascii="Arial" w:cs="Arial" w:eastAsia="Arial" w:hAnsi="Arial"/>
          <w:sz w:val="15"/>
          <w:szCs w:val="15"/>
          <w:color w:val="auto"/>
        </w:rPr>
        <w:t>”) by the other Party (the “</w:t>
      </w:r>
      <w:r>
        <w:rPr>
          <w:rFonts w:ascii="Arial" w:cs="Arial" w:eastAsia="Arial" w:hAnsi="Arial"/>
          <w:sz w:val="15"/>
          <w:szCs w:val="15"/>
          <w:b w:val="1"/>
          <w:bCs w:val="1"/>
          <w:color w:val="auto"/>
        </w:rPr>
        <w:t>Disclosing Party</w:t>
      </w:r>
      <w:r>
        <w:rPr>
          <w:rFonts w:ascii="Arial" w:cs="Arial" w:eastAsia="Arial" w:hAnsi="Arial"/>
          <w:sz w:val="15"/>
          <w:szCs w:val="15"/>
          <w:color w:val="auto"/>
        </w:rPr>
        <w:t>”) pursuant to this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Agreement and shall not use such information except for the purposes hereof.</w:t>
      </w:r>
    </w:p>
    <w:p>
      <w:pPr>
        <w:spacing w:after="0" w:line="173"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Confidential Information. All non-public, confidential or proprietary information, including but not limited to Specifications, samples, patterns, designs, plans, drawings, documents, data, business operations, customer lists, pricing, discounts or rebates, disclosed, whether disclosed orally or disclosed or accessed in written, electronic or other form or media, and whether or not marked, designated or otherwise identified as “confidential” in connection with this Agreement is confidential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solely for the use of performing the Agreement and may not be disclosed or copied unless authorized in advance by the Disclosing Party in writing.</w:t>
      </w:r>
    </w:p>
    <w:p>
      <w:pPr>
        <w:spacing w:after="0" w:line="145"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Obligations of the Receiving Party. The Receiving Party shall (a) protect and safeguard the confidentiality of all of the Disclosing Party’s Confidential Information with at least the same degree of care as the Receiving Party would protect its own Confidential Information, but in no event with less than a commercially reasonable degree of care; and (b) not use the Disclosing Party’s Confidential Information, or permit it to be accessed or used, for any purpose other than performance of obligations or exercise of rights in accordance with this Agreement, including without limitation to reverse engineer, disassemble, decompile or design around the Disclosing Party’s proprietary services, products and/or confidential Intellectual Property.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19</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1" w:right="319" w:bottom="1440" w:gutter="0" w:footer="0" w:header="0"/>
        </w:sectPr>
      </w:pPr>
    </w:p>
    <w:bookmarkStart w:id="505" w:name="page506"/>
    <w:bookmarkEnd w:id="505"/>
    <w:p>
      <w:pPr>
        <w:jc w:val="both"/>
        <w:ind w:left="540"/>
        <w:spacing w:after="0" w:line="241" w:lineRule="auto"/>
        <w:rPr>
          <w:sz w:val="20"/>
          <w:szCs w:val="20"/>
          <w:color w:val="auto"/>
        </w:rPr>
      </w:pPr>
      <w:r>
        <w:rPr>
          <w:rFonts w:ascii="Arial" w:cs="Arial" w:eastAsia="Arial" w:hAnsi="Arial"/>
          <w:sz w:val="15"/>
          <w:szCs w:val="15"/>
          <w:color w:val="auto"/>
        </w:rPr>
        <w:t>Exceptions. Nothing in this article 16 shall be construed to impose a confidentiality obligation on the Receiving Party in connection with any information to the extent such information is (1) at the time of disclosure already known to the Receiving Party (as established by such Party’s prior written records); (2) at the time of disclosure or subsequently becomes part of the public domain through no fault, act or omission of the Receiving Party; (3) subsequently disclosed to the Receiving Party without any confidentiality obligation by a third party whose receipt and disclosure of such information does not constitute a violation of any confidentiality obligation; (4) independently developed by or for the Receiving Party by individuals having no access to or knowledge of the Disclosing Party’s Confidential Information (as established by such Party’s contemporaneous written records); or (5) required to be disclosed by law or governmental regulation, provided that the Receiving Party (i) provides the Disclosing Party with prompt written notice of such disclosure requirement if legally permitted, (ii) affords the Disclosing Party an opportunity, and cooperates with the Disclosing Party’s efforts, to oppose or limit, or secure confidential treatment for such required disclosure (at the Disclosing Party’s expense), and (iii) if the Disclosing Party is unsuccessful in its efforts pursuant to subsection (ii), discloses only that portion of the Confidential Information that the Receiving Party is legally required to disclose as advised by the Receiving Party’s legal counsel.</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Feedback. Hamilton hereby grants to Buyer a non-exclusive, perpetual, irrevocable, royalty free, worldwide license, with the right to grant and authorize</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sublicenses, to use, offer for sale, sell, distribute, display, perform and otherwise exploit Feedback without restriction. For purposes of this Agreement,</w:t>
      </w:r>
    </w:p>
    <w:p>
      <w:pPr>
        <w:ind w:left="54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Feedback</w:t>
      </w:r>
      <w:r>
        <w:rPr>
          <w:rFonts w:ascii="Arial" w:cs="Arial" w:eastAsia="Arial" w:hAnsi="Arial"/>
          <w:sz w:val="15"/>
          <w:szCs w:val="15"/>
          <w:color w:val="auto"/>
        </w:rPr>
        <w:t>” means any ideas, suggestions, feedback, guidance or other information or materials disclosed by Hamilton to Buyer or its customers relating to</w:t>
      </w:r>
    </w:p>
    <w:p>
      <w:pPr>
        <w:ind w:left="540"/>
        <w:spacing w:after="0"/>
        <w:rPr>
          <w:sz w:val="20"/>
          <w:szCs w:val="20"/>
          <w:color w:val="auto"/>
        </w:rPr>
      </w:pPr>
      <w:r>
        <w:rPr>
          <w:rFonts w:ascii="Arial" w:cs="Arial" w:eastAsia="Arial" w:hAnsi="Arial"/>
          <w:sz w:val="15"/>
          <w:szCs w:val="15"/>
          <w:color w:val="auto"/>
        </w:rPr>
        <w:t>Buyer’s Proteograph™ platform or business (including any Intellectual Property Rights in or to the foregoing).</w:t>
      </w:r>
    </w:p>
    <w:p>
      <w:pPr>
        <w:spacing w:after="0" w:line="162" w:lineRule="exact"/>
        <w:rPr>
          <w:sz w:val="20"/>
          <w:szCs w:val="20"/>
          <w:color w:val="auto"/>
        </w:rPr>
      </w:pPr>
    </w:p>
    <w:p>
      <w:pPr>
        <w:ind w:left="540" w:right="160"/>
        <w:spacing w:after="0" w:line="251" w:lineRule="auto"/>
        <w:rPr>
          <w:sz w:val="20"/>
          <w:szCs w:val="20"/>
          <w:color w:val="auto"/>
        </w:rPr>
      </w:pPr>
      <w:r>
        <w:rPr>
          <w:rFonts w:ascii="Arial" w:cs="Arial" w:eastAsia="Arial" w:hAnsi="Arial"/>
          <w:sz w:val="15"/>
          <w:szCs w:val="15"/>
          <w:color w:val="auto"/>
        </w:rPr>
        <w:t>Retrieval of Confidential Information. Except as otherwise permitted under this Agreement, upon request by the Disclosing Party after expiration or termination of this Agreement, the Receiving Party shall either return all of such Disclosing Party’s Confidential Information (including all copies thereof) received or prepared by it or destroy the same; provided, however, that counsel for the Receiving Party may keep one copy of the Confidential Information for purposes of ascertaining the Receiving Party’s obligations under this article 16.</w:t>
      </w:r>
    </w:p>
    <w:p>
      <w:pPr>
        <w:spacing w:after="0" w:line="142" w:lineRule="exact"/>
        <w:rPr>
          <w:sz w:val="20"/>
          <w:szCs w:val="20"/>
          <w:color w:val="auto"/>
        </w:rPr>
      </w:pPr>
    </w:p>
    <w:p>
      <w:pPr>
        <w:jc w:val="both"/>
        <w:ind w:left="540"/>
        <w:spacing w:after="0" w:line="258" w:lineRule="auto"/>
        <w:rPr>
          <w:sz w:val="20"/>
          <w:szCs w:val="20"/>
          <w:color w:val="auto"/>
        </w:rPr>
      </w:pPr>
      <w:r>
        <w:rPr>
          <w:rFonts w:ascii="Arial" w:cs="Arial" w:eastAsia="Arial" w:hAnsi="Arial"/>
          <w:sz w:val="15"/>
          <w:szCs w:val="15"/>
          <w:color w:val="auto"/>
        </w:rPr>
        <w:t>Adequate Remedy Unavailable. Each Party acknowledges that that the other Party may not have an adequate remedy at law for breach of any of the covenants contained in this article 16 and agrees that the breach or threatened breach of such covenants will entitle the other Party to seek injunctive relief issued by any court having appropriate jurisdiction thereof, in addition to any other legal remedies that may be available to it.</w:t>
      </w:r>
    </w:p>
    <w:p>
      <w:pPr>
        <w:spacing w:after="0" w:line="137" w:lineRule="exact"/>
        <w:rPr>
          <w:sz w:val="20"/>
          <w:szCs w:val="20"/>
          <w:color w:val="auto"/>
        </w:rPr>
      </w:pPr>
    </w:p>
    <w:p>
      <w:pPr>
        <w:jc w:val="both"/>
        <w:ind w:left="540"/>
        <w:spacing w:after="0" w:line="279" w:lineRule="auto"/>
        <w:rPr>
          <w:sz w:val="20"/>
          <w:szCs w:val="20"/>
          <w:color w:val="auto"/>
        </w:rPr>
      </w:pPr>
      <w:r>
        <w:rPr>
          <w:rFonts w:ascii="Arial" w:cs="Arial" w:eastAsia="Arial" w:hAnsi="Arial"/>
          <w:sz w:val="15"/>
          <w:szCs w:val="15"/>
          <w:color w:val="auto"/>
        </w:rPr>
        <w:t>Survival. In the event of termination of this Agreement by either Party for any reason, Buyer may retain and use, for a period of seven years after termination, any Confidential Information necessary in order to service each such Product that Buyer has in inventory or has sold or placed.</w:t>
      </w:r>
    </w:p>
    <w:p>
      <w:pPr>
        <w:spacing w:after="0" w:line="119" w:lineRule="exact"/>
        <w:rPr>
          <w:sz w:val="20"/>
          <w:szCs w:val="20"/>
          <w:color w:val="auto"/>
        </w:rPr>
      </w:pPr>
    </w:p>
    <w:p>
      <w:pPr>
        <w:ind w:left="540" w:right="20"/>
        <w:spacing w:after="0" w:line="248" w:lineRule="auto"/>
        <w:rPr>
          <w:sz w:val="20"/>
          <w:szCs w:val="20"/>
          <w:color w:val="auto"/>
        </w:rPr>
      </w:pPr>
      <w:r>
        <w:rPr>
          <w:rFonts w:ascii="Arial" w:cs="Arial" w:eastAsia="Arial" w:hAnsi="Arial"/>
          <w:sz w:val="15"/>
          <w:szCs w:val="15"/>
          <w:color w:val="auto"/>
        </w:rPr>
        <w:t>Prior CDA. This Agreement supersedes the Mutual Non-Disclosure Agreement between Hamilton and Buyer effective March 20, 2019 (the “</w:t>
      </w:r>
      <w:r>
        <w:rPr>
          <w:rFonts w:ascii="Arial" w:cs="Arial" w:eastAsia="Arial" w:hAnsi="Arial"/>
          <w:sz w:val="15"/>
          <w:szCs w:val="15"/>
          <w:b w:val="1"/>
          <w:bCs w:val="1"/>
          <w:color w:val="auto"/>
        </w:rPr>
        <w:t>Prior CDA</w:t>
      </w:r>
      <w:r>
        <w:rPr>
          <w:rFonts w:ascii="Arial" w:cs="Arial" w:eastAsia="Arial" w:hAnsi="Arial"/>
          <w:sz w:val="15"/>
          <w:szCs w:val="15"/>
          <w:color w:val="auto"/>
        </w:rPr>
        <w:t>”) with respect to information disclosed thereunder. All information or materials disclosed or provided by Hamilton to Buyer under the Prior CDA shall be deemed Confidential Information of Hamilton (subject to the exceptions set forth herein) and shall be subject to Buyer’s confidentiality obligations under this section 16.1. All information disclosed by Buyer under the Prior CDA shall be deemed Confidential Information of Buyer (subject to the exceptions set forth herein) and shall be subject to Hamilton’s confidentiality obligations under this section 16.1.</w:t>
      </w:r>
    </w:p>
    <w:p>
      <w:pPr>
        <w:spacing w:after="0" w:line="144"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16.2</w:t>
      </w:r>
      <w:r>
        <w:rPr>
          <w:sz w:val="20"/>
          <w:szCs w:val="20"/>
          <w:color w:val="auto"/>
        </w:rPr>
        <w:tab/>
      </w:r>
      <w:r>
        <w:rPr>
          <w:rFonts w:ascii="Arial" w:cs="Arial" w:eastAsia="Arial" w:hAnsi="Arial"/>
          <w:sz w:val="15"/>
          <w:szCs w:val="15"/>
          <w:color w:val="auto"/>
        </w:rPr>
        <w:t>Public Announcements.</w:t>
      </w:r>
    </w:p>
    <w:p>
      <w:pPr>
        <w:spacing w:after="0" w:line="180" w:lineRule="exact"/>
        <w:rPr>
          <w:sz w:val="20"/>
          <w:szCs w:val="20"/>
          <w:color w:val="auto"/>
        </w:rPr>
      </w:pPr>
    </w:p>
    <w:p>
      <w:pPr>
        <w:jc w:val="both"/>
        <w:ind w:left="540"/>
        <w:spacing w:after="0" w:line="245" w:lineRule="auto"/>
        <w:rPr>
          <w:sz w:val="20"/>
          <w:szCs w:val="20"/>
          <w:color w:val="auto"/>
        </w:rPr>
      </w:pPr>
      <w:r>
        <w:rPr>
          <w:rFonts w:ascii="Arial" w:cs="Arial" w:eastAsia="Arial" w:hAnsi="Arial"/>
          <w:sz w:val="15"/>
          <w:szCs w:val="15"/>
          <w:color w:val="auto"/>
        </w:rPr>
        <w:t>Each Party hereto covenants and agrees that, except as provided for herein, it will not from and after the date hereof make, issue or release any public announcement, press release, statement or acknowledgment of the existence of, or reveal publicly the terms, conditions and status of, the transactions contemplated herein, without the prior written consent of the other Party as to the content and time of release of and the media in which such statement or announcement is to be made, such consent not to be unreasonably withheld; provided, however, that in the case of announcements, statements, acknowledgments or revelations which either Party is required by law to make, issue or release, the making, issuing or releasing of any such announcement, statement, acknowledgment or revelation by the Party so required by law shall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20</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506" w:name="page507"/>
    <w:bookmarkEnd w:id="506"/>
    <w:p>
      <w:pPr>
        <w:jc w:val="both"/>
        <w:ind w:left="540"/>
        <w:spacing w:after="0" w:line="241" w:lineRule="auto"/>
        <w:rPr>
          <w:sz w:val="20"/>
          <w:szCs w:val="20"/>
          <w:color w:val="auto"/>
        </w:rPr>
      </w:pPr>
      <w:r>
        <w:rPr>
          <w:rFonts w:ascii="Arial" w:cs="Arial" w:eastAsia="Arial" w:hAnsi="Arial"/>
          <w:sz w:val="15"/>
          <w:szCs w:val="15"/>
          <w:color w:val="auto"/>
        </w:rPr>
        <w:t>not constitute a breach of this Agreement if such Party shall have given, to the extent reasonably practicable, not less than two calendar days prior notice to the other Party, and shall have attempted, to the extent reasonably possible, to clear such announcement, statement, acknowledgment or revelation with the other Party. Hamilton shall not use the name of Buyer or any of its Affiliates for advertising or promotional purposes without the prior written consent of Buyer. In furtherance of the foregoing, Hamilton shall not originate any publicity or other announcement, written or oral, whether to the public, the press, the trade, Buyer’s or Hamilton’s customers or otherwise, relating to this Agreement or the existence of an arrangement between the Parties, without the prior written approval of Buyer. To the extent the name “Hamilton”, its trademark and/or associated design is not required to appear on the front of the Instrument under the terms of this Agreement, Buyer shall not have the right to use the name of Hamilton or any of its Affiliates for advertising or promotional purposes without the prior written consent of Hamilton, which consent shall not be unreasonably withheld, conditioned or delayed. To the extent the name “Hamilton”, its trademark and/or associated design is required to appear on the front of the Instrument under the terms of this Agreement, Buyer shall have the right to identify Hamilton as the manufacturer of the Instruments on its website, in press releases and in advertising and promotional materials for any Final Product (or component thereof).</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16.3</w:t>
      </w:r>
      <w:r>
        <w:rPr>
          <w:sz w:val="20"/>
          <w:szCs w:val="20"/>
          <w:color w:val="auto"/>
        </w:rPr>
        <w:tab/>
      </w:r>
      <w:r>
        <w:rPr>
          <w:rFonts w:ascii="Arial" w:cs="Arial" w:eastAsia="Arial" w:hAnsi="Arial"/>
          <w:sz w:val="14"/>
          <w:szCs w:val="14"/>
          <w:color w:val="auto"/>
        </w:rPr>
        <w:t>Arbitration.</w:t>
      </w:r>
    </w:p>
    <w:p>
      <w:pPr>
        <w:spacing w:after="0" w:line="191" w:lineRule="exact"/>
        <w:rPr>
          <w:sz w:val="20"/>
          <w:szCs w:val="20"/>
          <w:color w:val="auto"/>
        </w:rPr>
      </w:pPr>
    </w:p>
    <w:p>
      <w:pPr>
        <w:jc w:val="both"/>
        <w:ind w:left="540"/>
        <w:spacing w:after="0" w:line="257" w:lineRule="auto"/>
        <w:rPr>
          <w:sz w:val="20"/>
          <w:szCs w:val="20"/>
          <w:color w:val="auto"/>
        </w:rPr>
      </w:pPr>
      <w:r>
        <w:rPr>
          <w:rFonts w:ascii="Arial" w:cs="Arial" w:eastAsia="Arial" w:hAnsi="Arial"/>
          <w:sz w:val="15"/>
          <w:szCs w:val="15"/>
          <w:color w:val="auto"/>
        </w:rPr>
        <w:t>All disputes, controversies and differences between the Parties arising directly or indirectly from this Agreement or any transaction contemplated hereby shall be resolved by binding arbitration. Such arbitration shall be held before one arbitrator in San Francisco, California pursuant to the Commercial Arbitration Rules then in effect of the American Arbitration Association, which arbitration shall be binding on all Parties and shall constitute the final resolution of such dispute. No Party shall commence any action against another to resolve any such dispute in any court except to confirm or enforce such arbitrator’s award. Judgment upon any such award rendered may be entered by any court having jurisdiction thereof, and each Party expressly consents to the jurisdiction thereof. The arbitrator</w:t>
      </w:r>
    </w:p>
    <w:p>
      <w:pPr>
        <w:spacing w:after="0" w:line="3" w:lineRule="exact"/>
        <w:rPr>
          <w:sz w:val="20"/>
          <w:szCs w:val="20"/>
          <w:color w:val="auto"/>
        </w:rPr>
      </w:pPr>
    </w:p>
    <w:p>
      <w:pPr>
        <w:jc w:val="both"/>
        <w:ind w:left="540" w:hanging="4"/>
        <w:spacing w:after="0" w:line="255" w:lineRule="auto"/>
        <w:tabs>
          <w:tab w:leader="none" w:pos="787" w:val="left"/>
        </w:tabs>
        <w:numPr>
          <w:ilvl w:val="0"/>
          <w:numId w:val="400"/>
        </w:numPr>
        <w:rPr>
          <w:rFonts w:ascii="Arial" w:cs="Arial" w:eastAsia="Arial" w:hAnsi="Arial"/>
          <w:sz w:val="15"/>
          <w:szCs w:val="15"/>
          <w:color w:val="auto"/>
        </w:rPr>
      </w:pPr>
      <w:r>
        <w:rPr>
          <w:rFonts w:ascii="Arial" w:cs="Arial" w:eastAsia="Arial" w:hAnsi="Arial"/>
          <w:sz w:val="15"/>
          <w:szCs w:val="15"/>
          <w:color w:val="auto"/>
        </w:rPr>
        <w:t>shall not have any power or authority to add to, alter, amend or modify the terms of this Agreement; (b) shall interpret and construe this Agreement in accordance with, and shall be bound by, the laws of the State of Delaware (except that this section 16.3 shall be governed by the Federal Arbitration Act); (c) shall have no power or authority to grant or award punitive damages (except as provided in this section 16.3 below); (d) shall establish and enforce appropriate rules to ensure that the proceedings, including the decision, be kept confidential and that all Confidential Information of the Parties be kept confidential and be used for no purpose other than the arbitration and (e) shall have the power to enforce specifically this Agreement and the terms and conditions hereof in addition to any other remedies at law or in equity. EXCEPT FOR BREACHES OF SECTION 16.1 OR A PARTY’S GROSS NEGLIGENCE OR INTENTIONAL MISCONDUCT, THE ARBITRATOR SHALL NOT BE AUTHORIZED TO AWARD ANY PARTY PUNITIVE, EXEMPLARY, MULTIPLIED OR CONSEQUENTIAL DAMAGES, AND EACH PARTY HEREBY IRREVOCABLY WAIVES ANY RIGHT TO SEEK SUCH DAMAGES.</w:t>
      </w:r>
    </w:p>
    <w:p>
      <w:pPr>
        <w:spacing w:after="0" w:line="15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16.4</w:t>
      </w:r>
      <w:r>
        <w:rPr>
          <w:sz w:val="20"/>
          <w:szCs w:val="20"/>
          <w:color w:val="auto"/>
        </w:rPr>
        <w:tab/>
      </w:r>
      <w:r>
        <w:rPr>
          <w:rFonts w:ascii="Arial" w:cs="Arial" w:eastAsia="Arial" w:hAnsi="Arial"/>
          <w:sz w:val="14"/>
          <w:szCs w:val="14"/>
          <w:color w:val="auto"/>
        </w:rPr>
        <w:t>Governing Law.</w:t>
      </w:r>
    </w:p>
    <w:p>
      <w:pPr>
        <w:spacing w:after="0" w:line="191" w:lineRule="exact"/>
        <w:rPr>
          <w:sz w:val="20"/>
          <w:szCs w:val="20"/>
          <w:color w:val="auto"/>
        </w:rPr>
      </w:pPr>
    </w:p>
    <w:p>
      <w:pPr>
        <w:jc w:val="both"/>
        <w:ind w:left="540"/>
        <w:spacing w:after="0" w:line="295" w:lineRule="auto"/>
        <w:rPr>
          <w:sz w:val="20"/>
          <w:szCs w:val="20"/>
          <w:color w:val="auto"/>
        </w:rPr>
      </w:pPr>
      <w:r>
        <w:rPr>
          <w:rFonts w:ascii="Arial" w:cs="Arial" w:eastAsia="Arial" w:hAnsi="Arial"/>
          <w:sz w:val="15"/>
          <w:szCs w:val="15"/>
          <w:color w:val="auto"/>
        </w:rPr>
        <w:t>This Agreement shall be governed by the laws of the State of Delaware, without giving effect to any choice or conflict of law provision or rule (whether of the State of Delaware or any other jurisdiction) that would cause the application of the laws of any jurisdiction other than those of the State of Delaware.</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16.5</w:t>
      </w:r>
      <w:r>
        <w:rPr>
          <w:sz w:val="20"/>
          <w:szCs w:val="20"/>
          <w:color w:val="auto"/>
        </w:rPr>
        <w:tab/>
      </w:r>
      <w:r>
        <w:rPr>
          <w:rFonts w:ascii="Arial" w:cs="Arial" w:eastAsia="Arial" w:hAnsi="Arial"/>
          <w:sz w:val="15"/>
          <w:szCs w:val="15"/>
          <w:color w:val="auto"/>
        </w:rPr>
        <w:t>Relationship of the Parties.</w:t>
      </w:r>
    </w:p>
    <w:p>
      <w:pPr>
        <w:spacing w:after="0" w:line="191"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The relationship of Hamilton to Buyer under this Agreement is intended to be that of independent contractor. Nothing contained in this Agreement is intended or is to be construed so as to constitute Buyer and Hamilton as partners or as employer/employee or principal/agent, or the employees or the agents of any Party hereto as employees or agents of any other Party hereto. Neither Party hereto has any express or implied right or authority under this Agreement to assume or create any obligations on behalf of or in the name of the other Party hereto or to bind the other Party hereto to an agreement or other undertaking with any third party, other than the successors and permitted assigns of the respective Parties hereto.</w:t>
      </w:r>
    </w:p>
    <w:p>
      <w:pPr>
        <w:spacing w:after="0" w:line="145"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16.6</w:t>
      </w:r>
      <w:r>
        <w:rPr>
          <w:sz w:val="20"/>
          <w:szCs w:val="20"/>
          <w:color w:val="auto"/>
        </w:rPr>
        <w:tab/>
      </w:r>
      <w:r>
        <w:rPr>
          <w:rFonts w:ascii="Arial" w:cs="Arial" w:eastAsia="Arial" w:hAnsi="Arial"/>
          <w:sz w:val="15"/>
          <w:szCs w:val="15"/>
          <w:color w:val="auto"/>
        </w:rPr>
        <w:t>Entire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21</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507" w:name="page508"/>
    <w:bookmarkEnd w:id="507"/>
    <w:p>
      <w:pPr>
        <w:jc w:val="both"/>
        <w:ind w:left="540"/>
        <w:spacing w:after="0" w:line="228" w:lineRule="auto"/>
        <w:rPr>
          <w:sz w:val="20"/>
          <w:szCs w:val="20"/>
          <w:color w:val="auto"/>
        </w:rPr>
      </w:pPr>
      <w:r>
        <w:rPr>
          <w:rFonts w:ascii="Arial" w:cs="Arial" w:eastAsia="Arial" w:hAnsi="Arial"/>
          <w:sz w:val="15"/>
          <w:szCs w:val="15"/>
          <w:color w:val="auto"/>
        </w:rPr>
        <w:t>It is the mutual desire and intent of the Parties to provide certainty as to their respective future rights and remedies against each other by defining the extent of their mutual undertakings as provided herein. The Parties have, in this Agreement, incorporated all representations, warranties, covenants, commitments and understandings on which they have relied in entering into this Agreement, and, except as provided for herein, neither Party makes any covenant or other commitment to the other concerning its future action. Accordingly, this Agreement and all exhibits to this Agreement (a) constitutes the entire agreement and understanding between the Parties with respect to the subject matter hereof and there are no promises, representations, conditions, provisions or terms related thereto other than those set forth in this Agreement and (b) supersedes all previous understandings, agreements and representations between the Parties, written or oral, including without limitation the Prior CDA. No modification, change or amendment to this Agreement shall be effective unless in writing signed by each of the Parties hereto. Except as otherwise expressly provided in this Agreement, the provisions of this Agreement shall survive the expiration or termination of this Agreement indefinitely.</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16.7</w:t>
      </w:r>
      <w:r>
        <w:rPr>
          <w:sz w:val="20"/>
          <w:szCs w:val="20"/>
          <w:color w:val="auto"/>
        </w:rPr>
        <w:tab/>
      </w:r>
      <w:r>
        <w:rPr>
          <w:rFonts w:ascii="Arial" w:cs="Arial" w:eastAsia="Arial" w:hAnsi="Arial"/>
          <w:sz w:val="15"/>
          <w:szCs w:val="15"/>
          <w:color w:val="auto"/>
        </w:rPr>
        <w:t>Headings.</w:t>
      </w:r>
    </w:p>
    <w:p>
      <w:pPr>
        <w:spacing w:after="0" w:line="168" w:lineRule="exact"/>
        <w:rPr>
          <w:sz w:val="20"/>
          <w:szCs w:val="20"/>
          <w:color w:val="auto"/>
        </w:rPr>
      </w:pPr>
    </w:p>
    <w:p>
      <w:pPr>
        <w:jc w:val="both"/>
        <w:ind w:left="540" w:right="20"/>
        <w:spacing w:after="0" w:line="263" w:lineRule="auto"/>
        <w:rPr>
          <w:sz w:val="20"/>
          <w:szCs w:val="20"/>
          <w:color w:val="auto"/>
        </w:rPr>
      </w:pPr>
      <w:r>
        <w:rPr>
          <w:rFonts w:ascii="Arial" w:cs="Arial" w:eastAsia="Arial" w:hAnsi="Arial"/>
          <w:sz w:val="15"/>
          <w:szCs w:val="15"/>
          <w:color w:val="auto"/>
        </w:rPr>
        <w:t>The article and section headings contained in this Agreement are for reference purposes only and shall not affect in any way the meaning and interpretation of this Agreement.</w:t>
      </w:r>
    </w:p>
    <w:p>
      <w:pPr>
        <w:spacing w:after="0" w:line="122"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16.8</w:t>
      </w:r>
      <w:r>
        <w:rPr>
          <w:sz w:val="20"/>
          <w:szCs w:val="20"/>
          <w:color w:val="auto"/>
        </w:rPr>
        <w:tab/>
      </w:r>
      <w:r>
        <w:rPr>
          <w:rFonts w:ascii="Arial" w:cs="Arial" w:eastAsia="Arial" w:hAnsi="Arial"/>
          <w:sz w:val="14"/>
          <w:szCs w:val="14"/>
          <w:color w:val="auto"/>
        </w:rPr>
        <w:t>Notices.</w:t>
      </w:r>
    </w:p>
    <w:p>
      <w:pPr>
        <w:spacing w:after="0" w:line="168" w:lineRule="exact"/>
        <w:rPr>
          <w:sz w:val="20"/>
          <w:szCs w:val="20"/>
          <w:color w:val="auto"/>
        </w:rPr>
      </w:pPr>
    </w:p>
    <w:p>
      <w:pPr>
        <w:jc w:val="both"/>
        <w:ind w:left="540"/>
        <w:spacing w:after="0" w:line="233" w:lineRule="auto"/>
        <w:rPr>
          <w:sz w:val="20"/>
          <w:szCs w:val="20"/>
          <w:color w:val="auto"/>
        </w:rPr>
      </w:pPr>
      <w:r>
        <w:rPr>
          <w:rFonts w:ascii="Arial" w:cs="Arial" w:eastAsia="Arial" w:hAnsi="Arial"/>
          <w:sz w:val="15"/>
          <w:szCs w:val="15"/>
          <w:color w:val="auto"/>
        </w:rPr>
        <w:t>All notices and other communications hereunder shall be in writing. All notices hereunder of an Indemnity Claim, a Force Majeure Event, default or breach hereunder, or, if applicable, termination or renewal of the term hereof, or any other notice of any event or development material to this Agreement taken as a whole, shall be delivered personally, or sent by national overnight delivery service or postage pre-paid registered or certified U.S. mail, and shall be deemed given: when delivered, if by personal delivery or overnight delivery service; or if so sent by U.S. mail, three Business Days after deposit in the mail, and shall be addressed: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to Hamilton:</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Hamilton Company</w:t>
      </w:r>
    </w:p>
    <w:p>
      <w:pPr>
        <w:ind w:left="1080"/>
        <w:spacing w:after="0" w:line="227" w:lineRule="auto"/>
        <w:rPr>
          <w:sz w:val="20"/>
          <w:szCs w:val="20"/>
          <w:color w:val="auto"/>
        </w:rPr>
      </w:pPr>
      <w:r>
        <w:rPr>
          <w:rFonts w:ascii="Arial" w:cs="Arial" w:eastAsia="Arial" w:hAnsi="Arial"/>
          <w:sz w:val="15"/>
          <w:szCs w:val="15"/>
          <w:color w:val="auto"/>
        </w:rPr>
        <w:t>4970 Energy Way</w:t>
      </w:r>
    </w:p>
    <w:p>
      <w:pPr>
        <w:ind w:left="1080"/>
        <w:spacing w:after="0" w:line="221" w:lineRule="auto"/>
        <w:rPr>
          <w:sz w:val="20"/>
          <w:szCs w:val="20"/>
          <w:color w:val="auto"/>
        </w:rPr>
      </w:pPr>
      <w:r>
        <w:rPr>
          <w:rFonts w:ascii="Arial" w:cs="Arial" w:eastAsia="Arial" w:hAnsi="Arial"/>
          <w:sz w:val="15"/>
          <w:szCs w:val="15"/>
          <w:color w:val="auto"/>
        </w:rPr>
        <w:t>Reno, Nevada 89502</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Attention: VP OEM Robotics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a copy to:</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Hamilton Company</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4970 Energy Way</w:t>
      </w:r>
    </w:p>
    <w:p>
      <w:pPr>
        <w:ind w:left="1080"/>
        <w:spacing w:after="0" w:line="227" w:lineRule="auto"/>
        <w:rPr>
          <w:sz w:val="20"/>
          <w:szCs w:val="20"/>
          <w:color w:val="auto"/>
        </w:rPr>
      </w:pPr>
      <w:r>
        <w:rPr>
          <w:rFonts w:ascii="Arial" w:cs="Arial" w:eastAsia="Arial" w:hAnsi="Arial"/>
          <w:sz w:val="15"/>
          <w:szCs w:val="15"/>
          <w:color w:val="auto"/>
        </w:rPr>
        <w:t>Reno, Nevada 89502</w:t>
      </w:r>
    </w:p>
    <w:p>
      <w:pPr>
        <w:ind w:left="1080"/>
        <w:spacing w:after="0"/>
        <w:rPr>
          <w:sz w:val="20"/>
          <w:szCs w:val="20"/>
          <w:color w:val="auto"/>
        </w:rPr>
      </w:pPr>
      <w:r>
        <w:rPr>
          <w:rFonts w:ascii="Arial" w:cs="Arial" w:eastAsia="Arial" w:hAnsi="Arial"/>
          <w:sz w:val="15"/>
          <w:szCs w:val="15"/>
          <w:color w:val="auto"/>
        </w:rPr>
        <w:t>Attention: Contract Administrator</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to Buyer:</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Seer, Inc</w:t>
      </w:r>
    </w:p>
    <w:p>
      <w:pPr>
        <w:ind w:left="1080"/>
        <w:spacing w:after="0" w:line="227" w:lineRule="auto"/>
        <w:rPr>
          <w:sz w:val="20"/>
          <w:szCs w:val="20"/>
          <w:color w:val="auto"/>
        </w:rPr>
      </w:pPr>
      <w:r>
        <w:rPr>
          <w:rFonts w:ascii="Arial" w:cs="Arial" w:eastAsia="Arial" w:hAnsi="Arial"/>
          <w:sz w:val="15"/>
          <w:szCs w:val="15"/>
          <w:color w:val="auto"/>
        </w:rPr>
        <w:t>3800 Bridge Parkway, Suite 102</w:t>
      </w:r>
    </w:p>
    <w:p>
      <w:pPr>
        <w:ind w:left="1080"/>
        <w:spacing w:after="0" w:line="221" w:lineRule="auto"/>
        <w:rPr>
          <w:sz w:val="20"/>
          <w:szCs w:val="20"/>
          <w:color w:val="auto"/>
        </w:rPr>
      </w:pPr>
      <w:r>
        <w:rPr>
          <w:rFonts w:ascii="Arial" w:cs="Arial" w:eastAsia="Arial" w:hAnsi="Arial"/>
          <w:sz w:val="15"/>
          <w:szCs w:val="15"/>
          <w:color w:val="auto"/>
        </w:rPr>
        <w:t>Redwood City, California 94065</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Attention: CEO</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Or to such other place as either Party may designate by written notice to the other in accordance with the terms hereof.</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16.9</w:t>
      </w:r>
      <w:r>
        <w:rPr>
          <w:sz w:val="20"/>
          <w:szCs w:val="20"/>
          <w:color w:val="auto"/>
        </w:rPr>
        <w:tab/>
      </w:r>
      <w:r>
        <w:rPr>
          <w:rFonts w:ascii="Arial" w:cs="Arial" w:eastAsia="Arial" w:hAnsi="Arial"/>
          <w:sz w:val="15"/>
          <w:szCs w:val="15"/>
          <w:color w:val="auto"/>
        </w:rPr>
        <w:t>Failure to Exercise.</w:t>
      </w:r>
    </w:p>
    <w:p>
      <w:pPr>
        <w:spacing w:after="0" w:line="168"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The failure of either Party to enforce at any time for any period any provision hereof shall not be construed to be a waiver of such provision or of the right of such Party thereafter to enforce each such provision, nor shall any single or partial exercise of any right or remedy hereunder preclude any other or further exercise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22</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59" w:right="319" w:bottom="1440" w:gutter="0" w:footer="0" w:header="0"/>
        </w:sectPr>
      </w:pPr>
    </w:p>
    <w:bookmarkStart w:id="508" w:name="page509"/>
    <w:bookmarkEnd w:id="508"/>
    <w:p>
      <w:pPr>
        <w:ind w:left="540"/>
        <w:spacing w:after="0"/>
        <w:rPr>
          <w:sz w:val="20"/>
          <w:szCs w:val="20"/>
          <w:color w:val="auto"/>
        </w:rPr>
      </w:pPr>
      <w:r>
        <w:rPr>
          <w:rFonts w:ascii="Arial" w:cs="Arial" w:eastAsia="Arial" w:hAnsi="Arial"/>
          <w:sz w:val="15"/>
          <w:szCs w:val="15"/>
          <w:color w:val="auto"/>
        </w:rPr>
        <w:t>thereof or the exercise of any other right or remedy. Remedies provided herein are cumulative and not exclusive of any remedies provided at law.</w:t>
      </w:r>
    </w:p>
    <w:p>
      <w:pPr>
        <w:spacing w:after="0" w:line="168"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16.10</w:t>
        <w:tab/>
        <w:t>Assignment.</w:t>
      </w:r>
    </w:p>
    <w:p>
      <w:pPr>
        <w:spacing w:after="0" w:line="168" w:lineRule="exact"/>
        <w:rPr>
          <w:sz w:val="20"/>
          <w:szCs w:val="20"/>
          <w:color w:val="auto"/>
        </w:rPr>
      </w:pPr>
    </w:p>
    <w:p>
      <w:pPr>
        <w:jc w:val="both"/>
        <w:ind w:left="540"/>
        <w:spacing w:after="0" w:line="233" w:lineRule="auto"/>
        <w:rPr>
          <w:sz w:val="20"/>
          <w:szCs w:val="20"/>
          <w:color w:val="auto"/>
        </w:rPr>
      </w:pPr>
      <w:r>
        <w:rPr>
          <w:rFonts w:ascii="Arial" w:cs="Arial" w:eastAsia="Arial" w:hAnsi="Arial"/>
          <w:sz w:val="15"/>
          <w:szCs w:val="15"/>
          <w:color w:val="auto"/>
        </w:rPr>
        <w:t>This Agreement may not be assigned or otherwise transferred by a Party without the prior written consent of the other Party, which consent shall not be unreasonably withheld, conditioned or delayed; provided, however, that each Party may assign this Agreement to an Affiliate of such Party or to a third party in connection with the sale of all or substantially all of its business or assets to which this Agreement relates, whether by merger, reorganization, operation of law or otherwise. Any attempted assignment in contravention of this section 16.10 shall be null and void. Subject to the foregoing sentence, this Agreement shall bind and inure to the benefit of the Parties hereto and their respective successors and assigns.</w:t>
      </w:r>
    </w:p>
    <w:p>
      <w:pPr>
        <w:spacing w:after="0" w:line="139"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16.11</w:t>
        <w:tab/>
        <w:t>Severability.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any provision of this Agreement is, becomes or is deemed invalid, illegal or unenforceable in any jurisdiction in which the Agreement is sought to be enforced,</w:t>
      </w:r>
    </w:p>
    <w:p>
      <w:pPr>
        <w:spacing w:after="0" w:line="5" w:lineRule="exact"/>
        <w:rPr>
          <w:sz w:val="20"/>
          <w:szCs w:val="20"/>
          <w:color w:val="auto"/>
        </w:rPr>
      </w:pPr>
    </w:p>
    <w:p>
      <w:pPr>
        <w:jc w:val="both"/>
        <w:ind w:left="540" w:hanging="4"/>
        <w:spacing w:after="0" w:line="233" w:lineRule="auto"/>
        <w:tabs>
          <w:tab w:leader="none" w:pos="782" w:val="left"/>
        </w:tabs>
        <w:numPr>
          <w:ilvl w:val="0"/>
          <w:numId w:val="401"/>
        </w:numPr>
        <w:rPr>
          <w:rFonts w:ascii="Arial" w:cs="Arial" w:eastAsia="Arial" w:hAnsi="Arial"/>
          <w:sz w:val="15"/>
          <w:szCs w:val="15"/>
          <w:color w:val="auto"/>
        </w:rPr>
      </w:pPr>
      <w:r>
        <w:rPr>
          <w:rFonts w:ascii="Arial" w:cs="Arial" w:eastAsia="Arial" w:hAnsi="Arial"/>
          <w:sz w:val="15"/>
          <w:szCs w:val="15"/>
          <w:color w:val="auto"/>
        </w:rPr>
        <w:t>such provision shall be deemed and amended to conform to Applicable Laws of such jurisdiction so as to be valid and enforceable or, if it cannot be so amended without materially altering the intention of the Parties, it shall be stricken; (b) the validity, legality and enforceability of such provision will not in any way be affected or impaired thereby in any other jurisdiction; and (c) the remainder of this Agreement shall remain in full force and effect.</w:t>
      </w:r>
    </w:p>
    <w:p>
      <w:pPr>
        <w:spacing w:after="0" w:line="138"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16.12</w:t>
        <w:tab/>
        <w:t>Expenses.</w:t>
      </w:r>
    </w:p>
    <w:p>
      <w:pPr>
        <w:spacing w:after="0" w:line="168" w:lineRule="exact"/>
        <w:rPr>
          <w:sz w:val="20"/>
          <w:szCs w:val="20"/>
          <w:color w:val="auto"/>
        </w:rPr>
      </w:pPr>
    </w:p>
    <w:p>
      <w:pPr>
        <w:jc w:val="both"/>
        <w:ind w:left="540"/>
        <w:spacing w:after="0" w:line="263" w:lineRule="auto"/>
        <w:rPr>
          <w:sz w:val="20"/>
          <w:szCs w:val="20"/>
          <w:color w:val="auto"/>
        </w:rPr>
      </w:pPr>
      <w:r>
        <w:rPr>
          <w:rFonts w:ascii="Arial" w:cs="Arial" w:eastAsia="Arial" w:hAnsi="Arial"/>
          <w:sz w:val="15"/>
          <w:szCs w:val="15"/>
          <w:color w:val="auto"/>
        </w:rPr>
        <w:t>Each Party shall pay all of its own fees and expenses (including all legal, accounting and other advisory fees) incurred in connection with the negotiation and execution of this Agreement and their respective obligations hereunder.</w:t>
      </w:r>
    </w:p>
    <w:p>
      <w:pPr>
        <w:spacing w:after="0" w:line="122"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16.13</w:t>
        <w:tab/>
        <w:t>Maintaining Records.</w:t>
      </w:r>
    </w:p>
    <w:p>
      <w:pPr>
        <w:spacing w:after="0" w:line="168" w:lineRule="exact"/>
        <w:rPr>
          <w:sz w:val="20"/>
          <w:szCs w:val="20"/>
          <w:color w:val="auto"/>
        </w:rPr>
      </w:pPr>
    </w:p>
    <w:p>
      <w:pPr>
        <w:jc w:val="both"/>
        <w:ind w:left="540"/>
        <w:spacing w:after="0" w:line="242" w:lineRule="auto"/>
        <w:rPr>
          <w:sz w:val="20"/>
          <w:szCs w:val="20"/>
          <w:color w:val="auto"/>
        </w:rPr>
      </w:pPr>
      <w:r>
        <w:rPr>
          <w:rFonts w:ascii="Arial" w:cs="Arial" w:eastAsia="Arial" w:hAnsi="Arial"/>
          <w:sz w:val="15"/>
          <w:szCs w:val="15"/>
          <w:color w:val="auto"/>
        </w:rPr>
        <w:t>Hamilton agrees to maintain records for seven years (or such longer period required under Applicable Laws) for Products provided to Buyer and to provide such records to Buyer, as soon as practical, upon Buyer’s request. If originals are provided to Buyer, copies of records must be maintained in accordance with Hamilton’s record retention requirements.</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16.14</w:t>
        <w:tab/>
        <w:t>Project Work Scope Schedule.</w:t>
      </w:r>
    </w:p>
    <w:p>
      <w:pPr>
        <w:spacing w:after="0" w:line="168" w:lineRule="exact"/>
        <w:rPr>
          <w:sz w:val="20"/>
          <w:szCs w:val="20"/>
          <w:color w:val="auto"/>
        </w:rPr>
      </w:pPr>
    </w:p>
    <w:p>
      <w:pPr>
        <w:jc w:val="both"/>
        <w:ind w:left="540"/>
        <w:spacing w:after="0" w:line="242" w:lineRule="auto"/>
        <w:rPr>
          <w:sz w:val="20"/>
          <w:szCs w:val="20"/>
          <w:color w:val="auto"/>
        </w:rPr>
      </w:pPr>
      <w:r>
        <w:rPr>
          <w:rFonts w:ascii="Arial" w:cs="Arial" w:eastAsia="Arial" w:hAnsi="Arial"/>
          <w:sz w:val="15"/>
          <w:szCs w:val="15"/>
          <w:color w:val="auto"/>
        </w:rPr>
        <w:t>The Parties hereby agree to be bound by and fully perform the terms, conditions, representations, warranties and obligations contained in each Project Work Scope Schedule attached hereto and made part hereof, as if the same were fully set forth in this Agreement. Any change to a specific Project Work Scope Schedule shall be agreed upon in writing between the Parties and shall be included as an addendum to this Agreement.</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16.15</w:t>
        <w:tab/>
        <w:t>Interpretation.</w:t>
      </w:r>
    </w:p>
    <w:p>
      <w:pPr>
        <w:spacing w:after="0" w:line="168" w:lineRule="exact"/>
        <w:rPr>
          <w:sz w:val="20"/>
          <w:szCs w:val="20"/>
          <w:color w:val="auto"/>
        </w:rPr>
      </w:pPr>
    </w:p>
    <w:p>
      <w:pPr>
        <w:jc w:val="both"/>
        <w:ind w:left="540"/>
        <w:spacing w:after="0" w:line="228" w:lineRule="auto"/>
        <w:rPr>
          <w:sz w:val="20"/>
          <w:szCs w:val="20"/>
          <w:color w:val="auto"/>
        </w:rPr>
      </w:pPr>
      <w:r>
        <w:rPr>
          <w:rFonts w:ascii="Arial" w:cs="Arial" w:eastAsia="Arial" w:hAnsi="Arial"/>
          <w:sz w:val="15"/>
          <w:szCs w:val="15"/>
          <w:color w:val="auto"/>
        </w:rPr>
        <w:t>To the extent the terms and conditions of the body of this Agreement conflict with the terms and conditions of any Purchase Order or other agreement between the Parties, the terms and conditions of the body of this Agreement will govern. Except for ordering information set forth in a Purchase Order, no additional terms contained in any Purchase Order, or other ordering document, will bind either Party or be construed to modify or amend the terms of this Agreement. No agreement or understanding varying or extending this Agreement will be binding upon either Party, unless set forth in a writing which specifically refers to the Agreement that is signed by duly authorized officers or representatives of the respective Parties, and the provisions of the Agreement not specifically amended thereby will remain in full force and effect. Unless the context clearly requires otherwise, whenever used in this Agreement: (i) the words “include” or “including” shall be construed as incorporating, also, “but not limited to” or “without limitation”; (ii) the word “or” shall have its inclusive meaning of “and/or”; (iii) the word “notice” shall require notice in writing (whether or not specifically stated) and shall include notices, consents, approvals and other written communications contemplated under this Agreement; (iv) the words “hereof,” “herein,” “hereunder,” “hereby” and derivative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23</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59" w:right="319" w:bottom="1440" w:gutter="0" w:footer="0" w:header="0"/>
        </w:sectPr>
      </w:pPr>
    </w:p>
    <w:bookmarkStart w:id="509" w:name="page510"/>
    <w:bookmarkEnd w:id="509"/>
    <w:p>
      <w:pPr>
        <w:jc w:val="both"/>
        <w:ind w:left="540"/>
        <w:spacing w:after="0" w:line="267" w:lineRule="auto"/>
        <w:rPr>
          <w:sz w:val="20"/>
          <w:szCs w:val="20"/>
          <w:color w:val="auto"/>
        </w:rPr>
      </w:pPr>
      <w:r>
        <w:rPr>
          <w:rFonts w:ascii="Arial" w:cs="Arial" w:eastAsia="Arial" w:hAnsi="Arial"/>
          <w:sz w:val="15"/>
          <w:szCs w:val="15"/>
          <w:color w:val="auto"/>
        </w:rPr>
        <w:t>or similar words refer to this Agreement (including any Exhibits); (v) provisions that require that a Party or the Parties “agree,” “consent” or “approve” or the like shall require that such agreement, consent or approval be specific and in writing; (vi) words of any gender include the other gender; (vii) words using the singular or plural number also include the plural or singular number, respectively; and (viii) references to any specific law, or article, section or other division thereof, shall be deemed to include the then-current amendments thereto or any replacement thereof.</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16.16</w:t>
        <w:tab/>
        <w:t>Counterparts.</w:t>
      </w:r>
    </w:p>
    <w:p>
      <w:pPr>
        <w:spacing w:after="0" w:line="191" w:lineRule="exact"/>
        <w:rPr>
          <w:sz w:val="20"/>
          <w:szCs w:val="20"/>
          <w:color w:val="auto"/>
        </w:rPr>
      </w:pPr>
    </w:p>
    <w:p>
      <w:pPr>
        <w:jc w:val="both"/>
        <w:ind w:left="540"/>
        <w:spacing w:after="0" w:line="274" w:lineRule="auto"/>
        <w:rPr>
          <w:sz w:val="20"/>
          <w:szCs w:val="20"/>
          <w:color w:val="auto"/>
        </w:rPr>
      </w:pPr>
      <w:r>
        <w:rPr>
          <w:rFonts w:ascii="Arial" w:cs="Arial" w:eastAsia="Arial" w:hAnsi="Arial"/>
          <w:sz w:val="15"/>
          <w:szCs w:val="15"/>
          <w:color w:val="auto"/>
        </w:rPr>
        <w:t>This Agreement may be executed in two or more counterparts, each of which shall be deemed an original, but all of which together shall constitute one and the same instrument. Manual signatures transmitted in any electronic method including PDF scans or facsimile shall have the same force and effect and be as binding as original signatures.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24</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260"/>
          </w:cols>
          <w:pgMar w:left="320" w:top="870" w:right="319" w:bottom="1440" w:gutter="0" w:footer="0" w:header="0"/>
        </w:sectPr>
      </w:pPr>
    </w:p>
    <w:bookmarkStart w:id="510" w:name="page511"/>
    <w:bookmarkEnd w:id="510"/>
    <w:p>
      <w:pPr>
        <w:spacing w:after="0"/>
        <w:rPr>
          <w:sz w:val="20"/>
          <w:szCs w:val="20"/>
          <w:color w:val="auto"/>
        </w:rPr>
      </w:pPr>
      <w:r>
        <w:rPr>
          <w:rFonts w:ascii="Arial" w:cs="Arial" w:eastAsia="Arial" w:hAnsi="Arial"/>
          <w:sz w:val="15"/>
          <w:szCs w:val="15"/>
          <w:color w:val="auto"/>
        </w:rPr>
        <w:t>IN WITNESS WHEREOF, the Parties hereto have caused this Agreement to be executed by their duly authorized respective representatives as of the Effective Date.</w:t>
      </w:r>
    </w:p>
    <w:p>
      <w:pPr>
        <w:sectPr>
          <w:pgSz w:w="11900" w:h="16838" w:orient="portrait"/>
          <w:cols w:equalWidth="0" w:num="1">
            <w:col w:w="11000"/>
          </w:cols>
          <w:pgMar w:left="320" w:top="870" w:right="579" w:bottom="1440" w:gutter="0" w:footer="0" w:header="0"/>
        </w:sectPr>
      </w:pPr>
    </w:p>
    <w:p>
      <w:pPr>
        <w:spacing w:after="0" w:line="23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SEER, INC:</w:t>
      </w:r>
    </w:p>
    <w:p>
      <w:pPr>
        <w:spacing w:after="0" w:line="284"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720" w:type="dxa"/>
            <w:vAlign w:val="bottom"/>
          </w:tcPr>
          <w:p>
            <w:pPr>
              <w:spacing w:after="0"/>
              <w:rPr>
                <w:sz w:val="20"/>
                <w:szCs w:val="20"/>
                <w:color w:val="auto"/>
              </w:rPr>
            </w:pPr>
            <w:r>
              <w:rPr>
                <w:rFonts w:ascii="Arial" w:cs="Arial" w:eastAsia="Arial" w:hAnsi="Arial"/>
                <w:sz w:val="15"/>
                <w:szCs w:val="15"/>
                <w:color w:val="auto"/>
              </w:rPr>
              <w:t>Date:</w:t>
            </w:r>
          </w:p>
        </w:tc>
        <w:tc>
          <w:tcPr>
            <w:tcW w:w="2440" w:type="dxa"/>
            <w:vAlign w:val="bottom"/>
          </w:tcPr>
          <w:p>
            <w:pPr>
              <w:spacing w:after="0"/>
              <w:rPr>
                <w:sz w:val="20"/>
                <w:szCs w:val="20"/>
                <w:color w:val="auto"/>
              </w:rPr>
            </w:pPr>
            <w:r>
              <w:rPr>
                <w:rFonts w:ascii="Arial" w:cs="Arial" w:eastAsia="Arial" w:hAnsi="Arial"/>
                <w:sz w:val="15"/>
                <w:szCs w:val="15"/>
                <w:color w:val="auto"/>
              </w:rPr>
              <w:t>3/16/20</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414"/>
        </w:trPr>
        <w:tc>
          <w:tcPr>
            <w:tcW w:w="720" w:type="dxa"/>
            <w:vAlign w:val="bottom"/>
          </w:tcPr>
          <w:p>
            <w:pPr>
              <w:spacing w:after="0"/>
              <w:rPr>
                <w:sz w:val="20"/>
                <w:szCs w:val="20"/>
                <w:color w:val="auto"/>
              </w:rPr>
            </w:pPr>
            <w:r>
              <w:rPr>
                <w:rFonts w:ascii="Arial" w:cs="Arial" w:eastAsia="Arial" w:hAnsi="Arial"/>
                <w:sz w:val="15"/>
                <w:szCs w:val="15"/>
                <w:color w:val="auto"/>
              </w:rPr>
              <w:t>By:</w:t>
            </w:r>
          </w:p>
        </w:tc>
        <w:tc>
          <w:tcPr>
            <w:tcW w:w="2440" w:type="dxa"/>
            <w:vAlign w:val="bottom"/>
          </w:tcPr>
          <w:p>
            <w:pPr>
              <w:spacing w:after="0"/>
              <w:rPr>
                <w:sz w:val="20"/>
                <w:szCs w:val="20"/>
                <w:color w:val="auto"/>
              </w:rPr>
            </w:pPr>
            <w:r>
              <w:rPr>
                <w:rFonts w:ascii="Arial" w:cs="Arial" w:eastAsia="Arial" w:hAnsi="Arial"/>
                <w:sz w:val="15"/>
                <w:szCs w:val="15"/>
                <w:color w:val="auto"/>
              </w:rPr>
              <w:t>/s/ Omid Farokhzad</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Signature</w:t>
            </w:r>
          </w:p>
        </w:tc>
      </w:tr>
      <w:tr>
        <w:trPr>
          <w:trHeight w:val="454"/>
        </w:trPr>
        <w:tc>
          <w:tcPr>
            <w:tcW w:w="720" w:type="dxa"/>
            <w:vAlign w:val="bottom"/>
          </w:tcPr>
          <w:p>
            <w:pPr>
              <w:spacing w:after="0"/>
              <w:rPr>
                <w:sz w:val="20"/>
                <w:szCs w:val="20"/>
                <w:color w:val="auto"/>
              </w:rPr>
            </w:pPr>
            <w:r>
              <w:rPr>
                <w:rFonts w:ascii="Arial" w:cs="Arial" w:eastAsia="Arial" w:hAnsi="Arial"/>
                <w:sz w:val="15"/>
                <w:szCs w:val="15"/>
                <w:color w:val="auto"/>
              </w:rPr>
              <w:t>Name:</w:t>
            </w:r>
          </w:p>
        </w:tc>
        <w:tc>
          <w:tcPr>
            <w:tcW w:w="2440" w:type="dxa"/>
            <w:vAlign w:val="bottom"/>
          </w:tcPr>
          <w:p>
            <w:pPr>
              <w:spacing w:after="0"/>
              <w:rPr>
                <w:sz w:val="20"/>
                <w:szCs w:val="20"/>
                <w:color w:val="auto"/>
              </w:rPr>
            </w:pPr>
            <w:r>
              <w:rPr>
                <w:rFonts w:ascii="Arial" w:cs="Arial" w:eastAsia="Arial" w:hAnsi="Arial"/>
                <w:sz w:val="15"/>
                <w:szCs w:val="15"/>
                <w:color w:val="auto"/>
              </w:rPr>
              <w:t>Omid Farokhzad</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Print</w:t>
            </w:r>
          </w:p>
        </w:tc>
      </w:tr>
      <w:tr>
        <w:trPr>
          <w:trHeight w:val="454"/>
        </w:trPr>
        <w:tc>
          <w:tcPr>
            <w:tcW w:w="720" w:type="dxa"/>
            <w:vAlign w:val="bottom"/>
          </w:tcPr>
          <w:p>
            <w:pPr>
              <w:spacing w:after="0"/>
              <w:rPr>
                <w:sz w:val="20"/>
                <w:szCs w:val="20"/>
                <w:color w:val="auto"/>
              </w:rPr>
            </w:pPr>
            <w:r>
              <w:rPr>
                <w:rFonts w:ascii="Arial" w:cs="Arial" w:eastAsia="Arial" w:hAnsi="Arial"/>
                <w:sz w:val="15"/>
                <w:szCs w:val="15"/>
                <w:color w:val="auto"/>
              </w:rPr>
              <w:t>Title:</w:t>
            </w:r>
          </w:p>
        </w:tc>
        <w:tc>
          <w:tcPr>
            <w:tcW w:w="2440" w:type="dxa"/>
            <w:vAlign w:val="bottom"/>
          </w:tcPr>
          <w:p>
            <w:pPr>
              <w:spacing w:after="0"/>
              <w:rPr>
                <w:sz w:val="20"/>
                <w:szCs w:val="20"/>
                <w:color w:val="auto"/>
              </w:rPr>
            </w:pPr>
            <w:r>
              <w:rPr>
                <w:rFonts w:ascii="Arial" w:cs="Arial" w:eastAsia="Arial" w:hAnsi="Arial"/>
                <w:sz w:val="15"/>
                <w:szCs w:val="15"/>
                <w:color w:val="auto"/>
              </w:rPr>
              <w:t>CEO</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Print</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HAMILTON COMPANY:</w:t>
      </w:r>
    </w:p>
    <w:p>
      <w:pPr>
        <w:spacing w:after="0" w:line="284"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720" w:type="dxa"/>
            <w:vAlign w:val="bottom"/>
          </w:tcPr>
          <w:p>
            <w:pPr>
              <w:spacing w:after="0"/>
              <w:rPr>
                <w:sz w:val="20"/>
                <w:szCs w:val="20"/>
                <w:color w:val="auto"/>
              </w:rPr>
            </w:pPr>
            <w:r>
              <w:rPr>
                <w:rFonts w:ascii="Arial" w:cs="Arial" w:eastAsia="Arial" w:hAnsi="Arial"/>
                <w:sz w:val="15"/>
                <w:szCs w:val="15"/>
                <w:color w:val="auto"/>
              </w:rPr>
              <w:t>Date:</w:t>
            </w:r>
          </w:p>
        </w:tc>
        <w:tc>
          <w:tcPr>
            <w:tcW w:w="2440" w:type="dxa"/>
            <w:vAlign w:val="bottom"/>
          </w:tcPr>
          <w:p>
            <w:pPr>
              <w:spacing w:after="0"/>
              <w:rPr>
                <w:sz w:val="20"/>
                <w:szCs w:val="20"/>
                <w:color w:val="auto"/>
              </w:rPr>
            </w:pPr>
            <w:r>
              <w:rPr>
                <w:rFonts w:ascii="Arial" w:cs="Arial" w:eastAsia="Arial" w:hAnsi="Arial"/>
                <w:sz w:val="15"/>
                <w:szCs w:val="15"/>
                <w:color w:val="auto"/>
              </w:rPr>
              <w:t>3/16/20</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414"/>
        </w:trPr>
        <w:tc>
          <w:tcPr>
            <w:tcW w:w="720" w:type="dxa"/>
            <w:vAlign w:val="bottom"/>
          </w:tcPr>
          <w:p>
            <w:pPr>
              <w:spacing w:after="0"/>
              <w:rPr>
                <w:sz w:val="20"/>
                <w:szCs w:val="20"/>
                <w:color w:val="auto"/>
              </w:rPr>
            </w:pPr>
            <w:r>
              <w:rPr>
                <w:rFonts w:ascii="Arial" w:cs="Arial" w:eastAsia="Arial" w:hAnsi="Arial"/>
                <w:sz w:val="15"/>
                <w:szCs w:val="15"/>
                <w:color w:val="auto"/>
              </w:rPr>
              <w:t>By:</w:t>
            </w:r>
          </w:p>
        </w:tc>
        <w:tc>
          <w:tcPr>
            <w:tcW w:w="2440" w:type="dxa"/>
            <w:vAlign w:val="bottom"/>
          </w:tcPr>
          <w:p>
            <w:pPr>
              <w:spacing w:after="0"/>
              <w:rPr>
                <w:sz w:val="20"/>
                <w:szCs w:val="20"/>
                <w:color w:val="auto"/>
              </w:rPr>
            </w:pPr>
            <w:r>
              <w:rPr>
                <w:rFonts w:ascii="Arial" w:cs="Arial" w:eastAsia="Arial" w:hAnsi="Arial"/>
                <w:sz w:val="15"/>
                <w:szCs w:val="15"/>
                <w:color w:val="auto"/>
              </w:rPr>
              <w:t>/s/ Steve T. Hamilton</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Signature</w:t>
            </w:r>
          </w:p>
        </w:tc>
      </w:tr>
      <w:tr>
        <w:trPr>
          <w:trHeight w:val="454"/>
        </w:trPr>
        <w:tc>
          <w:tcPr>
            <w:tcW w:w="720" w:type="dxa"/>
            <w:vAlign w:val="bottom"/>
          </w:tcPr>
          <w:p>
            <w:pPr>
              <w:spacing w:after="0"/>
              <w:rPr>
                <w:sz w:val="20"/>
                <w:szCs w:val="20"/>
                <w:color w:val="auto"/>
              </w:rPr>
            </w:pPr>
            <w:r>
              <w:rPr>
                <w:rFonts w:ascii="Arial" w:cs="Arial" w:eastAsia="Arial" w:hAnsi="Arial"/>
                <w:sz w:val="15"/>
                <w:szCs w:val="15"/>
                <w:color w:val="auto"/>
              </w:rPr>
              <w:t>Name:</w:t>
            </w:r>
          </w:p>
        </w:tc>
        <w:tc>
          <w:tcPr>
            <w:tcW w:w="2440" w:type="dxa"/>
            <w:vAlign w:val="bottom"/>
          </w:tcPr>
          <w:p>
            <w:pPr>
              <w:spacing w:after="0"/>
              <w:rPr>
                <w:sz w:val="20"/>
                <w:szCs w:val="20"/>
                <w:color w:val="auto"/>
              </w:rPr>
            </w:pPr>
            <w:r>
              <w:rPr>
                <w:rFonts w:ascii="Arial" w:cs="Arial" w:eastAsia="Arial" w:hAnsi="Arial"/>
                <w:sz w:val="15"/>
                <w:szCs w:val="15"/>
                <w:color w:val="auto"/>
              </w:rPr>
              <w:t>Steve T. Hamilton</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Print</w:t>
            </w:r>
          </w:p>
        </w:tc>
      </w:tr>
      <w:tr>
        <w:trPr>
          <w:trHeight w:val="454"/>
        </w:trPr>
        <w:tc>
          <w:tcPr>
            <w:tcW w:w="720" w:type="dxa"/>
            <w:vAlign w:val="bottom"/>
          </w:tcPr>
          <w:p>
            <w:pPr>
              <w:spacing w:after="0"/>
              <w:rPr>
                <w:sz w:val="20"/>
                <w:szCs w:val="20"/>
                <w:color w:val="auto"/>
              </w:rPr>
            </w:pPr>
            <w:r>
              <w:rPr>
                <w:rFonts w:ascii="Arial" w:cs="Arial" w:eastAsia="Arial" w:hAnsi="Arial"/>
                <w:sz w:val="15"/>
                <w:szCs w:val="15"/>
                <w:color w:val="auto"/>
              </w:rPr>
              <w:t>Title:</w:t>
            </w:r>
          </w:p>
        </w:tc>
        <w:tc>
          <w:tcPr>
            <w:tcW w:w="2440" w:type="dxa"/>
            <w:vAlign w:val="bottom"/>
          </w:tcPr>
          <w:p>
            <w:pPr>
              <w:spacing w:after="0"/>
              <w:rPr>
                <w:sz w:val="20"/>
                <w:szCs w:val="20"/>
                <w:color w:val="auto"/>
              </w:rPr>
            </w:pPr>
            <w:r>
              <w:rPr>
                <w:rFonts w:ascii="Arial" w:cs="Arial" w:eastAsia="Arial" w:hAnsi="Arial"/>
                <w:sz w:val="15"/>
                <w:szCs w:val="15"/>
                <w:color w:val="auto"/>
              </w:rPr>
              <w:t>CEO</w:t>
            </w:r>
          </w:p>
        </w:tc>
      </w:tr>
      <w:tr>
        <w:trPr>
          <w:trHeight w:val="20"/>
        </w:trPr>
        <w:tc>
          <w:tcPr>
            <w:tcW w:w="7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98"/>
        </w:trPr>
        <w:tc>
          <w:tcPr>
            <w:tcW w:w="7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5"/>
                <w:szCs w:val="15"/>
                <w:color w:val="auto"/>
              </w:rPr>
              <w:t>Print</w:t>
            </w:r>
          </w:p>
        </w:tc>
      </w:tr>
    </w:tbl>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25</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1000"/>
          </w:cols>
          <w:pgMar w:left="320" w:top="870" w:right="579" w:bottom="1440" w:gutter="0" w:footer="0" w:header="0"/>
          <w:type w:val="continuous"/>
        </w:sectPr>
      </w:pPr>
    </w:p>
    <w:bookmarkStart w:id="511" w:name="page512"/>
    <w:bookmarkEnd w:id="511"/>
    <w:p>
      <w:pPr>
        <w:jc w:val="center"/>
        <w:spacing w:after="0"/>
        <w:rPr>
          <w:sz w:val="20"/>
          <w:szCs w:val="20"/>
          <w:color w:val="auto"/>
        </w:rPr>
      </w:pPr>
      <w:r>
        <w:rPr>
          <w:rFonts w:ascii="Arial" w:cs="Arial" w:eastAsia="Arial" w:hAnsi="Arial"/>
          <w:sz w:val="15"/>
          <w:szCs w:val="15"/>
          <w:b w:val="1"/>
          <w:bCs w:val="1"/>
          <w:color w:val="auto"/>
        </w:rPr>
        <w:t>Exhibit 1 – Instrument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represents five pages of instrument specifications]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26</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9019"/>
          </w:cols>
          <w:pgMar w:left="1440" w:top="868" w:right="1440" w:bottom="1440" w:gutter="0" w:footer="0" w:header="0"/>
        </w:sectPr>
      </w:pPr>
    </w:p>
    <w:bookmarkStart w:id="512" w:name="page513"/>
    <w:bookmarkEnd w:id="512"/>
    <w:p>
      <w:pPr>
        <w:jc w:val="center"/>
        <w:spacing w:after="0"/>
        <w:rPr>
          <w:sz w:val="20"/>
          <w:szCs w:val="20"/>
          <w:color w:val="auto"/>
        </w:rPr>
      </w:pPr>
      <w:r>
        <w:rPr>
          <w:rFonts w:ascii="Arial" w:cs="Arial" w:eastAsia="Arial" w:hAnsi="Arial"/>
          <w:sz w:val="15"/>
          <w:szCs w:val="15"/>
          <w:b w:val="1"/>
          <w:bCs w:val="1"/>
          <w:color w:val="auto"/>
        </w:rPr>
        <w:t>Exhibit 2 – Price Schedule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represents nine pages of pricing schedules]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27</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9019"/>
          </w:cols>
          <w:pgMar w:left="1440" w:top="868" w:right="1440" w:bottom="1440" w:gutter="0" w:footer="0" w:header="0"/>
        </w:sectPr>
      </w:pPr>
    </w:p>
    <w:bookmarkStart w:id="513" w:name="page514"/>
    <w:bookmarkEnd w:id="513"/>
    <w:p>
      <w:pPr>
        <w:jc w:val="center"/>
        <w:spacing w:after="0"/>
        <w:rPr>
          <w:sz w:val="20"/>
          <w:szCs w:val="20"/>
          <w:color w:val="auto"/>
        </w:rPr>
      </w:pPr>
      <w:r>
        <w:rPr>
          <w:rFonts w:ascii="Arial" w:cs="Arial" w:eastAsia="Arial" w:hAnsi="Arial"/>
          <w:sz w:val="15"/>
          <w:szCs w:val="15"/>
          <w:b w:val="1"/>
          <w:bCs w:val="1"/>
          <w:color w:val="auto"/>
        </w:rPr>
        <w:t>Exhibit 3 – Service Terms and Conditions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represents three pages of terms of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28</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9019"/>
          </w:cols>
          <w:pgMar w:left="1440" w:top="868" w:right="1440" w:bottom="1440" w:gutter="0" w:footer="0" w:header="0"/>
        </w:sectPr>
      </w:pPr>
    </w:p>
    <w:bookmarkStart w:id="514" w:name="page515"/>
    <w:bookmarkEnd w:id="514"/>
    <w:p>
      <w:pPr>
        <w:jc w:val="center"/>
        <w:spacing w:after="0"/>
        <w:rPr>
          <w:sz w:val="20"/>
          <w:szCs w:val="20"/>
          <w:color w:val="auto"/>
        </w:rPr>
      </w:pPr>
      <w:r>
        <w:rPr>
          <w:rFonts w:ascii="Arial" w:cs="Arial" w:eastAsia="Arial" w:hAnsi="Arial"/>
          <w:sz w:val="15"/>
          <w:szCs w:val="15"/>
          <w:b w:val="1"/>
          <w:bCs w:val="1"/>
          <w:color w:val="auto"/>
        </w:rPr>
        <w:t>Exhibit 4 – Change Notification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represents two pages of the change notification policy]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29</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9019"/>
          </w:cols>
          <w:pgMar w:left="1440" w:top="868" w:right="1440" w:bottom="1440" w:gutter="0" w:footer="0" w:header="0"/>
        </w:sectPr>
      </w:pPr>
    </w:p>
    <w:bookmarkStart w:id="515" w:name="page516"/>
    <w:bookmarkEnd w:id="515"/>
    <w:p>
      <w:pPr>
        <w:ind w:left="4560"/>
        <w:spacing w:after="0"/>
        <w:rPr>
          <w:sz w:val="20"/>
          <w:szCs w:val="20"/>
          <w:color w:val="auto"/>
        </w:rPr>
      </w:pPr>
      <w:r>
        <w:rPr>
          <w:rFonts w:ascii="Arial" w:cs="Arial" w:eastAsia="Arial" w:hAnsi="Arial"/>
          <w:sz w:val="15"/>
          <w:szCs w:val="15"/>
          <w:b w:val="1"/>
          <w:bCs w:val="1"/>
          <w:color w:val="auto"/>
        </w:rPr>
        <w:t>Exhibit 5 – Site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https://robotics.hamiltoncompany.com/microlab-star-site-requirements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30</w:t>
      </w:r>
      <w:r>
        <w:rPr>
          <w:rFonts w:ascii="Arial" w:cs="Arial" w:eastAsia="Arial" w:hAnsi="Arial"/>
          <w:sz w:val="12"/>
          <w:szCs w:val="12"/>
          <w:color w:val="auto"/>
        </w:rPr>
        <w:t xml:space="preserve"> of </w:t>
      </w:r>
      <w:r>
        <w:rPr>
          <w:rFonts w:ascii="Arial" w:cs="Arial" w:eastAsia="Arial" w:hAnsi="Arial"/>
          <w:sz w:val="12"/>
          <w:szCs w:val="12"/>
          <w:b w:val="1"/>
          <w:bCs w:val="1"/>
          <w:color w:val="auto"/>
        </w:rPr>
        <w:t>30</w:t>
      </w:r>
    </w:p>
    <w:p>
      <w:pPr>
        <w:sectPr>
          <w:pgSz w:w="11900" w:h="16838" w:orient="portrait"/>
          <w:cols w:equalWidth="0" w:num="1">
            <w:col w:w="10139"/>
          </w:cols>
          <w:pgMar w:left="320" w:top="868" w:right="1440" w:bottom="1440" w:gutter="0" w:footer="0" w:header="0"/>
        </w:sectPr>
      </w:pPr>
    </w:p>
    <w:bookmarkStart w:id="516" w:name="page517"/>
    <w:bookmarkEnd w:id="516"/>
    <w:p>
      <w:pPr>
        <w:jc w:val="right"/>
        <w:spacing w:after="0"/>
        <w:rPr>
          <w:sz w:val="20"/>
          <w:szCs w:val="20"/>
          <w:color w:val="auto"/>
        </w:rPr>
      </w:pPr>
      <w:r>
        <w:rPr>
          <w:rFonts w:ascii="Times New Roman" w:cs="Times New Roman" w:eastAsia="Times New Roman" w:hAnsi="Times New Roman"/>
          <w:sz w:val="15"/>
          <w:szCs w:val="15"/>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 w:hanging="9"/>
        <w:spacing w:after="0" w:line="292" w:lineRule="auto"/>
        <w:tabs>
          <w:tab w:leader="none" w:pos="378"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THE BRIGHAM AND WOMEN’S HOSPITAL, INC.</w:t>
      </w:r>
    </w:p>
    <w:p>
      <w:pPr>
        <w:spacing w:after="0" w:line="17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EXCLUSIVE PATENT LICENSE AGREEMENT</w:t>
      </w:r>
    </w:p>
    <w:p>
      <w:pPr>
        <w:spacing w:after="0" w:line="17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BWH Agreement No: [***]</w:t>
      </w:r>
    </w:p>
    <w:p>
      <w:pPr>
        <w:spacing w:after="0" w:line="2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BWH Cases Nos: [***], [***], [***] and [***]</w:t>
      </w:r>
    </w:p>
    <w:p>
      <w:pPr>
        <w:spacing w:after="0" w:line="161" w:lineRule="exact"/>
        <w:rPr>
          <w:sz w:val="20"/>
          <w:szCs w:val="20"/>
          <w:color w:val="auto"/>
        </w:rPr>
      </w:pPr>
    </w:p>
    <w:p>
      <w:pPr>
        <w:ind w:left="9" w:right="100" w:firstLine="545"/>
        <w:spacing w:after="0" w:line="245" w:lineRule="auto"/>
        <w:rPr>
          <w:sz w:val="20"/>
          <w:szCs w:val="20"/>
          <w:color w:val="auto"/>
        </w:rPr>
      </w:pPr>
      <w:r>
        <w:rPr>
          <w:rFonts w:ascii="Times New Roman" w:cs="Times New Roman" w:eastAsia="Times New Roman" w:hAnsi="Times New Roman"/>
          <w:sz w:val="17"/>
          <w:szCs w:val="17"/>
          <w:color w:val="auto"/>
        </w:rPr>
        <w:t>This License Agreement (‘“Agreement”) is made as of the 18th day of December, 2017 (“Effective Date” ), by and between Seer Biosciences, Inc., a Delaware corporation, having a principal place of business at [***] (“Company”‘) and The Brigham and Women’s Hospital, Inc., a not-for-profit Massachusetts corporation, with a principal place of business at 75 Francis Street, Boston, Massachusetts 02115 (“Hospital”), each referred to herein individually as a “Party” and collectively as the “Parties”.</w:t>
      </w:r>
    </w:p>
    <w:p>
      <w:pPr>
        <w:spacing w:after="0" w:line="1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83" w:lineRule="exact"/>
        <w:rPr>
          <w:sz w:val="20"/>
          <w:szCs w:val="20"/>
          <w:color w:val="auto"/>
        </w:rPr>
      </w:pPr>
    </w:p>
    <w:p>
      <w:pPr>
        <w:ind w:left="9" w:right="120" w:firstLine="545"/>
        <w:spacing w:after="0" w:line="249" w:lineRule="auto"/>
        <w:rPr>
          <w:sz w:val="20"/>
          <w:szCs w:val="20"/>
          <w:color w:val="auto"/>
        </w:rPr>
      </w:pPr>
      <w:r>
        <w:rPr>
          <w:rFonts w:ascii="Times New Roman" w:cs="Times New Roman" w:eastAsia="Times New Roman" w:hAnsi="Times New Roman"/>
          <w:sz w:val="17"/>
          <w:szCs w:val="17"/>
          <w:color w:val="auto"/>
        </w:rPr>
        <w:t>Hospital, as a center for patient care, research and education, is the owner of certain Patent Rights (defined below) and desires to grant a license of those Patent Rights to Company in order to benefit the public by disseminating the results of its research via the commercial development, manufacture, distribution and use of Products and Processes (defined below).</w:t>
      </w:r>
    </w:p>
    <w:p>
      <w:pPr>
        <w:spacing w:after="0" w:line="152" w:lineRule="exact"/>
        <w:rPr>
          <w:sz w:val="20"/>
          <w:szCs w:val="20"/>
          <w:color w:val="auto"/>
        </w:rPr>
      </w:pPr>
    </w:p>
    <w:p>
      <w:pPr>
        <w:ind w:left="9" w:right="200" w:firstLine="545"/>
        <w:spacing w:after="0" w:line="262" w:lineRule="auto"/>
        <w:rPr>
          <w:sz w:val="20"/>
          <w:szCs w:val="20"/>
          <w:color w:val="auto"/>
        </w:rPr>
      </w:pPr>
      <w:r>
        <w:rPr>
          <w:rFonts w:ascii="Times New Roman" w:cs="Times New Roman" w:eastAsia="Times New Roman" w:hAnsi="Times New Roman"/>
          <w:sz w:val="17"/>
          <w:szCs w:val="17"/>
          <w:color w:val="auto"/>
        </w:rPr>
        <w:t>Company has the capability to commercially develop, manufacture, distribute and use Products and Processes for public use and benefit and desires to license such Patent Rights.</w:t>
      </w:r>
    </w:p>
    <w:p>
      <w:pPr>
        <w:spacing w:after="0" w:line="14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7"/>
          <w:szCs w:val="17"/>
          <w:color w:val="auto"/>
        </w:rPr>
        <w:t>For good and valuable consideration, the sufficiency of which is hereby acknowledged, the Parties hereby agree as follows:</w:t>
      </w:r>
    </w:p>
    <w:p>
      <w:pPr>
        <w:spacing w:after="0" w:line="175" w:lineRule="exact"/>
        <w:rPr>
          <w:sz w:val="20"/>
          <w:szCs w:val="20"/>
          <w:color w:val="auto"/>
        </w:rPr>
      </w:pPr>
    </w:p>
    <w:p>
      <w:pPr>
        <w:ind w:left="4969" w:hanging="554"/>
        <w:spacing w:after="0"/>
        <w:tabs>
          <w:tab w:leader="none" w:pos="4969" w:val="left"/>
        </w:tabs>
        <w:numPr>
          <w:ilvl w:val="0"/>
          <w:numId w:val="4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DEFINITIONS</w:t>
      </w:r>
    </w:p>
    <w:p>
      <w:pPr>
        <w:spacing w:after="0" w:line="183"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7"/>
          <w:szCs w:val="17"/>
          <w:color w:val="auto"/>
        </w:rPr>
        <w:t>As used in this Agreement, the following terms shall have the following meanings, unless the context requires otherwise.</w:t>
      </w:r>
    </w:p>
    <w:p>
      <w:pPr>
        <w:spacing w:after="0" w:line="179" w:lineRule="exact"/>
        <w:rPr>
          <w:sz w:val="20"/>
          <w:szCs w:val="20"/>
          <w:color w:val="auto"/>
        </w:rPr>
      </w:pPr>
    </w:p>
    <w:p>
      <w:pPr>
        <w:ind w:left="9" w:right="120"/>
        <w:spacing w:after="0" w:line="265" w:lineRule="auto"/>
        <w:rPr>
          <w:sz w:val="20"/>
          <w:szCs w:val="20"/>
          <w:color w:val="auto"/>
        </w:rPr>
      </w:pPr>
      <w:r>
        <w:rPr>
          <w:rFonts w:ascii="Times New Roman" w:cs="Times New Roman" w:eastAsia="Times New Roman" w:hAnsi="Times New Roman"/>
          <w:sz w:val="16"/>
          <w:szCs w:val="16"/>
          <w:color w:val="auto"/>
        </w:rPr>
        <w:t>1.1 “Affiliate” with respect to either Party shall mean any corporation or other legal entity other than that Party in whatever country organized, controlling, controlled by or under common control with that Party. The term “control” shall mean (i) in the case of Company, direct or indirect ownership of fifty percent (50%) or more of the voting securities having the right to elect directors, and (ii) in the case of Hospital, the power, direct or indirect, to elect or appoint fifty percent (50%) or more of the directors or trustees, or to cause direction of management and policies, whether through the ownership of voting securities, by contract or otherwise.</w:t>
      </w:r>
    </w:p>
    <w:p>
      <w:pPr>
        <w:spacing w:after="0" w:line="141" w:lineRule="exact"/>
        <w:rPr>
          <w:sz w:val="20"/>
          <w:szCs w:val="20"/>
          <w:color w:val="auto"/>
        </w:rPr>
      </w:pPr>
    </w:p>
    <w:p>
      <w:pPr>
        <w:ind w:left="9" w:right="20"/>
        <w:spacing w:after="0" w:line="249" w:lineRule="auto"/>
        <w:rPr>
          <w:sz w:val="20"/>
          <w:szCs w:val="20"/>
          <w:color w:val="auto"/>
        </w:rPr>
      </w:pPr>
      <w:r>
        <w:rPr>
          <w:rFonts w:ascii="Times New Roman" w:cs="Times New Roman" w:eastAsia="Times New Roman" w:hAnsi="Times New Roman"/>
          <w:sz w:val="17"/>
          <w:szCs w:val="17"/>
          <w:color w:val="auto"/>
        </w:rPr>
        <w:t>1.2 “Claim” shall mean any pending or issued claim of any Patent Right that has not expired or been permanently revoked, nor held unenforceable or invalid by a decision of a court or other governmental agency of competent jurisdiction that is unappealable, or unappealed in the time allowed for appeal, but shall exclude any such claim (a) that has been pending without issuance for more than [***], or (b)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69"/>
          </w:cols>
          <w:pgMar w:left="311" w:top="121" w:right="31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7"/>
          <w:szCs w:val="17"/>
          <w:color w:val="auto"/>
        </w:rPr>
        <w:t>application from which no claims have issued for [***]. For any claim that is covered by (a) or (b), licensed rights to such claim shall revert back to the Hospital.</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1.3 “Distributor” shall mean any third party entity to whom Company, a Company Affiliate or a Sublicensee has granted, express or implied, the right to distribute any Product or Process pursuant to Section 2.1(b)(ii).</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6"/>
          <w:szCs w:val="16"/>
          <w:color w:val="auto"/>
        </w:rPr>
        <w:t>“Excluded Patent License Field 2” shall mean (i) [***] and (ii) the [***].</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6"/>
          <w:szCs w:val="16"/>
          <w:color w:val="auto"/>
        </w:rPr>
        <w:t>“FDA” shall mean the United States Food and Drug Administration or any comparable governmental agency outside of the U.S.A.</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1.6</w:t>
      </w:r>
      <w:r>
        <w:rPr>
          <w:sz w:val="20"/>
          <w:szCs w:val="20"/>
          <w:color w:val="auto"/>
        </w:rPr>
        <w:tab/>
      </w:r>
      <w:r>
        <w:rPr>
          <w:rFonts w:ascii="Times New Roman" w:cs="Times New Roman" w:eastAsia="Times New Roman" w:hAnsi="Times New Roman"/>
          <w:sz w:val="16"/>
          <w:szCs w:val="16"/>
          <w:color w:val="auto"/>
        </w:rPr>
        <w:t>“First Commercial Sale” shall mean the initial Sale anywhere in the applicable License Territory of a Product or Process.</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1.7</w:t>
      </w:r>
      <w:r>
        <w:rPr>
          <w:sz w:val="20"/>
          <w:szCs w:val="20"/>
          <w:color w:val="auto"/>
        </w:rPr>
        <w:tab/>
      </w:r>
      <w:r>
        <w:rPr>
          <w:rFonts w:ascii="Times New Roman" w:cs="Times New Roman" w:eastAsia="Times New Roman" w:hAnsi="Times New Roman"/>
          <w:sz w:val="16"/>
          <w:szCs w:val="16"/>
          <w:color w:val="auto"/>
        </w:rPr>
        <w:t>“Immune Switching of Lymphocyte Subclasses” shall mean switching lymphocyte subclasses from T-helper cells Th2 to Thl.</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6"/>
          <w:szCs w:val="16"/>
          <w:color w:val="auto"/>
        </w:rPr>
        <w:t>“Immune Tolerance” shall mean down-regulation of immune responses against a specified endogenous or exogenous antigen.</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1.9</w:t>
      </w:r>
      <w:r>
        <w:rPr>
          <w:sz w:val="20"/>
          <w:szCs w:val="20"/>
          <w:color w:val="auto"/>
        </w:rPr>
        <w:tab/>
      </w:r>
      <w:r>
        <w:rPr>
          <w:rFonts w:ascii="Times New Roman" w:cs="Times New Roman" w:eastAsia="Times New Roman" w:hAnsi="Times New Roman"/>
          <w:sz w:val="16"/>
          <w:szCs w:val="16"/>
          <w:color w:val="auto"/>
        </w:rPr>
        <w:t>“IND” shall mean Investigational New Drug Application, as defined by the FDA or foreign equivalent.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1.10</w:t>
      </w:r>
      <w:r>
        <w:rPr>
          <w:sz w:val="20"/>
          <w:szCs w:val="20"/>
          <w:color w:val="auto"/>
        </w:rPr>
        <w:tab/>
      </w:r>
      <w:r>
        <w:rPr>
          <w:rFonts w:ascii="Times New Roman" w:cs="Times New Roman" w:eastAsia="Times New Roman" w:hAnsi="Times New Roman"/>
          <w:sz w:val="16"/>
          <w:szCs w:val="16"/>
          <w:color w:val="auto"/>
        </w:rPr>
        <w:t>“Invention” shall mean any new and useful discovery (i) disclosed to Hospital’s Office of Innovation by [***], and (ii) related to a [***].</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6"/>
          <w:szCs w:val="16"/>
          <w:color w:val="auto"/>
        </w:rPr>
        <w:t>“License Field” shall mean Patent Family 1 License Field and Patent Family 2 License Field.</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6"/>
          <w:szCs w:val="16"/>
          <w:color w:val="auto"/>
        </w:rPr>
        <w:t>“License Territory” shall mean worldwide.</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6"/>
          <w:szCs w:val="16"/>
          <w:color w:val="auto"/>
        </w:rPr>
        <w:t>“NDA” shall mean a New Drug Application, as defined by the FDA or foreign equivalent.</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1.14</w:t>
      </w:r>
      <w:r>
        <w:rPr>
          <w:sz w:val="20"/>
          <w:szCs w:val="20"/>
          <w:color w:val="auto"/>
        </w:rPr>
        <w:tab/>
      </w:r>
      <w:r>
        <w:rPr>
          <w:rFonts w:ascii="Times New Roman" w:cs="Times New Roman" w:eastAsia="Times New Roman" w:hAnsi="Times New Roman"/>
          <w:sz w:val="16"/>
          <w:szCs w:val="16"/>
          <w:color w:val="auto"/>
        </w:rPr>
        <w:t>“Net Sales” shall be calculated as set forth in this Section 1.14.</w:t>
      </w:r>
    </w:p>
    <w:p>
      <w:pPr>
        <w:spacing w:after="0" w:line="179" w:lineRule="exact"/>
        <w:rPr>
          <w:sz w:val="20"/>
          <w:szCs w:val="20"/>
          <w:color w:val="auto"/>
        </w:rPr>
      </w:pPr>
    </w:p>
    <w:p>
      <w:pPr>
        <w:ind w:left="1080" w:hanging="544"/>
        <w:spacing w:after="0"/>
        <w:tabs>
          <w:tab w:leader="none" w:pos="1080"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conditions set forth below, “Net Sales” shall mean:</w:t>
      </w:r>
    </w:p>
    <w:p>
      <w:pPr>
        <w:spacing w:after="0" w:line="179" w:lineRule="exact"/>
        <w:rPr>
          <w:rFonts w:ascii="Times New Roman" w:cs="Times New Roman" w:eastAsia="Times New Roman" w:hAnsi="Times New Roman"/>
          <w:sz w:val="17"/>
          <w:szCs w:val="17"/>
          <w:color w:val="auto"/>
        </w:rPr>
      </w:pPr>
    </w:p>
    <w:p>
      <w:pPr>
        <w:ind w:left="1620" w:right="240" w:hanging="539"/>
        <w:spacing w:after="0" w:line="262" w:lineRule="auto"/>
        <w:tabs>
          <w:tab w:leader="none" w:pos="1618" w:val="left"/>
        </w:tabs>
        <w:numPr>
          <w:ilvl w:val="1"/>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amount billed or invoiced, or, if no such bill or invoice is issued, the amount received, whichever is greatest, by Company and its Affiliates and Sublicensees for or on account of Sales of Products and Processes;</w:t>
      </w:r>
    </w:p>
    <w:p>
      <w:pPr>
        <w:spacing w:after="0" w:line="141" w:lineRule="exact"/>
        <w:rPr>
          <w:rFonts w:ascii="Times New Roman" w:cs="Times New Roman" w:eastAsia="Times New Roman" w:hAnsi="Times New Roman"/>
          <w:sz w:val="17"/>
          <w:szCs w:val="17"/>
          <w:color w:val="auto"/>
        </w:rPr>
      </w:pPr>
    </w:p>
    <w:p>
      <w:pPr>
        <w:ind w:left="1620" w:hanging="539"/>
        <w:spacing w:after="0"/>
        <w:tabs>
          <w:tab w:leader="none" w:pos="1620" w:val="left"/>
        </w:tabs>
        <w:numPr>
          <w:ilvl w:val="1"/>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w:t>
      </w:r>
    </w:p>
    <w:p>
      <w:pPr>
        <w:spacing w:after="0" w:line="179" w:lineRule="exact"/>
        <w:rPr>
          <w:rFonts w:ascii="Times New Roman" w:cs="Times New Roman" w:eastAsia="Times New Roman" w:hAnsi="Times New Roman"/>
          <w:sz w:val="17"/>
          <w:szCs w:val="17"/>
          <w:color w:val="auto"/>
        </w:rPr>
      </w:pPr>
    </w:p>
    <w:p>
      <w:pPr>
        <w:ind w:left="2160" w:hanging="534"/>
        <w:spacing w:after="0"/>
        <w:tabs>
          <w:tab w:leader="none" w:pos="2160" w:val="left"/>
        </w:tabs>
        <w:numPr>
          <w:ilvl w:val="2"/>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amounts actually paid by Company and its Affiliates and Sublicensees in effecting such Sale:</w:t>
      </w:r>
    </w:p>
    <w:p>
      <w:pPr>
        <w:spacing w:after="0" w:line="179" w:lineRule="exact"/>
        <w:rPr>
          <w:rFonts w:ascii="Times New Roman" w:cs="Times New Roman" w:eastAsia="Times New Roman" w:hAnsi="Times New Roman"/>
          <w:sz w:val="17"/>
          <w:szCs w:val="17"/>
          <w:color w:val="auto"/>
        </w:rPr>
      </w:pPr>
    </w:p>
    <w:p>
      <w:pPr>
        <w:ind w:left="2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6"/>
          <w:szCs w:val="16"/>
          <w:color w:val="auto"/>
        </w:rPr>
        <w:t>amounts repaid or credited by reason of rejection or return of applicable Products or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00"/>
          </w:cols>
          <w:pgMar w:left="320" w:top="1392" w:right="479" w:bottom="1440" w:gutter="0" w:footer="0" w:header="0"/>
        </w:sectPr>
      </w:pPr>
    </w:p>
    <w:bookmarkStart w:id="518" w:name="page519"/>
    <w:bookmarkEnd w:id="518"/>
    <w:p>
      <w:pPr>
        <w:ind w:left="2184" w:hanging="549"/>
        <w:spacing w:after="0"/>
        <w:tabs>
          <w:tab w:leader="none" w:pos="2184"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and customary trade, quantity or cash rebates or discounts to the extent allowed and taken;</w:t>
      </w:r>
    </w:p>
    <w:p>
      <w:pPr>
        <w:spacing w:after="0" w:line="179" w:lineRule="exact"/>
        <w:rPr>
          <w:rFonts w:ascii="Times New Roman" w:cs="Times New Roman" w:eastAsia="Times New Roman" w:hAnsi="Times New Roman"/>
          <w:sz w:val="17"/>
          <w:szCs w:val="17"/>
          <w:color w:val="auto"/>
        </w:rPr>
      </w:pPr>
    </w:p>
    <w:p>
      <w:pPr>
        <w:ind w:left="2184" w:right="100" w:hanging="549"/>
        <w:spacing w:after="0" w:line="262" w:lineRule="auto"/>
        <w:tabs>
          <w:tab w:leader="none" w:pos="2184"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discounts or rebates or other payments required by law to be made under Medicaid, Medicare or other governmental • medical assistance programs, to the extent actually allowed and taken;</w:t>
      </w:r>
    </w:p>
    <w:p>
      <w:pPr>
        <w:spacing w:after="0" w:line="141" w:lineRule="exact"/>
        <w:rPr>
          <w:rFonts w:ascii="Times New Roman" w:cs="Times New Roman" w:eastAsia="Times New Roman" w:hAnsi="Times New Roman"/>
          <w:sz w:val="17"/>
          <w:szCs w:val="17"/>
          <w:color w:val="auto"/>
        </w:rPr>
      </w:pPr>
    </w:p>
    <w:p>
      <w:pPr>
        <w:ind w:left="2184" w:hanging="549"/>
        <w:spacing w:after="0"/>
        <w:tabs>
          <w:tab w:leader="none" w:pos="2184"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separately stated on the bill or invoice, amounts for outbound transportation, insurance, handling and shipping;</w:t>
      </w:r>
    </w:p>
    <w:p>
      <w:pPr>
        <w:spacing w:after="0" w:line="179" w:lineRule="exact"/>
        <w:rPr>
          <w:rFonts w:ascii="Times New Roman" w:cs="Times New Roman" w:eastAsia="Times New Roman" w:hAnsi="Times New Roman"/>
          <w:sz w:val="17"/>
          <w:szCs w:val="17"/>
          <w:color w:val="auto"/>
        </w:rPr>
      </w:pPr>
    </w:p>
    <w:p>
      <w:pPr>
        <w:ind w:left="2184" w:right="140" w:hanging="549"/>
        <w:spacing w:after="0" w:line="249" w:lineRule="auto"/>
        <w:tabs>
          <w:tab w:leader="none" w:pos="2184"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separately stated on the bill or invoice, taxes, customs duties and other governmental charges levied on or measured by Sales of Products or Processes, whether paid by or on behalf of Company so long as Company’s price is reduced thereby, but not franchise or income taxes of any kind whatsoever; and</w:t>
      </w:r>
    </w:p>
    <w:p>
      <w:pPr>
        <w:spacing w:after="0" w:line="152" w:lineRule="exact"/>
        <w:rPr>
          <w:rFonts w:ascii="Times New Roman" w:cs="Times New Roman" w:eastAsia="Times New Roman" w:hAnsi="Times New Roman"/>
          <w:sz w:val="17"/>
          <w:szCs w:val="17"/>
          <w:color w:val="auto"/>
        </w:rPr>
      </w:pPr>
    </w:p>
    <w:p>
      <w:pPr>
        <w:ind w:left="2184" w:right="120" w:hanging="549"/>
        <w:spacing w:after="0" w:line="262" w:lineRule="auto"/>
        <w:tabs>
          <w:tab w:leader="none" w:pos="2184" w:val="left"/>
        </w:tabs>
        <w:numPr>
          <w:ilvl w:val="0"/>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invoiced amounts that are not collected by Company, its Affiliates or Sublicensees, including bad debts, up to a maximum of five percent (5%) of gross sales received in any given year.</w:t>
      </w:r>
    </w:p>
    <w:p>
      <w:pPr>
        <w:spacing w:after="0" w:line="141" w:lineRule="exact"/>
        <w:rPr>
          <w:sz w:val="20"/>
          <w:szCs w:val="20"/>
          <w:color w:val="auto"/>
        </w:rPr>
      </w:pPr>
    </w:p>
    <w:p>
      <w:pPr>
        <w:ind w:left="1084" w:right="320"/>
        <w:spacing w:after="0" w:line="262" w:lineRule="auto"/>
        <w:rPr>
          <w:sz w:val="20"/>
          <w:szCs w:val="20"/>
          <w:color w:val="auto"/>
        </w:rPr>
      </w:pPr>
      <w:r>
        <w:rPr>
          <w:rFonts w:ascii="Times New Roman" w:cs="Times New Roman" w:eastAsia="Times New Roman" w:hAnsi="Times New Roman"/>
          <w:sz w:val="17"/>
          <w:szCs w:val="17"/>
          <w:color w:val="auto"/>
        </w:rPr>
        <w:t>If there is an overlap between any of the deductions described in 1 through 4 above, each individual item shall only be deducted once in the overall Net Sales calculation.</w:t>
      </w:r>
    </w:p>
    <w:p>
      <w:pPr>
        <w:spacing w:after="0" w:line="141" w:lineRule="exact"/>
        <w:rPr>
          <w:sz w:val="20"/>
          <w:szCs w:val="20"/>
          <w:color w:val="auto"/>
        </w:rPr>
      </w:pPr>
    </w:p>
    <w:p>
      <w:pPr>
        <w:ind w:left="1644" w:right="120" w:hanging="554"/>
        <w:spacing w:after="0" w:line="262" w:lineRule="auto"/>
        <w:tabs>
          <w:tab w:leader="none" w:pos="1639" w:val="left"/>
        </w:tabs>
        <w:numPr>
          <w:ilvl w:val="1"/>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amount billed or invoiced, or if no such bill or invoice is issued the amount received, whichever is greatest, by Company and its Affiliates and Sublicensees for or on account of Sales of Products and Processes to Hospital and Hospital’s Affiliates.</w:t>
      </w:r>
    </w:p>
    <w:p>
      <w:pPr>
        <w:spacing w:after="0" w:line="141" w:lineRule="exact"/>
        <w:rPr>
          <w:rFonts w:ascii="Times New Roman" w:cs="Times New Roman" w:eastAsia="Times New Roman" w:hAnsi="Times New Roman"/>
          <w:sz w:val="17"/>
          <w:szCs w:val="17"/>
          <w:color w:val="auto"/>
        </w:rPr>
      </w:pPr>
    </w:p>
    <w:p>
      <w:pPr>
        <w:ind w:left="544" w:hanging="544"/>
        <w:spacing w:after="0" w:line="262" w:lineRule="auto"/>
        <w:tabs>
          <w:tab w:leader="none" w:pos="533"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Specifically excluded from the definition of “Net Sales” are amounts attributable to any Sale of any Product or Process between or among Company and any Company Affiliate and/or Sublicensee, unless the transferee is the end purchaser, user or consumer of such Product or Process.</w:t>
      </w:r>
    </w:p>
    <w:p>
      <w:pPr>
        <w:spacing w:after="0" w:line="141"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deductions shall be made for any commissions paid to any individuals or for any costs or expenses of collections.</w:t>
      </w:r>
    </w:p>
    <w:p>
      <w:pPr>
        <w:spacing w:after="0" w:line="179" w:lineRule="exact"/>
        <w:rPr>
          <w:rFonts w:ascii="Times New Roman" w:cs="Times New Roman" w:eastAsia="Times New Roman" w:hAnsi="Times New Roman"/>
          <w:sz w:val="17"/>
          <w:szCs w:val="17"/>
          <w:color w:val="auto"/>
        </w:rPr>
      </w:pPr>
    </w:p>
    <w:p>
      <w:pPr>
        <w:ind w:left="544" w:right="180" w:hanging="544"/>
        <w:spacing w:after="0" w:line="262" w:lineRule="auto"/>
        <w:tabs>
          <w:tab w:leader="none" w:pos="533"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Sales shall be deemed to have occurred and the applicable Product or Process “Sold” on the earlier to occur of receipt of payment or 60 days after billing or invoicing.</w:t>
      </w:r>
    </w:p>
    <w:p>
      <w:pPr>
        <w:spacing w:after="0" w:line="141" w:lineRule="exact"/>
        <w:rPr>
          <w:rFonts w:ascii="Times New Roman" w:cs="Times New Roman" w:eastAsia="Times New Roman" w:hAnsi="Times New Roman"/>
          <w:sz w:val="17"/>
          <w:szCs w:val="17"/>
          <w:color w:val="auto"/>
        </w:rPr>
      </w:pPr>
    </w:p>
    <w:p>
      <w:pPr>
        <w:ind w:left="544" w:right="20" w:hanging="544"/>
        <w:spacing w:after="0" w:line="243" w:lineRule="auto"/>
        <w:tabs>
          <w:tab w:leader="none" w:pos="536"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1.14(a)(ii)(A)(2) above, if any Product or Process is Sold at a discounted price that is lower than the customary price charged, or for non-cash consideration (whether or not at a discount), Net Sales shall be calculated based on the non-discounted cash amount charged to an independent third party for the Product or Process during the same Reporting Period or, in the absence of such transaction, on the fair market value of the Product or Process. Non-cash consideration that could affect any payment due to Hospital hereunder shall not be accepted without the prior written consent of Hospital.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704"/>
          </w:cols>
          <w:pgMar w:left="856" w:top="1393" w:right="339" w:bottom="1440" w:gutter="0" w:footer="0" w:header="0"/>
        </w:sectPr>
      </w:pPr>
    </w:p>
    <w:bookmarkStart w:id="519" w:name="page520"/>
    <w:bookmarkEnd w:id="519"/>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1.15</w:t>
      </w:r>
      <w:r>
        <w:rPr>
          <w:sz w:val="20"/>
          <w:szCs w:val="20"/>
          <w:color w:val="auto"/>
        </w:rPr>
        <w:tab/>
      </w:r>
      <w:r>
        <w:rPr>
          <w:rFonts w:ascii="Times New Roman" w:cs="Times New Roman" w:eastAsia="Times New Roman" w:hAnsi="Times New Roman"/>
          <w:sz w:val="16"/>
          <w:szCs w:val="16"/>
          <w:color w:val="auto"/>
        </w:rPr>
        <w:t xml:space="preserve">“Patent Family 1” shall mean Patent Rights identified by Hospital’s Cases No. [***]; No. [***]; and No. [***], each as further described in </w:t>
      </w:r>
      <w:r>
        <w:rPr>
          <w:rFonts w:ascii="Times New Roman" w:cs="Times New Roman" w:eastAsia="Times New Roman" w:hAnsi="Times New Roman"/>
          <w:sz w:val="16"/>
          <w:szCs w:val="16"/>
          <w:b w:val="1"/>
          <w:bCs w:val="1"/>
          <w:color w:val="auto"/>
        </w:rPr>
        <w:t>Appendix A</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1.16</w:t>
      </w:r>
      <w:r>
        <w:rPr>
          <w:sz w:val="20"/>
          <w:szCs w:val="20"/>
          <w:color w:val="auto"/>
        </w:rPr>
        <w:tab/>
      </w:r>
      <w:r>
        <w:rPr>
          <w:rFonts w:ascii="Times New Roman" w:cs="Times New Roman" w:eastAsia="Times New Roman" w:hAnsi="Times New Roman"/>
          <w:sz w:val="16"/>
          <w:szCs w:val="16"/>
          <w:color w:val="auto"/>
        </w:rPr>
        <w:t>“Patent Family 1 License Field” shall mean all fields of use, [***].</w:t>
      </w:r>
    </w:p>
    <w:p>
      <w:pPr>
        <w:spacing w:after="0" w:line="17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1.17</w:t>
      </w:r>
      <w:r>
        <w:rPr>
          <w:sz w:val="20"/>
          <w:szCs w:val="20"/>
          <w:color w:val="auto"/>
        </w:rPr>
        <w:tab/>
      </w:r>
      <w:r>
        <w:rPr>
          <w:rFonts w:ascii="Times New Roman" w:cs="Times New Roman" w:eastAsia="Times New Roman" w:hAnsi="Times New Roman"/>
          <w:sz w:val="16"/>
          <w:szCs w:val="16"/>
          <w:color w:val="auto"/>
        </w:rPr>
        <w:t xml:space="preserve">“Patent Family 2” shall mean Patent Rights identified Hospital’s Case No. [***], as further described in </w:t>
      </w:r>
      <w:r>
        <w:rPr>
          <w:rFonts w:ascii="Times New Roman" w:cs="Times New Roman" w:eastAsia="Times New Roman" w:hAnsi="Times New Roman"/>
          <w:sz w:val="16"/>
          <w:szCs w:val="16"/>
          <w:b w:val="1"/>
          <w:bCs w:val="1"/>
          <w:color w:val="auto"/>
        </w:rPr>
        <w:t>Appendix A</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1.18</w:t>
      </w:r>
      <w:r>
        <w:rPr>
          <w:sz w:val="20"/>
          <w:szCs w:val="20"/>
          <w:color w:val="auto"/>
        </w:rPr>
        <w:tab/>
      </w:r>
      <w:r>
        <w:rPr>
          <w:rFonts w:ascii="Times New Roman" w:cs="Times New Roman" w:eastAsia="Times New Roman" w:hAnsi="Times New Roman"/>
          <w:sz w:val="16"/>
          <w:szCs w:val="16"/>
          <w:color w:val="auto"/>
        </w:rPr>
        <w:t>“Patent Family 2 License Field” shall mean all fields of use, [***], provided that Patent Family 2 License Field excludes Excluded Patent License Field 2.</w:t>
      </w:r>
    </w:p>
    <w:p>
      <w:pPr>
        <w:spacing w:after="0" w:line="179"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7"/>
          <w:szCs w:val="17"/>
          <w:color w:val="auto"/>
        </w:rPr>
        <w:t xml:space="preserve">1.19 “Patent Rights” shall mean Hospital’s rights in the U.S. Patent Applications under Patent Family 1 and Patent Family 2 and/or the equivalent of such applications including any division, continuation, and continuation-in-part (but only to the extent of claims directed to the subject matter claimed in the parent application) and/or any foreign patent application and/or Letters Patent, and/or the equivalent thereof issuing thereon, and/or reissue, reexamination and/or extension thereof, as may be further described in </w:t>
      </w:r>
      <w:r>
        <w:rPr>
          <w:rFonts w:ascii="Times New Roman" w:cs="Times New Roman" w:eastAsia="Times New Roman" w:hAnsi="Times New Roman"/>
          <w:sz w:val="17"/>
          <w:szCs w:val="17"/>
          <w:b w:val="1"/>
          <w:bCs w:val="1"/>
          <w:color w:val="auto"/>
        </w:rPr>
        <w:t>Appendix A.</w:t>
      </w:r>
    </w:p>
    <w:p>
      <w:pPr>
        <w:spacing w:after="0" w:line="15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1.20 “Phase II Clinical Trial” shall mean a clinical study of the Product in any country that would satisfy the requirements of 21 C.F.R. 312.21(b), as amended from time to time, or a comparable regulation if the study is conducted in a jurisdiction outside of the United States.</w:t>
      </w:r>
    </w:p>
    <w:p>
      <w:pPr>
        <w:spacing w:after="0" w:line="14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7"/>
          <w:szCs w:val="17"/>
          <w:color w:val="auto"/>
        </w:rPr>
        <w:t>1.21 “Phase III Clinical Trial” shall mean a clinical study of the Product in any country that would satisfy the requirements of 21 C.F.R. 312.21(c), as amended from time to time, or a comparable regulation if the study is conducted in a jurisdiction outside of the United States.</w:t>
      </w:r>
    </w:p>
    <w:p>
      <w:pPr>
        <w:spacing w:after="0" w:line="14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1.22 “Process” shall mean any process, method or service the use or performance of which, in whole or in part, absent the license granted hereunder, would infringe one or more Claims.</w:t>
      </w:r>
    </w:p>
    <w:p>
      <w:pPr>
        <w:spacing w:after="0" w:line="14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1.23 “Product” shall mean any article, device or composition, the manufacture, use, or sale of which, in whole or in part, absent the license granted hereunder, would infringe one or more Claims.</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1.24</w:t>
      </w:r>
      <w:r>
        <w:rPr>
          <w:sz w:val="20"/>
          <w:szCs w:val="20"/>
          <w:color w:val="auto"/>
        </w:rPr>
        <w:tab/>
      </w:r>
      <w:r>
        <w:rPr>
          <w:rFonts w:ascii="Times New Roman" w:cs="Times New Roman" w:eastAsia="Times New Roman" w:hAnsi="Times New Roman"/>
          <w:sz w:val="16"/>
          <w:szCs w:val="16"/>
          <w:color w:val="auto"/>
        </w:rPr>
        <w:t>“Reporting Period” shall mean each three month period ending March 31, June 30, September 30 and December 31.</w:t>
      </w:r>
    </w:p>
    <w:p>
      <w:pPr>
        <w:spacing w:after="0" w:line="179"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7"/>
          <w:szCs w:val="17"/>
          <w:color w:val="auto"/>
        </w:rPr>
        <w:t>1.25 “Sell” (and “Sale” and “Sold” as the case may be) shall mean to sell or have sold, to lease or have leased, to import or have imported or otherwise to transfer or have transferred a Product or Process for valuable consideration (in the form of cash or otherwise), and further in the case of a Process, to use or perform such Process for the benefit of a third party, other than in connection with research, development or obtaining regulatory approval.</w:t>
      </w:r>
    </w:p>
    <w:p>
      <w:pPr>
        <w:spacing w:after="0" w:line="1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1.26 “Sublicense Income” shall mean consideration in any form received by Company and/or Company’s Affiliate(s) in connection with or in exchange for a grant of a sublicense or any other right, license, privilege or immunity (regardless of whether such grantee is a “Sublicensee” as defined in this Agreement) under the Patent Rights to make, have made, use, have used, Sell or have Sold Products or Processes, but excluding consideration included within Net Sales. Sublicense Income shall include without limitation any license signing fee, license maintenance fee, unearned portion of any minimum royalty payment, distribution or joint marketing fee, research and development funding in excess of the cost of performing such research and development, and any consideration received for an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20" w:top="1389" w:right="359" w:bottom="1440" w:gutter="0" w:footer="0" w:header="0"/>
        </w:sectPr>
      </w:pPr>
    </w:p>
    <w:bookmarkStart w:id="520" w:name="page521"/>
    <w:bookmarkEnd w:id="520"/>
    <w:p>
      <w:pPr>
        <w:spacing w:after="0" w:line="243" w:lineRule="auto"/>
        <w:rPr>
          <w:sz w:val="20"/>
          <w:szCs w:val="20"/>
          <w:color w:val="auto"/>
        </w:rPr>
      </w:pPr>
      <w:r>
        <w:rPr>
          <w:rFonts w:ascii="Times New Roman" w:cs="Times New Roman" w:eastAsia="Times New Roman" w:hAnsi="Times New Roman"/>
          <w:sz w:val="17"/>
          <w:szCs w:val="17"/>
          <w:color w:val="auto"/>
        </w:rPr>
        <w:t>in, extension of credit to or other investment in Company or Company’s Affiliates to the extent such consideration exceeds the fair market value of the equity or other interest received as determined by an independent valuation advisor engaged by the Company and approved in writing by Hospital to perform valuation services. For the avoidance of doubt, Sublicense Income shall not include royalties or other consideration based on Net Sales, payments funding the costs of bona fide research and development activities, reimbursement for patent prosecution or enforcement expenses, proceeds from the sale of securities, or consideration received in connection with an assignment of this Agreement in accordance with Section 12.5.</w:t>
      </w:r>
    </w:p>
    <w:p>
      <w:pPr>
        <w:spacing w:after="0" w:line="15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1.27 “Sublicensee” shall mean any sublicensee of rights granted in accordance with Section 2.1(a)(iii). For purpose of this Agreement, a Distributor of a Product or Process shall not be included in the definition of Sublicensee unless such Distributor (i) is granted any right to make, have made, use or have used Products or Processes in accordance with Section 2.1(a)(iii), or (ii) has agreed to pay to Company or its Affiliate(s) royalties on such Distributor’s sales of Products or Processes, in which case such Distributor shall be a Sublicensee for all purposes of this Agreement. For the avoidance of doubt, if the Company assigns this Agreement in accordance with Section 12.5, then the assignee shall not be a Sublicensee.</w:t>
      </w:r>
    </w:p>
    <w:p>
      <w:pPr>
        <w:spacing w:after="0" w:line="15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1.28</w:t>
      </w:r>
      <w:r>
        <w:rPr>
          <w:sz w:val="20"/>
          <w:szCs w:val="20"/>
          <w:color w:val="auto"/>
        </w:rPr>
        <w:tab/>
      </w:r>
      <w:r>
        <w:rPr>
          <w:rFonts w:ascii="Times New Roman" w:cs="Times New Roman" w:eastAsia="Times New Roman" w:hAnsi="Times New Roman"/>
          <w:sz w:val="16"/>
          <w:szCs w:val="16"/>
          <w:color w:val="auto"/>
        </w:rPr>
        <w:t>“Third-Party Licensee” shall mean a third party that obtains a license from Hospital under Patent Family 2.</w:t>
      </w:r>
    </w:p>
    <w:p>
      <w:pPr>
        <w:spacing w:after="0" w:line="175" w:lineRule="exact"/>
        <w:rPr>
          <w:sz w:val="20"/>
          <w:szCs w:val="20"/>
          <w:color w:val="auto"/>
        </w:rPr>
      </w:pPr>
    </w:p>
    <w:p>
      <w:pPr>
        <w:ind w:left="5540" w:hanging="554"/>
        <w:spacing w:after="0"/>
        <w:tabs>
          <w:tab w:leader="none" w:pos="554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LICENSE</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u w:val="single" w:color="auto"/>
          <w:color w:val="auto"/>
        </w:rPr>
        <w:t>Grant of License</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1080" w:right="480" w:hanging="544"/>
        <w:spacing w:after="0" w:line="262" w:lineRule="auto"/>
        <w:tabs>
          <w:tab w:leader="none" w:pos="1072"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this Agreement and Hospital’s rights in Patent Rights, Hospital hereby grants to Company and Company’s Affiliates in the License Territory:</w:t>
      </w:r>
    </w:p>
    <w:p>
      <w:pPr>
        <w:spacing w:after="0" w:line="141" w:lineRule="exact"/>
        <w:rPr>
          <w:rFonts w:ascii="Times New Roman" w:cs="Times New Roman" w:eastAsia="Times New Roman" w:hAnsi="Times New Roman"/>
          <w:sz w:val="17"/>
          <w:szCs w:val="17"/>
          <w:color w:val="auto"/>
        </w:rPr>
      </w:pPr>
    </w:p>
    <w:p>
      <w:pPr>
        <w:ind w:left="1620" w:right="80" w:hanging="539"/>
        <w:spacing w:after="0" w:line="262" w:lineRule="auto"/>
        <w:tabs>
          <w:tab w:leader="none" w:pos="1618"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exclusive, royalty-bearing license under Patent Family 1 in the Patent Family 1 License Field to develop, have developed, make, have made, use, have used, offer for Sale, Sell and have Sold, import, have imported, export, and have exported Products and Processes; and</w:t>
      </w:r>
    </w:p>
    <w:p>
      <w:pPr>
        <w:spacing w:after="0" w:line="141" w:lineRule="exact"/>
        <w:rPr>
          <w:rFonts w:ascii="Times New Roman" w:cs="Times New Roman" w:eastAsia="Times New Roman" w:hAnsi="Times New Roman"/>
          <w:sz w:val="17"/>
          <w:szCs w:val="17"/>
          <w:color w:val="auto"/>
        </w:rPr>
      </w:pPr>
    </w:p>
    <w:p>
      <w:pPr>
        <w:ind w:left="1620" w:right="80" w:hanging="539"/>
        <w:spacing w:after="0" w:line="262" w:lineRule="auto"/>
        <w:tabs>
          <w:tab w:leader="none" w:pos="1619"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exclusive, royalty-bearing license under Patent Family 2 in the Patent Family 2 License Field to develop, have developed, make, have made, use, have used, offer for Sale, Sell and have Sold, import, have imported, export, and have exported Products and Processes; and</w:t>
      </w:r>
    </w:p>
    <w:p>
      <w:pPr>
        <w:spacing w:after="0" w:line="141" w:lineRule="exact"/>
        <w:rPr>
          <w:rFonts w:ascii="Times New Roman" w:cs="Times New Roman" w:eastAsia="Times New Roman" w:hAnsi="Times New Roman"/>
          <w:sz w:val="17"/>
          <w:szCs w:val="17"/>
          <w:color w:val="auto"/>
        </w:rPr>
      </w:pPr>
    </w:p>
    <w:p>
      <w:pPr>
        <w:ind w:left="1620" w:right="40" w:hanging="539"/>
        <w:spacing w:after="0" w:line="265" w:lineRule="auto"/>
        <w:tabs>
          <w:tab w:leader="none" w:pos="1620" w:val="left"/>
        </w:tabs>
        <w:numPr>
          <w:ilvl w:val="1"/>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grant sublicenses under the rights granted in Sections 2.l(a)(i) and (ii), and in accordance with Section 2.2, to Sublicensees, provided that in each case Company shall be responsible for the performance of any obligations of Sublicensees relevant to this Agreement as if such performance were carried out by Company itself, including, without limitation, the payment of any royalties or other payments provided for hereunder, regardless of whether the terms of any sublicense provide for such amounts to be paid by the Sublicensee directly to Hospital.</w:t>
      </w:r>
    </w:p>
    <w:p>
      <w:pPr>
        <w:spacing w:after="0" w:line="141" w:lineRule="exact"/>
        <w:rPr>
          <w:rFonts w:ascii="Times New Roman" w:cs="Times New Roman" w:eastAsia="Times New Roman" w:hAnsi="Times New Roman"/>
          <w:sz w:val="16"/>
          <w:szCs w:val="16"/>
          <w:color w:val="auto"/>
        </w:rPr>
      </w:pPr>
    </w:p>
    <w:p>
      <w:pPr>
        <w:ind w:left="1080" w:hanging="544"/>
        <w:spacing w:after="0"/>
        <w:tabs>
          <w:tab w:leader="none" w:pos="1080"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licenses granted in Section 2.1(a) above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20" w:top="1392" w:right="319" w:bottom="1440" w:gutter="0" w:footer="0" w:header="0"/>
        </w:sectPr>
      </w:pPr>
    </w:p>
    <w:bookmarkStart w:id="521" w:name="page522"/>
    <w:bookmarkEnd w:id="521"/>
    <w:p>
      <w:pPr>
        <w:ind w:left="1620" w:right="240" w:hanging="539"/>
        <w:spacing w:after="0" w:line="262" w:lineRule="auto"/>
        <w:tabs>
          <w:tab w:leader="none" w:pos="1618"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grant to the final purchaser, user or consumer of Products the right to use such purchased Products in a method coming within the scope of Patent Rights within the applicable License Field and License Territory; and</w:t>
      </w:r>
    </w:p>
    <w:p>
      <w:pPr>
        <w:spacing w:after="0" w:line="141" w:lineRule="exact"/>
        <w:rPr>
          <w:rFonts w:ascii="Times New Roman" w:cs="Times New Roman" w:eastAsia="Times New Roman" w:hAnsi="Times New Roman"/>
          <w:sz w:val="17"/>
          <w:szCs w:val="17"/>
          <w:color w:val="auto"/>
        </w:rPr>
      </w:pPr>
    </w:p>
    <w:p>
      <w:pPr>
        <w:ind w:left="1620" w:right="460" w:hanging="539"/>
        <w:spacing w:after="0" w:line="262" w:lineRule="auto"/>
        <w:tabs>
          <w:tab w:leader="none" w:pos="1619" w:val="left"/>
        </w:tabs>
        <w:numPr>
          <w:ilvl w:val="1"/>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grant to a Distributor the right to Sell (but not to make, have made, use or have used) such Products and/or Processes for or on behalf of Company, its Affiliates and Sublicensees in a manner consistent with this Agreement.</w:t>
      </w:r>
    </w:p>
    <w:p>
      <w:pPr>
        <w:spacing w:after="0" w:line="141" w:lineRule="exact"/>
        <w:rPr>
          <w:rFonts w:ascii="Times New Roman" w:cs="Times New Roman" w:eastAsia="Times New Roman" w:hAnsi="Times New Roman"/>
          <w:sz w:val="17"/>
          <w:szCs w:val="17"/>
          <w:color w:val="auto"/>
        </w:rPr>
      </w:pPr>
    </w:p>
    <w:p>
      <w:pPr>
        <w:ind w:left="1080" w:right="40" w:hanging="544"/>
        <w:spacing w:after="0" w:line="245" w:lineRule="auto"/>
        <w:tabs>
          <w:tab w:leader="none" w:pos="1072"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rights granted to Company this Section 2 are also granted to each Affiliate of Company, provided that such Affiliate shall assume the same obligations as those of Company and be subject to the same terms and conditions hereunder; and further provided that Company shall be responsible for the performance of all of such obligations and for compliance with all of such terms and conditions by Affiliate. Company shall be responsible for any obligation of Affiliates to make any payment to Hospital or provide a report to Hospital.</w:t>
      </w:r>
    </w:p>
    <w:p>
      <w:pPr>
        <w:spacing w:after="0" w:line="155" w:lineRule="exact"/>
        <w:rPr>
          <w:rFonts w:ascii="Times New Roman" w:cs="Times New Roman" w:eastAsia="Times New Roman" w:hAnsi="Times New Roman"/>
          <w:sz w:val="17"/>
          <w:szCs w:val="17"/>
          <w:color w:val="auto"/>
        </w:rPr>
      </w:pPr>
    </w:p>
    <w:p>
      <w:pPr>
        <w:ind w:left="1080" w:right="320" w:hanging="544"/>
        <w:spacing w:after="0" w:line="262" w:lineRule="auto"/>
        <w:tabs>
          <w:tab w:leader="none" w:pos="1069"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acknowledges that Hospital may grant to a Third-Party Licensee a license under Patent Family 2 in a field of use that does not include the Patent Family 2 License Field.</w:t>
      </w:r>
    </w:p>
    <w:p>
      <w:pPr>
        <w:spacing w:after="0" w:line="14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Sublicenses</w:t>
      </w:r>
      <w:r>
        <w:rPr>
          <w:rFonts w:ascii="Times New Roman" w:cs="Times New Roman" w:eastAsia="Times New Roman" w:hAnsi="Times New Roman"/>
          <w:sz w:val="17"/>
          <w:szCs w:val="17"/>
          <w:color w:val="auto"/>
        </w:rPr>
        <w:t>. Each sublicense granted hereunder shall be subject to the prior written approval of Hospital, which approval shall not be unreasonably withheld, conditioned or delayed.</w:t>
      </w:r>
    </w:p>
    <w:p>
      <w:pPr>
        <w:spacing w:after="0" w:line="141" w:lineRule="exact"/>
        <w:rPr>
          <w:sz w:val="20"/>
          <w:szCs w:val="20"/>
          <w:color w:val="auto"/>
        </w:rPr>
      </w:pPr>
    </w:p>
    <w:p>
      <w:pPr>
        <w:ind w:left="1080" w:right="120" w:hanging="544"/>
        <w:spacing w:after="0" w:line="262" w:lineRule="auto"/>
        <w:tabs>
          <w:tab w:leader="none" w:pos="1072"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require that each sublicense is consistent with and subject to the terms and conditions of the License, including without limitation terms and conditions regarding indemnification, insurance, disclaimers of warranty, and limitations of liability.</w:t>
      </w:r>
    </w:p>
    <w:p>
      <w:pPr>
        <w:spacing w:after="0" w:line="141" w:lineRule="exact"/>
        <w:rPr>
          <w:rFonts w:ascii="Times New Roman" w:cs="Times New Roman" w:eastAsia="Times New Roman" w:hAnsi="Times New Roman"/>
          <w:sz w:val="17"/>
          <w:szCs w:val="17"/>
          <w:color w:val="auto"/>
        </w:rPr>
      </w:pPr>
    </w:p>
    <w:p>
      <w:pPr>
        <w:ind w:left="1080" w:hanging="544"/>
        <w:spacing w:after="0" w:line="242" w:lineRule="auto"/>
        <w:tabs>
          <w:tab w:leader="none" w:pos="1069"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signing a sublicense agreement or any amendment thereto, Company shall provide to Hospital a draft of such agreement or amendment. Company may redact such draft, but only to redact content that is unrelated to the grant of Patent Rights under this Agreement. If Hospital has any comments, it shall provide such comments to Company within [***] days after its receipt of the draft. If Hospital does not provide any comments during such period, the agreement shall be deemed to be approved. If Company receives comments from Hospital, it shall negotiate same with the proposed sublicensee and then deliver a revised draft to Hospital. Hospital shall have [***] days, following receipt, to approve or reject the revised draft. If Hospital does not reject the revised license within such [***]-day period, the sublicense agreement shall be deemed to be approved.</w:t>
      </w:r>
    </w:p>
    <w:p>
      <w:pPr>
        <w:spacing w:after="0" w:line="157" w:lineRule="exact"/>
        <w:rPr>
          <w:rFonts w:ascii="Times New Roman" w:cs="Times New Roman" w:eastAsia="Times New Roman" w:hAnsi="Times New Roman"/>
          <w:sz w:val="17"/>
          <w:szCs w:val="17"/>
          <w:color w:val="auto"/>
        </w:rPr>
      </w:pPr>
    </w:p>
    <w:p>
      <w:pPr>
        <w:ind w:left="1080" w:right="140" w:hanging="544"/>
        <w:spacing w:after="0" w:line="245" w:lineRule="auto"/>
        <w:tabs>
          <w:tab w:leader="none" w:pos="1072"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provide to Hospital a fully signed copy of all sublicense agreements and amendments thereto, including all exhibits, attachments and related documents, within [***] days after executing the same. Company may redact such copy, but only to redact content that is unrelated to the grant of Patent Rights under this Agreement. For the avoidance of doubt, Company need not provide Hospital copies of agreements with contract research (including academic or non-profit research, development, manufacturing, and/or sales)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0"/>
          </w:cols>
          <w:pgMar w:left="320" w:top="1392" w:right="319" w:bottom="1440" w:gutter="0" w:footer="0" w:header="0"/>
        </w:sectPr>
      </w:pPr>
    </w:p>
    <w:bookmarkStart w:id="522" w:name="page523"/>
    <w:bookmarkEnd w:id="522"/>
    <w:p>
      <w:pPr>
        <w:ind w:left="1080" w:right="280" w:hanging="544"/>
        <w:spacing w:after="0" w:line="262" w:lineRule="auto"/>
        <w:tabs>
          <w:tab w:leader="none" w:pos="1069"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of this Agreement or any license granted hereunder for any reason, any sublicenses shall be addressed in accordance with Section 10.7. Any sublicense which is not in accordance with the forgoing provisions shall be null and void.</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6"/>
          <w:szCs w:val="16"/>
          <w:u w:val="single" w:color="auto"/>
          <w:color w:val="auto"/>
        </w:rPr>
        <w:t>Retained Rights</w:t>
      </w:r>
      <w:r>
        <w:rPr>
          <w:rFonts w:ascii="Times New Roman" w:cs="Times New Roman" w:eastAsia="Times New Roman" w:hAnsi="Times New Roman"/>
          <w:sz w:val="16"/>
          <w:szCs w:val="16"/>
          <w:color w:val="auto"/>
        </w:rPr>
        <w:t>: Requirements. Any and all licenses granted hereunder are subject to:</w:t>
      </w:r>
    </w:p>
    <w:p>
      <w:pPr>
        <w:spacing w:after="0" w:line="179" w:lineRule="exact"/>
        <w:rPr>
          <w:sz w:val="20"/>
          <w:szCs w:val="20"/>
          <w:color w:val="auto"/>
        </w:rPr>
      </w:pPr>
    </w:p>
    <w:p>
      <w:pPr>
        <w:ind w:left="1080" w:right="100" w:hanging="544"/>
        <w:spacing w:after="0" w:line="262" w:lineRule="auto"/>
        <w:tabs>
          <w:tab w:leader="none" w:pos="1072"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Hospital and Hospital’s Affiliates and academic, government and not-for-profit institutions to make and to use the subject matter described and/or claimed in the Patent Rights for research and educational purposes; and</w:t>
      </w:r>
    </w:p>
    <w:p>
      <w:pPr>
        <w:spacing w:after="0" w:line="141" w:lineRule="exact"/>
        <w:rPr>
          <w:rFonts w:ascii="Times New Roman" w:cs="Times New Roman" w:eastAsia="Times New Roman" w:hAnsi="Times New Roman"/>
          <w:sz w:val="17"/>
          <w:szCs w:val="17"/>
          <w:color w:val="auto"/>
        </w:rPr>
      </w:pPr>
    </w:p>
    <w:p>
      <w:pPr>
        <w:ind w:left="1080" w:right="120" w:hanging="544"/>
        <w:spacing w:after="0" w:line="262" w:lineRule="auto"/>
        <w:tabs>
          <w:tab w:leader="none" w:pos="1069"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Patent Rights supported by federal funding, the rights, conditions and limitations imposed by U.S. law (see 35 U.S.C. § 202 et seg. and regulations pertaining thereto), including without limitation:</w:t>
      </w:r>
    </w:p>
    <w:p>
      <w:pPr>
        <w:spacing w:after="0" w:line="141" w:lineRule="exact"/>
        <w:rPr>
          <w:rFonts w:ascii="Times New Roman" w:cs="Times New Roman" w:eastAsia="Times New Roman" w:hAnsi="Times New Roman"/>
          <w:sz w:val="17"/>
          <w:szCs w:val="17"/>
          <w:color w:val="auto"/>
        </w:rPr>
      </w:pPr>
    </w:p>
    <w:p>
      <w:pPr>
        <w:ind w:left="1620" w:hanging="539"/>
        <w:spacing w:after="0"/>
        <w:tabs>
          <w:tab w:leader="none" w:pos="1620"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royalty-free non-exclusive license granted to the U.S. government; and</w:t>
      </w:r>
    </w:p>
    <w:p>
      <w:pPr>
        <w:spacing w:after="0" w:line="179" w:lineRule="exact"/>
        <w:rPr>
          <w:rFonts w:ascii="Times New Roman" w:cs="Times New Roman" w:eastAsia="Times New Roman" w:hAnsi="Times New Roman"/>
          <w:sz w:val="17"/>
          <w:szCs w:val="17"/>
          <w:color w:val="auto"/>
        </w:rPr>
      </w:pPr>
    </w:p>
    <w:p>
      <w:pPr>
        <w:ind w:left="1620" w:right="40" w:hanging="539"/>
        <w:spacing w:after="0" w:line="262" w:lineRule="auto"/>
        <w:tabs>
          <w:tab w:leader="none" w:pos="1619"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required by applicable law, the requirement that any Products used or sold in the United States shall be manufactured substantially in the United States.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No Additional Rights</w:t>
      </w:r>
      <w:r>
        <w:rPr>
          <w:rFonts w:ascii="Times New Roman" w:cs="Times New Roman" w:eastAsia="Times New Roman" w:hAnsi="Times New Roman"/>
          <w:sz w:val="17"/>
          <w:szCs w:val="17"/>
          <w:color w:val="auto"/>
        </w:rPr>
        <w:t>. It is understood that nothing in this Agreement shall be construed to grant Company or any of its Affiliates a license, express or implied, under any patent owned solely or jointly by Hospital other than the Patent Rights expressly licensed hereunder. Hospital shall have the right to license any Patent Rights to any other party for any purpose outside of the License Fields or the License Territory.</w:t>
      </w:r>
    </w:p>
    <w:p>
      <w:pPr>
        <w:spacing w:after="0" w:line="148" w:lineRule="exact"/>
        <w:rPr>
          <w:sz w:val="20"/>
          <w:szCs w:val="20"/>
          <w:color w:val="auto"/>
        </w:rPr>
      </w:pPr>
    </w:p>
    <w:p>
      <w:pPr>
        <w:ind w:left="4620" w:hanging="548"/>
        <w:spacing w:after="0"/>
        <w:tabs>
          <w:tab w:leader="none" w:pos="4620" w:val="left"/>
        </w:tabs>
        <w:numPr>
          <w:ilvl w:val="0"/>
          <w:numId w:val="4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DUE DILIGENCE OBLIGATIONS</w:t>
      </w:r>
    </w:p>
    <w:p>
      <w:pPr>
        <w:spacing w:after="0" w:line="18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Diligence Requirements</w:t>
      </w:r>
      <w:r>
        <w:rPr>
          <w:rFonts w:ascii="Times New Roman" w:cs="Times New Roman" w:eastAsia="Times New Roman" w:hAnsi="Times New Roman"/>
          <w:sz w:val="17"/>
          <w:szCs w:val="17"/>
          <w:color w:val="auto"/>
        </w:rPr>
        <w:t>. Company shall use, and shall cause its Affiliates and Sublicensees, as applicable, to use, commercially reasonable efforts to develop and make available to the public Products and Processes throughout the License Territory in the License Fields. Such efforts shall include achieving the following objectives within the time periods designated below following the Effective Date:</w:t>
      </w:r>
    </w:p>
    <w:p>
      <w:pPr>
        <w:spacing w:after="0" w:line="152" w:lineRule="exact"/>
        <w:rPr>
          <w:sz w:val="20"/>
          <w:szCs w:val="20"/>
          <w:color w:val="auto"/>
        </w:rPr>
      </w:pPr>
    </w:p>
    <w:p>
      <w:pPr>
        <w:ind w:left="1080" w:right="240" w:hanging="544"/>
        <w:spacing w:after="0" w:line="262" w:lineRule="auto"/>
        <w:tabs>
          <w:tab w:leader="none" w:pos="1072"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 months after the Effective Date and annually thereafter, submission of a research and development plan to Hospital (the “Development Plan”):</w:t>
      </w:r>
    </w:p>
    <w:p>
      <w:pPr>
        <w:spacing w:after="0" w:line="141"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 months after the Effective Date, Company will have raised cumulative funding of not less than $[***];</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 months after the Effective Date, Company will have raised cumulative funding of not less than $[***];</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 Company will have raised cumulative funding of not less than $[***];</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 Company will [***];</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 Company will [***]; and</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 Company will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00"/>
          </w:cols>
          <w:pgMar w:left="320" w:top="1392" w:right="379" w:bottom="1440" w:gutter="0" w:footer="0" w:header="0"/>
        </w:sectPr>
      </w:pPr>
    </w:p>
    <w:bookmarkStart w:id="523" w:name="page524"/>
    <w:bookmarkEnd w:id="523"/>
    <w:p>
      <w:pPr>
        <w:ind w:right="280" w:firstLine="545"/>
        <w:spacing w:after="0" w:line="262" w:lineRule="auto"/>
        <w:rPr>
          <w:sz w:val="20"/>
          <w:szCs w:val="20"/>
          <w:color w:val="auto"/>
        </w:rPr>
      </w:pPr>
      <w:r>
        <w:rPr>
          <w:rFonts w:ascii="Times New Roman" w:cs="Times New Roman" w:eastAsia="Times New Roman" w:hAnsi="Times New Roman"/>
          <w:sz w:val="17"/>
          <w:szCs w:val="17"/>
          <w:color w:val="auto"/>
        </w:rPr>
        <w:t>Achievement of the foregoing objectives, by Company, its Affiliates or Sublicensees, shall be deemed to satisfy Company’s obligations to use commercially reasonable efforts under this Section 3.1.</w:t>
      </w:r>
    </w:p>
    <w:p>
      <w:pPr>
        <w:spacing w:after="0" w:line="14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Diligence Failures</w:t>
      </w:r>
      <w:r>
        <w:rPr>
          <w:rFonts w:ascii="Times New Roman" w:cs="Times New Roman" w:eastAsia="Times New Roman" w:hAnsi="Times New Roman"/>
          <w:sz w:val="17"/>
          <w:szCs w:val="17"/>
          <w:color w:val="auto"/>
        </w:rPr>
        <w:t>. If Hospital determines that Company has failed to fulfill any of its obligations under Section 3.1, then Hospital may treat such failure as a default and may terminate this Agreement and/or any license granted hereunder in accordance with Section 10.4.</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6"/>
          <w:szCs w:val="16"/>
          <w:u w:val="single" w:color="auto"/>
          <w:color w:val="auto"/>
        </w:rPr>
        <w:t>Diligence Reports</w:t>
      </w:r>
      <w:r>
        <w:rPr>
          <w:rFonts w:ascii="Times New Roman" w:cs="Times New Roman" w:eastAsia="Times New Roman" w:hAnsi="Times New Roman"/>
          <w:sz w:val="16"/>
          <w:szCs w:val="16"/>
          <w:color w:val="auto"/>
        </w:rPr>
        <w:t>. Company shall provide all reports with respect to its obligations under Section 3.1 as set forth in Section 5.</w:t>
      </w:r>
    </w:p>
    <w:p>
      <w:pPr>
        <w:spacing w:after="0" w:line="175" w:lineRule="exact"/>
        <w:rPr>
          <w:sz w:val="20"/>
          <w:szCs w:val="20"/>
          <w:color w:val="auto"/>
        </w:rPr>
      </w:pPr>
    </w:p>
    <w:p>
      <w:pPr>
        <w:ind w:left="4740" w:hanging="538"/>
        <w:spacing w:after="0"/>
        <w:tabs>
          <w:tab w:leader="none" w:pos="4740" w:val="left"/>
        </w:tabs>
        <w:numPr>
          <w:ilvl w:val="0"/>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PAYMENTS AND ROYALTIES</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License Issue Fee</w:t>
      </w:r>
      <w:r>
        <w:rPr>
          <w:rFonts w:ascii="Times New Roman" w:cs="Times New Roman" w:eastAsia="Times New Roman" w:hAnsi="Times New Roman"/>
          <w:sz w:val="17"/>
          <w:szCs w:val="17"/>
          <w:color w:val="auto"/>
        </w:rPr>
        <w:t>. Company shall pay Hospital a non-refundable up-front fee of $[***] payable as follows: (i) $[***] on the Effective Date and (ii) $[***] on the first anniversary of the Effective Date.</w:t>
      </w:r>
    </w:p>
    <w:p>
      <w:pPr>
        <w:spacing w:after="0" w:line="14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Patent Cost Reimbursement</w:t>
      </w:r>
      <w:r>
        <w:rPr>
          <w:rFonts w:ascii="Times New Roman" w:cs="Times New Roman" w:eastAsia="Times New Roman" w:hAnsi="Times New Roman"/>
          <w:sz w:val="17"/>
          <w:szCs w:val="17"/>
          <w:color w:val="auto"/>
        </w:rPr>
        <w:t>. Company shall reimburse Hospital for all costs associated with the preparation, filing, prosecution and maintenance of all Patent Rights (“Patent Costs”‘) as follows:</w:t>
      </w:r>
    </w:p>
    <w:p>
      <w:pPr>
        <w:spacing w:after="0" w:line="141" w:lineRule="exact"/>
        <w:rPr>
          <w:sz w:val="20"/>
          <w:szCs w:val="20"/>
          <w:color w:val="auto"/>
        </w:rPr>
      </w:pPr>
    </w:p>
    <w:p>
      <w:pPr>
        <w:ind w:left="1080" w:right="140" w:hanging="544"/>
        <w:spacing w:after="0" w:line="262" w:lineRule="auto"/>
        <w:tabs>
          <w:tab w:leader="none" w:pos="1072"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Family 1: Company shall reimburse Hospital for all costs incurred by Hospital (as incurred) for prosecution, maintenance or defense (including interference, oppositions, revocations etc.) of the Patent Rights in Patent Family 1;</w:t>
      </w:r>
    </w:p>
    <w:p>
      <w:pPr>
        <w:spacing w:after="0" w:line="141" w:lineRule="exact"/>
        <w:rPr>
          <w:rFonts w:ascii="Times New Roman" w:cs="Times New Roman" w:eastAsia="Times New Roman" w:hAnsi="Times New Roman"/>
          <w:sz w:val="17"/>
          <w:szCs w:val="17"/>
          <w:color w:val="auto"/>
        </w:rPr>
      </w:pPr>
    </w:p>
    <w:p>
      <w:pPr>
        <w:ind w:left="1080" w:right="60" w:hanging="544"/>
        <w:spacing w:after="0" w:line="249" w:lineRule="auto"/>
        <w:tabs>
          <w:tab w:leader="none" w:pos="1069"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Family 2: Company shall reimburse Hospital for [***]% of all costs (for so long as a Third Party Licensee has a license under Patent Family 2) incurred by Hospital (as incurred) including, without limitation, prosecution, maintenance and defense (including interference, oppositions, revocations etc.) of the Patent Rights in Patent Family 2, and reimbursement of costs incurred prior to the Effective Date.</w:t>
      </w:r>
    </w:p>
    <w:p>
      <w:pPr>
        <w:spacing w:after="0" w:line="15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color w:val="auto"/>
        </w:rPr>
        <w:t>With respect to costs incurred by Hospital prior to the Effective Date (estimated currently at a total of $[***] for Patent Family 1 (Case [***] $[***], Case [***] $[***], and Case [***] $[***]), and at a total of $[***] for Patent Family 2 (Case [***]), Company shall pay [***]% of such costs on the Effective Date, another [***]% on the [***] anniversary of the Effective Date and the balance on the [***] anniversary of the Effective Date.</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Company shall pay to Hospital, or at Hospital’s request directly to patent counsel, all other Patent Costs within [***] days of Company’s receipt of an invoice for such Patent Costs either from Hospital or Hospital’s patent counsel. Company agrees to indemnify, defend and hold Hospital harmless from and against any and all liabilities, damages, costs and expenses arising from the failure of Company to timely pay Patent Costs reflected in such invoices. Hospital shall instruct patent counsel to provide copies to Hospital for Hospital’s administrative files of all invoices detailing Patent Costs which are sent directly to Company. If Company pays any Patent Costs directly, Company shall advise patent counsel that Hospital is and shall remain patent counsel’s client.</w:t>
      </w:r>
    </w:p>
    <w:p>
      <w:pPr>
        <w:spacing w:after="0" w:line="15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u w:val="single" w:color="auto"/>
          <w:color w:val="auto"/>
        </w:rPr>
        <w:t>Annual License Fee: Annual Minimum Royalty</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1080" w:right="180" w:hanging="544"/>
        <w:spacing w:after="0" w:line="262" w:lineRule="auto"/>
        <w:tabs>
          <w:tab w:leader="none" w:pos="1072"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First Commercial Sale. Prior to the First Commercial Sale, Company shall pay to Hospital the following non-refundable amounts as an annual license fee within [***] days after each of the following anniversaries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20"/>
          </w:cols>
          <w:pgMar w:left="320" w:top="1392" w:right="359" w:bottom="1440" w:gutter="0" w:footer="0" w:header="0"/>
        </w:sectPr>
      </w:pPr>
    </w:p>
    <w:bookmarkStart w:id="524" w:name="page525"/>
    <w:bookmarkEnd w:id="524"/>
    <w:p>
      <w:pPr>
        <w:ind w:left="1620" w:right="140" w:hanging="539"/>
        <w:spacing w:after="0" w:line="262" w:lineRule="auto"/>
        <w:tabs>
          <w:tab w:leader="none" w:pos="1618"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on the [***], [***] and [***] anniversaries of the Effective Date (note that a total of $[***] is due on the [***] anniversary because of the $[***] fee payable in accordance with Section 4.1);</w:t>
      </w:r>
    </w:p>
    <w:p>
      <w:pPr>
        <w:spacing w:after="0" w:line="141" w:lineRule="exact"/>
        <w:rPr>
          <w:rFonts w:ascii="Times New Roman" w:cs="Times New Roman" w:eastAsia="Times New Roman" w:hAnsi="Times New Roman"/>
          <w:sz w:val="17"/>
          <w:szCs w:val="17"/>
          <w:color w:val="auto"/>
        </w:rPr>
      </w:pPr>
    </w:p>
    <w:p>
      <w:pPr>
        <w:ind w:left="1620" w:hanging="539"/>
        <w:spacing w:after="0"/>
        <w:tabs>
          <w:tab w:leader="none" w:pos="1620"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per year on the [***], [***] and [***] anniversaries of the Effective Date; and</w:t>
      </w:r>
    </w:p>
    <w:p>
      <w:pPr>
        <w:spacing w:after="0" w:line="179" w:lineRule="exact"/>
        <w:rPr>
          <w:rFonts w:ascii="Times New Roman" w:cs="Times New Roman" w:eastAsia="Times New Roman" w:hAnsi="Times New Roman"/>
          <w:sz w:val="17"/>
          <w:szCs w:val="17"/>
          <w:color w:val="auto"/>
        </w:rPr>
      </w:pPr>
    </w:p>
    <w:p>
      <w:pPr>
        <w:ind w:left="1620" w:hanging="539"/>
        <w:spacing w:after="0"/>
        <w:tabs>
          <w:tab w:leader="none" w:pos="1620"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on each subsequent anniversary of the Effective Date;</w:t>
      </w:r>
    </w:p>
    <w:p>
      <w:pPr>
        <w:spacing w:after="0" w:line="179" w:lineRule="exact"/>
        <w:rPr>
          <w:rFonts w:ascii="Times New Roman" w:cs="Times New Roman" w:eastAsia="Times New Roman" w:hAnsi="Times New Roman"/>
          <w:sz w:val="17"/>
          <w:szCs w:val="17"/>
          <w:color w:val="auto"/>
        </w:rPr>
      </w:pPr>
    </w:p>
    <w:p>
      <w:pPr>
        <w:ind w:left="1080" w:right="400" w:hanging="544"/>
        <w:spacing w:after="0" w:line="262" w:lineRule="auto"/>
        <w:tabs>
          <w:tab w:leader="none" w:pos="1069"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First Commercial Sale. The Annual Minimum Payments shall be credited against royalties subsequently due on Net Sales made during such calendar year, if any, but shall not be credited against royalties due on Net Sales made in any other year.</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6"/>
          <w:szCs w:val="16"/>
          <w:u w:val="single" w:color="auto"/>
          <w:color w:val="auto"/>
        </w:rPr>
        <w:t>Milestone Payments</w:t>
      </w:r>
      <w:r>
        <w:rPr>
          <w:rFonts w:ascii="Times New Roman" w:cs="Times New Roman" w:eastAsia="Times New Roman" w:hAnsi="Times New Roman"/>
          <w:sz w:val="16"/>
          <w:szCs w:val="16"/>
          <w:color w:val="auto"/>
        </w:rPr>
        <w:t>. In addition to the payments set forth in Sections 4.1 through 4.3 above, Company shall pay Hospital milestone payments for the first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or Process using Patent Rights of Patent Family 1, and for the first Product or Process using Patent Rights of Patent Family 2, as follows:</w:t>
      </w:r>
    </w:p>
    <w:p>
      <w:pPr>
        <w:spacing w:after="0" w:line="161" w:lineRule="exact"/>
        <w:rPr>
          <w:sz w:val="20"/>
          <w:szCs w:val="20"/>
          <w:color w:val="auto"/>
        </w:rPr>
      </w:pPr>
    </w:p>
    <w:p>
      <w:pPr>
        <w:ind w:left="1080" w:hanging="544"/>
        <w:spacing w:after="0"/>
        <w:tabs>
          <w:tab w:leader="none" w:pos="108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dollars ($[***]) within sixty (60) days after [***];</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dollars ($[***]) within sixty (60) days after [***];</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dollars ($[***]) within sixty (60) days after [***];</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dollars ($[***]) within sixty (60) days after [***]; and</w:t>
      </w:r>
    </w:p>
    <w:p>
      <w:pPr>
        <w:spacing w:after="0" w:line="179" w:lineRule="exact"/>
        <w:rPr>
          <w:rFonts w:ascii="Times New Roman" w:cs="Times New Roman" w:eastAsia="Times New Roman" w:hAnsi="Times New Roman"/>
          <w:sz w:val="17"/>
          <w:szCs w:val="17"/>
          <w:color w:val="auto"/>
        </w:rPr>
      </w:pPr>
    </w:p>
    <w:p>
      <w:pPr>
        <w:ind w:right="5620" w:firstLine="536"/>
        <w:spacing w:after="0" w:line="460" w:lineRule="auto"/>
        <w:tabs>
          <w:tab w:leader="none" w:pos="1082"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dollars ($[***]), less [***], within sixty (60) days after [***]. Notwithstanding the forgoing, if the [***].</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w:t>
      </w:r>
      <w:r>
        <w:rPr>
          <w:rFonts w:ascii="Times New Roman" w:cs="Times New Roman" w:eastAsia="Times New Roman" w:hAnsi="Times New Roman"/>
          <w:sz w:val="16"/>
          <w:szCs w:val="16"/>
          <w:u w:val="single" w:color="auto"/>
          <w:color w:val="auto"/>
        </w:rPr>
        <w:t>Royalties on Net Sales and Sublicense Income</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1080" w:right="280" w:hanging="544"/>
        <w:spacing w:after="0" w:line="262" w:lineRule="auto"/>
        <w:tabs>
          <w:tab w:leader="none" w:pos="1072"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with the First Commercial Sale in any country in the License Territory, Company shall pay Hospital a royalty of [***]% on Net Sales (as defined in Section 1.14).</w:t>
      </w:r>
    </w:p>
    <w:p>
      <w:pPr>
        <w:spacing w:after="0" w:line="141" w:lineRule="exact"/>
        <w:rPr>
          <w:rFonts w:ascii="Times New Roman" w:cs="Times New Roman" w:eastAsia="Times New Roman" w:hAnsi="Times New Roman"/>
          <w:sz w:val="17"/>
          <w:szCs w:val="17"/>
          <w:color w:val="auto"/>
        </w:rPr>
      </w:pPr>
    </w:p>
    <w:p>
      <w:pPr>
        <w:ind w:left="1080"/>
        <w:spacing w:after="0" w:line="24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more than one product or service that could have been sold separately are combined for sale at a single offering price, the total gross amount invoiced for purposes of determining Net Sales shall be calculated by multiplying the revenue for said combined sale by the fraction A/(A+B), where A is the sum of the offering prices of each product and service that independently constitutes a Product or Process if sold separately, and B is the sum of the offering prices of each other product or service combined therewith at said single offering price, provided however, royalties on Net Sales shall not be lower than [***]%.</w:t>
      </w:r>
    </w:p>
    <w:p>
      <w:pPr>
        <w:spacing w:after="0" w:line="157" w:lineRule="exact"/>
        <w:rPr>
          <w:rFonts w:ascii="Times New Roman" w:cs="Times New Roman" w:eastAsia="Times New Roman" w:hAnsi="Times New Roman"/>
          <w:sz w:val="17"/>
          <w:szCs w:val="17"/>
          <w:color w:val="auto"/>
        </w:rPr>
      </w:pPr>
    </w:p>
    <w:p>
      <w:pPr>
        <w:ind w:left="1080" w:right="460" w:hanging="544"/>
        <w:spacing w:after="0" w:line="262" w:lineRule="auto"/>
        <w:tabs>
          <w:tab w:leader="none" w:pos="1069"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pay Hospital, at the time set forth in Section 4.5(c) below, the Applicable Percentage (as defined below) of any and all Sublicense Income to the extent attributable to a Product or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00"/>
          </w:cols>
          <w:pgMar w:left="320" w:top="1392" w:right="379" w:bottom="1440" w:gutter="0" w:footer="0" w:header="0"/>
        </w:sectPr>
      </w:pPr>
    </w:p>
    <w:bookmarkStart w:id="525" w:name="page526"/>
    <w:bookmarkEnd w:id="525"/>
    <w:p>
      <w:pPr>
        <w:ind w:left="1080"/>
        <w:spacing w:after="0" w:line="241" w:lineRule="auto"/>
        <w:rPr>
          <w:sz w:val="20"/>
          <w:szCs w:val="20"/>
          <w:color w:val="auto"/>
        </w:rPr>
      </w:pPr>
      <w:r>
        <w:rPr>
          <w:rFonts w:ascii="Times New Roman" w:cs="Times New Roman" w:eastAsia="Times New Roman" w:hAnsi="Times New Roman"/>
          <w:sz w:val="17"/>
          <w:szCs w:val="17"/>
          <w:color w:val="auto"/>
        </w:rPr>
        <w:t>For purposes of this provision, the “Applicable Percentage” shall be: (i) [***]% during the period between the Effective Date and the [***] anniversary of the Effective Date; (ii) [***]% during the period between the [***] anniversary of the Effective Date and the date that Company has raised $[***] from all sources including sales of securities, grants and sublicense income (the “$[***] Funding Threshold”); provided, however, that if the $[***] Funding Threshold is achieved prior to the [***] anniversary of the Effective Date, then skip clauses (i) and (ii) and proceed to clause (iii)); (iii) [***]% during the period between (A) the earlier to occur of the [***] anniversary of the Effective Date and the $[***] Funding Threshold and (B) the date the Company has raised $[***]; (iv) [***]% during the period after the Company has raised $[***] and before it has raised $[***]; and (v) [***]% during the period after the Company has raised $[***].</w:t>
      </w:r>
    </w:p>
    <w:p>
      <w:pPr>
        <w:spacing w:after="0" w:line="159" w:lineRule="exact"/>
        <w:rPr>
          <w:sz w:val="20"/>
          <w:szCs w:val="20"/>
          <w:color w:val="auto"/>
        </w:rPr>
      </w:pPr>
    </w:p>
    <w:p>
      <w:pPr>
        <w:ind w:left="1080" w:hanging="544"/>
        <w:spacing w:after="0" w:line="262" w:lineRule="auto"/>
        <w:tabs>
          <w:tab w:leader="none" w:pos="1072"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due to Hospital under this Section 4.5 shall be due and payable by Company within [***] days after the end of each Reporting Period, and shall be accompanied by a report as set forth in Sections 5.3 and 5.4.</w:t>
      </w:r>
    </w:p>
    <w:p>
      <w:pPr>
        <w:spacing w:after="0" w:line="14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Form of Payment</w:t>
      </w:r>
      <w:r>
        <w:rPr>
          <w:rFonts w:ascii="Times New Roman" w:cs="Times New Roman" w:eastAsia="Times New Roman" w:hAnsi="Times New Roman"/>
          <w:sz w:val="17"/>
          <w:szCs w:val="17"/>
          <w:color w:val="auto"/>
        </w:rPr>
        <w:t>. All payments due under this Agreement shall be drawn on a United States bank and shall be payable in United States dollars. Each payment shall reference this Agreement and its BWH Agreement Number and identify the obligation under this Agreement that the payment satisfies. Conversion of foreign currency to U.S. dollars shall be made at the conversion rate existing in the United States, as reported in The Wall Street Journal, on the last working day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Checks for all payments due to the Hospital under this Agreement shall be made payable to the Hospital and addressed as set forth below:</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Brigham and Women’s Hospital</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BOA-Lockbox Services</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PCSR Lockbox #[***]</w:t>
      </w:r>
    </w:p>
    <w:p>
      <w:pPr>
        <w:ind w:left="540"/>
        <w:spacing w:after="0" w:line="237" w:lineRule="auto"/>
        <w:rPr>
          <w:sz w:val="20"/>
          <w:szCs w:val="20"/>
          <w:color w:val="auto"/>
        </w:rPr>
      </w:pPr>
      <w:r>
        <w:rPr>
          <w:rFonts w:ascii="Times New Roman" w:cs="Times New Roman" w:eastAsia="Times New Roman" w:hAnsi="Times New Roman"/>
          <w:sz w:val="17"/>
          <w:szCs w:val="17"/>
          <w:color w:val="auto"/>
        </w:rPr>
        <w:t>[***]</w:t>
      </w:r>
    </w:p>
    <w:p>
      <w:pPr>
        <w:ind w:left="540"/>
        <w:spacing w:after="0"/>
        <w:rPr>
          <w:sz w:val="20"/>
          <w:szCs w:val="20"/>
          <w:color w:val="auto"/>
        </w:rPr>
      </w:pPr>
      <w:r>
        <w:rPr>
          <w:rFonts w:ascii="Times New Roman" w:cs="Times New Roman" w:eastAsia="Times New Roman" w:hAnsi="Times New Roman"/>
          <w:sz w:val="17"/>
          <w:szCs w:val="17"/>
          <w:color w:val="auto"/>
        </w:rPr>
        <w:t>2 Morrissey Blvd</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Dorchester, MA 02125</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Reference Agreement #: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Payments via wire transfer should be made as follows: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ACH Credit: [***]</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Federal Reserve Wire: [***]</w:t>
      </w:r>
    </w:p>
    <w:p>
      <w:pPr>
        <w:ind w:left="540"/>
        <w:spacing w:after="0" w:line="237" w:lineRule="auto"/>
        <w:rPr>
          <w:sz w:val="20"/>
          <w:szCs w:val="20"/>
          <w:color w:val="auto"/>
        </w:rPr>
      </w:pPr>
      <w:r>
        <w:rPr>
          <w:rFonts w:ascii="Times New Roman" w:cs="Times New Roman" w:eastAsia="Times New Roman" w:hAnsi="Times New Roman"/>
          <w:sz w:val="17"/>
          <w:szCs w:val="17"/>
          <w:color w:val="auto"/>
        </w:rPr>
        <w:t>SWIFT Code: [***]</w:t>
      </w:r>
    </w:p>
    <w:p>
      <w:pPr>
        <w:ind w:left="540"/>
        <w:spacing w:after="0" w:line="237" w:lineRule="auto"/>
        <w:rPr>
          <w:sz w:val="20"/>
          <w:szCs w:val="20"/>
          <w:color w:val="auto"/>
        </w:rPr>
      </w:pPr>
      <w:r>
        <w:rPr>
          <w:rFonts w:ascii="Times New Roman" w:cs="Times New Roman" w:eastAsia="Times New Roman" w:hAnsi="Times New Roman"/>
          <w:sz w:val="17"/>
          <w:szCs w:val="17"/>
          <w:color w:val="auto"/>
        </w:rPr>
        <w:t>Account #[***]</w:t>
      </w:r>
    </w:p>
    <w:p>
      <w:pPr>
        <w:ind w:left="540"/>
        <w:spacing w:after="0" w:line="237" w:lineRule="auto"/>
        <w:rPr>
          <w:sz w:val="20"/>
          <w:szCs w:val="20"/>
          <w:color w:val="auto"/>
        </w:rPr>
      </w:pPr>
      <w:r>
        <w:rPr>
          <w:rFonts w:ascii="Times New Roman" w:cs="Times New Roman" w:eastAsia="Times New Roman" w:hAnsi="Times New Roman"/>
          <w:sz w:val="17"/>
          <w:szCs w:val="17"/>
          <w:b w:val="1"/>
          <w:bCs w:val="1"/>
          <w:color w:val="auto"/>
        </w:rPr>
        <w:t>Brigham and Women’s Hospital</w:t>
      </w:r>
    </w:p>
    <w:p>
      <w:pPr>
        <w:ind w:left="540"/>
        <w:spacing w:after="0"/>
        <w:rPr>
          <w:sz w:val="20"/>
          <w:szCs w:val="20"/>
          <w:color w:val="auto"/>
        </w:rPr>
      </w:pPr>
      <w:r>
        <w:rPr>
          <w:rFonts w:ascii="Times New Roman" w:cs="Times New Roman" w:eastAsia="Times New Roman" w:hAnsi="Times New Roman"/>
          <w:sz w:val="17"/>
          <w:szCs w:val="17"/>
          <w:color w:val="auto"/>
        </w:rPr>
        <w:t>Bank of America</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100 Federal Street</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Boston, MA 02110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20"/>
          </w:cols>
          <w:pgMar w:left="320" w:top="1392" w:right="359" w:bottom="1440" w:gutter="0" w:footer="0" w:header="0"/>
        </w:sectPr>
      </w:pPr>
    </w:p>
    <w:bookmarkStart w:id="526" w:name="page527"/>
    <w:bookmarkEnd w:id="526"/>
    <w:p>
      <w:pPr>
        <w:ind w:left="540"/>
        <w:spacing w:after="0"/>
        <w:rPr>
          <w:sz w:val="20"/>
          <w:szCs w:val="20"/>
          <w:color w:val="auto"/>
        </w:rPr>
      </w:pPr>
      <w:r>
        <w:rPr>
          <w:rFonts w:ascii="Times New Roman" w:cs="Times New Roman" w:eastAsia="Times New Roman" w:hAnsi="Times New Roman"/>
          <w:sz w:val="17"/>
          <w:szCs w:val="17"/>
          <w:color w:val="auto"/>
        </w:rPr>
        <w:t>Reference Agreement #: [***]</w:t>
      </w:r>
    </w:p>
    <w:p>
      <w:pPr>
        <w:spacing w:after="0" w:line="17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Overdue Payments</w:t>
      </w:r>
      <w:r>
        <w:rPr>
          <w:rFonts w:ascii="Times New Roman" w:cs="Times New Roman" w:eastAsia="Times New Roman" w:hAnsi="Times New Roman"/>
          <w:sz w:val="17"/>
          <w:szCs w:val="17"/>
          <w:color w:val="auto"/>
        </w:rPr>
        <w:t>. The payments due under this Agreement shall, if overdue, bear interest beginning on the first day following the Reporting Period to which such payment was incurred and until payment thereof at a per annum rate equal to [***] above the prime rate in effect on the due date as reported by The Wall Street Journal, such interest rate being compounded on the last day of each Reporting Period, not to exceed the maximum permitted by law. Any such overdue payments when made shall be accompanied by all interest so accrued. Said interest and the payment and acceptance thereof shall not preclude Hospital from exercising any other rights it may have as a consequence of the lateness of any payment.</w:t>
      </w:r>
    </w:p>
    <w:p>
      <w:pPr>
        <w:spacing w:after="0" w:line="153" w:lineRule="exact"/>
        <w:rPr>
          <w:sz w:val="20"/>
          <w:szCs w:val="20"/>
          <w:color w:val="auto"/>
        </w:rPr>
      </w:pPr>
    </w:p>
    <w:p>
      <w:pPr>
        <w:ind w:left="4880" w:hanging="548"/>
        <w:spacing w:after="0"/>
        <w:tabs>
          <w:tab w:leader="none" w:pos="4880" w:val="left"/>
        </w:tabs>
        <w:numPr>
          <w:ilvl w:val="0"/>
          <w:numId w:val="4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REPORTS AND RECORDS</w:t>
      </w:r>
    </w:p>
    <w:p>
      <w:pPr>
        <w:spacing w:after="0" w:line="18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Diligence Reports</w:t>
      </w:r>
      <w:r>
        <w:rPr>
          <w:rFonts w:ascii="Times New Roman" w:cs="Times New Roman" w:eastAsia="Times New Roman" w:hAnsi="Times New Roman"/>
          <w:sz w:val="17"/>
          <w:szCs w:val="17"/>
          <w:color w:val="auto"/>
        </w:rPr>
        <w:t>. Within [***] days after the end of each calendar year, Company shall report in writing to Hospital on progress made toward the objectives set forth in Section 3.1 during such preceding 12-month period, including, without limitation, progress on research and development, status of applications for regulatory approvals, manufacturing, sublicensing and the number of sublicenses entered into and marketing.</w:t>
      </w:r>
    </w:p>
    <w:p>
      <w:pPr>
        <w:spacing w:after="0" w:line="15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Milestone Achievement Notification</w:t>
      </w:r>
      <w:r>
        <w:rPr>
          <w:rFonts w:ascii="Times New Roman" w:cs="Times New Roman" w:eastAsia="Times New Roman" w:hAnsi="Times New Roman"/>
          <w:sz w:val="17"/>
          <w:szCs w:val="17"/>
          <w:color w:val="auto"/>
        </w:rPr>
        <w:t>. Company shall report to Hospital the dates on which it achieves the milestones set forth in Section 4.4 within [***] days of each such occurrence.</w:t>
      </w:r>
    </w:p>
    <w:p>
      <w:pPr>
        <w:spacing w:after="0" w:line="14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Sales Reports</w:t>
      </w:r>
      <w:r>
        <w:rPr>
          <w:rFonts w:ascii="Times New Roman" w:cs="Times New Roman" w:eastAsia="Times New Roman" w:hAnsi="Times New Roman"/>
          <w:sz w:val="16"/>
          <w:szCs w:val="16"/>
          <w:color w:val="auto"/>
        </w:rPr>
        <w:t xml:space="preserve">. Company shall report to Hospital the date on which it achieves the First Commercial Sale in each country of the License Territory within [***] days after each such occurrence. Following the First Commercial Sale, Company shall deliver reports to Hospital within [***] days after the end of each Reporting Period. Each report under this Section 5.3 shall have substantially the format outlined in </w:t>
      </w:r>
      <w:r>
        <w:rPr>
          <w:rFonts w:ascii="Times New Roman" w:cs="Times New Roman" w:eastAsia="Times New Roman" w:hAnsi="Times New Roman"/>
          <w:sz w:val="16"/>
          <w:szCs w:val="16"/>
          <w:b w:val="1"/>
          <w:bCs w:val="1"/>
          <w:color w:val="auto"/>
        </w:rPr>
        <w:t>Appendix B</w:t>
      </w:r>
      <w:r>
        <w:rPr>
          <w:rFonts w:ascii="Times New Roman" w:cs="Times New Roman" w:eastAsia="Times New Roman" w:hAnsi="Times New Roman"/>
          <w:sz w:val="16"/>
          <w:szCs w:val="16"/>
          <w:color w:val="auto"/>
        </w:rPr>
        <w:t>, shall be certified as correct by an officer of Company and shall contain at least the following information as may be pertinent to a royalty accounting hereunder for the immediately preceding Reporting Period:</w:t>
      </w:r>
    </w:p>
    <w:p>
      <w:pPr>
        <w:spacing w:after="0" w:line="141" w:lineRule="exact"/>
        <w:rPr>
          <w:sz w:val="20"/>
          <w:szCs w:val="20"/>
          <w:color w:val="auto"/>
        </w:rPr>
      </w:pPr>
    </w:p>
    <w:p>
      <w:pPr>
        <w:ind w:left="1080" w:hanging="544"/>
        <w:spacing w:after="0"/>
        <w:tabs>
          <w:tab w:leader="none" w:pos="108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Products and Processes Sold by Company, its Affiliates and Sublicensees in each country;</w:t>
      </w:r>
    </w:p>
    <w:p>
      <w:pPr>
        <w:spacing w:after="0" w:line="179" w:lineRule="exact"/>
        <w:rPr>
          <w:rFonts w:ascii="Times New Roman" w:cs="Times New Roman" w:eastAsia="Times New Roman" w:hAnsi="Times New Roman"/>
          <w:sz w:val="17"/>
          <w:szCs w:val="17"/>
          <w:color w:val="auto"/>
        </w:rPr>
      </w:pPr>
    </w:p>
    <w:p>
      <w:pPr>
        <w:ind w:left="1080" w:right="160" w:hanging="544"/>
        <w:spacing w:after="0" w:line="262" w:lineRule="auto"/>
        <w:tabs>
          <w:tab w:leader="none" w:pos="1069"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billed, invoiced and received by Company, its Affiliates and Sublicensees for each Product and Process, in each country, and total billings or payments due or made for all Products and Processes;</w:t>
      </w:r>
    </w:p>
    <w:p>
      <w:pPr>
        <w:spacing w:after="0" w:line="141" w:lineRule="exact"/>
        <w:rPr>
          <w:rFonts w:ascii="Times New Roman" w:cs="Times New Roman" w:eastAsia="Times New Roman" w:hAnsi="Times New Roman"/>
          <w:sz w:val="17"/>
          <w:szCs w:val="17"/>
          <w:color w:val="auto"/>
        </w:rPr>
      </w:pPr>
    </w:p>
    <w:p>
      <w:pPr>
        <w:ind w:left="1080" w:right="20" w:hanging="544"/>
        <w:spacing w:after="0" w:line="262" w:lineRule="auto"/>
        <w:tabs>
          <w:tab w:leader="none" w:pos="1072"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calculation of Net Sales for the applicable Reporting Period in each country, including, to the extent reasonably possible, an itemized listing of permitted offsets and deductions;</w:t>
      </w:r>
    </w:p>
    <w:p>
      <w:pPr>
        <w:spacing w:after="0" w:line="141"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royalties payable on Net Sales in U.S. dollars, together with the exchange rates used for conversion; and</w:t>
      </w:r>
    </w:p>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any other payments due to Hospital under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no amounts are due to Hospital for any Reporting Period, the report shall so state.</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Sublicense Income Reports</w:t>
      </w:r>
      <w:r>
        <w:rPr>
          <w:rFonts w:ascii="Times New Roman" w:cs="Times New Roman" w:eastAsia="Times New Roman" w:hAnsi="Times New Roman"/>
          <w:sz w:val="17"/>
          <w:szCs w:val="17"/>
          <w:color w:val="auto"/>
        </w:rPr>
        <w:t>. Company shall, along with delivering payment as set forth in Section 4.6, report to Hospital within [***] days after the end of each Reporting Period the amount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20" w:top="1211" w:right="319" w:bottom="1440" w:gutter="0" w:footer="0" w:header="0"/>
        </w:sectPr>
      </w:pPr>
    </w:p>
    <w:bookmarkStart w:id="527" w:name="page528"/>
    <w:bookmarkEnd w:id="527"/>
    <w:p>
      <w:pPr>
        <w:spacing w:after="0" w:line="249" w:lineRule="auto"/>
        <w:rPr>
          <w:sz w:val="20"/>
          <w:szCs w:val="20"/>
          <w:color w:val="auto"/>
        </w:rPr>
      </w:pPr>
      <w:r>
        <w:rPr>
          <w:rFonts w:ascii="Times New Roman" w:cs="Times New Roman" w:eastAsia="Times New Roman" w:hAnsi="Times New Roman"/>
          <w:sz w:val="17"/>
          <w:szCs w:val="17"/>
          <w:color w:val="auto"/>
        </w:rPr>
        <w:t xml:space="preserve">Sublicense Income received by Company during such Reporting Period, and Company’s calculation of the amount due and paid to Hospital from such income, including an itemized listing of the source of income comprising such consideration, and the name and address of each entity making such payments in substantially the format outlined in </w:t>
      </w:r>
      <w:r>
        <w:rPr>
          <w:rFonts w:ascii="Times New Roman" w:cs="Times New Roman" w:eastAsia="Times New Roman" w:hAnsi="Times New Roman"/>
          <w:sz w:val="17"/>
          <w:szCs w:val="17"/>
          <w:b w:val="1"/>
          <w:bCs w:val="1"/>
          <w:color w:val="auto"/>
        </w:rPr>
        <w:t>Appendix C</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Audit Rights</w:t>
      </w:r>
      <w:r>
        <w:rPr>
          <w:rFonts w:ascii="Times New Roman" w:cs="Times New Roman" w:eastAsia="Times New Roman" w:hAnsi="Times New Roman"/>
          <w:sz w:val="16"/>
          <w:szCs w:val="16"/>
          <w:color w:val="auto"/>
        </w:rPr>
        <w:t>. Company shall maintain, and shall cause each of its Affiliates and Sublicensees to maintain, complete and accurate records relating to the rights and obligations under this Agreement and any amounts payable to Hospital in relation to this Agreement, which records shall contain sufficient information to permit Hospital and its representatives to confirm the accuracy of any payments and reports delivered to Hospital and compliance in all other respects with this Agreement.</w:t>
      </w:r>
    </w:p>
    <w:p>
      <w:pPr>
        <w:spacing w:after="0" w:line="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Company shall retain and make available, and shall cause each of its Affiliates and Sublicensees to retain and make available, such records for at least [***] years following the end of the calendar year to which they pertain, to Hospital and/or its independent certified public accountant (“Auditor”‘), no more than once in a calendar year and upon at least fifteen (15) days’ advance written notice, for inspection during normal business hours, to verify any reports and payments made and/or compliance in other respects under this Agreement. If any examination conducted by Hospital or its Auditor pursuant to the provisions of this Section show an underreporting or underpayment of [***] or more in any payment due to Hospital hereunder, Company shall reimburse Hospital the full cost associated with engaging such Auditor and shall remit any amounts due to Hospital (including interest due in accordance with Section 4.7) within [***] days of receiving notice thereof from Hospital.</w:t>
      </w:r>
    </w:p>
    <w:p>
      <w:pPr>
        <w:spacing w:after="0" w:line="16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Confidentiality of Reports</w:t>
      </w:r>
      <w:r>
        <w:rPr>
          <w:rFonts w:ascii="Times New Roman" w:cs="Times New Roman" w:eastAsia="Times New Roman" w:hAnsi="Times New Roman"/>
          <w:sz w:val="17"/>
          <w:szCs w:val="17"/>
          <w:color w:val="auto"/>
        </w:rPr>
        <w:t xml:space="preserve">. Hospital agrees to treat all reports prepared or delivered under this Section 5, and all information contained therein, as Confidential Information in accordance with the provisions of </w:t>
      </w:r>
      <w:r>
        <w:rPr>
          <w:rFonts w:ascii="Times New Roman" w:cs="Times New Roman" w:eastAsia="Times New Roman" w:hAnsi="Times New Roman"/>
          <w:sz w:val="17"/>
          <w:szCs w:val="17"/>
          <w:b w:val="1"/>
          <w:bCs w:val="1"/>
          <w:color w:val="auto"/>
        </w:rPr>
        <w:t>Appendix D</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4080" w:hanging="545"/>
        <w:spacing w:after="0"/>
        <w:tabs>
          <w:tab w:leader="none" w:pos="4080" w:val="left"/>
        </w:tabs>
        <w:numPr>
          <w:ilvl w:val="0"/>
          <w:numId w:val="4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PATENT PROSECUTION AND MAINTENANCE</w:t>
      </w:r>
    </w:p>
    <w:p>
      <w:pPr>
        <w:spacing w:after="0" w:line="18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Prosecution</w:t>
      </w:r>
      <w:r>
        <w:rPr>
          <w:rFonts w:ascii="Times New Roman" w:cs="Times New Roman" w:eastAsia="Times New Roman" w:hAnsi="Times New Roman"/>
          <w:sz w:val="17"/>
          <w:szCs w:val="17"/>
          <w:color w:val="auto"/>
        </w:rPr>
        <w:t>. Hospital shall be responsible for the preparation, filing, prosecution and maintenance of all patent applications and patents included in Patent Rights. Company shall reimburse Hospital for Patent Costs incurred by Hospital relating thereto in accordance with Section 4.2.</w:t>
      </w:r>
    </w:p>
    <w:p>
      <w:pPr>
        <w:spacing w:after="0" w:line="14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Copies of Documents</w:t>
      </w:r>
      <w:r>
        <w:rPr>
          <w:rFonts w:ascii="Times New Roman" w:cs="Times New Roman" w:eastAsia="Times New Roman" w:hAnsi="Times New Roman"/>
          <w:sz w:val="17"/>
          <w:szCs w:val="17"/>
          <w:color w:val="auto"/>
        </w:rPr>
        <w:t>. Company shall have the right to review and provide input on all prosecution and maintenance activities related to the Patent Rights. With respect to any Patent Right licensed hereunder, Hospital shall instruct the patent counsel prosecuting such Patent Right to (i) promptly copy Company on patent prosecution documents that are received from or filed with the United States Patent and Trademark Office and foreign equivalent, as applicable; (ii) provide Company with copies of draft submissions to the USPTO sufficiently prior to filing to permit reasonable review and commentary; and (iii) give due consideration to the comments and requests of Company and its patent counsel. Notwithstanding the foregoing, for so long as a Third-Party Licensee has a license under Patent Family 2, Company shall have no right to provide input to Hospital on the prosecution of Patent Family 2.</w:t>
      </w:r>
    </w:p>
    <w:p>
      <w:pPr>
        <w:spacing w:after="0" w:line="15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Company’s Election Not to Proceed</w:t>
      </w:r>
      <w:r>
        <w:rPr>
          <w:rFonts w:ascii="Times New Roman" w:cs="Times New Roman" w:eastAsia="Times New Roman" w:hAnsi="Times New Roman"/>
          <w:sz w:val="17"/>
          <w:szCs w:val="17"/>
          <w:color w:val="auto"/>
        </w:rPr>
        <w:t>. Company may elect to surrender any patent or patent application in Patent Rights in any country upon sixty (60) days advance written notice to Hospital. Such notice shall relieve Company from the obligation to pay for future Patent Costs associated with such surrendered Patent Right(s) but shall not relieve Company from responsibility to pay Patent Costs incurred prior to the expiration of the sixty (60) day notice period. Such U.S. or foreign patent application or patent shall thereupon cease to be a Patent Right hereunder. Company shall have no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93" w:right="33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7"/>
          <w:szCs w:val="17"/>
          <w:color w:val="auto"/>
        </w:rPr>
        <w:t>rights therein and Hospital shall be free to license its rights to that particular U.S. or foreign patent application or patent to any other party on any terms.</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Confidentiality of Prosecution and Maintenance Information</w:t>
      </w:r>
      <w:r>
        <w:rPr>
          <w:rFonts w:ascii="Times New Roman" w:cs="Times New Roman" w:eastAsia="Times New Roman" w:hAnsi="Times New Roman"/>
          <w:sz w:val="17"/>
          <w:szCs w:val="17"/>
          <w:color w:val="auto"/>
        </w:rPr>
        <w:t xml:space="preserve">. Company agrees to treat all information related to prosecution and maintenance of Patent Rights as Confidential Information in accordance with the provisions of </w:t>
      </w:r>
      <w:r>
        <w:rPr>
          <w:rFonts w:ascii="Times New Roman" w:cs="Times New Roman" w:eastAsia="Times New Roman" w:hAnsi="Times New Roman"/>
          <w:sz w:val="17"/>
          <w:szCs w:val="17"/>
          <w:b w:val="1"/>
          <w:bCs w:val="1"/>
          <w:color w:val="auto"/>
        </w:rPr>
        <w:t>Appendix D</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Improvements</w:t>
      </w:r>
      <w:r>
        <w:rPr>
          <w:rFonts w:ascii="Times New Roman" w:cs="Times New Roman" w:eastAsia="Times New Roman" w:hAnsi="Times New Roman"/>
          <w:sz w:val="17"/>
          <w:szCs w:val="17"/>
          <w:color w:val="auto"/>
        </w:rPr>
        <w:t>. For any Invention disclosed to Hospital’s Office of Innovation (or any successor office) within 24 months after the Effective Date, Hospital shall use reasonable efforts to notify Company of such any Invention within 30 days after such disclosure.</w:t>
      </w:r>
    </w:p>
    <w:p>
      <w:pPr>
        <w:spacing w:after="0" w:line="137" w:lineRule="exact"/>
        <w:rPr>
          <w:sz w:val="20"/>
          <w:szCs w:val="20"/>
          <w:color w:val="auto"/>
        </w:rPr>
      </w:pPr>
    </w:p>
    <w:p>
      <w:pPr>
        <w:ind w:left="3720" w:hanging="540"/>
        <w:spacing w:after="0"/>
        <w:tabs>
          <w:tab w:leader="none" w:pos="3720" w:val="left"/>
        </w:tabs>
        <w:numPr>
          <w:ilvl w:val="0"/>
          <w:numId w:val="4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THIRD PARTY INFRINGEMENT AND LEGAL ACTIONS</w:t>
      </w:r>
    </w:p>
    <w:p>
      <w:pPr>
        <w:spacing w:after="0" w:line="183"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Hospital Right to Prosecute</w:t>
      </w:r>
      <w:r>
        <w:rPr>
          <w:rFonts w:ascii="Times New Roman" w:cs="Times New Roman" w:eastAsia="Times New Roman" w:hAnsi="Times New Roman"/>
          <w:sz w:val="17"/>
          <w:szCs w:val="17"/>
          <w:color w:val="auto"/>
        </w:rPr>
        <w:t>. Hospital shall have the first right, at its sole discretion, to prosecute infringers of the Patent Rights in either License Field in the License Territory, with reasonable notice to and consideration of input from Company; Company has the second right. Hospital will protect its Patent Rights from infringement and prosecute infringers when, in its sole judgment, such action may be reasonably necessary, proper and justified. If Company shall have supplied Hospital with written evidence demonstrating to Hospital’s reasonable satisfaction prima facie infringement of a claim of a Patent Right in either License Field in the License Territory by a third party which poses a material threat to Company’s rights under this Agreement, Company may by notice request Hospital to take steps to protect such Patent Right. Hospital shall notify Company within [***] months of the receipt of such notice whether Hospital intends to prosecute the alleged infringement. If Hospital notifies Company that it intends to so prosecute, Hospital shall, within [***] months of its notice to Company either (i) cause such infringement to terminate, or (ii) initiate legal proceedings against the infringer.</w:t>
      </w:r>
    </w:p>
    <w:p>
      <w:pPr>
        <w:spacing w:after="0" w:line="16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Company Right to Prosecute</w:t>
      </w:r>
      <w:r>
        <w:rPr>
          <w:rFonts w:ascii="Times New Roman" w:cs="Times New Roman" w:eastAsia="Times New Roman" w:hAnsi="Times New Roman"/>
          <w:sz w:val="16"/>
          <w:szCs w:val="16"/>
          <w:color w:val="auto"/>
        </w:rPr>
        <w:t>. In the event Hospital notifies Company that Hospital does not intend to prosecute infringement identified under Section 7.1, Company may, upon notice to Hospital, initiate legal proceedings against the infringer at Company’s expense with respect to a claim of a Patent Right in the applicable License Field in the License Territory. Before commencing such action, Company and, as applicable, any Affiliate, shall consult with Hospital, concerning, among other things, Company’s standing to bring suit, the advisability of bringing suit, the selection of counsel and the jurisdiction for such action (provided Company must have Hospital’s prior written consent with respect to selection of jurisdiction for any action in which Hospital may be joined as a party-plaintiff) and shall use reasonable efforts to accommodate the views of Hospital regarding the proposed action, including without limitation with respect to potential effects on the public interest. Company shall be responsible for all costs, expenses and liabilities in connection with any such action and shall indemnify and hold Hospital harmless therefrom, regardless of whether Hospital is a party-plaintiff, except for the expense of any independent counsel retained by Hospital in accordance with Section 7.5 below.</w:t>
      </w:r>
    </w:p>
    <w:p>
      <w:pPr>
        <w:spacing w:after="0" w:line="1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Hospital Joined as Party-Plaintiff</w:t>
      </w:r>
      <w:r>
        <w:rPr>
          <w:rFonts w:ascii="Times New Roman" w:cs="Times New Roman" w:eastAsia="Times New Roman" w:hAnsi="Times New Roman"/>
          <w:sz w:val="16"/>
          <w:szCs w:val="16"/>
          <w:color w:val="auto"/>
        </w:rPr>
        <w:t>. If Company elects to commence an action as described in Section 7.2 above, Hospital shall have, in its sole discretion, the option to join such action as a party-plaintiff. If Hospital is required by law to join such action as a party-plaintiff (i.e. Company could not proceed without such joinder), then Hospital may either, in its sole discretion, permit itself to be joined as a party-plaintiff at the sole expense of Company, or assign to Company all of Hospital’s right, title and interest in and to the Patent Right which is the subject of such action (subject to all of Hospital’s obligations to the government under law and any other rights that others may have in such Patent Right). If Hospital makes such an assignment, such action by Company shall thereafter be brought or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60"/>
          </w:cols>
          <w:pgMar w:left="320" w:top="1393" w:right="319" w:bottom="1440" w:gutter="0" w:footer="0" w:header="0"/>
        </w:sectPr>
      </w:pPr>
    </w:p>
    <w:bookmarkStart w:id="529" w:name="page530"/>
    <w:bookmarkEnd w:id="529"/>
    <w:p>
      <w:pPr>
        <w:ind w:right="680"/>
        <w:spacing w:after="0" w:line="262" w:lineRule="auto"/>
        <w:rPr>
          <w:sz w:val="20"/>
          <w:szCs w:val="20"/>
          <w:color w:val="auto"/>
        </w:rPr>
      </w:pPr>
      <w:r>
        <w:rPr>
          <w:rFonts w:ascii="Times New Roman" w:cs="Times New Roman" w:eastAsia="Times New Roman" w:hAnsi="Times New Roman"/>
          <w:sz w:val="17"/>
          <w:szCs w:val="17"/>
          <w:color w:val="auto"/>
        </w:rPr>
        <w:t>without Hospital as a party; provided, however, that Hospital shall continue to have all rights of prosecution and maintenance with respect to Patent Rights and Company shall continue to meet all of its obligations under this Agreement as if the assigned Patent Right were still licensed to Company hereunder.</w:t>
      </w:r>
    </w:p>
    <w:p>
      <w:pPr>
        <w:spacing w:after="0" w:line="14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Notice of Actions; Settlement</w:t>
      </w:r>
      <w:r>
        <w:rPr>
          <w:rFonts w:ascii="Times New Roman" w:cs="Times New Roman" w:eastAsia="Times New Roman" w:hAnsi="Times New Roman"/>
          <w:sz w:val="17"/>
          <w:szCs w:val="17"/>
          <w:color w:val="auto"/>
        </w:rPr>
        <w:t>. Each Party shall promptly inform the other Party of any action or suit relating to Patent Rights and shall not enter into any settlement, consent judgment or other voluntary final disposition of any action relating to Patent Rights, including but not limited to appeals, without the prior written consent of said other Party.</w:t>
      </w:r>
    </w:p>
    <w:p>
      <w:pPr>
        <w:spacing w:after="0" w:line="15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Each Party agrees to cooperate reasonably in any action under Section 7 which is controlled by the other Party, provided that the controlling party reimburses the cooperating party for any costs and expenses incurred by the cooperating party in connection with providing such assistance, except for the expense of any independent counsel retained by the cooperating party in accordance with this Section 7.5. Such controlling party shall keep the cooperating party informed of the progress of such proceedings and shall make its counsel available to the cooperating party. The cooperating party shall also be entitled to independent counsel in such proceedings but at its own expense, said expense to be offset against any damages received by the Party bringing suit in accordance with Section 7.6.</w:t>
      </w:r>
    </w:p>
    <w:p>
      <w:pPr>
        <w:spacing w:after="0" w:line="14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Recovery</w:t>
      </w:r>
      <w:r>
        <w:rPr>
          <w:rFonts w:ascii="Times New Roman" w:cs="Times New Roman" w:eastAsia="Times New Roman" w:hAnsi="Times New Roman"/>
          <w:sz w:val="17"/>
          <w:szCs w:val="17"/>
          <w:color w:val="auto"/>
        </w:rPr>
        <w:t>. All settlements require written prior approval of Hospital. All damages or settlement awards paid by an infringer will be allocated between Company and Hospital as follows:</w:t>
      </w:r>
    </w:p>
    <w:p>
      <w:pPr>
        <w:spacing w:after="0" w:line="141" w:lineRule="exact"/>
        <w:rPr>
          <w:sz w:val="20"/>
          <w:szCs w:val="20"/>
          <w:color w:val="auto"/>
        </w:rPr>
      </w:pPr>
    </w:p>
    <w:p>
      <w:pPr>
        <w:ind w:left="1080" w:hanging="544"/>
        <w:spacing w:after="0"/>
        <w:tabs>
          <w:tab w:leader="none" w:pos="1080"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and</w:t>
      </w:r>
    </w:p>
    <w:p>
      <w:pPr>
        <w:spacing w:after="0" w:line="179"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4400" w:hanging="554"/>
        <w:spacing w:after="0"/>
        <w:tabs>
          <w:tab w:leader="none" w:pos="4400" w:val="left"/>
        </w:tabs>
        <w:numPr>
          <w:ilvl w:val="0"/>
          <w:numId w:val="4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AND INSURANCE</w:t>
      </w:r>
    </w:p>
    <w:p>
      <w:pPr>
        <w:spacing w:after="0" w:line="18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1080" w:hanging="544"/>
        <w:spacing w:after="0" w:line="242" w:lineRule="auto"/>
        <w:tabs>
          <w:tab w:leader="none" w:pos="1072"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indemnify, defend and hold harmless Hospital and its Affiliates and their respective trustees, directors, officers, medical and professional staff, employees, and agents and their respective successors, heirs and assigns (the “</w:t>
      </w:r>
      <w:r>
        <w:rPr>
          <w:rFonts w:ascii="Times New Roman" w:cs="Times New Roman" w:eastAsia="Times New Roman" w:hAnsi="Times New Roman"/>
          <w:sz w:val="17"/>
          <w:szCs w:val="17"/>
          <w:u w:val="single" w:color="auto"/>
          <w:color w:val="auto"/>
        </w:rPr>
        <w:t>Indemnitees</w:t>
      </w:r>
      <w:r>
        <w:rPr>
          <w:rFonts w:ascii="Times New Roman" w:cs="Times New Roman" w:eastAsia="Times New Roman" w:hAnsi="Times New Roman"/>
          <w:sz w:val="17"/>
          <w:szCs w:val="17"/>
          <w:color w:val="auto"/>
        </w:rPr>
        <w:t>”), against any liability, damage, loss or expense (including reasonable attorney’s fees and expenses of litigation) incurred by or imposed upon the Indemnitees or any one of them in connection with any claims, suits, actions, demands or judgments (“Action”) arising out of any theory of product liability (including, but not limited to, actions in the form of contract, tort, warranty, or strict liability) concerning any product, process or service made, used, or sold or performed pursuant to any right or license granted under this Agreement.</w:t>
      </w:r>
    </w:p>
    <w:p>
      <w:pPr>
        <w:spacing w:after="0" w:line="157" w:lineRule="exact"/>
        <w:rPr>
          <w:rFonts w:ascii="Times New Roman" w:cs="Times New Roman" w:eastAsia="Times New Roman" w:hAnsi="Times New Roman"/>
          <w:sz w:val="17"/>
          <w:szCs w:val="17"/>
          <w:color w:val="auto"/>
        </w:rPr>
      </w:pPr>
    </w:p>
    <w:p>
      <w:pPr>
        <w:ind w:left="1080" w:right="20" w:hanging="544"/>
        <w:spacing w:after="0" w:line="249" w:lineRule="auto"/>
        <w:tabs>
          <w:tab w:leader="none" w:pos="1069"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indemnify, defend and hold harmless Indemnitees against any liability, damage, loss or expense (including reasonable attorney’s fees and expenses of litigation) incurred by or imposed upon the Indemnitees or any one of them in connection with any Action arising out of any dispute between Company and a Third-Party Licensee relating to their respective rights under Patent Family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60"/>
          </w:cols>
          <w:pgMar w:left="320" w:top="1393" w:right="319" w:bottom="1440" w:gutter="0" w:footer="0" w:header="0"/>
        </w:sectPr>
      </w:pPr>
    </w:p>
    <w:bookmarkStart w:id="530" w:name="page531"/>
    <w:bookmarkEnd w:id="530"/>
    <w:p>
      <w:pPr>
        <w:ind w:left="544" w:right="60" w:hanging="544"/>
        <w:spacing w:after="0" w:line="242" w:lineRule="auto"/>
        <w:tabs>
          <w:tab w:leader="none" w:pos="536"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agrees, at its own expense, to provide attorneys reasonably acceptable to the Hospital to defend against any actions brought or filed against any party indemnified hereunder with respect to the subject of indemnity contained herein, whether or not such actions are rightfully brought; provided, however, that any Indemnitee shall have the right to retain its own counsel, at the expense of Company, if representation of such Indemnitee by counsel retained by Company would be inappropriate because of conflict of interests of such Indemnitee and any other party represented by such counsel. Company agrees to keep Hospital informed of the progress in the defense and disposition of such Action and to consult with Hospital prior to any proposed settlement.</w:t>
      </w:r>
    </w:p>
    <w:p>
      <w:pPr>
        <w:spacing w:after="0" w:line="157"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8.1 shall survive expiration or termination of this Agreement.</w:t>
      </w:r>
    </w:p>
    <w:p>
      <w:pPr>
        <w:spacing w:after="0" w:line="200" w:lineRule="exact"/>
        <w:rPr>
          <w:sz w:val="20"/>
          <w:szCs w:val="20"/>
          <w:color w:val="auto"/>
        </w:rPr>
      </w:pPr>
    </w:p>
    <w:p>
      <w:pPr>
        <w:spacing w:after="0" w:line="354" w:lineRule="exact"/>
        <w:rPr>
          <w:sz w:val="20"/>
          <w:szCs w:val="20"/>
          <w:color w:val="auto"/>
        </w:rPr>
      </w:pPr>
    </w:p>
    <w:p>
      <w:pPr>
        <w:ind w:left="544" w:right="40" w:hanging="544"/>
        <w:spacing w:after="0" w:line="257" w:lineRule="auto"/>
        <w:tabs>
          <w:tab w:leader="none" w:pos="536"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at such time as any such product, process, or service is being commercially distributed, sold, leased or otherwise transferred, or performed or used (other than for the purpose of obtaining regulatory approvals), by Company, an Affiliate or Sublicensee, Company shall, at its sole cost and expense, procure and maintain commercial general liability insurance in amounts not less than $[***] per incident and $[***] annual aggregate and naming the Indemnitees as additional insureds. Such commercial general liability insurance shall provide (i) product liability coverage and (ii) broad form contractual liability coverage for Company’s indemnification under Section 8.1 of this Agreement. If Company elects to self-insure all or part of the limits described above (including deductibles or retentions which are in excess of $[***] annual aggregate) such self-insurance program must be acceptable to the Hospital and the Risk Management Foundation. The minimum amounts of insurance coverage required under this Section 8.2 shall not be construed to create a limit of Company’s liability with respect to its indemnification under Section 8.1 of this Agreement.</w:t>
      </w:r>
    </w:p>
    <w:p>
      <w:pPr>
        <w:spacing w:after="0" w:line="150" w:lineRule="exact"/>
        <w:rPr>
          <w:rFonts w:ascii="Times New Roman" w:cs="Times New Roman" w:eastAsia="Times New Roman" w:hAnsi="Times New Roman"/>
          <w:sz w:val="16"/>
          <w:szCs w:val="16"/>
          <w:color w:val="auto"/>
        </w:rPr>
      </w:pPr>
    </w:p>
    <w:p>
      <w:pPr>
        <w:ind w:left="544" w:hanging="544"/>
        <w:spacing w:after="0" w:line="245" w:lineRule="auto"/>
        <w:tabs>
          <w:tab w:leader="none" w:pos="533"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provide Hospital with written evidence of such insurance upon request of Hospital. Company shall provide Hospital with written notice at least [***] days prior to the cancellation, non-renewal or material change in such insurance; if Company does not obtain replacement insurance providing comparable coverage prior to the expiration of such [***] day period, Hospital shall have the right to terminate this Agreement effective at the end of such [***] day period without notice or any additional waiting periods.</w:t>
      </w:r>
    </w:p>
    <w:p>
      <w:pPr>
        <w:spacing w:after="0" w:line="155" w:lineRule="exact"/>
        <w:rPr>
          <w:rFonts w:ascii="Times New Roman" w:cs="Times New Roman" w:eastAsia="Times New Roman" w:hAnsi="Times New Roman"/>
          <w:sz w:val="17"/>
          <w:szCs w:val="17"/>
          <w:color w:val="auto"/>
        </w:rPr>
      </w:pPr>
    </w:p>
    <w:p>
      <w:pPr>
        <w:ind w:left="544" w:right="220" w:hanging="544"/>
        <w:spacing w:after="0" w:line="245" w:lineRule="auto"/>
        <w:tabs>
          <w:tab w:leader="none" w:pos="536"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maintain such commercial general liability insurance beyond the expiration or termination of this Agreement during (i) the period that any such product, process, or service is being commercially distributed, sold, leased or otherwise transferred, or performed or used (other than for the purpose of obtaining regulatory approvals), by Company or by a licensee, affiliate or agent of Company and (ii) a reasonable period after the period referred to in (c) (i) above which in no event shall be less than [***] years.</w:t>
      </w:r>
    </w:p>
    <w:p>
      <w:pPr>
        <w:spacing w:after="0" w:line="155"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8.2 shall survive expiration or termination of this Agreement.</w:t>
      </w:r>
    </w:p>
    <w:p>
      <w:pPr>
        <w:spacing w:after="0" w:line="175" w:lineRule="exact"/>
        <w:rPr>
          <w:rFonts w:ascii="Times New Roman" w:cs="Times New Roman" w:eastAsia="Times New Roman" w:hAnsi="Times New Roman"/>
          <w:sz w:val="17"/>
          <w:szCs w:val="17"/>
          <w:color w:val="auto"/>
        </w:rPr>
      </w:pPr>
    </w:p>
    <w:p>
      <w:pPr>
        <w:ind w:left="2944" w:hanging="551"/>
        <w:spacing w:after="0"/>
        <w:tabs>
          <w:tab w:leader="none" w:pos="2944" w:val="left"/>
        </w:tabs>
        <w:numPr>
          <w:ilvl w:val="1"/>
          <w:numId w:val="4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DISCLAIMER OF WARRANTIES; LIMITATION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724"/>
          </w:cols>
          <w:pgMar w:left="856" w:top="1392" w:right="319" w:bottom="1440" w:gutter="0" w:footer="0" w:header="0"/>
        </w:sectPr>
      </w:pPr>
    </w:p>
    <w:bookmarkStart w:id="531" w:name="page532"/>
    <w:bookmarkEnd w:id="531"/>
    <w:p>
      <w:pPr>
        <w:ind w:right="360"/>
        <w:spacing w:after="0" w:line="262"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Title to Patent Rights</w:t>
      </w:r>
      <w:r>
        <w:rPr>
          <w:rFonts w:ascii="Times New Roman" w:cs="Times New Roman" w:eastAsia="Times New Roman" w:hAnsi="Times New Roman"/>
          <w:sz w:val="17"/>
          <w:szCs w:val="17"/>
          <w:color w:val="auto"/>
        </w:rPr>
        <w:t>. To the best knowledge of Hospital’s Innovation office, Hospital represents that it is the owner by assignment from [***] of the Patent Rights and has the authority to enter into this Agreement and license the Patent Rights to Company hereunder.</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6"/>
          <w:szCs w:val="16"/>
          <w:u w:val="single" w:color="auto"/>
          <w:color w:val="auto"/>
        </w:rPr>
        <w:t>Limited Warranties</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1080" w:right="20" w:hanging="544"/>
        <w:spacing w:after="0" w:line="255" w:lineRule="auto"/>
        <w:tabs>
          <w:tab w:leader="none" w:pos="1072"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HOSPITAL SHALL REPRESENT THAT, TO THE BEST OF ITS KNOWLEDGE, AS OF THE EFFECTIVE DATE OF THE LICENSE, IT OWNS THE PATENT RIGHTS AND HAS NOT GRANTED ANY LICENSES THAT CONFLICT WITH THE LICENES GRANTED HEREUNDER. HOSPITAL SHALL OTHERWISE MAKE NO WARRANTIES REGARDING THE PATENT RIGHTS AND RIGHTS GRANTED UNDER THE LICENSE, INCLUDING WARRANTIES OF MERCHANTABILITY, FITNESS FOR A PARTICULAR PURPOSE, NONJNFRINGEMENT OR VALIDITY OF PATENT RIGHTS. HOSPITAL MAKES NO ADDITIONAL REPRESENTATIONS OR WARRANTIES OF ANY KIND, EXPRESS OR IMPLIED, CONCERNING THE PATENT RIGHTS AND THE RIGHTS GRANTED HEREUNDER, INCLUDING, WITHOUT LIMITATION, WARRANTIES OF MERCHANTABILITY, FITNESS FOR A PARTICULAR PURPOSE, NONINFRINGEMENT, VALIDITY OF PATENT RIGHTS CLAIMS, WHETHER ISSUED OR PENDING, AND THE ABSENCE OF LATENT OR OTHER DEFECTS, WHETHER OR NOT DISCOVERABLE, AND HEREBY DISCLAIMS THE SAME. SPECIFICALLY, AND NOT TO LIMIT THE FOREGOING, HOSPITAL MAKES NO WARRANTY OR REPRESENTATION (i) REGARDING THE VALIDITY OR SCOPE OF ANY OF THE CLAIM(S), WHETHER ISSUED OR PENDING, OF ANY OF THE PATENT RIGFITS, AND (ii) THAT THE EXPLOITATION OF THE PATENT RIGHTS OR ANY PRODUCT WILL NOT INFRINGE ANY PATENTS OR OTHER INTELLECTUAL PROPERTY RIGHTS OF HOSPITAL OR OF ANY THIRD PARTY.</w:t>
      </w:r>
    </w:p>
    <w:p>
      <w:pPr>
        <w:spacing w:after="0" w:line="152" w:lineRule="exact"/>
        <w:rPr>
          <w:rFonts w:ascii="Times New Roman" w:cs="Times New Roman" w:eastAsia="Times New Roman" w:hAnsi="Times New Roman"/>
          <w:sz w:val="16"/>
          <w:szCs w:val="16"/>
          <w:color w:val="auto"/>
        </w:rPr>
      </w:pPr>
    </w:p>
    <w:p>
      <w:pPr>
        <w:ind w:left="1080" w:right="420" w:hanging="544"/>
        <w:spacing w:after="0" w:line="262" w:lineRule="auto"/>
        <w:tabs>
          <w:tab w:leader="none" w:pos="1069"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REPRESENTS AND WARRANTS THAT PATENT FAMILY 2 LICENSE FIELD SPECIFICALLY EXCLUDES THE EXCLUDED PATENT LICENSE FIELD 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IN NO EVENT SHALL EITHER PARTY OR ANY OF ITS AFFILIATES OR ANY OF THEIR RESPECTIVE TRUSTEES, DIRECTORS, OFFICERS, MEDICAL OR PROFESSIONAL STAFF, EMPLOYEES AND AGENTS BE LIABLE TO THE OTHER PARTY OR ANY OF ITS AFFILIATES, LICENSEES, SUBLICENSEES OR DISTRIBUTORS FOR INDIRECT, SPECIAL, INCIDENTAL OR CONSEQUENTIAL DAMAGES OF ANY KIND ARISING IN ANY WAY OUT OF THIS AGREEMENT OR THE LICENSE OR RIGHTS GRANTED HEREUNDER, HOWEVER CAUSED AND ON ANY THEORY OF LIABILITY, INCLUDING WITHOUT LIMITATION ECONOMIC DAMAGES OR INJURY TO PROPERTY OR LOST PROFITS, REGARDLESS OF WHETHER SUCH PARTY SHALL BE ADVISED, SHALL HAVE OTHER REASON TO KNOW, OR IN FACT SHALL KNOW OF THE POSSIBILITY OF THE FOREGOING. PROVIDED, HOWEVER, NOTHING IN THIS SECTION 9.3 SHALL BE CONSTRUED TO LIMIT COMPANY’S OBLIGATION TO INDEMNIFY HOSPITAL UNDER SECTION 8 OF THIS AGREEMENT. This Section 9.3 shall not restrict Hospital’s liability to the extent any damages are directly attributable to such party’s gross negligence or willful misconduct.</w:t>
      </w:r>
    </w:p>
    <w:p>
      <w:pPr>
        <w:spacing w:after="0" w:line="156" w:lineRule="exact"/>
        <w:rPr>
          <w:sz w:val="20"/>
          <w:szCs w:val="20"/>
          <w:color w:val="auto"/>
        </w:rPr>
      </w:pPr>
    </w:p>
    <w:p>
      <w:pPr>
        <w:ind w:left="4820" w:hanging="545"/>
        <w:spacing w:after="0"/>
        <w:tabs>
          <w:tab w:leader="none" w:pos="4820" w:val="left"/>
        </w:tabs>
        <w:numPr>
          <w:ilvl w:val="0"/>
          <w:numId w:val="4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98" w:lineRule="exact"/>
        <w:rPr>
          <w:rFonts w:ascii="Times New Roman" w:cs="Times New Roman" w:eastAsia="Times New Roman" w:hAnsi="Times New Roman"/>
          <w:sz w:val="17"/>
          <w:szCs w:val="17"/>
          <w:b w:val="1"/>
          <w:bCs w:val="1"/>
          <w:color w:val="auto"/>
        </w:rPr>
      </w:pPr>
    </w:p>
    <w:p>
      <w:pPr>
        <w:ind w:left="55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16</w:t>
      </w:r>
    </w:p>
    <w:p>
      <w:pPr>
        <w:sectPr>
          <w:pgSz w:w="11900" w:h="16838" w:orient="portrait"/>
          <w:cols w:equalWidth="0" w:num="1">
            <w:col w:w="11260"/>
          </w:cols>
          <w:pgMar w:left="320" w:top="1392" w:right="319" w:bottom="1440" w:gutter="0" w:footer="0" w:header="0"/>
        </w:sectPr>
      </w:pPr>
    </w:p>
    <w:bookmarkStart w:id="532" w:name="page533"/>
    <w:bookmarkEnd w:id="532"/>
    <w:p>
      <w:pPr>
        <w:ind w:left="9" w:right="160"/>
        <w:spacing w:after="0" w:line="262"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of this Agreement shall commence on the Effective Date and shall remain in effect until the date on which all Claims within the Patent Rights have expired or been abandoned unless this Agreement is terminated earlier in accordance with any of the other provisions of Section 10.</w:t>
      </w:r>
    </w:p>
    <w:p>
      <w:pPr>
        <w:spacing w:after="0" w:line="141" w:lineRule="exact"/>
        <w:rPr>
          <w:sz w:val="20"/>
          <w:szCs w:val="20"/>
          <w:color w:val="auto"/>
        </w:rPr>
      </w:pPr>
    </w:p>
    <w:p>
      <w:pPr>
        <w:ind w:left="9" w:right="200"/>
        <w:spacing w:after="0" w:line="265"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u w:val="single" w:color="auto"/>
          <w:color w:val="auto"/>
        </w:rPr>
        <w:t>Termination for Failure to Pay</w:t>
      </w:r>
      <w:r>
        <w:rPr>
          <w:rFonts w:ascii="Times New Roman" w:cs="Times New Roman" w:eastAsia="Times New Roman" w:hAnsi="Times New Roman"/>
          <w:sz w:val="16"/>
          <w:szCs w:val="16"/>
          <w:color w:val="auto"/>
        </w:rPr>
        <w:t>. If Company fails to make any payment due hereunder. Hospital shall have the right to terminate this Agreement upon [***] business days written notice, unless Company makes such payments plus any interest due, as set forth in Section 4.7, within said [***] day notice period. If payments are not made, Hospital may immediately terminate this Agreement at the end of said [***] day period. Company shall be entitled to only one such cure period in a calendar year; for a second failure to make payment on time. Hospital shall have the right to terminate this Agreement immediately upon written notice.</w:t>
      </w:r>
    </w:p>
    <w:p>
      <w:pPr>
        <w:spacing w:after="0" w:line="141" w:lineRule="exact"/>
        <w:rPr>
          <w:sz w:val="20"/>
          <w:szCs w:val="20"/>
          <w:color w:val="auto"/>
        </w:rPr>
      </w:pPr>
    </w:p>
    <w:p>
      <w:pPr>
        <w:ind w:left="9"/>
        <w:spacing w:after="0"/>
        <w:tabs>
          <w:tab w:leader="none" w:pos="529"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6"/>
          <w:szCs w:val="16"/>
          <w:u w:val="single" w:color="auto"/>
          <w:color w:val="auto"/>
        </w:rPr>
        <w:t>Termination for Insurance and Insolvency</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1089" w:right="480" w:hanging="544"/>
        <w:spacing w:after="0" w:line="262" w:lineRule="auto"/>
        <w:tabs>
          <w:tab w:leader="none" w:pos="1081"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Hospital shall have the right to terminate this Agreement in accordance with Section 8.2(b) if Company fails to maintain the insurance required by Section 8.2.</w:t>
      </w:r>
    </w:p>
    <w:p>
      <w:pPr>
        <w:spacing w:after="0" w:line="141" w:lineRule="exact"/>
        <w:rPr>
          <w:rFonts w:ascii="Times New Roman" w:cs="Times New Roman" w:eastAsia="Times New Roman" w:hAnsi="Times New Roman"/>
          <w:sz w:val="17"/>
          <w:szCs w:val="17"/>
          <w:color w:val="auto"/>
        </w:rPr>
      </w:pPr>
    </w:p>
    <w:p>
      <w:pPr>
        <w:ind w:left="1089" w:hanging="544"/>
        <w:spacing w:after="0" w:line="245" w:lineRule="auto"/>
        <w:tabs>
          <w:tab w:leader="none" w:pos="1079"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Insolvency and other Bankruptcy Related Events. Hospital shall have the right to terminate this Agreement immediately upon written notice to Company with no further notice obligation or opportunity to cure if Company: (i) shall make an assignment for the benefit of creditors; or (ii) or shall have a petition in bankruptcy filed for or against it (provided that, in the case of a petition in bankruptcy filed against it. Hospital shall not have the right to terminate this Agreement if such petition is stayed or dismissed within [***] days following the filing of such petition).</w:t>
      </w:r>
    </w:p>
    <w:p>
      <w:pPr>
        <w:spacing w:after="0" w:line="156" w:lineRule="exact"/>
        <w:rPr>
          <w:sz w:val="20"/>
          <w:szCs w:val="20"/>
          <w:color w:val="auto"/>
        </w:rPr>
      </w:pPr>
    </w:p>
    <w:p>
      <w:pPr>
        <w:ind w:left="9" w:right="200"/>
        <w:spacing w:after="0" w:line="263" w:lineRule="auto"/>
        <w:rPr>
          <w:sz w:val="20"/>
          <w:szCs w:val="20"/>
          <w:color w:val="auto"/>
        </w:rPr>
      </w:pPr>
      <w:r>
        <w:rPr>
          <w:rFonts w:ascii="Times New Roman" w:cs="Times New Roman" w:eastAsia="Times New Roman" w:hAnsi="Times New Roman"/>
          <w:sz w:val="16"/>
          <w:szCs w:val="16"/>
          <w:color w:val="auto"/>
        </w:rPr>
        <w:t xml:space="preserve">10.4 </w:t>
      </w:r>
      <w:r>
        <w:rPr>
          <w:rFonts w:ascii="Times New Roman" w:cs="Times New Roman" w:eastAsia="Times New Roman" w:hAnsi="Times New Roman"/>
          <w:sz w:val="16"/>
          <w:szCs w:val="16"/>
          <w:u w:val="single" w:color="auto"/>
          <w:color w:val="auto"/>
        </w:rPr>
        <w:t>Termination for Non-Financial Default</w:t>
      </w:r>
      <w:r>
        <w:rPr>
          <w:rFonts w:ascii="Times New Roman" w:cs="Times New Roman" w:eastAsia="Times New Roman" w:hAnsi="Times New Roman"/>
          <w:sz w:val="16"/>
          <w:szCs w:val="16"/>
          <w:color w:val="auto"/>
        </w:rPr>
        <w:t>. Hospital has the right to terminate the License for Company’s breach, including failure to pay and failure to satisfy diligence requirements, upon failure to cure within [***] days of receipt of written notice specifying the breach. Company has the right to terminate the License upon</w:t>
      </w:r>
    </w:p>
    <w:p>
      <w:pPr>
        <w:spacing w:after="0" w:line="1" w:lineRule="exact"/>
        <w:rPr>
          <w:sz w:val="20"/>
          <w:szCs w:val="20"/>
          <w:color w:val="auto"/>
        </w:rPr>
      </w:pPr>
    </w:p>
    <w:p>
      <w:pPr>
        <w:ind w:left="9" w:hanging="9"/>
        <w:spacing w:after="0" w:line="238" w:lineRule="auto"/>
        <w:tabs>
          <w:tab w:leader="none" w:pos="411" w:val="left"/>
        </w:tabs>
        <w:numPr>
          <w:ilvl w:val="0"/>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advance written notice. If Company, any of its Affiliates or any Sublicensee shall default in the performance of any of its other obligations under this Agreement not otherwise covered by the provisions of Section 10.2 and 10.3, and if such default has not been cured within [***] days after notice by Hospital in writing of such default, Hospital may immediately terminate this Agreement, and/or any license granted hereunder with respect to the country or countries in which such default has occurred, at the end of said [***] day cure period. Hospital shall also have the right to terminate this Agreement and/or any such license immediately, upon written notice, in the event of repeated defaults even if cured within such [***] day periods.</w:t>
      </w:r>
    </w:p>
    <w:p>
      <w:pPr>
        <w:spacing w:after="0" w:line="160" w:lineRule="exact"/>
        <w:rPr>
          <w:sz w:val="20"/>
          <w:szCs w:val="20"/>
          <w:color w:val="auto"/>
        </w:rPr>
      </w:pPr>
    </w:p>
    <w:p>
      <w:pPr>
        <w:ind w:left="9" w:right="180"/>
        <w:spacing w:after="0" w:line="245"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Challenging Validity</w:t>
      </w:r>
      <w:r>
        <w:rPr>
          <w:rFonts w:ascii="Times New Roman" w:cs="Times New Roman" w:eastAsia="Times New Roman" w:hAnsi="Times New Roman"/>
          <w:sz w:val="17"/>
          <w:szCs w:val="17"/>
          <w:color w:val="auto"/>
        </w:rPr>
        <w:t>. During the term of this Agreement, Company shall not challenge, and shall restrict Company’s Affiliates and Sublicensees from challenging, the validity of the Patent Rights and in the event of any breach of this provision Hospital shall have the right to terminate this Agreement and any license granted hereunder immediately. In addition, if the Patent Rights are upheld Company shall reimburse Hospital for its reasonable legal costs and expenses incurred in defending any such challenge.</w:t>
      </w:r>
    </w:p>
    <w:p>
      <w:pPr>
        <w:spacing w:after="0" w:line="156" w:lineRule="exact"/>
        <w:rPr>
          <w:sz w:val="20"/>
          <w:szCs w:val="20"/>
          <w:color w:val="auto"/>
        </w:rPr>
      </w:pPr>
    </w:p>
    <w:p>
      <w:pPr>
        <w:ind w:left="9" w:right="280"/>
        <w:spacing w:after="0" w:line="262"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Termination by Company</w:t>
      </w:r>
      <w:r>
        <w:rPr>
          <w:rFonts w:ascii="Times New Roman" w:cs="Times New Roman" w:eastAsia="Times New Roman" w:hAnsi="Times New Roman"/>
          <w:sz w:val="17"/>
          <w:szCs w:val="17"/>
          <w:color w:val="auto"/>
        </w:rPr>
        <w:t>. Company shall have the right to terminate this Agreement by giving [***] days advance written notice to Hospital and upon such termination shall immediately cease all use and Sales of Products and Processes, subject to Section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29"/>
          </w:cols>
          <w:pgMar w:left="311" w:top="1392" w:right="359" w:bottom="1440" w:gutter="0" w:footer="0" w:header="0"/>
        </w:sectPr>
      </w:pPr>
    </w:p>
    <w:bookmarkStart w:id="533" w:name="page534"/>
    <w:bookmarkEnd w:id="533"/>
    <w:p>
      <w:pPr>
        <w:ind w:right="20"/>
        <w:spacing w:after="0" w:line="242"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u w:val="single" w:color="auto"/>
          <w:color w:val="auto"/>
        </w:rPr>
        <w:t>Effect of Termination on Sublicenses</w:t>
      </w:r>
      <w:r>
        <w:rPr>
          <w:rFonts w:ascii="Times New Roman" w:cs="Times New Roman" w:eastAsia="Times New Roman" w:hAnsi="Times New Roman"/>
          <w:sz w:val="17"/>
          <w:szCs w:val="17"/>
          <w:color w:val="auto"/>
        </w:rPr>
        <w:t>. If (i) this Agreement is terminated, (ii) the Company entered into a sublicense agreement prior to termination, (iii) the Sublicensee is in compliance with its obligations under such sublicense agreement at the time of termination of this Agreement, and (iv) Company or the Sublicensee provides Hospital with an unredacted copy of such agreement within [***] days after termination of Agreement, then such sublicense granted by Company under this Agreement will provide for assignment to Hospital of Company’s interest therein, effective as of the time of such termination, provided however that such assignment shall only be in respect to rights to Patent Rights granted under this Agreement. Under such assignment, both Sublicensee and Hospital shall maintain and/or assume all terms, conditions, and obligations related to Patent Rights in such sublicense agreement.</w:t>
      </w:r>
    </w:p>
    <w:p>
      <w:pPr>
        <w:spacing w:after="0" w:line="15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u w:val="single" w:color="auto"/>
          <w:color w:val="auto"/>
        </w:rPr>
        <w:t>Effects of Termination of Agreement</w:t>
      </w:r>
      <w:r>
        <w:rPr>
          <w:rFonts w:ascii="Times New Roman" w:cs="Times New Roman" w:eastAsia="Times New Roman" w:hAnsi="Times New Roman"/>
          <w:sz w:val="17"/>
          <w:szCs w:val="17"/>
          <w:color w:val="auto"/>
        </w:rPr>
        <w:t>. Upon termination of this Agreement or any of the licenses hereunder for any reason, final reports in accordance with Section 5 shall be submitted to Hospital and all royalties and other payments, including without limitation any unreimbursed Patent Costs, accrued or due to Hospital as of the termination date shall become immediately payable. Following termination (but not expiration) of this Agreement, Company shall cease, and shall cause its Affiliates and Sublicensees to cease under any sublicense granted by Company, all Sales and uses of Products and Processes upon such termination, subject to Section 10.9. The termination or expiration of this Agreement or any license granted hereunder shall not relieve Company, its Affiliates or Sublicensees of obligations arising before such termination or expiration.</w:t>
      </w:r>
    </w:p>
    <w:p>
      <w:pPr>
        <w:spacing w:after="0" w:line="15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color w:val="auto"/>
        </w:rPr>
        <w:t xml:space="preserve">10.9 </w:t>
      </w:r>
      <w:r>
        <w:rPr>
          <w:rFonts w:ascii="Times New Roman" w:cs="Times New Roman" w:eastAsia="Times New Roman" w:hAnsi="Times New Roman"/>
          <w:sz w:val="17"/>
          <w:szCs w:val="17"/>
          <w:u w:val="single" w:color="auto"/>
          <w:color w:val="auto"/>
        </w:rPr>
        <w:t>Inventory</w:t>
      </w:r>
      <w:r>
        <w:rPr>
          <w:rFonts w:ascii="Times New Roman" w:cs="Times New Roman" w:eastAsia="Times New Roman" w:hAnsi="Times New Roman"/>
          <w:sz w:val="17"/>
          <w:szCs w:val="17"/>
          <w:color w:val="auto"/>
        </w:rPr>
        <w:t>. Upon early termination of this Agreement other than for Company default, Company, Company Affiliates and Sublicensees may complete and sell any work-in-progress and inventory of Products and Processes that exist as of the effective date of termination provided that (i) Company pays Hospital the applicable running royalty or other amounts due on such Net Sales in accordance with the terms and conditions of this Agreement, and (ii) Company, Company Affiliates and Sublicensees shall complete and sell all work-in-progress and inventory of Products and Processes within [***] months after the effective date of termination. Upon expiration of this Agreement, Company shall pay to Hospital the royalties set forth in Section 4.5(a) for Sales of any Product that was in inventory or was a work-in-progress on the date of expiration of the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the foregoing, the Company’s obligation to pay the milestone payment, as described in Section 4.4(e), will survive termination of the License.</w:t>
      </w:r>
    </w:p>
    <w:p>
      <w:pPr>
        <w:spacing w:after="0" w:line="175" w:lineRule="exact"/>
        <w:rPr>
          <w:sz w:val="20"/>
          <w:szCs w:val="20"/>
          <w:color w:val="auto"/>
        </w:rPr>
      </w:pPr>
    </w:p>
    <w:p>
      <w:pPr>
        <w:ind w:left="4840" w:hanging="525"/>
        <w:spacing w:after="0"/>
        <w:tabs>
          <w:tab w:leader="none" w:pos="4840" w:val="left"/>
        </w:tabs>
        <w:numPr>
          <w:ilvl w:val="0"/>
          <w:numId w:val="4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COMPLIANCE WITH LAW</w:t>
      </w:r>
    </w:p>
    <w:p>
      <w:pPr>
        <w:spacing w:after="0" w:line="18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Company shall have the sole obligation for Company’s compliance with, and shall ensure that any Affiliates and Sublicensees comply with, all government statutes and regulations that relate to Products and Processes, including, but not limited to, those of the Food and Drug Administration and the Export Administration, as amended, and any applicable laws and regulations of any other country in the License Territory. As between the Parties, Company agrees that it shall be solely responsible for obtaining any necessary licenses to export, re-export, or import Products or Processes covered by Patent Rights and/or Confidential Information. Company shall indemnify and hold harmless Hospital for any breach of Company’s obligations under this Section 11.1.</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Patent Numbers</w:t>
      </w:r>
      <w:r>
        <w:rPr>
          <w:rFonts w:ascii="Times New Roman" w:cs="Times New Roman" w:eastAsia="Times New Roman" w:hAnsi="Times New Roman"/>
          <w:sz w:val="17"/>
          <w:szCs w:val="17"/>
          <w:color w:val="auto"/>
        </w:rPr>
        <w:t>. Company shall cause all Products sold in the United States to be marked with all applicable U.S. Patent Numbers, to the full extent required by United States law.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00"/>
          </w:cols>
          <w:pgMar w:left="320" w:top="1392" w:right="37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7"/>
          <w:szCs w:val="17"/>
          <w:color w:val="auto"/>
        </w:rPr>
        <w:t>similarly cause all Products shipped to or sold in any other country to be marked in such a manner as to conform with the patent laws and practices of such country.</w:t>
      </w:r>
    </w:p>
    <w:p>
      <w:pPr>
        <w:spacing w:after="0" w:line="175" w:lineRule="exact"/>
        <w:rPr>
          <w:sz w:val="20"/>
          <w:szCs w:val="20"/>
          <w:color w:val="auto"/>
        </w:rPr>
      </w:pPr>
    </w:p>
    <w:p>
      <w:pPr>
        <w:ind w:left="5160" w:hanging="535"/>
        <w:spacing w:after="0"/>
        <w:tabs>
          <w:tab w:leader="none" w:pos="5160" w:val="left"/>
        </w:tabs>
        <w:numPr>
          <w:ilvl w:val="0"/>
          <w:numId w:val="4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1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appendices) constitutes the entire understanding between the Parties with respect to the subject matter hereof and supersedes the Term Sheet between the Parties dated [***].</w:t>
      </w:r>
    </w:p>
    <w:p>
      <w:pPr>
        <w:spacing w:after="0" w:line="14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reports, waivers, correspondences or other communications required under or pertaining to this Agreement shall be in writing and shall be delivered by hand, or sent by a reputable overnight mail service (e.g., Federal Express), or by first class mail (certified or registered), or by facsimile confirmed by one of the foregoing methods, to the other party. Notices will be deemed effective (a) three (3) working days after deposit, postage prepaid, if mailed, (b) the next day if sent by overnight mail, or (c) the same day if sent by facsimile and confirmed as set forth above or delivered by hand. Unless changed in writing in accordance with this Section, the notice addresses shall be:</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For Hospital:</w:t>
      </w:r>
    </w:p>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Chief Innovation Officer, Innovation</w:t>
      </w:r>
    </w:p>
    <w:p>
      <w:pPr>
        <w:spacing w:after="0" w:line="1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Brigham and Women’s Hospital</w:t>
      </w:r>
    </w:p>
    <w:p>
      <w:pPr>
        <w:ind w:left="1080"/>
        <w:spacing w:after="0" w:line="237" w:lineRule="auto"/>
        <w:rPr>
          <w:sz w:val="20"/>
          <w:szCs w:val="20"/>
          <w:color w:val="auto"/>
        </w:rPr>
      </w:pPr>
      <w:r>
        <w:rPr>
          <w:rFonts w:ascii="Times New Roman" w:cs="Times New Roman" w:eastAsia="Times New Roman" w:hAnsi="Times New Roman"/>
          <w:sz w:val="17"/>
          <w:szCs w:val="17"/>
          <w:color w:val="auto"/>
        </w:rPr>
        <w:t>215 First Street, Suite 500</w:t>
      </w:r>
    </w:p>
    <w:p>
      <w:pPr>
        <w:ind w:left="1080"/>
        <w:spacing w:after="0"/>
        <w:rPr>
          <w:sz w:val="20"/>
          <w:szCs w:val="20"/>
          <w:color w:val="auto"/>
        </w:rPr>
      </w:pPr>
      <w:r>
        <w:rPr>
          <w:rFonts w:ascii="Times New Roman" w:cs="Times New Roman" w:eastAsia="Times New Roman" w:hAnsi="Times New Roman"/>
          <w:sz w:val="17"/>
          <w:szCs w:val="17"/>
          <w:color w:val="auto"/>
        </w:rPr>
        <w:t>Cambridge, MA 02142</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For Company:</w:t>
      </w:r>
    </w:p>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Seer Biosciences, Inc.</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Attn: [***]</w:t>
      </w:r>
    </w:p>
    <w:p>
      <w:pPr>
        <w:ind w:left="1080"/>
        <w:spacing w:after="0"/>
        <w:rPr>
          <w:sz w:val="20"/>
          <w:szCs w:val="20"/>
          <w:color w:val="auto"/>
        </w:rPr>
      </w:pPr>
      <w:r>
        <w:rPr>
          <w:rFonts w:ascii="Times New Roman" w:cs="Times New Roman" w:eastAsia="Times New Roman" w:hAnsi="Times New Roman"/>
          <w:sz w:val="17"/>
          <w:szCs w:val="17"/>
          <w:color w:val="auto"/>
        </w:rPr>
        <w:t>Fax No. [***]</w:t>
      </w:r>
    </w:p>
    <w:p>
      <w:pPr>
        <w:spacing w:after="0" w:line="16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Amendment; Waiver</w:t>
      </w:r>
      <w:r>
        <w:rPr>
          <w:rFonts w:ascii="Times New Roman" w:cs="Times New Roman" w:eastAsia="Times New Roman" w:hAnsi="Times New Roman"/>
          <w:sz w:val="17"/>
          <w:szCs w:val="17"/>
          <w:color w:val="auto"/>
        </w:rPr>
        <w:t>. This Agreement may be amended and any of its terms or conditions may be waived only by a written instrument executed by an authorized signatory of the Parties or, in the case of a waiver, by the Party waiving compliance. The failure of either Party at any time or times to require performance of any provision hereof shall in no manner affect its rights at a later time to enforce the same. No waiver by either Party of any condition or term shall be deemed as a further or continuing waiver of such condition or term or of any other condition or term.</w:t>
      </w:r>
    </w:p>
    <w:p>
      <w:pPr>
        <w:spacing w:after="0" w:line="156"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and inure to the benefit of and be enforceable by the Parties hereto and their respective permitted successors and assigns.</w:t>
      </w:r>
    </w:p>
    <w:p>
      <w:pPr>
        <w:spacing w:after="0" w:line="14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 xml:space="preserve">12.5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Company shall not assign this Agreement or any of its rights or obligations under this Agreement without the prior written consent of Hospital; provided, however, that if Company has fulfilled its diligence obligations as set forth in Section 3, no such consent will be required to assign this Agreement to a successor of the Company’s business to which this Agreement pertains or to a purchaser of substantially all of the Company’s assets related to this Agreement, so long as such successor or purchaser shall agree in writing to be bound by all of the terms and conditions hereof prior to such assignment. Company shall notify Hospital in writing of any such assignment and provide a copy of all assignment documents and related agreements to Hospital within [***] days of such assignment.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20"/>
          </w:cols>
          <w:pgMar w:left="320" w:top="1393" w:right="359" w:bottom="1440" w:gutter="0" w:footer="0" w:header="0"/>
        </w:sectPr>
      </w:pPr>
    </w:p>
    <w:bookmarkStart w:id="535" w:name="page536"/>
    <w:bookmarkEnd w:id="535"/>
    <w:p>
      <w:pPr>
        <w:ind w:right="200"/>
        <w:spacing w:after="0" w:line="249" w:lineRule="auto"/>
        <w:rPr>
          <w:sz w:val="20"/>
          <w:szCs w:val="20"/>
          <w:color w:val="auto"/>
        </w:rPr>
      </w:pPr>
      <w:r>
        <w:rPr>
          <w:rFonts w:ascii="Times New Roman" w:cs="Times New Roman" w:eastAsia="Times New Roman" w:hAnsi="Times New Roman"/>
          <w:sz w:val="17"/>
          <w:szCs w:val="17"/>
          <w:color w:val="auto"/>
        </w:rPr>
        <w:t>of an assignee to agree to be bound by the terms hereof or failure of Company to notify hospital and provide copies of assignment documentation shall be grounds for termination of this Agreement for default in accordance with Section 10.4 of this Agreement. Further, neither any rights granted under this Agreement nor any sublicense may be assigned by any Sublicensee without the prior written consent of Hospital.</w:t>
      </w:r>
    </w:p>
    <w:p>
      <w:pPr>
        <w:spacing w:after="0" w:line="15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Neither Party shall be responsible for delays resulting from causes beyond the reasonable control of such Party, including without limitation fire, explosion, flood, war, sabotage,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u w:val="single" w:color="auto"/>
          <w:color w:val="auto"/>
        </w:rPr>
        <w:t>Use of Name</w:t>
      </w:r>
      <w:r>
        <w:rPr>
          <w:rFonts w:ascii="Times New Roman" w:cs="Times New Roman" w:eastAsia="Times New Roman" w:hAnsi="Times New Roman"/>
          <w:sz w:val="17"/>
          <w:szCs w:val="17"/>
          <w:color w:val="auto"/>
        </w:rPr>
        <w:t>. Neither Party shall use the name, trademark, service mark, logo or other identifying characteristic (“Name”) of the other Party or of any trustee, director, officer, staff member, employee, student or agent of the other Party or any adaptation thereof in any advertising, promotional or sales literature, publicity or in any document employed to obtain funds or financing without the prior written approval of the Party or individual whose Name is to be used. For Hospital, such approval shall be given solely by its Public Affairs Department. Notwithstanding the foregoing, Company may make factual statements publicly (a) concerning the Company’s license of the Patent Rights from Hospital and (b) that one of its founders. Dr. Omid Farokhzad, is a professional staff member of the Hospital, provided that in each case, such usage (i) is limited to reporting factual events or occurrences only, (ii) is not promotional in nature, and (iii) is made in a manner that could not reasonably constitute an endorsement by Hospital, Hospital’s affiliates, or any of their respective directors, trustees, officers, appointees, employees, staff, representatives or agents of Company or of any Company program, product or service. The foregoing restriction shall not apply to any information required by law to be disclosed to any governmental entity.</w:t>
      </w:r>
    </w:p>
    <w:p>
      <w:pPr>
        <w:spacing w:after="0" w:line="16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 xml:space="preserve">12.8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and interpreted in accordance with the laws of the Commonwealth of Massachusetts, excluding with respect to conflict of laws, except that questions affecting the construction and effect of any patent shall be determined by the law of the country in which the patent shall have been granted. Each Party agrees to submit to the exclusive jurisdiction of the Superior Court for Suffolk County, Massachusetts, and the United States District Court for the District of Massachusetts with respect to any claim, suit or action in law or equity arising in any way out of this Agreement or the subject matter hereof.</w:t>
      </w:r>
    </w:p>
    <w:p>
      <w:pPr>
        <w:spacing w:after="0" w:line="15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 xml:space="preserve">12.9 </w:t>
      </w:r>
      <w:r>
        <w:rPr>
          <w:rFonts w:ascii="Times New Roman" w:cs="Times New Roman" w:eastAsia="Times New Roman" w:hAnsi="Times New Roman"/>
          <w:sz w:val="16"/>
          <w:szCs w:val="16"/>
          <w:u w:val="single" w:color="auto"/>
          <w:color w:val="auto"/>
        </w:rPr>
        <w:t>Hospital Policies</w:t>
      </w:r>
      <w:r>
        <w:rPr>
          <w:rFonts w:ascii="Times New Roman" w:cs="Times New Roman" w:eastAsia="Times New Roman" w:hAnsi="Times New Roman"/>
          <w:sz w:val="16"/>
          <w:szCs w:val="16"/>
          <w:color w:val="auto"/>
        </w:rPr>
        <w:t>. Company acknowledges that Hospital’s employees and medical and professional staff members and the employees and staff members of Hospital’s Affiliates are subject to the applicable policies of Hospital and such Affiliates, including, without limitation, policies regarding conflicts of interest, intellectual property and other matters. Company shall provide Hospital with any agreement it proposes to enter into with any employee or staff member of Hospital or any of Hospital’s Affiliates for Hospital’s prior review and shall not enter into any oral or written agreement with such employee or staff member which conflicts with any such policy. Hospital shall provide Company, at Company’s request, with copies of any such policies applicable to any such employee or staff member.</w:t>
      </w:r>
    </w:p>
    <w:p>
      <w:pPr>
        <w:spacing w:after="0" w:line="14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 xml:space="preserve">12.10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provision(s) of this Agreement are or become invalid, are ruled illegal by any court of competent jurisdiction or are deemed unenforceable under then current applicable law from time to time in effect during the term hereof, it is the intention of the parties that the remainder of this Agreement shall not be effected thereby. It is further the intention of the parties that in lieu of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393" w:right="339" w:bottom="1440" w:gutter="0" w:footer="0" w:header="0"/>
        </w:sectPr>
      </w:pPr>
    </w:p>
    <w:bookmarkStart w:id="536" w:name="page537"/>
    <w:bookmarkEnd w:id="536"/>
    <w:p>
      <w:pPr>
        <w:ind w:right="40"/>
        <w:spacing w:after="0" w:line="262" w:lineRule="auto"/>
        <w:rPr>
          <w:sz w:val="20"/>
          <w:szCs w:val="20"/>
          <w:color w:val="auto"/>
        </w:rPr>
      </w:pPr>
      <w:r>
        <w:rPr>
          <w:rFonts w:ascii="Times New Roman" w:cs="Times New Roman" w:eastAsia="Times New Roman" w:hAnsi="Times New Roman"/>
          <w:sz w:val="17"/>
          <w:szCs w:val="17"/>
          <w:color w:val="auto"/>
        </w:rPr>
        <w:t>provision which is invalid, illegal or unenforceable, there be substituted or added as part of this Agreement a provision which shall be as similar as possible in economic and business objectives as intended by the parties to such invalid, illegal or enforceable provision, but shall be valid, legal and enforceable.</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12.11</w:t>
      </w:r>
      <w:r>
        <w:rPr>
          <w:sz w:val="20"/>
          <w:szCs w:val="20"/>
          <w:color w:val="auto"/>
        </w:rPr>
        <w:tab/>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In addition to any specific survival references in this Agreement, Sections 1, 2.4, 4.2 (with respect to costs incurred before termination or expiration),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4.4(e), 4.6, 4.7, 5.2 (with respect to 4.2(e)), 5.3 and 5.4 (with respect to Sales or Sublicense Income recognized within 12 months after termination or expiration), 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6.4, 8.1, 8.2, 9.2, 9.3, 10.7, 10.8, 10.9 12.1, 12.2, 12.3, 12.4, 12.7, 12.8, 12.9, 12.10, 12.11, 12.12 and 12.13 shall survive termination or expiration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other rights, responsibilities, obligations, covenants and warranties which by their nature should survive this Agreement shall similarly survive and remain in effect.</w:t>
      </w:r>
    </w:p>
    <w:p>
      <w:pPr>
        <w:spacing w:after="0" w:line="173"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7"/>
          <w:szCs w:val="17"/>
          <w:color w:val="auto"/>
        </w:rPr>
        <w:t xml:space="preserve">12.12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parties hereto are sophisticated, have had the opportunity to consult legal counsel with respect to this transaction and hereby waive any presumptions of any statutory or common law rule relating to the interpretation of contracts against the drafter.</w:t>
      </w:r>
    </w:p>
    <w:p>
      <w:pPr>
        <w:spacing w:after="0" w:line="1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12.13</w:t>
      </w:r>
      <w:r>
        <w:rPr>
          <w:sz w:val="20"/>
          <w:szCs w:val="20"/>
          <w:color w:val="auto"/>
        </w:rPr>
        <w:tab/>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All headings are for convenience only and shall not affect the meaning of any provision of this Agreement.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393" w:right="339" w:bottom="1440" w:gutter="0" w:footer="0" w:header="0"/>
        </w:sectPr>
      </w:pPr>
    </w:p>
    <w:bookmarkStart w:id="537" w:name="page538"/>
    <w:bookmarkEnd w:id="537"/>
    <w:p>
      <w:pPr>
        <w:ind w:right="260" w:firstLine="545"/>
        <w:spacing w:after="0" w:line="262" w:lineRule="auto"/>
        <w:rPr>
          <w:sz w:val="20"/>
          <w:szCs w:val="20"/>
          <w:color w:val="auto"/>
        </w:rPr>
      </w:pPr>
      <w:r>
        <w:rPr>
          <w:rFonts w:ascii="Times New Roman" w:cs="Times New Roman" w:eastAsia="Times New Roman" w:hAnsi="Times New Roman"/>
          <w:sz w:val="17"/>
          <w:szCs w:val="17"/>
          <w:color w:val="auto"/>
        </w:rPr>
        <w:t>IN WITNESS WHEREOF, the Parties have caused this Exclusive Patent License Agreement to be executed by their duly authorized representatives as of the Effective Date first written above.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SEER BIOSCIENCES, INC.</w:t>
            </w:r>
          </w:p>
        </w:tc>
        <w:tc>
          <w:tcPr>
            <w:tcW w:w="660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THE BRIGHAM AND WOMEN’S HOSPITAL, INC.</w:t>
            </w:r>
          </w:p>
        </w:tc>
      </w:tr>
      <w:tr>
        <w:trPr>
          <w:trHeight w:val="702"/>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Nelson K. Stacks</w:t>
            </w:r>
          </w:p>
        </w:tc>
        <w:tc>
          <w:tcPr>
            <w:tcW w:w="660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By:</w:t>
            </w:r>
          </w:p>
        </w:tc>
      </w:tr>
      <w:tr>
        <w:trPr>
          <w:trHeight w:val="220"/>
        </w:trPr>
        <w:tc>
          <w:tcPr>
            <w:tcW w:w="520" w:type="dxa"/>
            <w:vAlign w:val="bottom"/>
          </w:tcPr>
          <w:p>
            <w:pPr>
              <w:spacing w:after="0"/>
              <w:rPr>
                <w:sz w:val="19"/>
                <w:szCs w:val="19"/>
                <w:color w:val="auto"/>
              </w:rPr>
            </w:pPr>
          </w:p>
        </w:tc>
        <w:tc>
          <w:tcPr>
            <w:tcW w:w="4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Name: Nelson K. Stacks</w:t>
            </w:r>
          </w:p>
        </w:tc>
        <w:tc>
          <w:tcPr>
            <w:tcW w:w="880" w:type="dxa"/>
            <w:vAlign w:val="bottom"/>
          </w:tcPr>
          <w:p>
            <w:pPr>
              <w:spacing w:after="0"/>
              <w:rPr>
                <w:sz w:val="19"/>
                <w:szCs w:val="19"/>
                <w:color w:val="auto"/>
              </w:rPr>
            </w:pPr>
          </w:p>
        </w:tc>
        <w:tc>
          <w:tcPr>
            <w:tcW w:w="5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Name:</w:t>
            </w:r>
          </w:p>
        </w:tc>
      </w:tr>
      <w:tr>
        <w:trPr>
          <w:trHeight w:val="464"/>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w w:val="96"/>
              </w:rPr>
              <w:t>TITLE:</w:t>
            </w:r>
          </w:p>
        </w:tc>
        <w:tc>
          <w:tcPr>
            <w:tcW w:w="420" w:type="dxa"/>
            <w:vAlign w:val="bottom"/>
          </w:tcPr>
          <w:p>
            <w:pPr>
              <w:spacing w:after="0"/>
              <w:rPr>
                <w:sz w:val="24"/>
                <w:szCs w:val="24"/>
                <w:color w:val="auto"/>
              </w:rPr>
            </w:pP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President</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TITLE:</w:t>
            </w:r>
          </w:p>
        </w:tc>
        <w:tc>
          <w:tcPr>
            <w:tcW w:w="5320" w:type="dxa"/>
            <w:vAlign w:val="bottom"/>
            <w:tcBorders>
              <w:bottom w:val="single" w:sz="8" w:color="auto"/>
            </w:tcBorders>
          </w:tcPr>
          <w:p>
            <w:pPr>
              <w:spacing w:after="0"/>
              <w:rPr>
                <w:sz w:val="24"/>
                <w:szCs w:val="24"/>
                <w:color w:val="auto"/>
              </w:rPr>
            </w:pPr>
          </w:p>
        </w:tc>
      </w:tr>
      <w:tr>
        <w:trPr>
          <w:trHeight w:val="434"/>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w w:val="99"/>
              </w:rPr>
              <w:t>DATE:</w:t>
            </w:r>
          </w:p>
        </w:tc>
        <w:tc>
          <w:tcPr>
            <w:tcW w:w="420" w:type="dxa"/>
            <w:vAlign w:val="bottom"/>
          </w:tcPr>
          <w:p>
            <w:pPr>
              <w:spacing w:after="0"/>
              <w:rPr>
                <w:sz w:val="24"/>
                <w:szCs w:val="24"/>
                <w:color w:val="auto"/>
              </w:rPr>
            </w:pP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12/18/17</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DATE:</w:t>
            </w:r>
          </w:p>
        </w:tc>
        <w:tc>
          <w:tcPr>
            <w:tcW w:w="53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60"/>
          </w:cols>
          <w:pgMar w:left="320" w:top="1393" w:right="319" w:bottom="1440" w:gutter="0" w:footer="0" w:header="0"/>
        </w:sectPr>
      </w:pPr>
    </w:p>
    <w:bookmarkStart w:id="538" w:name="page539"/>
    <w:bookmarkEnd w:id="538"/>
    <w:p>
      <w:pPr>
        <w:ind w:right="260" w:firstLine="545"/>
        <w:spacing w:after="0" w:line="262" w:lineRule="auto"/>
        <w:rPr>
          <w:sz w:val="20"/>
          <w:szCs w:val="20"/>
          <w:color w:val="auto"/>
        </w:rPr>
      </w:pPr>
      <w:r>
        <w:rPr>
          <w:rFonts w:ascii="Times New Roman" w:cs="Times New Roman" w:eastAsia="Times New Roman" w:hAnsi="Times New Roman"/>
          <w:sz w:val="17"/>
          <w:szCs w:val="17"/>
          <w:color w:val="auto"/>
        </w:rPr>
        <w:t>IN WITNESS WHEREOF, the Parties have caused this Exclusive Patent License Agreement to be executed by their duly authorized representatives as of the Effective Date first written above.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SEER BIOSCIENCES, INC.</w:t>
            </w:r>
          </w:p>
        </w:tc>
        <w:tc>
          <w:tcPr>
            <w:tcW w:w="660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THE BRIGHAM AND WOMEN’S HOSPITAL, INC.</w:t>
            </w:r>
          </w:p>
        </w:tc>
      </w:tr>
      <w:tr>
        <w:trPr>
          <w:trHeight w:val="702"/>
        </w:trPr>
        <w:tc>
          <w:tcPr>
            <w:tcW w:w="4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By:</w:t>
            </w: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Daniel Castro</w:t>
            </w:r>
          </w:p>
        </w:tc>
      </w:tr>
      <w:tr>
        <w:trPr>
          <w:trHeight w:val="220"/>
        </w:trPr>
        <w:tc>
          <w:tcPr>
            <w:tcW w:w="520" w:type="dxa"/>
            <w:vAlign w:val="bottom"/>
          </w:tcPr>
          <w:p>
            <w:pPr>
              <w:spacing w:after="0"/>
              <w:rPr>
                <w:sz w:val="19"/>
                <w:szCs w:val="19"/>
                <w:color w:val="auto"/>
              </w:rPr>
            </w:pPr>
          </w:p>
        </w:tc>
        <w:tc>
          <w:tcPr>
            <w:tcW w:w="4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880" w:type="dxa"/>
            <w:vAlign w:val="bottom"/>
          </w:tcPr>
          <w:p>
            <w:pPr>
              <w:spacing w:after="0"/>
              <w:rPr>
                <w:sz w:val="19"/>
                <w:szCs w:val="19"/>
                <w:color w:val="auto"/>
              </w:rPr>
            </w:pPr>
          </w:p>
        </w:tc>
        <w:tc>
          <w:tcPr>
            <w:tcW w:w="5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Name: Daniel Castro</w:t>
            </w:r>
          </w:p>
        </w:tc>
      </w:tr>
      <w:tr>
        <w:trPr>
          <w:trHeight w:val="464"/>
        </w:trPr>
        <w:tc>
          <w:tcPr>
            <w:tcW w:w="4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w:t>
            </w: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6"/>
              </w:rPr>
              <w:t>TITLE:</w:t>
            </w:r>
          </w:p>
        </w:tc>
        <w:tc>
          <w:tcPr>
            <w:tcW w:w="40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Managing Director, Licensing Partners</w:t>
            </w:r>
          </w:p>
        </w:tc>
      </w:tr>
      <w:tr>
        <w:trPr>
          <w:trHeight w:val="230"/>
        </w:trPr>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HealthCare Innovation</w:t>
            </w:r>
          </w:p>
        </w:tc>
      </w:tr>
      <w:tr>
        <w:trPr>
          <w:trHeight w:val="446"/>
        </w:trPr>
        <w:tc>
          <w:tcPr>
            <w:tcW w:w="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c>
          <w:tcPr>
            <w:tcW w:w="3720" w:type="dxa"/>
            <w:vAlign w:val="bottom"/>
            <w:tcBorders>
              <w:bottom w:val="single" w:sz="8" w:color="auto"/>
            </w:tcBorders>
          </w:tcPr>
          <w:p>
            <w:pPr>
              <w:spacing w:after="0"/>
              <w:rPr>
                <w:sz w:val="24"/>
                <w:szCs w:val="24"/>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DATE:</w:t>
            </w:r>
          </w:p>
        </w:tc>
        <w:tc>
          <w:tcPr>
            <w:tcW w:w="400" w:type="dxa"/>
            <w:vAlign w:val="bottom"/>
          </w:tcPr>
          <w:p>
            <w:pPr>
              <w:spacing w:after="0"/>
              <w:rPr>
                <w:sz w:val="24"/>
                <w:szCs w:val="24"/>
                <w:color w:val="auto"/>
              </w:rPr>
            </w:pP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12/18/17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60"/>
          </w:cols>
          <w:pgMar w:left="320" w:top="1393" w:right="319" w:bottom="1440" w:gutter="0" w:footer="0" w:header="0"/>
        </w:sectPr>
      </w:pPr>
    </w:p>
    <w:bookmarkStart w:id="539" w:name="page540"/>
    <w:bookmarkEnd w:id="539"/>
    <w:p>
      <w:pPr>
        <w:jc w:val="center"/>
        <w:ind w:right="-110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7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b w:val="1"/>
          <w:bCs w:val="1"/>
          <w:color w:val="auto"/>
        </w:rPr>
        <w:t>DESCRIPTION OF PATENT RIGHTS</w:t>
      </w:r>
    </w:p>
    <w:p>
      <w:pPr>
        <w:spacing w:after="0" w:line="18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u w:val="single" w:color="auto"/>
          <w:color w:val="auto"/>
        </w:rPr>
        <w:t>Patent Family 1:</w:t>
      </w:r>
    </w:p>
    <w:p>
      <w:pPr>
        <w:spacing w:after="0" w:line="179" w:lineRule="exact"/>
        <w:rPr>
          <w:sz w:val="20"/>
          <w:szCs w:val="20"/>
          <w:color w:val="auto"/>
        </w:rPr>
      </w:pPr>
    </w:p>
    <w:p>
      <w:pPr>
        <w:ind w:left="289" w:hanging="289"/>
        <w:spacing w:after="0"/>
        <w:tabs>
          <w:tab w:leader="none" w:pos="289"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289" w:hanging="289"/>
        <w:spacing w:after="0"/>
        <w:tabs>
          <w:tab w:leader="none" w:pos="289"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289" w:hanging="289"/>
        <w:spacing w:after="0"/>
        <w:tabs>
          <w:tab w:leader="none" w:pos="289"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289" w:hanging="289"/>
        <w:spacing w:after="0"/>
        <w:tabs>
          <w:tab w:leader="none" w:pos="289"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289" w:hanging="289"/>
        <w:spacing w:after="0"/>
        <w:tabs>
          <w:tab w:leader="none" w:pos="289"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9" w:right="9039" w:hanging="9"/>
        <w:spacing w:after="0" w:line="488" w:lineRule="auto"/>
        <w:tabs>
          <w:tab w:leader="none" w:pos="301"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Patent Family 2:</w:t>
      </w:r>
    </w:p>
    <w:p>
      <w:pPr>
        <w:spacing w:after="0" w:line="1" w:lineRule="exact"/>
        <w:rPr>
          <w:sz w:val="20"/>
          <w:szCs w:val="20"/>
          <w:color w:val="auto"/>
        </w:rPr>
      </w:pPr>
    </w:p>
    <w:p>
      <w:pPr>
        <w:ind w:left="9"/>
        <w:spacing w:after="0"/>
        <w:tabs>
          <w:tab w:leader="none" w:pos="269"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148"/>
          </w:cols>
          <w:pgMar w:left="311" w:top="1207" w:right="1440" w:bottom="1440" w:gutter="0" w:footer="0" w:header="0"/>
        </w:sectPr>
      </w:pPr>
    </w:p>
    <w:bookmarkStart w:id="540" w:name="page541"/>
    <w:bookmarkEnd w:id="540"/>
    <w:p>
      <w:pPr>
        <w:jc w:val="center"/>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SALES REPORTS</w:t>
      </w:r>
    </w:p>
    <w:p>
      <w:pPr>
        <w:spacing w:after="0" w:line="87"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1"/>
          <w:szCs w:val="21"/>
          <w:b w:val="1"/>
          <w:bCs w:val="1"/>
          <w:color w:val="auto"/>
        </w:rPr>
        <w:t>AGREEMENT INCOME REPORT</w:t>
        <w:tab/>
        <w:t>Royalty Income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[MGH] [BWH] Agreement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24765</wp:posOffset>
            </wp:positionV>
            <wp:extent cx="471678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16780" cy="69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24765</wp:posOffset>
            </wp:positionV>
            <wp:extent cx="471678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16780" cy="69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24765</wp:posOffset>
            </wp:positionV>
            <wp:extent cx="471678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6780" cy="69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Separate reports must be filed for</w:t>
      </w:r>
    </w:p>
    <w:p>
      <w:pPr>
        <w:spacing w:after="0" w:line="15" w:lineRule="exact"/>
        <w:rPr>
          <w:sz w:val="20"/>
          <w:szCs w:val="20"/>
          <w:color w:val="auto"/>
        </w:rPr>
      </w:pPr>
    </w:p>
    <w:p>
      <w:pPr>
        <w:ind w:left="560" w:hanging="297"/>
        <w:spacing w:after="0"/>
        <w:tabs>
          <w:tab w:leader="none" w:pos="560" w:val="left"/>
        </w:tabs>
        <w:numPr>
          <w:ilvl w:val="0"/>
          <w:numId w:val="44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Each Product sold.</w:t>
      </w:r>
    </w:p>
    <w:p>
      <w:pPr>
        <w:ind w:left="560" w:hanging="297"/>
        <w:spacing w:after="0"/>
        <w:tabs>
          <w:tab w:leader="none" w:pos="560" w:val="left"/>
        </w:tabs>
        <w:numPr>
          <w:ilvl w:val="0"/>
          <w:numId w:val="44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Each country of sale, if different deductions or royalty rates apply.</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Product Name:</w:t>
            </w:r>
          </w:p>
        </w:tc>
        <w:tc>
          <w:tcPr>
            <w:tcW w:w="10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09"/>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Report Time Period:</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48"/>
        </w:trPr>
        <w:tc>
          <w:tcPr>
            <w:tcW w:w="9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From</w:t>
            </w:r>
          </w:p>
        </w:tc>
        <w:tc>
          <w:tcPr>
            <w:tcW w:w="1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mm/dd/yyyy</w:t>
            </w:r>
          </w:p>
        </w:tc>
        <w:tc>
          <w:tcPr>
            <w:tcW w:w="10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219"/>
        </w:trPr>
        <w:tc>
          <w:tcPr>
            <w:tcW w:w="9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w:t>
            </w:r>
          </w:p>
        </w:tc>
        <w:tc>
          <w:tcPr>
            <w:tcW w:w="18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mm/dd/yyyy</w:t>
            </w:r>
          </w:p>
        </w:tc>
        <w:tc>
          <w:tcPr>
            <w:tcW w:w="10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27"/>
        </w:trPr>
        <w:tc>
          <w:tcPr>
            <w:tcW w:w="2780" w:type="dxa"/>
            <w:vAlign w:val="bottom"/>
            <w:tcBorders>
              <w:bottom w:val="single" w:sz="8" w:color="auto"/>
            </w:tcBorders>
            <w:gridSpan w:val="2"/>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332"/>
        </w:trPr>
        <w:tc>
          <w:tcPr>
            <w:tcW w:w="960" w:type="dxa"/>
            <w:vAlign w:val="bottom"/>
            <w:tcBorders>
              <w:left w:val="single" w:sz="8" w:color="auto"/>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r>
      <w:tr>
        <w:trPr>
          <w:trHeight w:val="221"/>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Country of Sale</w:t>
            </w: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w w:val="97"/>
              </w:rPr>
              <w:t>Quantity Sold</w:t>
            </w:r>
          </w:p>
        </w:tc>
        <w:tc>
          <w:tcPr>
            <w:tcW w:w="18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r>
      <w:tr>
        <w:trPr>
          <w:trHeight w:val="412"/>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Gross Sales (USD)</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4400" w:type="dxa"/>
            <w:vAlign w:val="bottom"/>
            <w:gridSpan w:val="3"/>
          </w:tcPr>
          <w:p>
            <w:pPr>
              <w:jc w:val="right"/>
              <w:ind w:right="23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2440" w:type="dxa"/>
            <w:vAlign w:val="bottom"/>
          </w:tcPr>
          <w:p>
            <w:pPr>
              <w:jc w:val="right"/>
              <w:ind w:right="2257"/>
              <w:spacing w:after="0"/>
              <w:rPr>
                <w:sz w:val="20"/>
                <w:szCs w:val="20"/>
                <w:color w:val="auto"/>
              </w:rPr>
            </w:pPr>
            <w:r>
              <w:rPr>
                <w:rFonts w:ascii="Times New Roman" w:cs="Times New Roman" w:eastAsia="Times New Roman" w:hAnsi="Times New Roman"/>
                <w:sz w:val="17"/>
                <w:szCs w:val="17"/>
                <w:color w:val="auto"/>
                <w:w w:val="93"/>
              </w:rPr>
              <w:t>$</w:t>
            </w:r>
          </w:p>
        </w:tc>
      </w:tr>
      <w:tr>
        <w:trPr>
          <w:trHeight w:val="218"/>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Rate</w:t>
            </w:r>
          </w:p>
        </w:tc>
        <w:tc>
          <w:tcPr>
            <w:tcW w:w="10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Borders>
              <w:top w:val="single" w:sz="8" w:color="auto"/>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40" w:type="dxa"/>
            <w:vAlign w:val="bottom"/>
            <w:tcBorders>
              <w:top w:val="single" w:sz="8" w:color="auto"/>
              <w:bottom w:val="single" w:sz="8" w:color="auto"/>
            </w:tcBorders>
          </w:tcPr>
          <w:p>
            <w:pPr>
              <w:spacing w:after="0"/>
              <w:rPr>
                <w:sz w:val="19"/>
                <w:szCs w:val="19"/>
                <w:color w:val="auto"/>
              </w:rPr>
            </w:pPr>
          </w:p>
        </w:tc>
      </w:tr>
      <w:tr>
        <w:trPr>
          <w:trHeight w:val="209"/>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Deductions (Itemize)</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tcPr>
          <w:p>
            <w:pPr>
              <w:spacing w:after="0"/>
              <w:rPr>
                <w:sz w:val="18"/>
                <w:szCs w:val="18"/>
                <w:color w:val="auto"/>
              </w:rPr>
            </w:pPr>
          </w:p>
        </w:tc>
      </w:tr>
    </w:tbl>
    <w:p>
      <w:pPr>
        <w:spacing w:after="0" w:line="2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i w:val="1"/>
          <w:iCs w:val="1"/>
          <w:color w:val="auto"/>
        </w:rPr>
        <w:t>Please list each deduction separately. Use same definition as appears in Agreement and include the contract paragraph as a reference (Std Section 1.17(a)(ii) line item deductions listed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Al.</w:t>
            </w:r>
          </w:p>
        </w:tc>
        <w:tc>
          <w:tcPr>
            <w:tcW w:w="2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8"/>
        </w:trPr>
        <w:tc>
          <w:tcPr>
            <w:tcW w:w="19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A2.</w:t>
            </w:r>
          </w:p>
        </w:tc>
        <w:tc>
          <w:tcPr>
            <w:tcW w:w="2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8"/>
        </w:trPr>
        <w:tc>
          <w:tcPr>
            <w:tcW w:w="19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A3.</w:t>
            </w:r>
          </w:p>
        </w:tc>
        <w:tc>
          <w:tcPr>
            <w:tcW w:w="2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A4.</w:t>
            </w:r>
          </w:p>
        </w:tc>
        <w:tc>
          <w:tcPr>
            <w:tcW w:w="2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8"/>
        </w:trPr>
        <w:tc>
          <w:tcPr>
            <w:tcW w:w="1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B.</w:t>
            </w:r>
          </w:p>
        </w:tc>
        <w:tc>
          <w:tcPr>
            <w:tcW w:w="2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366"/>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Deductions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24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242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242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8"/>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Royalty Percentage</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Credits (itemize)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60"/>
          </w:cols>
          <w:pgMar w:left="320" w:top="1207" w:right="319" w:bottom="1440" w:gutter="0" w:footer="0" w:header="0"/>
        </w:sectPr>
      </w:pPr>
    </w:p>
    <w:bookmarkStart w:id="541" w:name="page542"/>
    <w:bookmarkEnd w:id="541"/>
    <w:p>
      <w:pPr>
        <w:spacing w:after="0"/>
        <w:tabs>
          <w:tab w:leader="none" w:pos="2460" w:val="left"/>
          <w:tab w:leader="none" w:pos="5480" w:val="left"/>
          <w:tab w:leader="none" w:pos="8520" w:val="left"/>
        </w:tabs>
        <w:rPr>
          <w:sz w:val="20"/>
          <w:szCs w:val="20"/>
          <w:color w:val="auto"/>
        </w:rPr>
      </w:pPr>
      <w:r>
        <w:rPr>
          <w:rFonts w:ascii="Times New Roman" w:cs="Times New Roman" w:eastAsia="Times New Roman" w:hAnsi="Times New Roman"/>
          <w:sz w:val="17"/>
          <w:szCs w:val="17"/>
          <w:b w:val="1"/>
          <w:bCs w:val="1"/>
          <w:i w:val="1"/>
          <w:iCs w:val="1"/>
          <w:color w:val="auto"/>
        </w:rPr>
        <w:t>Royalties Due</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61530" cy="266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2667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PLEASE ATTACH DETAIL SALES REPORTS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139"/>
          </w:cols>
          <w:pgMar w:left="320" w:top="1252" w:right="1440" w:bottom="1440" w:gutter="0" w:footer="0" w:header="0"/>
        </w:sectPr>
      </w:pPr>
    </w:p>
    <w:bookmarkStart w:id="542" w:name="page543"/>
    <w:bookmarkEnd w:id="542"/>
    <w:p>
      <w:pPr>
        <w:jc w:val="center"/>
        <w:spacing w:after="0"/>
        <w:rPr>
          <w:sz w:val="20"/>
          <w:szCs w:val="20"/>
          <w:color w:val="auto"/>
        </w:rPr>
      </w:pPr>
      <w:r>
        <w:rPr>
          <w:rFonts w:ascii="Times New Roman" w:cs="Times New Roman" w:eastAsia="Times New Roman" w:hAnsi="Times New Roman"/>
          <w:sz w:val="17"/>
          <w:szCs w:val="17"/>
          <w:b w:val="1"/>
          <w:bCs w:val="1"/>
          <w:color w:val="auto"/>
        </w:rPr>
        <w:t>Appendix C</w:t>
      </w:r>
    </w:p>
    <w:p>
      <w:pPr>
        <w:spacing w:after="0" w:line="224" w:lineRule="exact"/>
        <w:rPr>
          <w:sz w:val="20"/>
          <w:szCs w:val="20"/>
          <w:color w:val="auto"/>
        </w:rPr>
      </w:pPr>
    </w:p>
    <w:p>
      <w:pPr>
        <w:spacing w:after="0"/>
        <w:tabs>
          <w:tab w:leader="none" w:pos="9540" w:val="left"/>
        </w:tabs>
        <w:rPr>
          <w:sz w:val="20"/>
          <w:szCs w:val="20"/>
          <w:color w:val="auto"/>
        </w:rPr>
      </w:pPr>
      <w:r>
        <w:rPr>
          <w:rFonts w:ascii="Times New Roman" w:cs="Times New Roman" w:eastAsia="Times New Roman" w:hAnsi="Times New Roman"/>
          <w:sz w:val="21"/>
          <w:szCs w:val="21"/>
          <w:b w:val="1"/>
          <w:bCs w:val="1"/>
          <w:color w:val="auto"/>
        </w:rPr>
        <w:t>AGREEMENT INCOME REPORT</w:t>
      </w:r>
      <w:r>
        <w:rPr>
          <w:sz w:val="20"/>
          <w:szCs w:val="20"/>
          <w:color w:val="auto"/>
        </w:rPr>
        <w:tab/>
      </w:r>
      <w:r>
        <w:rPr>
          <w:rFonts w:ascii="Times New Roman" w:cs="Times New Roman" w:eastAsia="Times New Roman" w:hAnsi="Times New Roman"/>
          <w:sz w:val="21"/>
          <w:szCs w:val="21"/>
          <w:b w:val="1"/>
          <w:bCs w:val="1"/>
          <w:color w:val="auto"/>
        </w:rPr>
        <w:t>Sublicense Income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[MGH] [BWH] Agreement #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Licensee -</w:t>
      </w:r>
    </w:p>
    <w:p>
      <w:pPr>
        <w:spacing w:after="0"/>
        <w:rPr>
          <w:sz w:val="20"/>
          <w:szCs w:val="20"/>
          <w:color w:val="auto"/>
        </w:rPr>
      </w:pPr>
      <w:r>
        <w:rPr>
          <w:rFonts w:ascii="Times New Roman" w:cs="Times New Roman" w:eastAsia="Times New Roman" w:hAnsi="Times New Roman"/>
          <w:sz w:val="17"/>
          <w:szCs w:val="17"/>
          <w:color w:val="auto"/>
        </w:rPr>
        <w:t>Sub-Licensee -</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Separate reports must be filed for Payments associated with each Product: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Name: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 Time Period:</w:t>
      </w:r>
    </w:p>
    <w:p>
      <w:pPr>
        <w:spacing w:after="0" w:line="268" w:lineRule="exact"/>
        <w:rPr>
          <w:sz w:val="20"/>
          <w:szCs w:val="20"/>
          <w:color w:val="auto"/>
        </w:rPr>
      </w:pPr>
    </w:p>
    <w:p>
      <w:pPr>
        <w:ind w:left="460"/>
        <w:spacing w:after="0"/>
        <w:tabs>
          <w:tab w:leader="none" w:pos="960" w:val="left"/>
        </w:tabs>
        <w:rPr>
          <w:sz w:val="20"/>
          <w:szCs w:val="20"/>
          <w:color w:val="auto"/>
        </w:rPr>
      </w:pPr>
      <w:r>
        <w:rPr>
          <w:rFonts w:ascii="Times New Roman" w:cs="Times New Roman" w:eastAsia="Times New Roman" w:hAnsi="Times New Roman"/>
          <w:sz w:val="17"/>
          <w:szCs w:val="17"/>
          <w:color w:val="auto"/>
        </w:rPr>
        <w:t>From</w:t>
      </w:r>
      <w:r>
        <w:rPr>
          <w:sz w:val="20"/>
          <w:szCs w:val="20"/>
          <w:color w:val="auto"/>
        </w:rPr>
        <w:tab/>
      </w:r>
      <w:r>
        <w:rPr>
          <w:rFonts w:ascii="Times New Roman" w:cs="Times New Roman" w:eastAsia="Times New Roman" w:hAnsi="Times New Roman"/>
          <w:sz w:val="16"/>
          <w:szCs w:val="16"/>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26035</wp:posOffset>
            </wp:positionV>
            <wp:extent cx="471678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16780" cy="6985"/>
                    </a:xfrm>
                    <a:prstGeom prst="rect">
                      <a:avLst/>
                    </a:prstGeom>
                    <a:noFill/>
                  </pic:spPr>
                </pic:pic>
              </a:graphicData>
            </a:graphic>
          </wp:anchor>
        </w:drawing>
      </w:r>
    </w:p>
    <w:p>
      <w:pPr>
        <w:spacing w:after="0" w:line="23" w:lineRule="exact"/>
        <w:rPr>
          <w:sz w:val="20"/>
          <w:szCs w:val="20"/>
          <w:color w:val="auto"/>
        </w:rPr>
      </w:pPr>
    </w:p>
    <w:p>
      <w:pPr>
        <w:ind w:left="460"/>
        <w:spacing w:after="0"/>
        <w:tabs>
          <w:tab w:leader="none" w:pos="940"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26035</wp:posOffset>
            </wp:positionV>
            <wp:extent cx="471678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16780" cy="698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Detailed Explanation of Payment</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Required for “Other Payment”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Annual Fees/Minimum Royalties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r>
      <w:tr>
        <w:trPr>
          <w:trHeight w:val="466"/>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Milestone 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r>
      <w:tr>
        <w:trPr>
          <w:trHeight w:val="466"/>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Sublicense Fees and Royalties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r>
      <w:tr>
        <w:trPr>
          <w:trHeight w:val="466"/>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r>
      <w:tr>
        <w:trPr>
          <w:trHeight w:val="466"/>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r>
      <w:tr>
        <w:trPr>
          <w:trHeight w:val="466"/>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r>
      <w:tr>
        <w:trPr>
          <w:trHeight w:val="466"/>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PLEASE ATTACH DETAIL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60"/>
          </w:cols>
          <w:pgMar w:left="320" w:top="1388" w:right="319" w:bottom="1440" w:gutter="0" w:footer="0" w:header="0"/>
        </w:sectPr>
      </w:pPr>
    </w:p>
    <w:bookmarkStart w:id="543" w:name="page544"/>
    <w:bookmarkEnd w:id="543"/>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Appendix D</w:t>
      </w:r>
    </w:p>
    <w:p>
      <w:pPr>
        <w:spacing w:after="0" w:line="17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CONFIDENTIALITY TERMS AND CONDITIONS</w:t>
      </w:r>
    </w:p>
    <w:p>
      <w:pPr>
        <w:spacing w:after="0" w:line="183" w:lineRule="exact"/>
        <w:rPr>
          <w:sz w:val="20"/>
          <w:szCs w:val="20"/>
          <w:color w:val="auto"/>
        </w:rPr>
      </w:pPr>
    </w:p>
    <w:p>
      <w:pPr>
        <w:ind w:left="9" w:hanging="9"/>
        <w:spacing w:after="0" w:line="242" w:lineRule="auto"/>
        <w:tabs>
          <w:tab w:leader="none" w:pos="554"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 of Confidential Information. “Confidential Information” shall mean any information, including but not limited to data, techniques, protocols or results, or business, financial, commercial or technical information, disclosed by one Party (each a “Discloser” as applicable) to the other Party (each a “Recipient” as applicable) in connection with the terms of that certain Exclusive License Agreement dated December 18, 2017 (the “License Agreement”) and identified as confidential in the License Agreement or at the time of disclosure (the “Purpose”). Hospital’s Confidential Information shall also include all information disclosed by Hospital to Company in connection with the Patent Rights. Capitalized terms used in this Appendix that are not otherwise defined herein have the meanings ascribed in the License Agreement to which this Appendix is attached and made a part thereof.</w:t>
      </w:r>
    </w:p>
    <w:p>
      <w:pPr>
        <w:spacing w:after="0" w:line="157" w:lineRule="exact"/>
        <w:rPr>
          <w:rFonts w:ascii="Times New Roman" w:cs="Times New Roman" w:eastAsia="Times New Roman" w:hAnsi="Times New Roman"/>
          <w:sz w:val="17"/>
          <w:szCs w:val="17"/>
          <w:color w:val="auto"/>
        </w:rPr>
      </w:pPr>
    </w:p>
    <w:p>
      <w:pPr>
        <w:ind w:left="9" w:hanging="9"/>
        <w:spacing w:after="0"/>
        <w:tabs>
          <w:tab w:leader="none" w:pos="554"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Exclusions. “Confidential Information” under this Agreement shall not include any information that (i) is or becomes publicly available through no wrongful act of Recipient; (ii) was known by Recipient prior to disclosure by Discloser, as evidenced by tangible records; (iii) is disclosed to Recipient by a third party having an apparent bona fide right to disclose it; (iv) is independently developed or discovered by Recipient without use of Discloser’s Confidential Information, as evidenced by tangible records; or (v) is disclosed to another party not subject to obligations of confidentiality by Discloser without restriction on further disclosure. The obligations of confidentiality set forth in this Agreement shall be suspended solely in the event that Recipient is required to disclose or produce Discloser’s Confidential Information pursuant to applicable law, court order or other valid legal process, provided that Recipient promptly notifies Discloser prior to such required disclosure, discloses such information only to the extent so required, and cooperates reasonably with Discloser’s efforts to contest or limit the scope of such disclosure. Information disclosed pursuant to the foregoing sentence shall remain Confidential Information for all other purposes.</w:t>
      </w:r>
    </w:p>
    <w:p>
      <w:pPr>
        <w:spacing w:after="0" w:line="162" w:lineRule="exact"/>
        <w:rPr>
          <w:rFonts w:ascii="Times New Roman" w:cs="Times New Roman" w:eastAsia="Times New Roman" w:hAnsi="Times New Roman"/>
          <w:sz w:val="17"/>
          <w:szCs w:val="17"/>
          <w:color w:val="auto"/>
        </w:rPr>
      </w:pPr>
    </w:p>
    <w:p>
      <w:pPr>
        <w:ind w:left="9" w:right="680" w:hanging="9"/>
        <w:spacing w:after="0" w:line="294" w:lineRule="auto"/>
        <w:tabs>
          <w:tab w:leader="none" w:pos="554"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Purpose. Recipient shall have the right to, and agrees that it will, use Discloser’s Confidential Information solely as permitted in the License Agreement (the “Purpose”), except as may be otherwise specified in a separate definitive written agreement negotiated and executed between the parties.</w:t>
      </w:r>
    </w:p>
    <w:p>
      <w:pPr>
        <w:spacing w:after="0" w:line="117" w:lineRule="exact"/>
        <w:rPr>
          <w:rFonts w:ascii="Times New Roman" w:cs="Times New Roman" w:eastAsia="Times New Roman" w:hAnsi="Times New Roman"/>
          <w:sz w:val="16"/>
          <w:szCs w:val="16"/>
          <w:color w:val="auto"/>
        </w:rPr>
      </w:pPr>
    </w:p>
    <w:p>
      <w:pPr>
        <w:ind w:left="9" w:right="40" w:hanging="9"/>
        <w:spacing w:after="0"/>
        <w:tabs>
          <w:tab w:leader="none" w:pos="554"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For the term of the License Agreement and a period of five (5) years thereafter (and indefinitely with respect to any individually identifiable health information disclosed by Hospital to Company, if any), each Recipient agrees that: (i) it will not use such Confidential Information for any purpose other than as specified herein, including without limitation for its own benefit or the benefit of any other person or entity; and (ii) it will use reasonable efforts (but no less than the efforts used to protect its own confidential and/or proprietary information of a similar nature) not to disclose such Confidential Information to any other person or entity except as expressly permitted hereunder. Recipient may, however, disclose Discloser’s Confidential Information only on a need-to-know basis to its and its Affiliates’ employees, staff members and agents (“Receiving Individuals”-) who are directly participating in the Purpose and who are informed of the confidential nature of such information, provided Recipient shall be responsible for compliance by Receiving Individuals with the terms of this Agreement and any breach thereof. This Section 4 shall survive termination or expiration of this Agreement.</w:t>
      </w:r>
    </w:p>
    <w:p>
      <w:pPr>
        <w:spacing w:after="0" w:line="162" w:lineRule="exact"/>
        <w:rPr>
          <w:rFonts w:ascii="Times New Roman" w:cs="Times New Roman" w:eastAsia="Times New Roman" w:hAnsi="Times New Roman"/>
          <w:sz w:val="17"/>
          <w:szCs w:val="17"/>
          <w:color w:val="auto"/>
        </w:rPr>
      </w:pPr>
    </w:p>
    <w:p>
      <w:pPr>
        <w:ind w:left="549" w:hanging="549"/>
        <w:spacing w:after="0"/>
        <w:tabs>
          <w:tab w:leader="none" w:pos="549"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9"/>
          </w:cols>
          <w:pgMar w:left="311" w:top="1389" w:right="339" w:bottom="1440" w:gutter="0" w:footer="0" w:header="0"/>
        </w:sectPr>
      </w:pPr>
    </w:p>
    <w:bookmarkStart w:id="544" w:name="page545"/>
    <w:bookmarkEnd w:id="544"/>
    <w:p>
      <w:pPr>
        <w:ind w:left="9" w:right="80" w:hanging="9"/>
        <w:spacing w:after="0" w:line="245" w:lineRule="auto"/>
        <w:tabs>
          <w:tab w:leader="none" w:pos="554"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All Confidential Information disclosed pursuant to this Agreement, including without limitation all written and tangible forms thereof, shall be and remain the property of the Discloser. Upon termination of this Agreement, if requested by Discloser, Recipient shall return or destroy at Discloser’s discretion all of Discloser’s Confidential Information, provided that Recipient shall be entitled to keep one copy of such Confidential Information in a secure location solely for the purpose of complying with Recipient’s legal obligations under the License Agreement.</w:t>
      </w:r>
    </w:p>
    <w:p>
      <w:pPr>
        <w:spacing w:after="0" w:line="155" w:lineRule="exact"/>
        <w:rPr>
          <w:rFonts w:ascii="Times New Roman" w:cs="Times New Roman" w:eastAsia="Times New Roman" w:hAnsi="Times New Roman"/>
          <w:sz w:val="17"/>
          <w:szCs w:val="17"/>
          <w:color w:val="auto"/>
        </w:rPr>
      </w:pPr>
    </w:p>
    <w:p>
      <w:pPr>
        <w:ind w:left="9" w:hanging="9"/>
        <w:spacing w:after="0" w:line="249" w:lineRule="auto"/>
        <w:tabs>
          <w:tab w:leader="none" w:pos="554"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License. Nothing in this Agreement shall be construed as granting or conferring, expressly or impliedly, any rights by license or otherwise, under any patent, copyright, or other intellectual property rights owned or controlled by Discloser relating to Confidential Information, except as specifically set forth in the License Agreement.</w:t>
      </w:r>
    </w:p>
    <w:p>
      <w:pPr>
        <w:spacing w:after="0" w:line="152" w:lineRule="exact"/>
        <w:rPr>
          <w:rFonts w:ascii="Times New Roman" w:cs="Times New Roman" w:eastAsia="Times New Roman" w:hAnsi="Times New Roman"/>
          <w:sz w:val="17"/>
          <w:szCs w:val="17"/>
          <w:color w:val="auto"/>
        </w:rPr>
      </w:pPr>
    </w:p>
    <w:p>
      <w:pPr>
        <w:ind w:left="9" w:right="20" w:hanging="9"/>
        <w:spacing w:after="0" w:line="262" w:lineRule="auto"/>
        <w:tabs>
          <w:tab w:leader="none" w:pos="554"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Remedies. Each party acknowledges that any breach of this Agreement by it may cause irreparable harm to the other party and that each party is entitled to seek injunctive relief and any other remedy available at law or in equity.</w:t>
      </w:r>
    </w:p>
    <w:p>
      <w:pPr>
        <w:spacing w:after="0" w:line="141" w:lineRule="exact"/>
        <w:rPr>
          <w:rFonts w:ascii="Times New Roman" w:cs="Times New Roman" w:eastAsia="Times New Roman" w:hAnsi="Times New Roman"/>
          <w:sz w:val="17"/>
          <w:szCs w:val="17"/>
          <w:color w:val="auto"/>
        </w:rPr>
      </w:pPr>
    </w:p>
    <w:p>
      <w:pPr>
        <w:ind w:left="9" w:right="120" w:hanging="9"/>
        <w:spacing w:after="0" w:line="249" w:lineRule="auto"/>
        <w:tabs>
          <w:tab w:leader="none" w:pos="554"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These Confidentiality Terms and Conditions, along with the License Agreement, contain the entire understanding of the parties with respect to the subject matter hereof, and supersede any prior oral or written understandings between the parties relating to confidential treatment of information. Sections 1, 2, 4, 6, 8 and 9 of these Confidentiality Terms and Conditions shall survive any expiration or termination of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29"/>
          </w:cols>
          <w:pgMar w:left="311" w:top="1393" w:right="359" w:bottom="1440" w:gutter="0" w:footer="0" w:header="0"/>
        </w:sectPr>
      </w:pPr>
    </w:p>
    <w:bookmarkStart w:id="545" w:name="page546"/>
    <w:bookmarkEnd w:id="545"/>
    <w:p>
      <w:pPr>
        <w:jc w:val="right"/>
        <w:spacing w:after="0"/>
        <w:rPr>
          <w:sz w:val="20"/>
          <w:szCs w:val="20"/>
          <w:color w:val="auto"/>
        </w:rPr>
      </w:pPr>
      <w:r>
        <w:rPr>
          <w:rFonts w:ascii="Times New Roman" w:cs="Times New Roman" w:eastAsia="Times New Roman" w:hAnsi="Times New Roman"/>
          <w:sz w:val="15"/>
          <w:szCs w:val="15"/>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6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CLASS A COMMON STOCK PURCHASE AGREEMENT</w:t>
      </w:r>
    </w:p>
    <w:p>
      <w:pPr>
        <w:spacing w:after="0" w:line="36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November 12, 2020</w:t>
      </w:r>
    </w:p>
    <w:p>
      <w:pPr>
        <w:sectPr>
          <w:pgSz w:w="11900" w:h="16838" w:orient="portrait"/>
          <w:cols w:equalWidth="0" w:num="1">
            <w:col w:w="10140"/>
          </w:cols>
          <w:pgMar w:left="1440" w:top="120" w:right="319" w:bottom="1440" w:gutter="0" w:footer="0" w:header="0"/>
        </w:sectPr>
      </w:pPr>
    </w:p>
    <w:bookmarkStart w:id="546" w:name="page547"/>
    <w:bookmarkEnd w:id="546"/>
    <w:tbl>
      <w:tblPr>
        <w:tblLayout w:type="fixed"/>
        <w:tblInd w:w="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60" w:type="dxa"/>
            <w:vAlign w:val="bottom"/>
          </w:tcPr>
          <w:p>
            <w:pPr>
              <w:ind w:left="33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120" w:type="dxa"/>
            <w:vAlign w:val="bottom"/>
          </w:tcPr>
          <w:p>
            <w:pPr>
              <w:spacing w:after="0"/>
              <w:rPr>
                <w:sz w:val="19"/>
                <w:szCs w:val="19"/>
                <w:color w:val="auto"/>
              </w:rPr>
            </w:pPr>
          </w:p>
        </w:tc>
      </w:tr>
      <w:tr>
        <w:trPr>
          <w:trHeight w:val="238"/>
        </w:trPr>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38"/>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1.</w:t>
            </w:r>
          </w:p>
        </w:tc>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Purchase and Sale of Stock</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1.1</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Sale and Issuance of Class A Common Stock</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1.2</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Closing</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1</w:t>
            </w:r>
          </w:p>
        </w:tc>
      </w:tr>
      <w:tr>
        <w:trPr>
          <w:trHeight w:val="454"/>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2.</w:t>
            </w:r>
          </w:p>
        </w:tc>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Registration Rights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1</w:t>
            </w:r>
          </w:p>
        </w:tc>
      </w:tr>
      <w:tr>
        <w:trPr>
          <w:trHeight w:val="454"/>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3.</w:t>
            </w:r>
          </w:p>
        </w:tc>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Representations and Warranties of the Company</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Organization, Good Standing and Qualification</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3.2</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Corporate Power; Authorization</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3.3</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Valid Issuance of Class A Common Stock</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2</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3.4</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Compliance with Other Instruments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3.5</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 Defaults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3.6</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Description of Capital Stock</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3.7</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Registration Statement</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3.8</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Brokers or Finders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3.9</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Private Placement</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3</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3.10</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CFIUS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3</w:t>
            </w:r>
          </w:p>
        </w:tc>
      </w:tr>
      <w:tr>
        <w:trPr>
          <w:trHeight w:val="454"/>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4.</w:t>
            </w:r>
          </w:p>
        </w:tc>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Representations, Warranties and Covenants of each Investor</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3</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4.1</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Good Standing and Qualification</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4.2</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Authorization</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4.3</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Entirely for Own Account</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4.4</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Disclosure of Information</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4.5</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Investment Experience</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4.6</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Accredited Investor</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4.7</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Brokers or Finders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4.8</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Restricted Securities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4.9</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Legends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4.10</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Lock-Up Agreement</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4.11</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CFIUS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454"/>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5.</w:t>
            </w:r>
          </w:p>
        </w:tc>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Conditions of the Investors’ Obligations at Closing</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5.1</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Representations and Warranties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5.2</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Performance</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5.3</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Public Offering Shares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5.4</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Restated Rights Agreement</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5.5</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Absence of Injunctions, Decrees, Etc</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6</w:t>
            </w:r>
          </w:p>
        </w:tc>
      </w:tr>
      <w:tr>
        <w:trPr>
          <w:trHeight w:val="454"/>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6.</w:t>
            </w:r>
          </w:p>
        </w:tc>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Conditions of the Company’s Obligations at Closing</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6.1</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Representations, Warranties and Covenants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6.2</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Public Offering Shares</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6</w:t>
            </w:r>
          </w:p>
        </w:tc>
      </w:tr>
      <w:tr>
        <w:trPr>
          <w:trHeight w:val="239"/>
        </w:trPr>
        <w:tc>
          <w:tcPr>
            <w:tcW w:w="50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6.3</w:t>
            </w:r>
          </w:p>
        </w:tc>
        <w:tc>
          <w:tcPr>
            <w:tcW w:w="6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Absence of Injunctions, Decrees, Etc</w:t>
            </w:r>
          </w:p>
        </w:tc>
        <w:tc>
          <w:tcPr>
            <w:tcW w:w="2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420"/>
          </w:cols>
          <w:pgMar w:left="320" w:top="1207" w:right="1159" w:bottom="1440" w:gutter="0" w:footer="0" w:header="0"/>
        </w:sectPr>
      </w:pPr>
    </w:p>
    <w:bookmarkStart w:id="547" w:name="page548"/>
    <w:bookmarkEnd w:id="547"/>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7.</w:t>
            </w: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7"/>
              </w:rPr>
              <w:t>Termination</w:t>
            </w:r>
          </w:p>
        </w:tc>
        <w:tc>
          <w:tcPr>
            <w:tcW w:w="61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454"/>
        </w:trPr>
        <w:tc>
          <w:tcPr>
            <w:tcW w:w="5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8.</w:t>
            </w:r>
          </w:p>
        </w:tc>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8.1</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Publicity</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8.2</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Foreign Investment in Real Property tax Act (“FIRPTA”)</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9"/>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8.3</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Survival</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8.4</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Successors and Assigns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8.5</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Governing Law</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8.6</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8.7</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9"/>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8.8</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Brokers or Finders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8.9</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Amendments and Waivers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8.10</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Severability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8.11</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Corporate Securities Law</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8.12</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Entire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8.13</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Specific Performance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9"/>
        </w:trPr>
        <w:tc>
          <w:tcPr>
            <w:tcW w:w="50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8.14</w:t>
            </w: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Confirmation of Securities Holdings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160"/>
          </w:cols>
          <w:pgMar w:left="320" w:top="1256" w:right="1419" w:bottom="1440" w:gutter="0" w:footer="0" w:header="0"/>
        </w:sectPr>
      </w:pPr>
    </w:p>
    <w:bookmarkStart w:id="548" w:name="page549"/>
    <w:bookmarkEnd w:id="548"/>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 STOCK PURCHASE AGREEMENT</w:t>
      </w:r>
    </w:p>
    <w:p>
      <w:pPr>
        <w:spacing w:after="0" w:line="200" w:lineRule="exact"/>
        <w:rPr>
          <w:sz w:val="20"/>
          <w:szCs w:val="20"/>
          <w:color w:val="auto"/>
        </w:rPr>
      </w:pPr>
    </w:p>
    <w:p>
      <w:pPr>
        <w:spacing w:after="0" w:line="234" w:lineRule="exact"/>
        <w:rPr>
          <w:sz w:val="20"/>
          <w:szCs w:val="20"/>
          <w:color w:val="auto"/>
        </w:rPr>
      </w:pPr>
    </w:p>
    <w:p>
      <w:pPr>
        <w:ind w:right="20" w:firstLine="1090"/>
        <w:spacing w:after="0" w:line="262" w:lineRule="auto"/>
        <w:rPr>
          <w:sz w:val="20"/>
          <w:szCs w:val="20"/>
          <w:color w:val="auto"/>
        </w:rPr>
      </w:pPr>
      <w:r>
        <w:rPr>
          <w:rFonts w:ascii="Times New Roman" w:cs="Times New Roman" w:eastAsia="Times New Roman" w:hAnsi="Times New Roman"/>
          <w:sz w:val="17"/>
          <w:szCs w:val="17"/>
          <w:color w:val="auto"/>
        </w:rPr>
        <w:t>THIS CLASS A COMMON STOCK PURCHASE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as of November 12, 2020, by and among Seer,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each of the investors listed on Schedule A attached hereto (each, an “</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firstLine="545"/>
        <w:spacing w:after="0" w:line="262" w:lineRule="auto"/>
        <w:rPr>
          <w:sz w:val="20"/>
          <w:szCs w:val="20"/>
          <w:color w:val="auto"/>
        </w:rPr>
      </w:pPr>
      <w:r>
        <w:rPr>
          <w:rFonts w:ascii="Times New Roman" w:cs="Times New Roman" w:eastAsia="Times New Roman" w:hAnsi="Times New Roman"/>
          <w:sz w:val="17"/>
          <w:szCs w:val="17"/>
          <w:color w:val="auto"/>
        </w:rPr>
        <w:t>In consideration of the mutual covenants contained in this agreement, and for other good and valuable consideration, the receipt of which is hereby acknowledged, the Company and each Investor, severally and not jointly, hereby agree as follows:</w:t>
      </w:r>
    </w:p>
    <w:p>
      <w:pPr>
        <w:spacing w:after="0" w:line="141" w:lineRule="exact"/>
        <w:rPr>
          <w:sz w:val="20"/>
          <w:szCs w:val="20"/>
          <w:color w:val="auto"/>
        </w:rPr>
      </w:pPr>
    </w:p>
    <w:p>
      <w:pPr>
        <w:ind w:left="1080" w:hanging="544"/>
        <w:spacing w:after="0"/>
        <w:tabs>
          <w:tab w:leader="none" w:pos="1080" w:val="left"/>
        </w:tabs>
        <w:numPr>
          <w:ilvl w:val="0"/>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and Sale of Stock.</w:t>
      </w:r>
    </w:p>
    <w:p>
      <w:pPr>
        <w:spacing w:after="0" w:line="179" w:lineRule="exact"/>
        <w:rPr>
          <w:sz w:val="20"/>
          <w:szCs w:val="20"/>
          <w:color w:val="auto"/>
        </w:rPr>
      </w:pPr>
    </w:p>
    <w:p>
      <w:pPr>
        <w:jc w:val="both"/>
        <w:ind w:firstLine="1090"/>
        <w:spacing w:after="0" w:line="239"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Sale and Issuance of Class A Common Stock</w:t>
      </w:r>
      <w:r>
        <w:rPr>
          <w:rFonts w:ascii="Times New Roman" w:cs="Times New Roman" w:eastAsia="Times New Roman" w:hAnsi="Times New Roman"/>
          <w:sz w:val="17"/>
          <w:szCs w:val="17"/>
          <w:color w:val="auto"/>
        </w:rPr>
        <w:t>. Subject to the terms and conditions of this Agreement, each Investor (or its designated affiliate or co-investor), severally and not jointly, agrees to purchase from the Company, and the Company agrees to sell and issue to each Investor, the Shares (as defined below) applicable to such Investor at a price per share equal to the per share initial public offering price of the Company’s Class A Common Stock (before underwriting discounts and expenses) in the Qualified IPO (as defined below) (the “</w:t>
      </w:r>
      <w:r>
        <w:rPr>
          <w:rFonts w:ascii="Times New Roman" w:cs="Times New Roman" w:eastAsia="Times New Roman" w:hAnsi="Times New Roman"/>
          <w:sz w:val="17"/>
          <w:szCs w:val="17"/>
          <w:u w:val="single" w:color="auto"/>
          <w:color w:val="auto"/>
        </w:rPr>
        <w:t>IPO Price</w:t>
      </w:r>
      <w:r>
        <w:rPr>
          <w:rFonts w:ascii="Times New Roman" w:cs="Times New Roman" w:eastAsia="Times New Roman" w:hAnsi="Times New Roman"/>
          <w:sz w:val="17"/>
          <w:szCs w:val="17"/>
          <w:color w:val="auto"/>
        </w:rPr>
        <w:t>”) at the Closing (as defined below).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shall mean with respect to a particular Investor such number of shares of the Company’s Class A common stock, par value $0.00001 per share (the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equal to the Subscription Amount (as defined below) of such Investor divided by the IPO Price, rounded up the nearest whole share. “</w:t>
      </w:r>
      <w:r>
        <w:rPr>
          <w:rFonts w:ascii="Times New Roman" w:cs="Times New Roman" w:eastAsia="Times New Roman" w:hAnsi="Times New Roman"/>
          <w:sz w:val="17"/>
          <w:szCs w:val="17"/>
          <w:u w:val="single" w:color="auto"/>
          <w:color w:val="auto"/>
        </w:rPr>
        <w:t>Subscription Amount</w:t>
      </w:r>
      <w:r>
        <w:rPr>
          <w:rFonts w:ascii="Times New Roman" w:cs="Times New Roman" w:eastAsia="Times New Roman" w:hAnsi="Times New Roman"/>
          <w:sz w:val="17"/>
          <w:szCs w:val="17"/>
          <w:color w:val="auto"/>
        </w:rPr>
        <w:t xml:space="preserve">” shall mean with respect to a particular Investor the dollar amount set forth opposite such Investor’s name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w:t>
      </w:r>
      <w:r>
        <w:rPr>
          <w:rFonts w:ascii="Times New Roman" w:cs="Times New Roman" w:eastAsia="Times New Roman" w:hAnsi="Times New Roman"/>
          <w:sz w:val="17"/>
          <w:szCs w:val="17"/>
          <w:u w:val="single" w:color="auto"/>
          <w:color w:val="auto"/>
        </w:rPr>
        <w:t>Qualified IPO</w:t>
      </w:r>
      <w:r>
        <w:rPr>
          <w:rFonts w:ascii="Times New Roman" w:cs="Times New Roman" w:eastAsia="Times New Roman" w:hAnsi="Times New Roman"/>
          <w:sz w:val="17"/>
          <w:szCs w:val="17"/>
          <w:color w:val="auto"/>
        </w:rPr>
        <w:t>” shall mean the issuance and sale of shares of the Class A Common Stock by the Company, pursuant to an Underwriting Agreement (the “</w:t>
      </w:r>
      <w:r>
        <w:rPr>
          <w:rFonts w:ascii="Times New Roman" w:cs="Times New Roman" w:eastAsia="Times New Roman" w:hAnsi="Times New Roman"/>
          <w:sz w:val="17"/>
          <w:szCs w:val="17"/>
          <w:u w:val="single" w:color="auto"/>
          <w:color w:val="auto"/>
        </w:rPr>
        <w:t>Underwriting Agreement</w:t>
      </w:r>
      <w:r>
        <w:rPr>
          <w:rFonts w:ascii="Times New Roman" w:cs="Times New Roman" w:eastAsia="Times New Roman" w:hAnsi="Times New Roman"/>
          <w:sz w:val="17"/>
          <w:szCs w:val="17"/>
          <w:color w:val="auto"/>
        </w:rPr>
        <w:t>”) to be entered into by and among the Company and certain underwriters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in connection with the Company’s contemplated initial public offering pursuant to the Company’s Registration Statement on Form S-1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1090"/>
        <w:spacing w:after="0" w:line="245"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The purchase and sale of the Shares shall take place at the location and at the time immediately subsequent to the closing of the Qualified IPO (which time and place are designated as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At the Closing, each Investor shall make payment of its Subscription Amount by wire transfer in immediately available funds to the account specified by the Company against delivery to such Investor of evidence from the Company’s transfer agent of a book entry position evidencing the Shares registered in the name of such Investor, or in such nominee name(s) as designated by such Investor.</w:t>
      </w:r>
    </w:p>
    <w:p>
      <w:pPr>
        <w:spacing w:after="0" w:line="156" w:lineRule="exact"/>
        <w:rPr>
          <w:sz w:val="20"/>
          <w:szCs w:val="20"/>
          <w:color w:val="auto"/>
        </w:rPr>
      </w:pPr>
    </w:p>
    <w:p>
      <w:pPr>
        <w:jc w:val="both"/>
        <w:ind w:firstLine="536"/>
        <w:spacing w:after="0" w:line="249" w:lineRule="auto"/>
        <w:tabs>
          <w:tab w:leader="none" w:pos="1090"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At the Closing, in connection with the purchase of the Shares, any Investor who is not already a party to the Company’s Amended and Restated Investors’ Rights Agreement, dated May 12, 2020, by and among the Company and the stockholders of the Company listed thereto (the “</w:t>
      </w:r>
      <w:r>
        <w:rPr>
          <w:rFonts w:ascii="Times New Roman" w:cs="Times New Roman" w:eastAsia="Times New Roman" w:hAnsi="Times New Roman"/>
          <w:sz w:val="17"/>
          <w:szCs w:val="17"/>
          <w:u w:val="single" w:color="auto"/>
          <w:color w:val="auto"/>
        </w:rPr>
        <w:t>Existing Rights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shall become a party to the agreement for the purpose of</w:t>
      </w:r>
    </w:p>
    <w:p>
      <w:pPr>
        <w:sectPr>
          <w:pgSz w:w="11900" w:h="16838" w:orient="portrait"/>
          <w:cols w:equalWidth="0" w:num="1">
            <w:col w:w="11260"/>
          </w:cols>
          <w:pgMar w:left="320" w:top="1207" w:right="31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7"/>
          <w:szCs w:val="17"/>
          <w:color w:val="auto"/>
        </w:rPr>
        <w:t>providing such Investor with registration rights under Section 2 of the Existing Rights Agreement with respect to the Shares (the “</w:t>
      </w:r>
      <w:r>
        <w:rPr>
          <w:rFonts w:ascii="Times New Roman" w:cs="Times New Roman" w:eastAsia="Times New Roman" w:hAnsi="Times New Roman"/>
          <w:sz w:val="17"/>
          <w:szCs w:val="17"/>
          <w:u w:val="single" w:color="auto"/>
          <w:color w:val="auto"/>
        </w:rPr>
        <w:t>Restated Rights Agreement</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right="20" w:firstLine="536"/>
        <w:spacing w:after="0" w:line="262" w:lineRule="auto"/>
        <w:tabs>
          <w:tab w:leader="none" w:pos="1090"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w:t>
      </w:r>
      <w:r>
        <w:rPr>
          <w:rFonts w:ascii="Times New Roman" w:cs="Times New Roman" w:eastAsia="Times New Roman" w:hAnsi="Times New Roman"/>
          <w:sz w:val="17"/>
          <w:szCs w:val="17"/>
          <w:color w:val="auto"/>
        </w:rPr>
        <w:t>y. The Company hereby represents and warrants to each Investor that as of the date hereof and as of the date of the Closing:</w:t>
      </w:r>
    </w:p>
    <w:p>
      <w:pPr>
        <w:spacing w:after="0" w:line="141"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6"/>
          <w:szCs w:val="16"/>
          <w:u w:val="single" w:color="auto"/>
          <w:color w:val="auto"/>
        </w:rPr>
        <w:t>Organization, Good Standing and Qualification.</w:t>
      </w:r>
    </w:p>
    <w:p>
      <w:pPr>
        <w:spacing w:after="0" w:line="179" w:lineRule="exact"/>
        <w:rPr>
          <w:sz w:val="20"/>
          <w:szCs w:val="20"/>
          <w:color w:val="auto"/>
        </w:rPr>
      </w:pPr>
    </w:p>
    <w:p>
      <w:pPr>
        <w:ind w:right="20" w:firstLine="1626"/>
        <w:spacing w:after="0" w:line="262" w:lineRule="auto"/>
        <w:tabs>
          <w:tab w:leader="none" w:pos="2172"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 corporation duly organized, validly existing and in good standing under the laws of the State of Delaware and has all requisite corporate power and authority to carry on its business as now conducted.</w:t>
      </w:r>
    </w:p>
    <w:p>
      <w:pPr>
        <w:spacing w:after="0" w:line="141" w:lineRule="exact"/>
        <w:rPr>
          <w:rFonts w:ascii="Times New Roman" w:cs="Times New Roman" w:eastAsia="Times New Roman" w:hAnsi="Times New Roman"/>
          <w:sz w:val="17"/>
          <w:szCs w:val="17"/>
          <w:color w:val="auto"/>
        </w:rPr>
      </w:pPr>
    </w:p>
    <w:p>
      <w:pPr>
        <w:ind w:left="2160" w:hanging="534"/>
        <w:spacing w:after="0"/>
        <w:tabs>
          <w:tab w:leader="none" w:pos="216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duly qualified to transact business and is in good standing in each jurisdiction in which it is required to be so qualified</w:t>
      </w:r>
    </w:p>
    <w:p>
      <w:pPr>
        <w:spacing w:after="0" w:line="2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or in good standing.</w:t>
      </w:r>
    </w:p>
    <w:p>
      <w:pPr>
        <w:spacing w:after="0" w:line="161" w:lineRule="exact"/>
        <w:rPr>
          <w:sz w:val="20"/>
          <w:szCs w:val="20"/>
          <w:color w:val="auto"/>
        </w:rPr>
      </w:pPr>
    </w:p>
    <w:p>
      <w:pPr>
        <w:jc w:val="both"/>
        <w:ind w:firstLine="1090"/>
        <w:spacing w:after="0" w:line="24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Corporate Power; Authorization</w:t>
      </w:r>
      <w:r>
        <w:rPr>
          <w:rFonts w:ascii="Times New Roman" w:cs="Times New Roman" w:eastAsia="Times New Roman" w:hAnsi="Times New Roman"/>
          <w:sz w:val="17"/>
          <w:szCs w:val="17"/>
          <w:color w:val="auto"/>
        </w:rPr>
        <w:t>. The Company has all requisite corporate power and authority, and has taken all requisite corporate action necessary to execute and deliver this Agreement, to sell and issue the Shares and to perform all of its obligations under this Agreement. This Agreement and the Restated Rights Agreement constitute valid and legally binding obligations of the Company, enforceable in accordance with their respective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Restated Rights Agreement may be limited by applicable federal or state securities laws.</w:t>
      </w:r>
    </w:p>
    <w:p>
      <w:pPr>
        <w:spacing w:after="0" w:line="157"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Valid Issuance of Class A Common Stock</w:t>
      </w:r>
      <w:r>
        <w:rPr>
          <w:rFonts w:ascii="Times New Roman" w:cs="Times New Roman" w:eastAsia="Times New Roman" w:hAnsi="Times New Roman"/>
          <w:sz w:val="17"/>
          <w:szCs w:val="17"/>
          <w:color w:val="auto"/>
        </w:rPr>
        <w:t>. The Shares have been duly authorized and when issued and paid for in accordance with the terms of this Agreement for the consideration expressed herein, will be duly and validly issued, fully paid and nonassessable and will be free of restrictions on transfer other than restrictions on transfer under applicable state and federal securities laws or as contemplated hereby or by the Restated Rights Agreement.</w:t>
      </w:r>
    </w:p>
    <w:p>
      <w:pPr>
        <w:spacing w:after="0" w:line="152"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6"/>
          <w:szCs w:val="16"/>
          <w:u w:val="single" w:color="auto"/>
          <w:color w:val="auto"/>
        </w:rPr>
        <w:t>Compliance with Other Instruments.</w:t>
      </w:r>
    </w:p>
    <w:p>
      <w:pPr>
        <w:spacing w:after="0" w:line="179" w:lineRule="exact"/>
        <w:rPr>
          <w:sz w:val="20"/>
          <w:szCs w:val="20"/>
          <w:color w:val="auto"/>
        </w:rPr>
      </w:pPr>
    </w:p>
    <w:p>
      <w:pPr>
        <w:ind w:left="2160" w:hanging="534"/>
        <w:spacing w:after="0"/>
        <w:tabs>
          <w:tab w:leader="none" w:pos="2160"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in violation or default of any provision of its Amended and Restated Certificate of Incorporation or Amended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Restated Bylaws.</w:t>
      </w:r>
    </w:p>
    <w:p>
      <w:pPr>
        <w:spacing w:after="0" w:line="161" w:lineRule="exact"/>
        <w:rPr>
          <w:sz w:val="20"/>
          <w:szCs w:val="20"/>
          <w:color w:val="auto"/>
        </w:rPr>
      </w:pPr>
    </w:p>
    <w:p>
      <w:pPr>
        <w:jc w:val="both"/>
        <w:ind w:firstLine="1626"/>
        <w:spacing w:after="0" w:line="249" w:lineRule="auto"/>
        <w:tabs>
          <w:tab w:leader="none" w:pos="2170" w:val="left"/>
        </w:tabs>
        <w:numPr>
          <w:ilvl w:val="0"/>
          <w:numId w:val="4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in violation or default in any material respect of any instrument, judgment, order, writ, decree or contract to which it is a party or by which it is bound, or, to its knowledge, of any provision of any federal or state statute, rule or regulation applicable to the Company or any of its properties or assets.</w:t>
      </w:r>
    </w:p>
    <w:p>
      <w:pPr>
        <w:spacing w:after="0" w:line="152" w:lineRule="exact"/>
        <w:rPr>
          <w:sz w:val="20"/>
          <w:szCs w:val="20"/>
          <w:color w:val="auto"/>
        </w:rPr>
      </w:pPr>
    </w:p>
    <w:p>
      <w:pPr>
        <w:jc w:val="both"/>
        <w:ind w:firstLine="1090"/>
        <w:spacing w:after="0" w:line="242"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No Defaults</w:t>
      </w:r>
      <w:r>
        <w:rPr>
          <w:rFonts w:ascii="Times New Roman" w:cs="Times New Roman" w:eastAsia="Times New Roman" w:hAnsi="Times New Roman"/>
          <w:sz w:val="17"/>
          <w:szCs w:val="17"/>
          <w:color w:val="auto"/>
        </w:rPr>
        <w:t>. The execution, delivery and performance of this Agreement and the Restated Rights Agreement, and the consummation of the transactions contemplated by this Agreement, including the issuance of the Shares, and the Restated Rights Agreement will not result in any such violation or default or be in conflict with or constitute, with or without the passage of time and giving of notice, either a default under any (a) indenture, mortgage, deed of trust, loan agreement, license, lease or other agreement or instrument to which the Company is a party or by which the Company is bound or to which any of the property or assets of the Company is subject, (b) its Amended and Restated Certificate of Incorporation or Amended and Restated Bylaws (or other applicable organizational document) of the</w:t>
      </w:r>
    </w:p>
    <w:p>
      <w:pPr>
        <w:sectPr>
          <w:pgSz w:w="11900" w:h="16838" w:orient="portrait"/>
          <w:cols w:equalWidth="0" w:num="1">
            <w:col w:w="11260"/>
          </w:cols>
          <w:pgMar w:left="320" w:top="1211" w:right="319" w:bottom="1440" w:gutter="0" w:footer="0" w:header="0"/>
        </w:sectPr>
      </w:pPr>
    </w:p>
    <w:bookmarkStart w:id="550" w:name="page551"/>
    <w:bookmarkEnd w:id="550"/>
    <w:p>
      <w:pPr>
        <w:jc w:val="both"/>
        <w:spacing w:after="0" w:line="249" w:lineRule="auto"/>
        <w:rPr>
          <w:sz w:val="20"/>
          <w:szCs w:val="20"/>
          <w:color w:val="auto"/>
        </w:rPr>
      </w:pPr>
      <w:r>
        <w:rPr>
          <w:rFonts w:ascii="Times New Roman" w:cs="Times New Roman" w:eastAsia="Times New Roman" w:hAnsi="Times New Roman"/>
          <w:sz w:val="17"/>
          <w:szCs w:val="17"/>
          <w:color w:val="auto"/>
        </w:rPr>
        <w:t>Company, or (c) any statute or any judgment, order, rule or regulation of any court or governmental agency or body having jurisdiction over the Company or any of its properties, except, in the case of clauses (a) and (c), for such defaults, breaches, or violations that would not, individually or in the aggregate, have a material adverse effect on the consummation of the transactions contemplated hereby.</w:t>
      </w:r>
    </w:p>
    <w:p>
      <w:pPr>
        <w:spacing w:after="0" w:line="152"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Description of Capital Stock</w:t>
      </w:r>
      <w:r>
        <w:rPr>
          <w:rFonts w:ascii="Times New Roman" w:cs="Times New Roman" w:eastAsia="Times New Roman" w:hAnsi="Times New Roman"/>
          <w:sz w:val="17"/>
          <w:szCs w:val="17"/>
          <w:color w:val="auto"/>
        </w:rPr>
        <w:t>. As of the date of the Closing, the statements set forth in the Pricing Prospectus (as defined in the Underwriting Agreement) and Prospectus (as defined in the Underwriting Agreement) under the caption “Description of Capital Stock,” insofar as they purport to constitute a summary of the terms of the Company’s capital stock, are accurate, complete and fair in all material respects.</w:t>
      </w:r>
    </w:p>
    <w:p>
      <w:pPr>
        <w:spacing w:after="0" w:line="152"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and any amendment thereto, including any information deemed to be included therein pursuant to the rules and regulations of the United States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promulgated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complied (or, in the case of amendments filed after the date of this Agreement, will comply) as of its filing date in all material respects with the requirements of the Securities Act and the rules and regulations of the SEC promulgated thereunder, and did not (or, in the case of amendments filed after the date hereof, will not) contain any untrue statement of a material fact or omit to state a material fact required to be stated therein or necessary in order to make the statements therein, in light of the circumstances under which they were made, not misleading. As of the date it is declared effective by the SEC, the Registration Statement, as so amended, and any related registration statements, will comply in all material respects with the requirements of the Securities Act and the rules and regulations of the SEC promulgated thereunder, and will not contain any untrue statement of a material fact or omit to state a material fact required to be stated therein or necessary in order to make the statements therein, in light of the circumstances under which they were made, not misleading. Any preliminary prospectus included in the Registration Statement or any amendment thereto, any free writing prospectus related to the Registration Statement and any final prospectus related to the Registration Statement filed pursuant to Rule 424 promulgated under the Securities Act, in each case as of its date, will comply in all material respects with the requirements of the Securities Act and the rules and regulations promulgated thereunder, and will not contain any untrue statement of a material fact or omit to state a material fact necessary in order to make the statements therein, in light of the circumstances under which they were made, not misleading.</w:t>
      </w:r>
    </w:p>
    <w:p>
      <w:pPr>
        <w:spacing w:after="0" w:line="150" w:lineRule="exact"/>
        <w:rPr>
          <w:sz w:val="20"/>
          <w:szCs w:val="20"/>
          <w:color w:val="auto"/>
        </w:rPr>
      </w:pPr>
    </w:p>
    <w:p>
      <w:pPr>
        <w:jc w:val="both"/>
        <w:ind w:right="20" w:firstLine="1090"/>
        <w:spacing w:after="0" w:line="249"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Brokers or Finders.</w:t>
      </w:r>
      <w:r>
        <w:rPr>
          <w:rFonts w:ascii="Times New Roman" w:cs="Times New Roman" w:eastAsia="Times New Roman" w:hAnsi="Times New Roman"/>
          <w:sz w:val="17"/>
          <w:szCs w:val="17"/>
          <w:color w:val="auto"/>
        </w:rPr>
        <w:t xml:space="preserve"> The Company has not incurred, and will not incur, directly or indirectly, as a result of any action taken by the Company, any liability for brokerage or finders’ fees or agents’ commissions or any similar charges in connection with the sale of the Shares contemplated by this Agreement, except as otherwise disclosed to the Investor.</w:t>
      </w:r>
    </w:p>
    <w:p>
      <w:pPr>
        <w:spacing w:after="0" w:line="152"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Private Placement.</w:t>
      </w:r>
      <w:r>
        <w:rPr>
          <w:rFonts w:ascii="Times New Roman" w:cs="Times New Roman" w:eastAsia="Times New Roman" w:hAnsi="Times New Roman"/>
          <w:sz w:val="17"/>
          <w:szCs w:val="17"/>
          <w:color w:val="auto"/>
        </w:rPr>
        <w:t xml:space="preserve"> Assuming the accuracy of the representations, warranties and covenants of each Investor set forth in Section 4 of this Agreement, no registration under the Securities Act is required for the offer and sale of the Shares by the Company to the Investor under this Agreement.</w:t>
      </w:r>
    </w:p>
    <w:p>
      <w:pPr>
        <w:spacing w:after="0" w:line="141"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 xml:space="preserve"> The Company does not engage in the “design, fabrication, development, testing, production or manufacture” of “critical technologies” within the meaning of Section 721 of the Defense Production Act of 1950, as amended, including all implementing regulations thereof (the “</w:t>
      </w:r>
      <w:r>
        <w:rPr>
          <w:rFonts w:ascii="Times New Roman" w:cs="Times New Roman" w:eastAsia="Times New Roman" w:hAnsi="Times New Roman"/>
          <w:sz w:val="17"/>
          <w:szCs w:val="17"/>
          <w:u w:val="single" w:color="auto"/>
          <w:color w:val="auto"/>
        </w:rPr>
        <w:t>DPA</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firstLine="536"/>
        <w:spacing w:after="0" w:line="262" w:lineRule="auto"/>
        <w:tabs>
          <w:tab w:leader="none" w:pos="109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Warranties and Covenants of each Investor</w:t>
      </w:r>
      <w:r>
        <w:rPr>
          <w:rFonts w:ascii="Times New Roman" w:cs="Times New Roman" w:eastAsia="Times New Roman" w:hAnsi="Times New Roman"/>
          <w:sz w:val="17"/>
          <w:szCs w:val="17"/>
          <w:color w:val="auto"/>
        </w:rPr>
        <w:t>. Each Investor, severally but not jointly, hereby represents and warrants that as of the date hereof and as of the date of the Closing:</w:t>
      </w:r>
    </w:p>
    <w:p>
      <w:pPr>
        <w:sectPr>
          <w:pgSz w:w="11900" w:h="16838" w:orient="portrait"/>
          <w:cols w:equalWidth="0" w:num="1">
            <w:col w:w="11260"/>
          </w:cols>
          <w:pgMar w:left="320" w:top="1210" w:right="319" w:bottom="1440" w:gutter="0" w:footer="0" w:header="0"/>
        </w:sectPr>
      </w:pPr>
    </w:p>
    <w:bookmarkStart w:id="551" w:name="page552"/>
    <w:bookmarkEnd w:id="551"/>
    <w:p>
      <w:pPr>
        <w:ind w:left="9" w:firstLine="1090"/>
        <w:spacing w:after="0" w:line="26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Such Investor is an entity duly organized, validly existing and in good standing under the laws of the jurisdiction of its organization.</w:t>
      </w:r>
    </w:p>
    <w:p>
      <w:pPr>
        <w:spacing w:after="0" w:line="141" w:lineRule="exact"/>
        <w:rPr>
          <w:sz w:val="20"/>
          <w:szCs w:val="20"/>
          <w:color w:val="auto"/>
        </w:rPr>
      </w:pPr>
    </w:p>
    <w:p>
      <w:pPr>
        <w:ind w:left="9" w:firstLine="1090"/>
        <w:spacing w:after="0" w:line="263"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Authorization</w:t>
      </w:r>
      <w:r>
        <w:rPr>
          <w:rFonts w:ascii="Times New Roman" w:cs="Times New Roman" w:eastAsia="Times New Roman" w:hAnsi="Times New Roman"/>
          <w:sz w:val="16"/>
          <w:szCs w:val="16"/>
          <w:color w:val="auto"/>
        </w:rPr>
        <w:t>. Such Investor has full power and authority to enter into this Agreement and, if applicable, the Restated Rights Agreement, and each such agreement to which the Investor is a party constitutes a valid and legally binding obligation of such Investor, enforceable in accordance with its terms except</w:t>
      </w:r>
    </w:p>
    <w:p>
      <w:pPr>
        <w:spacing w:after="0" w:line="1" w:lineRule="exact"/>
        <w:rPr>
          <w:sz w:val="20"/>
          <w:szCs w:val="20"/>
          <w:color w:val="auto"/>
        </w:rPr>
      </w:pPr>
    </w:p>
    <w:p>
      <w:pPr>
        <w:ind w:left="209" w:hanging="209"/>
        <w:spacing w:after="0"/>
        <w:tabs>
          <w:tab w:leader="none" w:pos="209"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limited by applicable bankruptcy, insolvency, reorganization, moratorium and other laws of general application affecting enforcement of creditors’ rights generally,</w:t>
      </w:r>
    </w:p>
    <w:p>
      <w:pPr>
        <w:spacing w:after="0" w:line="9" w:lineRule="exact"/>
        <w:rPr>
          <w:rFonts w:ascii="Times New Roman" w:cs="Times New Roman" w:eastAsia="Times New Roman" w:hAnsi="Times New Roman"/>
          <w:sz w:val="16"/>
          <w:szCs w:val="16"/>
          <w:color w:val="auto"/>
        </w:rPr>
      </w:pPr>
    </w:p>
    <w:p>
      <w:pPr>
        <w:jc w:val="both"/>
        <w:ind w:left="9" w:hanging="9"/>
        <w:spacing w:after="0" w:line="239" w:lineRule="auto"/>
        <w:tabs>
          <w:tab w:leader="none" w:pos="280" w:val="left"/>
        </w:tabs>
        <w:numPr>
          <w:ilvl w:val="0"/>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limited by laws relating to the availability of specific performance, injunctive relief, or other equitable remedies and (iii) to the extent the indemnification provisions contained in the Restated Rights Agreement may be limited by applicable federal or state securities laws. Such Investor further represents that it will have sufficient funds available to pay the Subscription Amount and consummate the purchase of the Shares pursuant to Section 1 of this Agreement.</w:t>
      </w:r>
    </w:p>
    <w:p>
      <w:pPr>
        <w:spacing w:after="0" w:line="159" w:lineRule="exact"/>
        <w:rPr>
          <w:sz w:val="20"/>
          <w:szCs w:val="20"/>
          <w:color w:val="auto"/>
        </w:rPr>
      </w:pPr>
    </w:p>
    <w:p>
      <w:pPr>
        <w:jc w:val="both"/>
        <w:ind w:left="9" w:firstLine="1090"/>
        <w:spacing w:after="0" w:line="24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Purchase Entirely for Own Account</w:t>
      </w:r>
      <w:r>
        <w:rPr>
          <w:rFonts w:ascii="Times New Roman" w:cs="Times New Roman" w:eastAsia="Times New Roman" w:hAnsi="Times New Roman"/>
          <w:sz w:val="17"/>
          <w:szCs w:val="17"/>
          <w:color w:val="auto"/>
        </w:rPr>
        <w:t>. Such Investor hereby confirms, that the Shares to be received by such Investor will be acquired for investment for such Investor’s own account, not as a nominee or agent, and not with a view to the distribution of any part thereof, and that such Investor has no present intention of selling, granting any participation in, or otherwise distributing the same, except as permitted by applicable federal or state securities laws. Such Investor further represents that such Investor does not have any contract, undertaking, agreement or arrangement with any person to sell, transfer or grant participations to such person or to any third person, with respect to any of the Shares.</w:t>
      </w:r>
    </w:p>
    <w:p>
      <w:pPr>
        <w:spacing w:after="0" w:line="157" w:lineRule="exact"/>
        <w:rPr>
          <w:sz w:val="20"/>
          <w:szCs w:val="20"/>
          <w:color w:val="auto"/>
        </w:rPr>
      </w:pPr>
    </w:p>
    <w:p>
      <w:pPr>
        <w:jc w:val="both"/>
        <w:ind w:left="9" w:right="20" w:firstLine="1090"/>
        <w:spacing w:after="0" w:line="249"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Disclosure of Information</w:t>
      </w:r>
      <w:r>
        <w:rPr>
          <w:rFonts w:ascii="Times New Roman" w:cs="Times New Roman" w:eastAsia="Times New Roman" w:hAnsi="Times New Roman"/>
          <w:sz w:val="17"/>
          <w:szCs w:val="17"/>
          <w:color w:val="auto"/>
        </w:rPr>
        <w:t>. Such Investor believes it has received all the information it considers necessary or appropriate for deciding whether to purchase the Shares. Such Investor further represents that it has had an opportunity to ask questions and receive answers from the Company regarding the terms and conditions of the offering of the Shares and the business, assets, financial condition and prospects of the Company.</w:t>
      </w:r>
    </w:p>
    <w:p>
      <w:pPr>
        <w:spacing w:after="0" w:line="152" w:lineRule="exact"/>
        <w:rPr>
          <w:sz w:val="20"/>
          <w:szCs w:val="20"/>
          <w:color w:val="auto"/>
        </w:rPr>
      </w:pPr>
    </w:p>
    <w:p>
      <w:pPr>
        <w:jc w:val="both"/>
        <w:ind w:left="9" w:firstLine="1090"/>
        <w:spacing w:after="0" w:line="249"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Investment Experience</w:t>
      </w:r>
      <w:r>
        <w:rPr>
          <w:rFonts w:ascii="Times New Roman" w:cs="Times New Roman" w:eastAsia="Times New Roman" w:hAnsi="Times New Roman"/>
          <w:sz w:val="17"/>
          <w:szCs w:val="17"/>
          <w:color w:val="auto"/>
        </w:rPr>
        <w:t>. Such Investor has such knowledge and experience in financial and business matters as to be capable of evaluating the merits and risks of an investment in the Company and the Shares (and has sought such accounting, legal and tax advice as such Investor has considered necessary to make an informed investment decision) and is aware that there are substantial risks incident to the purchase of the Shares.</w:t>
      </w:r>
    </w:p>
    <w:p>
      <w:pPr>
        <w:spacing w:after="0" w:line="152" w:lineRule="exact"/>
        <w:rPr>
          <w:sz w:val="20"/>
          <w:szCs w:val="20"/>
          <w:color w:val="auto"/>
        </w:rPr>
      </w:pPr>
    </w:p>
    <w:p>
      <w:pPr>
        <w:jc w:val="both"/>
        <w:ind w:left="9" w:right="20" w:firstLine="1090"/>
        <w:spacing w:after="0" w:line="262"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Such Investor is an “accredited investor” within the meaning of Regulation D, Rule 501(a), promulgated by the SEC under the Securities Act, as presently in effect.</w:t>
      </w:r>
    </w:p>
    <w:p>
      <w:pPr>
        <w:spacing w:after="0" w:line="141" w:lineRule="exact"/>
        <w:rPr>
          <w:sz w:val="20"/>
          <w:szCs w:val="20"/>
          <w:color w:val="auto"/>
        </w:rPr>
      </w:pPr>
    </w:p>
    <w:p>
      <w:pPr>
        <w:jc w:val="both"/>
        <w:ind w:left="9" w:firstLine="1090"/>
        <w:spacing w:after="0" w:line="294"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Brokers or Finders.</w:t>
      </w:r>
      <w:r>
        <w:rPr>
          <w:rFonts w:ascii="Times New Roman" w:cs="Times New Roman" w:eastAsia="Times New Roman" w:hAnsi="Times New Roman"/>
          <w:sz w:val="16"/>
          <w:szCs w:val="16"/>
          <w:color w:val="auto"/>
        </w:rPr>
        <w:t xml:space="preserve"> Such Investor has not engaged any brokers, finders or agents, such that the Company will, incur, directly or indirectly, as a result of any action taken by such Investor, any liability for brokerage or finders’ fees or agents’ commissions or any similar charges in connection with this Agreement.</w:t>
      </w:r>
    </w:p>
    <w:p>
      <w:pPr>
        <w:spacing w:after="0" w:line="117" w:lineRule="exact"/>
        <w:rPr>
          <w:sz w:val="20"/>
          <w:szCs w:val="20"/>
          <w:color w:val="auto"/>
        </w:rPr>
      </w:pPr>
    </w:p>
    <w:p>
      <w:pPr>
        <w:jc w:val="both"/>
        <w:ind w:left="9" w:firstLine="1090"/>
        <w:spacing w:after="0" w:line="245"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Restricted Securities</w:t>
      </w:r>
      <w:r>
        <w:rPr>
          <w:rFonts w:ascii="Times New Roman" w:cs="Times New Roman" w:eastAsia="Times New Roman" w:hAnsi="Times New Roman"/>
          <w:sz w:val="17"/>
          <w:szCs w:val="17"/>
          <w:color w:val="auto"/>
        </w:rPr>
        <w:t>. Such Investor understands that the Shares will be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this connection, such Investor represents that it is familiar with</w:t>
      </w:r>
    </w:p>
    <w:p>
      <w:pPr>
        <w:sectPr>
          <w:pgSz w:w="11900" w:h="16838" w:orient="portrait"/>
          <w:cols w:equalWidth="0" w:num="1">
            <w:col w:w="11269"/>
          </w:cols>
          <w:pgMar w:left="311" w:top="1211" w:right="31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7"/>
          <w:szCs w:val="17"/>
          <w:color w:val="auto"/>
        </w:rPr>
        <w:t>Rule 144 promulgated under the Securities Act, as presently in effect, and understands the resale limitations imposed thereby and by the Securities Act.</w:t>
      </w:r>
    </w:p>
    <w:p>
      <w:pPr>
        <w:spacing w:after="0" w:line="179" w:lineRule="exact"/>
        <w:rPr>
          <w:sz w:val="20"/>
          <w:szCs w:val="20"/>
          <w:color w:val="auto"/>
        </w:rPr>
      </w:pPr>
    </w:p>
    <w:p>
      <w:pPr>
        <w:ind w:left="1080"/>
        <w:spacing w:after="0"/>
        <w:tabs>
          <w:tab w:leader="none" w:pos="1600" w:val="left"/>
        </w:tabs>
        <w:rPr>
          <w:sz w:val="20"/>
          <w:szCs w:val="20"/>
          <w:color w:val="auto"/>
        </w:rPr>
      </w:pPr>
      <w:r>
        <w:rPr>
          <w:rFonts w:ascii="Times New Roman" w:cs="Times New Roman" w:eastAsia="Times New Roman" w:hAnsi="Times New Roman"/>
          <w:sz w:val="17"/>
          <w:szCs w:val="17"/>
          <w:color w:val="auto"/>
        </w:rPr>
        <w:t>4.9</w:t>
      </w:r>
      <w:r>
        <w:rPr>
          <w:sz w:val="20"/>
          <w:szCs w:val="20"/>
          <w:color w:val="auto"/>
        </w:rPr>
        <w:tab/>
      </w: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Such Investor understands that the Shares may bear one or all of the following legends:</w:t>
      </w:r>
    </w:p>
    <w:p>
      <w:pPr>
        <w:spacing w:after="0" w:line="179" w:lineRule="exact"/>
        <w:rPr>
          <w:sz w:val="20"/>
          <w:szCs w:val="20"/>
          <w:color w:val="auto"/>
        </w:rPr>
      </w:pPr>
    </w:p>
    <w:p>
      <w:pPr>
        <w:jc w:val="both"/>
        <w:ind w:left="540" w:right="560"/>
        <w:spacing w:after="0" w:line="245" w:lineRule="auto"/>
        <w:rPr>
          <w:sz w:val="20"/>
          <w:szCs w:val="20"/>
          <w:color w:val="auto"/>
        </w:rPr>
      </w:pPr>
      <w:r>
        <w:rPr>
          <w:rFonts w:ascii="Times New Roman" w:cs="Times New Roman" w:eastAsia="Times New Roman" w:hAnsi="Times New Roman"/>
          <w:sz w:val="17"/>
          <w:szCs w:val="17"/>
          <w:color w:val="auto"/>
        </w:rPr>
        <w:t>“THE SECURITIES REPRESENTED HEREBY HAVE BEEN ACQUIRED FOR INVESTMENT AND HAVE NOT BEEN REGISTERED UNDER THE SECURITIES ACT OF 1933. SUCH SHARES MAY NOT BE SOLD, PLEDGED OR TRANSFERRED IN THE ABSENCE OF SUCHREGISTRATION OR A VALID EXEMPTION FROM THE REGISTRATION AND PROSPECTUS DELIVERY REQUIREMENTS OF SAID ACT.</w:t>
      </w:r>
    </w:p>
    <w:p>
      <w:pPr>
        <w:spacing w:after="0" w:line="156" w:lineRule="exact"/>
        <w:rPr>
          <w:sz w:val="20"/>
          <w:szCs w:val="20"/>
          <w:color w:val="auto"/>
        </w:rPr>
      </w:pPr>
    </w:p>
    <w:p>
      <w:pPr>
        <w:jc w:val="both"/>
        <w:ind w:left="540" w:right="560"/>
        <w:spacing w:after="0" w:line="294" w:lineRule="auto"/>
        <w:rPr>
          <w:sz w:val="20"/>
          <w:szCs w:val="20"/>
          <w:color w:val="auto"/>
        </w:rPr>
      </w:pPr>
      <w:r>
        <w:rPr>
          <w:rFonts w:ascii="Times New Roman" w:cs="Times New Roman" w:eastAsia="Times New Roman" w:hAnsi="Times New Roman"/>
          <w:sz w:val="16"/>
          <w:szCs w:val="16"/>
          <w:color w:val="auto"/>
        </w:rPr>
        <w:t>THE SECURITIES REPRESENTED HEREBY MAY BE TRANSFERRED ONLY IN ACCORDANCE WITH THE TERMS OF AN AGREEMENT BETWEEN THE COMPANY AND THE STOCKHOLDER, A COPY OF WHICH IS ON FILE WITH THE SECRETARY OF THE COMPANY.</w:t>
      </w:r>
    </w:p>
    <w:p>
      <w:pPr>
        <w:spacing w:after="0" w:line="117"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Such Investor hereby confirms that it has executed and delivered, or prior to Closing will execute and deliver, to the Underwriters the lock-up agreement provided by the Company (the “</w:t>
      </w: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The Lock-Up Agreement is, or will be at Closing, in full force and effect, and following the consummation of the transactions contemplated by this Agreement will remain in full force and effect, including with respect to the Shares.</w:t>
      </w:r>
    </w:p>
    <w:p>
      <w:pPr>
        <w:spacing w:after="0" w:line="152"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 Investor is not a “foreign person” in which the national or subnational governments of a single foreign state have a “substantial interest,” as defined in the DPA.</w:t>
      </w:r>
    </w:p>
    <w:p>
      <w:pPr>
        <w:spacing w:after="0" w:line="141" w:lineRule="exact"/>
        <w:rPr>
          <w:sz w:val="20"/>
          <w:szCs w:val="20"/>
          <w:color w:val="auto"/>
        </w:rPr>
      </w:pPr>
    </w:p>
    <w:p>
      <w:pPr>
        <w:ind w:firstLine="536"/>
        <w:spacing w:after="0" w:line="262" w:lineRule="auto"/>
        <w:tabs>
          <w:tab w:leader="none" w:pos="1090"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of the Investors’ Obligations at Closing</w:t>
      </w:r>
      <w:r>
        <w:rPr>
          <w:rFonts w:ascii="Times New Roman" w:cs="Times New Roman" w:eastAsia="Times New Roman" w:hAnsi="Times New Roman"/>
          <w:sz w:val="17"/>
          <w:szCs w:val="17"/>
          <w:color w:val="auto"/>
        </w:rPr>
        <w:t>. The obligations of each Investor under Section 1.1 of this Agreement are subject to the fulfillment on or before the Closing of each of the following conditions.</w:t>
      </w:r>
    </w:p>
    <w:p>
      <w:pPr>
        <w:spacing w:after="0" w:line="141"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representations and warranties of the Company in Section 3 shall be true and correct in all material respects as of the date hereof and as of the Closing, other than those representations set forth in Sections 3.1(a), 3.2, 3.3, 3.4(a), 3.5 and 3.10 which shall be true and correct in all respects as of the date hereof and as of the Closing.</w:t>
      </w:r>
    </w:p>
    <w:p>
      <w:pPr>
        <w:spacing w:after="0" w:line="152"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152"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Public Offering Shares</w:t>
      </w:r>
      <w:r>
        <w:rPr>
          <w:rFonts w:ascii="Times New Roman" w:cs="Times New Roman" w:eastAsia="Times New Roman" w:hAnsi="Times New Roman"/>
          <w:sz w:val="17"/>
          <w:szCs w:val="17"/>
          <w:color w:val="auto"/>
        </w:rPr>
        <w:t>. The Underwriters shall have purchased, immediately prior to the purchase of the Shares by each Investor hereunder, the Underwritten Shares (as defined in the Underwriting Agreement) pursuant to the Registration Statement and Underwriting Agreement.</w:t>
      </w:r>
    </w:p>
    <w:p>
      <w:pPr>
        <w:spacing w:after="0" w:line="141"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Restated Rights Agreement</w:t>
      </w:r>
      <w:r>
        <w:rPr>
          <w:rFonts w:ascii="Times New Roman" w:cs="Times New Roman" w:eastAsia="Times New Roman" w:hAnsi="Times New Roman"/>
          <w:sz w:val="17"/>
          <w:szCs w:val="17"/>
          <w:color w:val="auto"/>
        </w:rPr>
        <w:t>. The Restated Rights Agreement shall have been executed and delivered by the Company and other parties to the Existing Rights Agreement sufficient to amend the Existing Rights Agreement pursuant to Section 6.6 thereof.</w:t>
      </w:r>
    </w:p>
    <w:p>
      <w:pPr>
        <w:sectPr>
          <w:pgSz w:w="11900" w:h="16838" w:orient="portrait"/>
          <w:cols w:equalWidth="0" w:num="1">
            <w:col w:w="11260"/>
          </w:cols>
          <w:pgMar w:left="320" w:top="1211" w:right="319" w:bottom="1440" w:gutter="0" w:footer="0" w:header="0"/>
        </w:sectPr>
      </w:pPr>
    </w:p>
    <w:bookmarkStart w:id="553" w:name="page554"/>
    <w:bookmarkEnd w:id="553"/>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Absence of Injunctions, Decrees, Etc</w:t>
      </w:r>
      <w:r>
        <w:rPr>
          <w:rFonts w:ascii="Times New Roman" w:cs="Times New Roman" w:eastAsia="Times New Roman" w:hAnsi="Times New Roman"/>
          <w:sz w:val="17"/>
          <w:szCs w:val="17"/>
          <w:color w:val="auto"/>
        </w:rPr>
        <w:t>. During this period from the date of this Agreement to immediately prior to the Closing, no governmental authority of competent jurisdiction shall have enacted, issued, promulgated, enforced or entered any decision, injunction, decree, ruling, law or order permanently enjoining or otherwise prohibiting or making illegal the consummation of the transactions contemplated at the Closing.</w:t>
      </w:r>
    </w:p>
    <w:p>
      <w:pPr>
        <w:spacing w:after="0" w:line="152" w:lineRule="exact"/>
        <w:rPr>
          <w:sz w:val="20"/>
          <w:szCs w:val="20"/>
          <w:color w:val="auto"/>
        </w:rPr>
      </w:pPr>
    </w:p>
    <w:p>
      <w:pPr>
        <w:ind w:right="20" w:firstLine="536"/>
        <w:spacing w:after="0" w:line="262" w:lineRule="auto"/>
        <w:tabs>
          <w:tab w:leader="none" w:pos="1090"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of the Company’s Obligations at Closing</w:t>
      </w:r>
      <w:r>
        <w:rPr>
          <w:rFonts w:ascii="Times New Roman" w:cs="Times New Roman" w:eastAsia="Times New Roman" w:hAnsi="Times New Roman"/>
          <w:sz w:val="17"/>
          <w:szCs w:val="17"/>
          <w:color w:val="auto"/>
        </w:rPr>
        <w:t>. The obligations of the Company under subsection 1.1 of this Agreement are subject to the fulfillment on or before the Closing of each of the following conditions.</w:t>
      </w:r>
    </w:p>
    <w:p>
      <w:pPr>
        <w:spacing w:after="0" w:line="141" w:lineRule="exact"/>
        <w:rPr>
          <w:sz w:val="20"/>
          <w:szCs w:val="20"/>
          <w:color w:val="auto"/>
        </w:rPr>
      </w:pPr>
    </w:p>
    <w:p>
      <w:pPr>
        <w:jc w:val="both"/>
        <w:ind w:right="20" w:firstLine="1090"/>
        <w:spacing w:after="0" w:line="26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Representations, Warranties and Covenants</w:t>
      </w:r>
      <w:r>
        <w:rPr>
          <w:rFonts w:ascii="Times New Roman" w:cs="Times New Roman" w:eastAsia="Times New Roman" w:hAnsi="Times New Roman"/>
          <w:sz w:val="17"/>
          <w:szCs w:val="17"/>
          <w:color w:val="auto"/>
        </w:rPr>
        <w:t>. The representations, warranties and covenants of each Investor contained in Section 3 shall be true and correct in all material respects as of the date hereof and as of the Closing.</w:t>
      </w:r>
    </w:p>
    <w:p>
      <w:pPr>
        <w:spacing w:after="0" w:line="141"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Public Offering Shares</w:t>
      </w:r>
      <w:r>
        <w:rPr>
          <w:rFonts w:ascii="Times New Roman" w:cs="Times New Roman" w:eastAsia="Times New Roman" w:hAnsi="Times New Roman"/>
          <w:sz w:val="17"/>
          <w:szCs w:val="17"/>
          <w:color w:val="auto"/>
        </w:rPr>
        <w:t>. The Underwriters shall have purchased, immediately prior to the purchase of the Shares by each Investor hereunder, the Underwritten Shares (as defined in the Underwriting Agreement) pursuant to the Registration Statement and Underwriting Agreement, with an initial offering amount to the public (before underwriting discount and commissions) of at least $75 million.</w:t>
      </w:r>
    </w:p>
    <w:p>
      <w:pPr>
        <w:spacing w:after="0" w:line="152"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Absence of Injunctions, Decrees, Etc</w:t>
      </w:r>
      <w:r>
        <w:rPr>
          <w:rFonts w:ascii="Times New Roman" w:cs="Times New Roman" w:eastAsia="Times New Roman" w:hAnsi="Times New Roman"/>
          <w:sz w:val="17"/>
          <w:szCs w:val="17"/>
          <w:color w:val="auto"/>
        </w:rPr>
        <w:t>. During this period from the date of this Agreement to immediately prior to the Closing, no governmental authority of competent jurisdiction shall have enacted, issued, promulgated, enforced or entered any decision, injunction, decree, ruling, law or order permanently enjoining or otherwise prohibiting or making illegal the consummation of the transactions contemplated at the Closing.</w:t>
      </w:r>
    </w:p>
    <w:p>
      <w:pPr>
        <w:spacing w:after="0" w:line="152" w:lineRule="exact"/>
        <w:rPr>
          <w:sz w:val="20"/>
          <w:szCs w:val="20"/>
          <w:color w:val="auto"/>
        </w:rPr>
      </w:pPr>
    </w:p>
    <w:p>
      <w:pPr>
        <w:jc w:val="both"/>
        <w:ind w:firstLine="536"/>
        <w:spacing w:after="0" w:line="243" w:lineRule="auto"/>
        <w:tabs>
          <w:tab w:leader="none" w:pos="109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upon the earliest to occur, if any, of: (a) with respect to the rights and obligations of the Company and the Investor, as applicable to each other, at any time upon the written consent of the Company and such Investor, (b) either the Company, on the one hand, or the Underwriters, on the other hand, advising the other in writing, prior to execution of the Underwriting Agreement, that they have determined not to proceed with the Qualified IPO, (c) the withdrawal by the Company of the Registration Statement, (d) the termination of the Underwriting Agreement, or (ii) December 31, 2020, if the Closing has not occurred on or prior to such date.</w:t>
      </w:r>
    </w:p>
    <w:p>
      <w:pPr>
        <w:spacing w:after="0" w:line="157" w:lineRule="exact"/>
        <w:rPr>
          <w:rFonts w:ascii="Times New Roman" w:cs="Times New Roman" w:eastAsia="Times New Roman" w:hAnsi="Times New Roman"/>
          <w:sz w:val="17"/>
          <w:szCs w:val="17"/>
          <w:color w:val="auto"/>
        </w:rPr>
      </w:pPr>
    </w:p>
    <w:p>
      <w:pPr>
        <w:ind w:left="1080" w:hanging="544"/>
        <w:spacing w:after="0"/>
        <w:tabs>
          <w:tab w:leader="none" w:pos="108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179" w:lineRule="exact"/>
        <w:rPr>
          <w:sz w:val="20"/>
          <w:szCs w:val="20"/>
          <w:color w:val="auto"/>
        </w:rPr>
      </w:pPr>
    </w:p>
    <w:p>
      <w:pPr>
        <w:jc w:val="both"/>
        <w:ind w:firstLine="1090"/>
        <w:spacing w:after="0" w:line="243"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Publicity</w:t>
      </w:r>
      <w:r>
        <w:rPr>
          <w:rFonts w:ascii="Times New Roman" w:cs="Times New Roman" w:eastAsia="Times New Roman" w:hAnsi="Times New Roman"/>
          <w:sz w:val="17"/>
          <w:szCs w:val="17"/>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Investors have made or propose to make an investment in the Company, except as may be required by law, including as contemplated in the Registration Statement, or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w:t>
      </w:r>
    </w:p>
    <w:p>
      <w:pPr>
        <w:spacing w:after="0" w:line="157" w:lineRule="exact"/>
        <w:rPr>
          <w:sz w:val="20"/>
          <w:szCs w:val="20"/>
          <w:color w:val="auto"/>
        </w:rPr>
      </w:pPr>
    </w:p>
    <w:p>
      <w:pPr>
        <w:jc w:val="both"/>
        <w:ind w:firstLine="1090"/>
        <w:spacing w:after="0" w:line="245"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Foreign Investment in Real Property tax Act (“FIRPTA”)</w:t>
      </w:r>
      <w:r>
        <w:rPr>
          <w:rFonts w:ascii="Times New Roman" w:cs="Times New Roman" w:eastAsia="Times New Roman" w:hAnsi="Times New Roman"/>
          <w:sz w:val="17"/>
          <w:szCs w:val="17"/>
          <w:color w:val="auto"/>
        </w:rPr>
        <w:t>. Only to the extent that Investor has at any time held 5% or greater of the fair market value of the Company as defined in Treasury Regulation Section 1.897-1(c)(2)(iii)(A), the Company shall use commercially reasonable efforts to avoid becoming a “United States real property holding corporation” within the meaning of Section 897(c)(2) of the Internal Revenue Code of 1986, as amended (the “Code”). So long as Investor</w:t>
      </w:r>
    </w:p>
    <w:p>
      <w:pPr>
        <w:sectPr>
          <w:pgSz w:w="11900" w:h="16838" w:orient="portrait"/>
          <w:cols w:equalWidth="0" w:num="1">
            <w:col w:w="11260"/>
          </w:cols>
          <w:pgMar w:left="320" w:top="1393" w:right="319" w:bottom="1440" w:gutter="0" w:footer="0" w:header="0"/>
        </w:sectPr>
      </w:pPr>
    </w:p>
    <w:bookmarkStart w:id="554" w:name="page555"/>
    <w:bookmarkEnd w:id="554"/>
    <w:p>
      <w:pPr>
        <w:jc w:val="both"/>
        <w:spacing w:after="0" w:line="239" w:lineRule="auto"/>
        <w:rPr>
          <w:sz w:val="20"/>
          <w:szCs w:val="20"/>
          <w:color w:val="auto"/>
        </w:rPr>
      </w:pPr>
      <w:r>
        <w:rPr>
          <w:rFonts w:ascii="Times New Roman" w:cs="Times New Roman" w:eastAsia="Times New Roman" w:hAnsi="Times New Roman"/>
          <w:sz w:val="17"/>
          <w:szCs w:val="17"/>
          <w:color w:val="auto"/>
        </w:rPr>
        <w:t>continues to own the shares it is purchasing hereunder, in the event the Company is or becomes a United States real property holding corporation, the Company shall provide prompt notice to Investor following any “determination date” (as defined in Treasury Regulation Section 1.897-2(c)(1)) on which the Company is or becomes a United States real property holding corporation. In addition, upon any reasonable written request by Investor (including, but not limited to, prior to any secondary share purchases by Investor), the Company shall provide Investor with a written statement informing Investor whether its interest in the Company constitutes a “United States real property interest” within the meaning of Section 897(c)(2) of the Code.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written statement to Investor shall be delivered within 10 Business Days of Investor’s written request therefor. The Company’s obligation to furnish such written statement shall continue notwithstanding the fact that a class of the Company’s stock may be regularly traded on an established securities market or the fact that there is no preferred stock of the Company then outstanding, but will cease only to the extent the exemption provided for in Treasury Regulation Section 1.897-1(c)(2)(iii)(A) is met with respect to the interests held by Investor.</w:t>
      </w:r>
    </w:p>
    <w:p>
      <w:pPr>
        <w:spacing w:after="0" w:line="164"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Survival of Warranties</w:t>
      </w:r>
      <w:r>
        <w:rPr>
          <w:rFonts w:ascii="Times New Roman" w:cs="Times New Roman" w:eastAsia="Times New Roman" w:hAnsi="Times New Roman"/>
          <w:sz w:val="17"/>
          <w:szCs w:val="17"/>
          <w:color w:val="auto"/>
        </w:rPr>
        <w:t>. The warranties, representations and covenants of the Company and each Investor contained in or made pursuant to this Agreement shall survive the execution and delivery of this Agreement and the Closing and shall in no way be affected by any investigation of the subject matter thereof made by or on behalf of any Investor or the Company.</w:t>
      </w:r>
    </w:p>
    <w:p>
      <w:pPr>
        <w:spacing w:after="0" w:line="152" w:lineRule="exact"/>
        <w:rPr>
          <w:sz w:val="20"/>
          <w:szCs w:val="20"/>
          <w:color w:val="auto"/>
        </w:rPr>
      </w:pPr>
    </w:p>
    <w:p>
      <w:pPr>
        <w:jc w:val="both"/>
        <w:ind w:firstLine="1090"/>
        <w:spacing w:after="0" w:line="241"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Agreement, and any and all rights, duties and obligations hereunder, shall not be assigned, transferred, delegated or sublicensed by any Investor without the prior written consent of the Company; provided, however, that after the Closing, the Shares and the rights, duties and obligations of each Investor hereunder may be assigned to the affiliates of such Investor that agree in writing with the Company to be bound by the terms and conditions of this Agreement. Any attempt by any Investor without such permission to assign, transfer, delegate or sublicense any rights, duties or obligations that arise under this Agreement in a manner that is not permitted by the foregoing sentence to be made without such permission shall be void. Subject to the foregoing and except as otherwise provided herein, the provisions of this Agreement shall inure to the benefit of, and be binding upon, the successors, assigns, heirs, executors and administrators of the parties hereto.</w:t>
      </w:r>
    </w:p>
    <w:p>
      <w:pPr>
        <w:spacing w:after="0" w:line="159"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in all respects by the internal laws of the State of Delaware as applied to agreements entered into among Delaware residents to be performed entirely within Delaware, without regard to principles of conflicts of law.</w:t>
      </w:r>
    </w:p>
    <w:p>
      <w:pPr>
        <w:spacing w:after="0" w:line="141" w:lineRule="exact"/>
        <w:rPr>
          <w:sz w:val="20"/>
          <w:szCs w:val="20"/>
          <w:color w:val="auto"/>
        </w:rPr>
      </w:pPr>
    </w:p>
    <w:p>
      <w:pPr>
        <w:jc w:val="both"/>
        <w:ind w:firstLine="1090"/>
        <w:spacing w:after="0" w:line="245"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shall be enforceable against the parties actually executing such counterparts, and all of which together shall constitute one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ectPr>
          <w:pgSz w:w="11900" w:h="16838" w:orient="portrait"/>
          <w:cols w:equalWidth="0" w:num="1">
            <w:col w:w="11260"/>
          </w:cols>
          <w:pgMar w:left="320" w:top="1211" w:right="319" w:bottom="1440" w:gutter="0" w:footer="0" w:header="0"/>
        </w:sectPr>
      </w:pPr>
    </w:p>
    <w:bookmarkStart w:id="555" w:name="page556"/>
    <w:bookmarkEnd w:id="555"/>
    <w:p>
      <w:pPr>
        <w:ind w:right="20" w:firstLine="1090"/>
        <w:spacing w:after="0" w:line="262"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required or permitted hereunder shall be in writing and shall be mailed by registered or certified mail, postage prepaid, sent by electronic mail or otherwise delivered by hand, messenger or courier service addressed:</w:t>
      </w:r>
    </w:p>
    <w:p>
      <w:pPr>
        <w:spacing w:after="0" w:line="141" w:lineRule="exact"/>
        <w:rPr>
          <w:sz w:val="20"/>
          <w:szCs w:val="20"/>
          <w:color w:val="auto"/>
        </w:rPr>
      </w:pPr>
    </w:p>
    <w:p>
      <w:pPr>
        <w:ind w:left="2160" w:hanging="466"/>
        <w:spacing w:after="0"/>
        <w:tabs>
          <w:tab w:leader="none" w:pos="216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an Investor, to the address or electronic mail address as shown on such Investor’s signature page to this Agreement; and</w:t>
      </w:r>
    </w:p>
    <w:p>
      <w:pPr>
        <w:spacing w:after="0" w:line="179" w:lineRule="exact"/>
        <w:rPr>
          <w:rFonts w:ascii="Times New Roman" w:cs="Times New Roman" w:eastAsia="Times New Roman" w:hAnsi="Times New Roman"/>
          <w:sz w:val="17"/>
          <w:szCs w:val="17"/>
          <w:color w:val="auto"/>
        </w:rPr>
      </w:pPr>
    </w:p>
    <w:p>
      <w:pPr>
        <w:jc w:val="both"/>
        <w:ind w:right="20" w:firstLine="1694"/>
        <w:spacing w:after="0" w:line="245" w:lineRule="auto"/>
        <w:tabs>
          <w:tab w:leader="none" w:pos="2170"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 the attention of the Chief Executive Officer of the Company at 3800 Bridge Parkway, Suite 102, Redwood City, California 94065 or of@seer.bio, or at such other current address or electronic mail address as the Company shall have furnished to the Investors in compliance with the requirements of this Section 8.7, with a copy (which shall not constitute notice) to Tony Jeffries, Wilson Sonsini Goodrich &amp; Rosati, P.C., 650 Page Mill Road, Palo Alto, California 94304.</w:t>
      </w:r>
    </w:p>
    <w:p>
      <w:pPr>
        <w:spacing w:after="0" w:line="156" w:lineRule="exact"/>
        <w:rPr>
          <w:sz w:val="20"/>
          <w:szCs w:val="20"/>
          <w:color w:val="auto"/>
        </w:rPr>
      </w:pPr>
    </w:p>
    <w:p>
      <w:pPr>
        <w:jc w:val="both"/>
        <w:ind w:firstLine="545"/>
        <w:spacing w:after="0" w:line="241" w:lineRule="auto"/>
        <w:rPr>
          <w:sz w:val="20"/>
          <w:szCs w:val="20"/>
          <w:color w:val="auto"/>
        </w:rPr>
      </w:pPr>
      <w:r>
        <w:rPr>
          <w:rFonts w:ascii="Times New Roman" w:cs="Times New Roman" w:eastAsia="Times New Roman" w:hAnsi="Times New Roman"/>
          <w:sz w:val="17"/>
          <w:szCs w:val="17"/>
          <w:color w:val="auto"/>
        </w:rPr>
        <w:t>Each such notice or other communication shall for all purposes of this Agreement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electronic mail,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Agreement or any notice delivered hereunder, the Company’s books and records will control absent fraud or error.</w:t>
      </w:r>
    </w:p>
    <w:p>
      <w:pPr>
        <w:spacing w:after="0" w:line="159" w:lineRule="exact"/>
        <w:rPr>
          <w:sz w:val="20"/>
          <w:szCs w:val="20"/>
          <w:color w:val="auto"/>
        </w:rPr>
      </w:pPr>
    </w:p>
    <w:p>
      <w:pPr>
        <w:jc w:val="both"/>
        <w:ind w:firstLine="1090"/>
        <w:spacing w:after="0" w:line="245" w:lineRule="auto"/>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u w:val="single" w:color="auto"/>
          <w:color w:val="auto"/>
        </w:rPr>
        <w:t>Brokers or Finders</w:t>
      </w:r>
      <w:r>
        <w:rPr>
          <w:rFonts w:ascii="Times New Roman" w:cs="Times New Roman" w:eastAsia="Times New Roman" w:hAnsi="Times New Roman"/>
          <w:sz w:val="17"/>
          <w:szCs w:val="17"/>
          <w:color w:val="auto"/>
        </w:rPr>
        <w:t>. The Company shall indemnify and hold harmless each Investor from any liability for any commission or compensation in the nature of a brokerage or finder’s fee or agent’s commission (and the costs and expenses of defending against such liability or asserted liability) for which such Investor or any of its constituent partners, members, officers, directors, employees or representatives is responsible to the extent such liability is attributable to any inaccuracy or breach of the representations and warranties contained in Section 3.7</w:t>
      </w:r>
    </w:p>
    <w:p>
      <w:pPr>
        <w:spacing w:after="0" w:line="156" w:lineRule="exact"/>
        <w:rPr>
          <w:sz w:val="20"/>
          <w:szCs w:val="20"/>
          <w:color w:val="auto"/>
        </w:rPr>
      </w:pPr>
    </w:p>
    <w:p>
      <w:pPr>
        <w:jc w:val="both"/>
        <w:ind w:right="20" w:firstLine="1090"/>
        <w:spacing w:after="0" w:line="249" w:lineRule="auto"/>
        <w:rPr>
          <w:sz w:val="20"/>
          <w:szCs w:val="20"/>
          <w:color w:val="auto"/>
        </w:rPr>
      </w:pPr>
      <w:r>
        <w:rPr>
          <w:rFonts w:ascii="Times New Roman" w:cs="Times New Roman" w:eastAsia="Times New Roman" w:hAnsi="Times New Roman"/>
          <w:sz w:val="17"/>
          <w:szCs w:val="17"/>
          <w:color w:val="auto"/>
        </w:rPr>
        <w:t xml:space="preserve">8.9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Any term of this Agreement may be amended and the observance of any term of this Agreement may be waived (either generally or in a particular instance and either retroactively or prospectively), only with the written consent of the Company and the particular Investor or Investors whose rights or obligations will be directly amended or waived by such amendment or waiver.</w:t>
      </w:r>
    </w:p>
    <w:p>
      <w:pPr>
        <w:spacing w:after="0" w:line="152" w:lineRule="exact"/>
        <w:rPr>
          <w:sz w:val="20"/>
          <w:szCs w:val="20"/>
          <w:color w:val="auto"/>
        </w:rPr>
      </w:pPr>
    </w:p>
    <w:p>
      <w:pPr>
        <w:jc w:val="both"/>
        <w:ind w:firstLine="1090"/>
        <w:spacing w:after="0" w:line="245" w:lineRule="auto"/>
        <w:rPr>
          <w:sz w:val="20"/>
          <w:szCs w:val="20"/>
          <w:color w:val="auto"/>
        </w:rPr>
      </w:pPr>
      <w:r>
        <w:rPr>
          <w:rFonts w:ascii="Times New Roman" w:cs="Times New Roman" w:eastAsia="Times New Roman" w:hAnsi="Times New Roman"/>
          <w:sz w:val="17"/>
          <w:szCs w:val="17"/>
          <w:color w:val="auto"/>
        </w:rPr>
        <w:t xml:space="preserve">8.10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becomes or is declared by a court of competent jurisdiction to be illegal, unenforceable 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56"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8.11 </w:t>
      </w:r>
      <w:r>
        <w:rPr>
          <w:rFonts w:ascii="Times New Roman" w:cs="Times New Roman" w:eastAsia="Times New Roman" w:hAnsi="Times New Roman"/>
          <w:sz w:val="17"/>
          <w:szCs w:val="17"/>
          <w:u w:val="single" w:color="auto"/>
          <w:color w:val="auto"/>
        </w:rPr>
        <w:t>Corporate Securities Law</w:t>
      </w:r>
      <w:r>
        <w:rPr>
          <w:rFonts w:ascii="Times New Roman" w:cs="Times New Roman" w:eastAsia="Times New Roman" w:hAnsi="Times New Roman"/>
          <w:sz w:val="17"/>
          <w:szCs w:val="17"/>
          <w:color w:val="auto"/>
        </w:rPr>
        <w:t>. THE SALE OF THE SECURITIES THAT ARE THE SUBJECT OF THIS AGREEMENT HAS NOT BEEN QUALIFIED WITH THE COMMISSIONER OF CORPORATIONS OF THE STATE OF CALIFORNIA AND THE ISSUANCE OF SUCH SECURITIES OR THE PAYMENT OR RECEIPT OF ANY PART OF THE CONSIDERATION</w:t>
      </w:r>
    </w:p>
    <w:p>
      <w:pPr>
        <w:sectPr>
          <w:pgSz w:w="11900" w:h="16838" w:orient="portrait"/>
          <w:cols w:equalWidth="0" w:num="1">
            <w:col w:w="11260"/>
          </w:cols>
          <w:pgMar w:left="320" w:top="1210" w:right="319" w:bottom="1440" w:gutter="0" w:footer="0" w:header="0"/>
        </w:sectPr>
      </w:pPr>
    </w:p>
    <w:bookmarkStart w:id="556" w:name="page557"/>
    <w:bookmarkEnd w:id="556"/>
    <w:p>
      <w:pPr>
        <w:jc w:val="both"/>
        <w:spacing w:after="0" w:line="249" w:lineRule="auto"/>
        <w:rPr>
          <w:sz w:val="20"/>
          <w:szCs w:val="20"/>
          <w:color w:val="auto"/>
        </w:rPr>
      </w:pPr>
      <w:r>
        <w:rPr>
          <w:rFonts w:ascii="Times New Roman" w:cs="Times New Roman" w:eastAsia="Times New Roman" w:hAnsi="Times New Roman"/>
          <w:sz w:val="17"/>
          <w:szCs w:val="17"/>
          <w:color w:val="auto"/>
        </w:rPr>
        <w:t>THEREFOR PRIOR TO SUCH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52" w:lineRule="exact"/>
        <w:rPr>
          <w:sz w:val="20"/>
          <w:szCs w:val="20"/>
          <w:color w:val="auto"/>
        </w:rPr>
      </w:pPr>
    </w:p>
    <w:p>
      <w:pPr>
        <w:jc w:val="both"/>
        <w:ind w:firstLine="1090"/>
        <w:spacing w:after="0" w:line="249" w:lineRule="auto"/>
        <w:rPr>
          <w:sz w:val="20"/>
          <w:szCs w:val="20"/>
          <w:color w:val="auto"/>
        </w:rPr>
      </w:pPr>
      <w:r>
        <w:rPr>
          <w:rFonts w:ascii="Times New Roman" w:cs="Times New Roman" w:eastAsia="Times New Roman" w:hAnsi="Times New Roman"/>
          <w:sz w:val="17"/>
          <w:szCs w:val="17"/>
          <w:color w:val="auto"/>
        </w:rPr>
        <w:t xml:space="preserve">8.12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documents referred to herein constitute the entire agreement among the parties. No party shall be liable or bound to any other party in any manner with regard to the subjects hereof or thereof by any warranties, representations or covenants except as specifically set forth herein or therein.</w:t>
      </w:r>
    </w:p>
    <w:p>
      <w:pPr>
        <w:spacing w:after="0" w:line="152" w:lineRule="exact"/>
        <w:rPr>
          <w:sz w:val="20"/>
          <w:szCs w:val="20"/>
          <w:color w:val="auto"/>
        </w:rPr>
      </w:pPr>
    </w:p>
    <w:p>
      <w:pPr>
        <w:jc w:val="both"/>
        <w:ind w:firstLine="1090"/>
        <w:spacing w:after="0"/>
        <w:rPr>
          <w:sz w:val="20"/>
          <w:szCs w:val="20"/>
          <w:color w:val="auto"/>
        </w:rPr>
      </w:pPr>
      <w:r>
        <w:rPr>
          <w:rFonts w:ascii="Times New Roman" w:cs="Times New Roman" w:eastAsia="Times New Roman" w:hAnsi="Times New Roman"/>
          <w:sz w:val="17"/>
          <w:szCs w:val="17"/>
          <w:color w:val="auto"/>
        </w:rPr>
        <w:t xml:space="preserve">8.13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to this Agreement hereby acknowledge and agree that the Company would be irreparably injured by a breach of this Agreement by any Investor, and each Investor would be irreparably injured by a breach of this Agreement by the Company, and that money damages are an inadequate remedy for an actual or threatened breach of this Agreement because of the difficulty of ascertaining the amount of damage that will be suffered by the aggrieved party in the event that this agreement is breached. Therefore, each of the parties to this Agreement agrees to the granting of specific performance of this Agreement and injunctive or other equitable relief in favor of the aggrieved party as a remedy for any such breach, without proof of actual damages, and the parties to this Agreement further waive any requirement for the securing or posting of any bond in connection with any such remedy. Such remedy shall not be deemed to be the exclusive remedy for breach of this Agreement, but shall be in addition to all other remedies available at law or in equity to the aggrieved party.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60"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7"/>
          <w:szCs w:val="17"/>
          <w:color w:val="auto"/>
        </w:rPr>
        <w:t xml:space="preserve">8.14 </w:t>
      </w:r>
      <w:r>
        <w:rPr>
          <w:rFonts w:ascii="Times New Roman" w:cs="Times New Roman" w:eastAsia="Times New Roman" w:hAnsi="Times New Roman"/>
          <w:sz w:val="17"/>
          <w:szCs w:val="17"/>
          <w:u w:val="single" w:color="auto"/>
          <w:color w:val="auto"/>
        </w:rPr>
        <w:t>Confirmation of Securities Holdings</w:t>
      </w:r>
      <w:r>
        <w:rPr>
          <w:rFonts w:ascii="Times New Roman" w:cs="Times New Roman" w:eastAsia="Times New Roman" w:hAnsi="Times New Roman"/>
          <w:sz w:val="17"/>
          <w:szCs w:val="17"/>
          <w:color w:val="auto"/>
        </w:rPr>
        <w:t>. Upon request of an Investor, as long as such Investor is a record holder of the Shares, the Company will use commercially reasonable efforts to cause the transfer agent of the Shares to provide confirmation of such Investor’s holdings in the Company.</w:t>
      </w:r>
    </w:p>
    <w:p>
      <w:pPr>
        <w:spacing w:after="0" w:line="141" w:lineRule="exact"/>
        <w:rPr>
          <w:sz w:val="20"/>
          <w:szCs w:val="20"/>
          <w:color w:val="auto"/>
        </w:rPr>
      </w:pPr>
    </w:p>
    <w:p>
      <w:pPr>
        <w:jc w:val="both"/>
        <w:ind w:firstLine="1090"/>
        <w:spacing w:after="0" w:line="239" w:lineRule="auto"/>
        <w:rPr>
          <w:sz w:val="20"/>
          <w:szCs w:val="20"/>
          <w:color w:val="auto"/>
        </w:rPr>
      </w:pPr>
      <w:r>
        <w:rPr>
          <w:rFonts w:ascii="Times New Roman" w:cs="Times New Roman" w:eastAsia="Times New Roman" w:hAnsi="Times New Roman"/>
          <w:sz w:val="17"/>
          <w:szCs w:val="17"/>
          <w:color w:val="auto"/>
        </w:rPr>
        <w:t xml:space="preserve">8.15 </w:t>
      </w:r>
      <w:r>
        <w:rPr>
          <w:rFonts w:ascii="Times New Roman" w:cs="Times New Roman" w:eastAsia="Times New Roman" w:hAnsi="Times New Roman"/>
          <w:sz w:val="17"/>
          <w:szCs w:val="17"/>
          <w:u w:val="single" w:color="auto"/>
          <w:color w:val="auto"/>
        </w:rPr>
        <w:t>Independent Nature of Investors Obligations and Rights</w:t>
      </w:r>
      <w:r>
        <w:rPr>
          <w:rFonts w:ascii="Times New Roman" w:cs="Times New Roman" w:eastAsia="Times New Roman" w:hAnsi="Times New Roman"/>
          <w:sz w:val="17"/>
          <w:szCs w:val="17"/>
          <w:color w:val="auto"/>
        </w:rPr>
        <w:t>. The obligations of each Investor under this Agreement are several and not joint with the obligations of any other Investor, and no Investor shall be responsible in any way for the performance of the obligations of any other Investor under this Agreement. The decision of each Investor to purchase Shares pursuant to this Agreement has been made by such Investor independently of any other Investor and independently of any information, materials, statements or opinions as to the business, affairs, operations, assets, properties, liabilities, results of operations, condition (financial or otherwise) or prospects of the Company which may have been made or given by any other Investor or by any agent or employee of any other Investor, and no Investor and none of its agents or employees shall have any liability to any other Investor (or any other person) relating to or arising from any such information, materials, statements or opinions. Nothing contained herein, and no action taken by any Investor pursuant 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this Agreement. Each Investor acknowledges that no other Investor has acted as agent for such Investor in connection with making its investment hereunder and that no Investor will be acting as agent of such Investor in connection with monitoring its investment in the Shares or enforcing its rights under this Agreement. Each Investor shall be entitled to</w:t>
      </w:r>
    </w:p>
    <w:p>
      <w:pPr>
        <w:sectPr>
          <w:pgSz w:w="11900" w:h="16838" w:orient="portrait"/>
          <w:cols w:equalWidth="0" w:num="1">
            <w:col w:w="11260"/>
          </w:cols>
          <w:pgMar w:left="320" w:top="1211" w:right="319" w:bottom="1440" w:gutter="0" w:footer="0" w:header="0"/>
        </w:sectPr>
      </w:pPr>
    </w:p>
    <w:bookmarkStart w:id="557" w:name="page558"/>
    <w:bookmarkEnd w:id="557"/>
    <w:p>
      <w:pPr>
        <w:jc w:val="both"/>
        <w:spacing w:after="0" w:line="249" w:lineRule="auto"/>
        <w:rPr>
          <w:sz w:val="20"/>
          <w:szCs w:val="20"/>
          <w:color w:val="auto"/>
        </w:rPr>
      </w:pPr>
      <w:r>
        <w:rPr>
          <w:rFonts w:ascii="Times New Roman" w:cs="Times New Roman" w:eastAsia="Times New Roman" w:hAnsi="Times New Roman"/>
          <w:sz w:val="17"/>
          <w:szCs w:val="17"/>
          <w:color w:val="auto"/>
        </w:rPr>
        <w:t>independently protect and enforce its rights, including without limitation the rights arising out of this Agreement, and it shall not be necessary for any other Investor to be joined as an additional party in any proceeding for such purpose. It is expressly understood and agreed that each provision contained in this Agreement is between the Company and an Investor, solely, and not between the Company and the Investors collectively and not between and among the Investors.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ectPr>
          <w:pgSz w:w="11900" w:h="16838" w:orient="portrait"/>
          <w:cols w:equalWidth="0" w:num="1">
            <w:col w:w="11260"/>
          </w:cols>
          <w:pgMar w:left="320" w:top="1211" w:right="31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274"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 Omid Farokhzad</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Omid Farokhzad</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4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3800 Bridge Parkway, Suite 102</w:t>
            </w:r>
          </w:p>
        </w:tc>
      </w:tr>
      <w:tr>
        <w:trPr>
          <w:trHeight w:val="216"/>
        </w:trPr>
        <w:tc>
          <w:tcPr>
            <w:tcW w:w="84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Redwood City, California 94065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right="520"/>
        <w:spacing w:after="0" w:line="267" w:lineRule="auto"/>
        <w:rPr>
          <w:sz w:val="20"/>
          <w:szCs w:val="20"/>
          <w:color w:val="auto"/>
        </w:rPr>
      </w:pPr>
      <w:r>
        <w:rPr>
          <w:rFonts w:ascii="Times New Roman" w:cs="Times New Roman" w:eastAsia="Times New Roman" w:hAnsi="Times New Roman"/>
          <w:sz w:val="17"/>
          <w:szCs w:val="17"/>
          <w:b w:val="1"/>
          <w:bCs w:val="1"/>
          <w:color w:val="auto"/>
        </w:rPr>
        <w:t>FIDELITY MT. VERNON STREET TRUST: FIDELITY SERIES GROWTH COMPANY FUND</w:t>
      </w:r>
    </w:p>
    <w:p>
      <w:pPr>
        <w:spacing w:after="0" w:line="228"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FIDELITY MT. VERNON STREET TRUST:</w:t>
      </w:r>
    </w:p>
    <w:p>
      <w:pPr>
        <w:spacing w:after="0" w:line="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FIDELITY GROWTH COMPANY FUND</w:t>
      </w:r>
    </w:p>
    <w:p>
      <w:pPr>
        <w:spacing w:after="0" w:line="252" w:lineRule="exact"/>
        <w:rPr>
          <w:sz w:val="20"/>
          <w:szCs w:val="20"/>
          <w:color w:val="auto"/>
        </w:rPr>
      </w:pPr>
    </w:p>
    <w:tbl>
      <w:tblPr>
        <w:tblLayout w:type="fixed"/>
        <w:tblInd w:w="520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1260"/>
          </w:cols>
          <w:pgMar w:left="320" w:top="1207" w:right="31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FIDELITY GROWTH COMPANY COMMINGLED POOL</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By: Fidelity Management Trust Company, as Trustee</w:t>
      </w:r>
    </w:p>
    <w:p>
      <w:pPr>
        <w:spacing w:after="0" w:line="274"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5200" w:right="240"/>
        <w:spacing w:after="0" w:line="267" w:lineRule="auto"/>
        <w:rPr>
          <w:sz w:val="20"/>
          <w:szCs w:val="20"/>
          <w:color w:val="auto"/>
        </w:rPr>
      </w:pPr>
      <w:r>
        <w:rPr>
          <w:rFonts w:ascii="Times New Roman" w:cs="Times New Roman" w:eastAsia="Times New Roman" w:hAnsi="Times New Roman"/>
          <w:sz w:val="17"/>
          <w:szCs w:val="17"/>
          <w:b w:val="1"/>
          <w:bCs w:val="1"/>
          <w:color w:val="auto"/>
        </w:rPr>
        <w:t>FIDELITY MT. VERNON STREET TRUST: FIDELITY GROWTH COMPANY K6 FUND</w:t>
      </w:r>
    </w:p>
    <w:p>
      <w:pPr>
        <w:spacing w:after="0" w:line="228" w:lineRule="exact"/>
        <w:rPr>
          <w:sz w:val="20"/>
          <w:szCs w:val="20"/>
          <w:color w:val="auto"/>
        </w:rPr>
      </w:pPr>
    </w:p>
    <w:tbl>
      <w:tblPr>
        <w:tblLayout w:type="fixed"/>
        <w:tblInd w:w="520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1260"/>
          </w:cols>
          <w:pgMar w:left="320" w:top="1207" w:right="31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FIDELITY SELECT PORTFOLIOS: HEALTH CARE PORTFOLIO</w:t>
      </w:r>
    </w:p>
    <w:p>
      <w:pPr>
        <w:spacing w:after="0" w:line="274"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FIDELITY ADVISOR SERIES VII: FIDELITY ADVISOR HEALTH CARE FUND</w:t>
      </w:r>
    </w:p>
    <w:p>
      <w:pPr>
        <w:spacing w:after="0" w:line="286"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VARIABLE INSURANCE PRODUCTS FUND IV: HEALTH CARE PORTFOLIO</w:t>
      </w:r>
    </w:p>
    <w:p>
      <w:pPr>
        <w:spacing w:after="0" w:line="286"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6" w:right="31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FIDELITY CENTRAL INVESTMENT PORTFOLIOS LLC: FIDELITY U.S.</w:t>
      </w:r>
    </w:p>
    <w:p>
      <w:pPr>
        <w:spacing w:after="0" w:line="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EQUITY CENTRAL FUND</w:t>
      </w:r>
    </w:p>
    <w:p>
      <w:pPr>
        <w:spacing w:after="0" w:line="252"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FIDELITY SELECT PORTFOLIOS: BIOTECHNOLOGY PORTFOLIO</w:t>
      </w:r>
    </w:p>
    <w:p>
      <w:pPr>
        <w:spacing w:after="0" w:line="274"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Chris Maher</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Health Sciences Fund,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TD Mutual Funds - TD Health Sciences Fund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Health Sciences Portfolio</w:t>
      </w:r>
    </w:p>
    <w:p>
      <w:pPr>
        <w:spacing w:after="0" w:line="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Each account, severally and not jointly</w:t>
      </w:r>
    </w:p>
    <w:p>
      <w:pPr>
        <w:spacing w:after="0" w:line="270"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7"/>
          <w:szCs w:val="17"/>
          <w:color w:val="auto"/>
        </w:rPr>
        <w:t>By: T. Rowe Price Associates, Inc., Investment Adviser or Subadviser, as applicable</w:t>
      </w:r>
    </w:p>
    <w:p>
      <w:pPr>
        <w:spacing w:after="0" w:line="200" w:lineRule="exact"/>
        <w:rPr>
          <w:sz w:val="20"/>
          <w:szCs w:val="20"/>
          <w:color w:val="auto"/>
        </w:rPr>
      </w:pPr>
    </w:p>
    <w:p>
      <w:pPr>
        <w:spacing w:after="0" w:line="297"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Baek</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Baek</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Address:</w:t>
      </w:r>
    </w:p>
    <w:p>
      <w:pPr>
        <w:spacing w:after="0" w:line="2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T. Rowe Price Associates,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100 East Pratt Street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Baltimore, MD 21202</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Attn: Andrew Baek, Vice President and Senior</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Legal Counsel</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Phone: 410-345-2090</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Email: Andrew.baek@troweprice.com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Small-Cap Value Fund,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U.S. Small-Cap Value Equity Trust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U.S. Equities Trust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MassMutual Select Funds - MassMutual Select 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Rowe Price Small and Mid Cap Blend Fund</w:t>
      </w:r>
    </w:p>
    <w:p>
      <w:pPr>
        <w:spacing w:after="0" w:line="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Each account, severally and not jointly</w:t>
      </w:r>
    </w:p>
    <w:p>
      <w:pPr>
        <w:spacing w:after="0" w:line="270"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7"/>
          <w:szCs w:val="17"/>
          <w:color w:val="auto"/>
        </w:rPr>
        <w:t>By: T. Rowe Price Associates, Inc., Investment Adviser or Subadviser, as applicable</w:t>
      </w:r>
    </w:p>
    <w:p>
      <w:pPr>
        <w:spacing w:after="0" w:line="200" w:lineRule="exact"/>
        <w:rPr>
          <w:sz w:val="20"/>
          <w:szCs w:val="20"/>
          <w:color w:val="auto"/>
        </w:rPr>
      </w:pPr>
    </w:p>
    <w:p>
      <w:pPr>
        <w:spacing w:after="0" w:line="297"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Baek</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Baek</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Address:</w:t>
      </w:r>
    </w:p>
    <w:p>
      <w:pPr>
        <w:spacing w:after="0" w:line="2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T. Rowe Price Associates,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100 East Pratt Street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Baltimore, MD 21202</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Attn: Andrew Baek, Vice President and Senior</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Legal Counsel</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Phone: 410-345-2090</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Email: Andrew.baek@troweprice.com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Small-Cap Stock Fund,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Institutional Small-Cap Stock Fund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Spectrum Conservative Allocation Fund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Spectrum Moderate Growth</w:t>
      </w:r>
    </w:p>
    <w:p>
      <w:pPr>
        <w:spacing w:after="0" w:line="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Allocation Fund</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Moderate Allocation Portfolio U.S. Small-Cap Stock Trust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VALIC Company I - Small Cap Fund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TD Mutual Funds-TD U.S. Small-Cap Equity Fund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U.S. Small-Cap Core Equity Trust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Minnesota Life Insurance Company</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Costco 401(k) Retirement Plan</w:t>
      </w:r>
    </w:p>
    <w:p>
      <w:pPr>
        <w:spacing w:after="0" w:line="43"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MassMutual Select Funds - MassMutual Select T. Rowe Price Small and Mid Cap</w:t>
      </w:r>
    </w:p>
    <w:p>
      <w:pPr>
        <w:spacing w:after="0" w:line="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Blend Fund</w:t>
      </w:r>
    </w:p>
    <w:p>
      <w:pPr>
        <w:spacing w:after="0" w:line="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Each account, severally and not jointly</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By: T. Rowe Price Associates, Inc., Investment Adviser or Subadviser, as applicable</w:t>
      </w:r>
    </w:p>
    <w:p>
      <w:pPr>
        <w:spacing w:after="0" w:line="200" w:lineRule="exact"/>
        <w:rPr>
          <w:sz w:val="20"/>
          <w:szCs w:val="20"/>
          <w:color w:val="auto"/>
        </w:rPr>
      </w:pPr>
    </w:p>
    <w:p>
      <w:pPr>
        <w:spacing w:after="0" w:line="297"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Baek</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Baek</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Address:</w:t>
      </w:r>
    </w:p>
    <w:p>
      <w:pPr>
        <w:spacing w:after="0" w:line="2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T. Rowe Price Associates,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100 East Pratt Street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Baltimore, MD 21202</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Attn: Andrew Baek, Vice President and Senior</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Legal Counsel</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Phone: 410-345-2090</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Email: Andrew.baek@troweprice.com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6" w:right="31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New Horizons Fund,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New Horizons Trust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 Rowe Price U.S. Equities Trust</w:t>
      </w:r>
    </w:p>
    <w:p>
      <w:pPr>
        <w:spacing w:after="0" w:line="43"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MassMutual Select Funds - MassMutual Select T. Rowe Price Small and Mid Cap</w:t>
      </w:r>
    </w:p>
    <w:p>
      <w:pPr>
        <w:spacing w:after="0" w:line="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Blend Fund</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New York City Deferred Compensation Plan</w:t>
      </w:r>
    </w:p>
    <w:p>
      <w:pPr>
        <w:spacing w:after="0" w:line="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Each account, severally and not jointly</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By: T. Rowe Price Associates, Inc., Investment Adviser or Subadviser, as applicable</w:t>
      </w:r>
    </w:p>
    <w:p>
      <w:pPr>
        <w:spacing w:after="0" w:line="200" w:lineRule="exact"/>
        <w:rPr>
          <w:sz w:val="20"/>
          <w:szCs w:val="20"/>
          <w:color w:val="auto"/>
        </w:rPr>
      </w:pPr>
    </w:p>
    <w:p>
      <w:pPr>
        <w:spacing w:after="0" w:line="297"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Baek</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Baek</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Address:</w:t>
      </w:r>
    </w:p>
    <w:p>
      <w:pPr>
        <w:spacing w:after="0" w:line="2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T. Rowe Price Associates,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100 East Pratt Street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Baltimore, MD 21202</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Attn: Andrew Baek, Vice President and Senior</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Legal Counsel</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Phone: 410-345-2090</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Email: Andrew.baek@troweprice.com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6" w:right="31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SVF II AIV-1 (DE) L.P.</w:t>
      </w:r>
    </w:p>
    <w:p>
      <w:pPr>
        <w:spacing w:after="0" w:line="27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7"/>
          <w:szCs w:val="17"/>
          <w:color w:val="auto"/>
        </w:rPr>
        <w:t>By: SB Investment Advisers (UK) Limited, acting as Manager of SVF II AIV-1 (DE) L.P.</w:t>
      </w:r>
    </w:p>
    <w:p>
      <w:pPr>
        <w:spacing w:after="0" w:line="200" w:lineRule="exact"/>
        <w:rPr>
          <w:sz w:val="20"/>
          <w:szCs w:val="20"/>
          <w:color w:val="auto"/>
        </w:rPr>
      </w:pPr>
    </w:p>
    <w:p>
      <w:pPr>
        <w:spacing w:after="0" w:line="297"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Ruwan Weerasekera</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Ruwan Weerasekera</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00" w:lineRule="exact"/>
        <w:rPr>
          <w:sz w:val="20"/>
          <w:szCs w:val="20"/>
          <w:color w:val="auto"/>
        </w:rPr>
      </w:pPr>
    </w:p>
    <w:p>
      <w:pPr>
        <w:spacing w:after="0" w:line="2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Address:</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SB Investment Advisers (UK) Limited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Attn: Legal</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69 Grosvenor Street</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London, W1K 3JP, United Kingdom</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Email: legal@softbank.com</w:t>
      </w:r>
    </w:p>
    <w:p>
      <w:pPr>
        <w:spacing w:after="0" w:line="25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with a copy to:</w:t>
      </w:r>
    </w:p>
    <w:p>
      <w:pPr>
        <w:spacing w:after="0" w:line="2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SB Investment Advisers (US) Inc.</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Attn: Legal</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1 Circle Star Way, 3F</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San Carlos, CA 94070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Class A Common Stock Purchase Agreement as of the date first above written.</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AMOON 2 FUND LIMITED PARTNERSHIP</w:t>
      </w:r>
    </w:p>
    <w:p>
      <w:pPr>
        <w:spacing w:after="0" w:line="27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By: aMoon 2 Fund G.P. Limited Partnership</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By: aMoon General Partner Ltd.</w:t>
      </w:r>
    </w:p>
    <w:p>
      <w:pPr>
        <w:spacing w:after="0" w:line="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660"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 Tomer Berkovitz</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Tomer Berkovitz</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Partner and CFO</w:t>
            </w:r>
          </w:p>
        </w:tc>
      </w:tr>
      <w:tr>
        <w:trPr>
          <w:trHeight w:val="46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 Yair Schindel</w:t>
            </w: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Yair Schindel</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i w:val="1"/>
          <w:iCs w:val="1"/>
          <w:color w:val="auto"/>
        </w:rPr>
        <w:t>Signature Page to Seer, Inc. Class A Common Stock Purchase Agreement</w:t>
      </w:r>
    </w:p>
    <w:p>
      <w:pPr>
        <w:sectPr>
          <w:pgSz w:w="11900" w:h="16838" w:orient="portrait"/>
          <w:cols w:equalWidth="0" w:num="1">
            <w:col w:w="10720"/>
          </w:cols>
          <w:pgMar w:left="860" w:top="1207" w:right="319"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5120" w:type="dxa"/>
            <w:vAlign w:val="bottom"/>
          </w:tcPr>
          <w:p>
            <w:pPr>
              <w:ind w:left="4040"/>
              <w:spacing w:after="0"/>
              <w:rPr>
                <w:sz w:val="20"/>
                <w:szCs w:val="20"/>
                <w:color w:val="auto"/>
              </w:rPr>
            </w:pPr>
            <w:r>
              <w:rPr>
                <w:rFonts w:ascii="Times New Roman" w:cs="Times New Roman" w:eastAsia="Times New Roman" w:hAnsi="Times New Roman"/>
                <w:sz w:val="17"/>
                <w:szCs w:val="17"/>
                <w:b w:val="1"/>
                <w:bCs w:val="1"/>
                <w:color w:val="auto"/>
              </w:rPr>
              <w:t>Schedule A</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82"/>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w w:val="97"/>
              </w:rPr>
              <w:t>Name of Investor</w:t>
            </w:r>
          </w:p>
        </w:tc>
        <w:tc>
          <w:tcPr>
            <w:tcW w:w="5120" w:type="dxa"/>
            <w:vAlign w:val="bottom"/>
          </w:tcPr>
          <w:p>
            <w:pPr>
              <w:spacing w:after="0"/>
              <w:rPr>
                <w:sz w:val="24"/>
                <w:szCs w:val="24"/>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5"/>
              </w:rPr>
              <w:t>Subscription Amount</w:t>
            </w:r>
          </w:p>
        </w:tc>
      </w:tr>
      <w:tr>
        <w:trPr>
          <w:trHeight w:val="20"/>
        </w:trPr>
        <w:tc>
          <w:tcPr>
            <w:tcW w:w="118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484"/>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Mt. Vernon Street Trust: Fidelity Series Growth Company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$1,433,233.00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Mt. Vernon Street Trust: Fidelity Growth Company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$7,565,087.00</w:t>
            </w:r>
          </w:p>
        </w:tc>
      </w:tr>
      <w:tr>
        <w:trPr>
          <w:trHeight w:val="215"/>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Growth Company Commingled Pool By: Fidelity Management Trust Company, as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$7,343,880.00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Mt. Vernon Street Trust: Fidelity Growth Company K6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$1,157,800.00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Select Portfolios: Health Care Portfolio</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$8,418,562.00</w:t>
            </w:r>
          </w:p>
        </w:tc>
      </w:tr>
      <w:tr>
        <w:trPr>
          <w:trHeight w:val="239"/>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Advisor Series VII: Fidelity Advisor Health Care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$5,204,765.00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Variable Insurance Products Fund IV: Health Care Portfolio</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$997,327.00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Central Investment Portfolios LLC: Fidelity U.S. Equity Central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$2,879,346.00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Fidelity Select Portfolios: Biotechnology Portfolio</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$5,000,000.00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New Horizons Fund, Inc.</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$13,913,140.60</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New Horizons Trust</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$1,745,532.04</w:t>
            </w:r>
          </w:p>
        </w:tc>
      </w:tr>
      <w:tr>
        <w:trPr>
          <w:trHeight w:val="239"/>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U.S. Equities Trust</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$92,963.80</w:t>
            </w:r>
          </w:p>
        </w:tc>
      </w:tr>
      <w:tr>
        <w:trPr>
          <w:trHeight w:val="215"/>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MassMutual Select Funds - MassMutual Select T. Rowe Price Small and Mid Cap Blend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$54,950.39</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York City Deferred Compensation Plan</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$335,638.18</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Health Sciences Fund, Inc.</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$9,457,444.55</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TD Mutual Funds - TD Health Sciences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$669,267.53</w:t>
            </w:r>
          </w:p>
        </w:tc>
      </w:tr>
      <w:tr>
        <w:trPr>
          <w:trHeight w:val="239"/>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Health Sciences Portfolio</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$425,863.21</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Small-Cap Stock Fund, Inc.</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$3,996,280.41</w:t>
            </w:r>
          </w:p>
        </w:tc>
      </w:tr>
      <w:tr>
        <w:trPr>
          <w:trHeight w:val="239"/>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Institutional Small-Cap Stock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$2,129,424.73</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Spectrum Conservative Allocation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$34,174.23</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Spectrum Moderate Allocation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$53,469.22</w:t>
            </w:r>
          </w:p>
        </w:tc>
      </w:tr>
      <w:tr>
        <w:trPr>
          <w:trHeight w:val="239"/>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Spectrum Moderate Growth Allocation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$93,320.15</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Moderate Allocation Portfolio</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$4,226.58</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Small-Cap Stock Trust</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$190,482.97</w:t>
            </w:r>
          </w:p>
        </w:tc>
      </w:tr>
      <w:tr>
        <w:trPr>
          <w:trHeight w:val="239"/>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VALIC Company I - Small Cap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$44,131.96</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TD Mutual Funds - TD U.S. Small-Cap Equity 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$183,371.94</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U.S. Small-Cap Core Equity Trust</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$1,059,603.81</w:t>
            </w:r>
          </w:p>
        </w:tc>
      </w:tr>
      <w:tr>
        <w:trPr>
          <w:trHeight w:val="239"/>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Minnesota Life Insurance Company</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$45,328.75</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Costco 401(k) Retirement Plan</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$191,706.38</w:t>
            </w:r>
          </w:p>
        </w:tc>
      </w:tr>
      <w:tr>
        <w:trPr>
          <w:trHeight w:val="215"/>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MassMutual Select Funds - MassMutual Select T. Rowe Price Small and Mid Cap Blend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$50,783.33</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 Rowe Price Small-Cap Value Fund, Inc.</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$3,846,832.31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- 1 -</w:t>
      </w:r>
    </w:p>
    <w:p>
      <w:pPr>
        <w:sectPr>
          <w:pgSz w:w="11900" w:h="16838" w:orient="portrait"/>
          <w:cols w:equalWidth="0" w:num="1">
            <w:col w:w="10139"/>
          </w:cols>
          <w:pgMar w:left="320" w:top="1207" w:right="1440" w:bottom="1440" w:gutter="0" w:footer="0" w:header="0"/>
        </w:sectPr>
      </w:pPr>
    </w:p>
    <w:bookmarkStart w:id="575" w:name="page576"/>
    <w:bookmarkEnd w:id="575"/>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T. Rowe Price U.S. Small-Cap Value Equity Trust</w:t>
            </w:r>
          </w:p>
        </w:tc>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$1,251,126.15</w:t>
            </w: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T. Rowe Price U.S. Equities Trust</w:t>
            </w:r>
          </w:p>
        </w:tc>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$84,070.98</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MassMutual Select Funds - MassMutual Select T. Rowe Price Small and Mid Cap Blend</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Fund</w:t>
            </w:r>
          </w:p>
        </w:tc>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$46,865.83</w:t>
            </w:r>
          </w:p>
        </w:tc>
        <w:tc>
          <w:tcPr>
            <w:tcW w:w="0" w:type="dxa"/>
            <w:vAlign w:val="bottom"/>
          </w:tcPr>
          <w:p>
            <w:pPr>
              <w:spacing w:after="0"/>
              <w:rPr>
                <w:sz w:val="1"/>
                <w:szCs w:val="1"/>
                <w:color w:val="auto"/>
              </w:rPr>
            </w:pPr>
          </w:p>
        </w:tc>
      </w:tr>
      <w:tr>
        <w:trPr>
          <w:trHeight w:val="454"/>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SVF II AIV-1 (DE) L.P.</w:t>
            </w:r>
          </w:p>
        </w:tc>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$40,000,000</w:t>
            </w: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aMoon 2 Fund Limited Partnership</w:t>
            </w:r>
          </w:p>
        </w:tc>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$15,000,000</w:t>
            </w:r>
          </w:p>
        </w:tc>
        <w:tc>
          <w:tcPr>
            <w:tcW w:w="0" w:type="dxa"/>
            <w:vAlign w:val="bottom"/>
          </w:tcPr>
          <w:p>
            <w:pPr>
              <w:spacing w:after="0"/>
              <w:rPr>
                <w:sz w:val="1"/>
                <w:szCs w:val="1"/>
                <w:color w:val="auto"/>
              </w:rPr>
            </w:pPr>
          </w:p>
        </w:tc>
      </w:tr>
      <w:tr>
        <w:trPr>
          <w:trHeight w:val="234"/>
        </w:trPr>
        <w:tc>
          <w:tcPr>
            <w:tcW w:w="6540" w:type="dxa"/>
            <w:vAlign w:val="bottom"/>
            <w:vMerge w:val="restart"/>
          </w:tcPr>
          <w:p>
            <w:pPr>
              <w:ind w:left="5920"/>
              <w:spacing w:after="0"/>
              <w:rPr>
                <w:sz w:val="20"/>
                <w:szCs w:val="20"/>
                <w:color w:val="auto"/>
              </w:rPr>
            </w:pPr>
            <w:r>
              <w:rPr>
                <w:rFonts w:ascii="Times New Roman" w:cs="Times New Roman" w:eastAsia="Times New Roman" w:hAnsi="Times New Roman"/>
                <w:sz w:val="17"/>
                <w:szCs w:val="17"/>
                <w:color w:val="auto"/>
              </w:rPr>
              <w:t>Total</w:t>
            </w: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540" w:type="dxa"/>
            <w:vAlign w:val="bottom"/>
            <w:vMerge w:val="continue"/>
          </w:tcPr>
          <w:p>
            <w:pPr>
              <w:spacing w:after="0"/>
              <w:rPr>
                <w:sz w:val="19"/>
                <w:szCs w:val="19"/>
                <w:color w:val="auto"/>
              </w:rPr>
            </w:pPr>
          </w:p>
        </w:tc>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$135,000,000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0139"/>
          </w:cols>
          <w:pgMar w:left="320" w:top="1257" w:right="1440" w:bottom="1440" w:gutter="0" w:footer="0" w:header="0"/>
        </w:sectPr>
      </w:pPr>
    </w:p>
    <w:bookmarkStart w:id="576" w:name="page577"/>
    <w:bookmarkEnd w:id="576"/>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72" w:lineRule="exact"/>
        <w:rPr>
          <w:sz w:val="20"/>
          <w:szCs w:val="20"/>
          <w:color w:val="auto"/>
        </w:rPr>
      </w:pPr>
    </w:p>
    <w:p>
      <w:pPr>
        <w:ind w:right="340"/>
        <w:spacing w:after="0" w:line="279" w:lineRule="auto"/>
        <w:rPr>
          <w:sz w:val="20"/>
          <w:szCs w:val="20"/>
          <w:color w:val="auto"/>
        </w:rPr>
      </w:pPr>
      <w:r>
        <w:rPr>
          <w:rFonts w:ascii="Arial" w:cs="Arial" w:eastAsia="Arial" w:hAnsi="Arial"/>
          <w:sz w:val="15"/>
          <w:szCs w:val="15"/>
          <w:color w:val="auto"/>
        </w:rPr>
        <w:t>We consent to the use in this Registration Statement on Form S-1 of our report dated September 25, 2020, relating to the financial statements of Seer, Inc. We also consent to the reference to us under the heading "Experts" in such Registration Statement.</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California</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November 12, 2020</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636063"/>
    <w:multiLevelType w:val="hybridMultilevel"/>
    <w:lvl w:ilvl="0">
      <w:lvlJc w:val="left"/>
      <w:lvlText w:val="(%1)"/>
      <w:numFmt w:val="decimal"/>
      <w:start w:val="1"/>
    </w:lvl>
  </w:abstractNum>
  <w:abstractNum w:abstractNumId="1">
    <w:nsid w:val="215641AF"/>
    <w:multiLevelType w:val="hybridMultilevel"/>
    <w:lvl w:ilvl="0">
      <w:lvlJc w:val="left"/>
      <w:lvlText w:val="•"/>
      <w:numFmt w:val="bullet"/>
      <w:start w:val="1"/>
    </w:lvl>
  </w:abstractNum>
  <w:abstractNum w:abstractNumId="2">
    <w:nsid w:val="53280662"/>
    <w:multiLevelType w:val="hybridMultilevel"/>
    <w:lvl w:ilvl="0">
      <w:lvlJc w:val="left"/>
      <w:lvlText w:val="•"/>
      <w:numFmt w:val="bullet"/>
      <w:start w:val="1"/>
    </w:lvl>
  </w:abstractNum>
  <w:abstractNum w:abstractNumId="3">
    <w:nsid w:val="46B24DBC"/>
    <w:multiLevelType w:val="hybridMultilevel"/>
    <w:lvl w:ilvl="0">
      <w:lvlJc w:val="left"/>
      <w:lvlText w:val="•"/>
      <w:numFmt w:val="bullet"/>
      <w:start w:val="1"/>
    </w:lvl>
  </w:abstractNum>
  <w:abstractNum w:abstractNumId="4">
    <w:nsid w:val="75B52783"/>
    <w:multiLevelType w:val="hybridMultilevel"/>
    <w:lvl w:ilvl="0">
      <w:lvlJc w:val="left"/>
      <w:lvlText w:val="•"/>
      <w:numFmt w:val="bullet"/>
      <w:start w:val="1"/>
    </w:lvl>
  </w:abstractNum>
  <w:abstractNum w:abstractNumId="5">
    <w:nsid w:val="57CE66B4"/>
    <w:multiLevelType w:val="hybridMultilevel"/>
    <w:lvl w:ilvl="0">
      <w:lvlJc w:val="left"/>
      <w:lvlText w:val="•"/>
      <w:numFmt w:val="bullet"/>
      <w:start w:val="1"/>
    </w:lvl>
  </w:abstractNum>
  <w:abstractNum w:abstractNumId="6">
    <w:nsid w:val="67A70B69"/>
    <w:multiLevelType w:val="hybridMultilevel"/>
    <w:lvl w:ilvl="0">
      <w:lvlJc w:val="left"/>
      <w:lvlText w:val="•"/>
      <w:numFmt w:val="bullet"/>
      <w:start w:val="1"/>
    </w:lvl>
  </w:abstractNum>
  <w:abstractNum w:abstractNumId="7">
    <w:nsid w:val="5953172F"/>
    <w:multiLevelType w:val="hybridMultilevel"/>
    <w:lvl w:ilvl="0">
      <w:lvlJc w:val="left"/>
      <w:lvlText w:val="•"/>
      <w:numFmt w:val="bullet"/>
      <w:start w:val="1"/>
    </w:lvl>
  </w:abstractNum>
  <w:abstractNum w:abstractNumId="8">
    <w:nsid w:val="27EDFE3A"/>
    <w:multiLevelType w:val="hybridMultilevel"/>
    <w:lvl w:ilvl="0">
      <w:lvlJc w:val="left"/>
      <w:lvlText w:val="•"/>
      <w:numFmt w:val="bullet"/>
      <w:start w:val="1"/>
    </w:lvl>
  </w:abstractNum>
  <w:abstractNum w:abstractNumId="9">
    <w:nsid w:val="52AC7DFF"/>
    <w:multiLevelType w:val="hybridMultilevel"/>
    <w:lvl w:ilvl="0">
      <w:lvlJc w:val="left"/>
      <w:lvlText w:val="•"/>
      <w:numFmt w:val="bullet"/>
      <w:start w:val="1"/>
    </w:lvl>
    <w:lvl w:ilvl="1">
      <w:lvlJc w:val="left"/>
      <w:lvlText w:val="◦"/>
      <w:numFmt w:val="bullet"/>
      <w:start w:val="1"/>
    </w:lvl>
  </w:abstractNum>
  <w:abstractNum w:abstractNumId="10">
    <w:nsid w:val="C4C3AF"/>
    <w:multiLevelType w:val="hybridMultilevel"/>
    <w:lvl w:ilvl="0">
      <w:lvlJc w:val="left"/>
      <w:lvlText w:val="•"/>
      <w:numFmt w:val="bullet"/>
      <w:start w:val="1"/>
    </w:lvl>
  </w:abstractNum>
  <w:abstractNum w:abstractNumId="11">
    <w:nsid w:val="44380727"/>
    <w:multiLevelType w:val="hybridMultilevel"/>
    <w:lvl w:ilvl="0">
      <w:lvlJc w:val="left"/>
      <w:lvlText w:val="•"/>
      <w:numFmt w:val="bullet"/>
      <w:start w:val="1"/>
    </w:lvl>
  </w:abstractNum>
  <w:abstractNum w:abstractNumId="12">
    <w:nsid w:val="6C053B16"/>
    <w:multiLevelType w:val="hybridMultilevel"/>
    <w:lvl w:ilvl="0">
      <w:lvlJc w:val="left"/>
      <w:lvlText w:val="(%1)"/>
      <w:numFmt w:val="decimal"/>
      <w:start w:val="2"/>
    </w:lvl>
  </w:abstractNum>
  <w:abstractNum w:abstractNumId="13">
    <w:nsid w:val="4F294393"/>
    <w:multiLevelType w:val="hybridMultilevel"/>
    <w:lvl w:ilvl="0">
      <w:lvlJc w:val="left"/>
      <w:lvlText w:val="(%1)"/>
      <w:numFmt w:val="decimal"/>
      <w:start w:val="1"/>
    </w:lvl>
  </w:abstractNum>
  <w:abstractNum w:abstractNumId="14">
    <w:nsid w:val="5243BFAC"/>
    <w:multiLevelType w:val="hybridMultilevel"/>
    <w:lvl w:ilvl="0">
      <w:lvlJc w:val="left"/>
      <w:lvlText w:val="(%1)"/>
      <w:numFmt w:val="decimal"/>
      <w:start w:val="3"/>
    </w:lvl>
  </w:abstractNum>
  <w:abstractNum w:abstractNumId="15">
    <w:nsid w:val="425EB207"/>
    <w:multiLevelType w:val="hybridMultilevel"/>
    <w:lvl w:ilvl="0">
      <w:lvlJc w:val="left"/>
      <w:lvlText w:val="(%1)"/>
      <w:numFmt w:val="decimal"/>
      <w:start w:val="4"/>
    </w:lvl>
  </w:abstractNum>
  <w:abstractNum w:abstractNumId="16">
    <w:nsid w:val="334A6F1F"/>
    <w:multiLevelType w:val="hybridMultilevel"/>
    <w:lvl w:ilvl="0">
      <w:lvlJc w:val="left"/>
      <w:lvlText w:val="•"/>
      <w:numFmt w:val="bullet"/>
      <w:start w:val="1"/>
    </w:lvl>
  </w:abstractNum>
  <w:abstractNum w:abstractNumId="17">
    <w:nsid w:val="2E5B12B8"/>
    <w:multiLevelType w:val="hybridMultilevel"/>
    <w:lvl w:ilvl="0">
      <w:lvlJc w:val="left"/>
      <w:lvlText w:val="•"/>
      <w:numFmt w:val="bullet"/>
      <w:start w:val="1"/>
    </w:lvl>
  </w:abstractNum>
  <w:abstractNum w:abstractNumId="18">
    <w:nsid w:val="5C03D76D"/>
    <w:multiLevelType w:val="hybridMultilevel"/>
    <w:lvl w:ilvl="0">
      <w:lvlJc w:val="left"/>
      <w:lvlText w:val="•"/>
      <w:numFmt w:val="bullet"/>
      <w:start w:val="1"/>
    </w:lvl>
  </w:abstractNum>
  <w:abstractNum w:abstractNumId="19">
    <w:nsid w:val="66A48D11"/>
    <w:multiLevelType w:val="hybridMultilevel"/>
    <w:lvl w:ilvl="0">
      <w:lvlJc w:val="left"/>
      <w:lvlText w:val="•"/>
      <w:numFmt w:val="bullet"/>
      <w:start w:val="1"/>
    </w:lvl>
  </w:abstractNum>
  <w:abstractNum w:abstractNumId="20">
    <w:nsid w:val="56C28E34"/>
    <w:multiLevelType w:val="hybridMultilevel"/>
    <w:lvl w:ilvl="0">
      <w:lvlJc w:val="left"/>
      <w:lvlText w:val="•"/>
      <w:numFmt w:val="bullet"/>
      <w:start w:val="1"/>
    </w:lvl>
  </w:abstractNum>
  <w:abstractNum w:abstractNumId="21">
    <w:nsid w:val="13916F2D"/>
    <w:multiLevelType w:val="hybridMultilevel"/>
    <w:lvl w:ilvl="0">
      <w:lvlJc w:val="left"/>
      <w:lvlText w:val="•"/>
      <w:numFmt w:val="bullet"/>
      <w:start w:val="1"/>
    </w:lvl>
  </w:abstractNum>
  <w:abstractNum w:abstractNumId="22">
    <w:nsid w:val="435D38D"/>
    <w:multiLevelType w:val="hybridMultilevel"/>
    <w:lvl w:ilvl="0">
      <w:lvlJc w:val="left"/>
      <w:lvlText w:val="•"/>
      <w:numFmt w:val="bullet"/>
      <w:start w:val="1"/>
    </w:lvl>
  </w:abstractNum>
  <w:abstractNum w:abstractNumId="23">
    <w:nsid w:val="822C0EF"/>
    <w:multiLevelType w:val="hybridMultilevel"/>
    <w:lvl w:ilvl="0">
      <w:lvlJc w:val="left"/>
      <w:lvlText w:val="•"/>
      <w:numFmt w:val="bullet"/>
      <w:start w:val="1"/>
    </w:lvl>
  </w:abstractNum>
  <w:abstractNum w:abstractNumId="24">
    <w:nsid w:val="57C5BB4F"/>
    <w:multiLevelType w:val="hybridMultilevel"/>
    <w:lvl w:ilvl="0">
      <w:lvlJc w:val="left"/>
      <w:lvlText w:val="•"/>
      <w:numFmt w:val="bullet"/>
      <w:start w:val="1"/>
    </w:lvl>
  </w:abstractNum>
  <w:abstractNum w:abstractNumId="25">
    <w:nsid w:val="1803D089"/>
    <w:multiLevelType w:val="hybridMultilevel"/>
    <w:lvl w:ilvl="0">
      <w:lvlJc w:val="left"/>
      <w:lvlText w:val="•"/>
      <w:numFmt w:val="bullet"/>
      <w:start w:val="1"/>
    </w:lvl>
  </w:abstractNum>
  <w:abstractNum w:abstractNumId="26">
    <w:nsid w:val="4F3A06D4"/>
    <w:multiLevelType w:val="hybridMultilevel"/>
    <w:lvl w:ilvl="0">
      <w:lvlJc w:val="left"/>
      <w:lvlText w:val="•"/>
      <w:numFmt w:val="bullet"/>
      <w:start w:val="1"/>
    </w:lvl>
  </w:abstractNum>
  <w:abstractNum w:abstractNumId="27">
    <w:nsid w:val="59A377B6"/>
    <w:multiLevelType w:val="hybridMultilevel"/>
    <w:lvl w:ilvl="0">
      <w:lvlJc w:val="left"/>
      <w:lvlText w:val="•"/>
      <w:numFmt w:val="bullet"/>
      <w:start w:val="1"/>
    </w:lvl>
  </w:abstractNum>
  <w:abstractNum w:abstractNumId="28">
    <w:nsid w:val="48AEB063"/>
    <w:multiLevelType w:val="hybridMultilevel"/>
    <w:lvl w:ilvl="0">
      <w:lvlJc w:val="left"/>
      <w:lvlText w:val="•"/>
      <w:numFmt w:val="bullet"/>
      <w:start w:val="1"/>
    </w:lvl>
  </w:abstractNum>
  <w:abstractNum w:abstractNumId="29">
    <w:nsid w:val="24E135"/>
    <w:multiLevelType w:val="hybridMultilevel"/>
    <w:lvl w:ilvl="0">
      <w:lvlJc w:val="left"/>
      <w:lvlText w:val="•"/>
      <w:numFmt w:val="bullet"/>
      <w:start w:val="1"/>
    </w:lvl>
  </w:abstractNum>
  <w:abstractNum w:abstractNumId="30">
    <w:nsid w:val="BB13C1"/>
    <w:multiLevelType w:val="hybridMultilevel"/>
    <w:lvl w:ilvl="0">
      <w:lvlJc w:val="left"/>
      <w:lvlText w:val="•"/>
      <w:numFmt w:val="bullet"/>
      <w:start w:val="1"/>
    </w:lvl>
  </w:abstractNum>
  <w:abstractNum w:abstractNumId="31">
    <w:nsid w:val="271210C7"/>
    <w:multiLevelType w:val="hybridMultilevel"/>
    <w:lvl w:ilvl="0">
      <w:lvlJc w:val="left"/>
      <w:lvlText w:val="•"/>
      <w:numFmt w:val="bullet"/>
      <w:start w:val="1"/>
    </w:lvl>
  </w:abstractNum>
  <w:abstractNum w:abstractNumId="32">
    <w:nsid w:val="217B22E4"/>
    <w:multiLevelType w:val="hybridMultilevel"/>
    <w:lvl w:ilvl="0">
      <w:lvlJc w:val="left"/>
      <w:lvlText w:val="•"/>
      <w:numFmt w:val="bullet"/>
      <w:start w:val="1"/>
    </w:lvl>
  </w:abstractNum>
  <w:abstractNum w:abstractNumId="33">
    <w:nsid w:val="53E31A24"/>
    <w:multiLevelType w:val="hybridMultilevel"/>
    <w:lvl w:ilvl="0">
      <w:lvlJc w:val="left"/>
      <w:lvlText w:val="•"/>
      <w:numFmt w:val="bullet"/>
      <w:start w:val="1"/>
    </w:lvl>
  </w:abstractNum>
  <w:abstractNum w:abstractNumId="34">
    <w:nsid w:val="6DC45E83"/>
    <w:multiLevelType w:val="hybridMultilevel"/>
    <w:lvl w:ilvl="0">
      <w:lvlJc w:val="left"/>
      <w:lvlText w:val="•"/>
      <w:numFmt w:val="bullet"/>
      <w:start w:val="1"/>
    </w:lvl>
  </w:abstractNum>
  <w:abstractNum w:abstractNumId="35">
    <w:nsid w:val="17304A67"/>
    <w:multiLevelType w:val="hybridMultilevel"/>
    <w:lvl w:ilvl="0">
      <w:lvlJc w:val="left"/>
      <w:lvlText w:val="•"/>
      <w:numFmt w:val="bullet"/>
      <w:start w:val="1"/>
    </w:lvl>
  </w:abstractNum>
  <w:abstractNum w:abstractNumId="36">
    <w:nsid w:val="2BB180D8"/>
    <w:multiLevelType w:val="hybridMultilevel"/>
    <w:lvl w:ilvl="0">
      <w:lvlJc w:val="left"/>
      <w:lvlText w:val="•"/>
      <w:numFmt w:val="bullet"/>
      <w:start w:val="1"/>
    </w:lvl>
  </w:abstractNum>
  <w:abstractNum w:abstractNumId="37">
    <w:nsid w:val="556B69ED"/>
    <w:multiLevelType w:val="hybridMultilevel"/>
    <w:lvl w:ilvl="0">
      <w:lvlJc w:val="left"/>
      <w:lvlText w:val="•"/>
      <w:numFmt w:val="bullet"/>
      <w:start w:val="1"/>
    </w:lvl>
  </w:abstractNum>
  <w:abstractNum w:abstractNumId="38">
    <w:nsid w:val="70836196"/>
    <w:multiLevelType w:val="hybridMultilevel"/>
    <w:lvl w:ilvl="0">
      <w:lvlJc w:val="left"/>
      <w:lvlText w:val="•"/>
      <w:numFmt w:val="bullet"/>
      <w:start w:val="1"/>
    </w:lvl>
  </w:abstractNum>
  <w:abstractNum w:abstractNumId="39">
    <w:nsid w:val="539F7F12"/>
    <w:multiLevelType w:val="hybridMultilevel"/>
    <w:lvl w:ilvl="0">
      <w:lvlJc w:val="left"/>
      <w:lvlText w:val="%1."/>
      <w:numFmt w:val="decimal"/>
      <w:start w:val="1"/>
    </w:lvl>
  </w:abstractNum>
  <w:abstractNum w:abstractNumId="40">
    <w:nsid w:val="2817E7EC"/>
    <w:multiLevelType w:val="hybridMultilevel"/>
    <w:lvl w:ilvl="0">
      <w:lvlJc w:val="left"/>
      <w:lvlText w:val="%1."/>
      <w:numFmt w:val="decimal"/>
      <w:start w:val="1"/>
    </w:lvl>
  </w:abstractNum>
  <w:abstractNum w:abstractNumId="41">
    <w:nsid w:val="71482545"/>
    <w:multiLevelType w:val="hybridMultilevel"/>
    <w:lvl w:ilvl="0">
      <w:lvlJc w:val="left"/>
      <w:lvlText w:val="%1."/>
      <w:numFmt w:val="decimal"/>
      <w:start w:val="5"/>
    </w:lvl>
  </w:abstractNum>
  <w:abstractNum w:abstractNumId="42">
    <w:nsid w:val="17D78639"/>
    <w:multiLevelType w:val="hybridMultilevel"/>
    <w:lvl w:ilvl="0">
      <w:lvlJc w:val="left"/>
      <w:lvlText w:val="•"/>
      <w:numFmt w:val="bullet"/>
      <w:start w:val="1"/>
    </w:lvl>
  </w:abstractNum>
  <w:abstractNum w:abstractNumId="43">
    <w:nsid w:val="141D2302"/>
    <w:multiLevelType w:val="hybridMultilevel"/>
    <w:lvl w:ilvl="0">
      <w:lvlJc w:val="left"/>
      <w:lvlText w:val="•"/>
      <w:numFmt w:val="bullet"/>
      <w:start w:val="1"/>
    </w:lvl>
    <w:lvl w:ilvl="1">
      <w:lvlJc w:val="left"/>
      <w:lvlText w:val="◦"/>
      <w:numFmt w:val="bullet"/>
      <w:start w:val="1"/>
    </w:lvl>
  </w:abstractNum>
  <w:abstractNum w:abstractNumId="44">
    <w:nsid w:val="407168D8"/>
    <w:multiLevelType w:val="hybridMultilevel"/>
    <w:lvl w:ilvl="0">
      <w:lvlJc w:val="left"/>
      <w:lvlText w:val="◦"/>
      <w:numFmt w:val="bullet"/>
      <w:start w:val="1"/>
    </w:lvl>
  </w:abstractNum>
  <w:abstractNum w:abstractNumId="45">
    <w:nsid w:val="6A1B45E5"/>
    <w:multiLevelType w:val="hybridMultilevel"/>
    <w:lvl w:ilvl="0">
      <w:lvlJc w:val="left"/>
      <w:lvlText w:val="(%1)"/>
      <w:numFmt w:val="decimal"/>
      <w:start w:val="1"/>
    </w:lvl>
  </w:abstractNum>
  <w:abstractNum w:abstractNumId="46">
    <w:nsid w:val="567BD50A"/>
    <w:multiLevelType w:val="hybridMultilevel"/>
    <w:lvl w:ilvl="0">
      <w:lvlJc w:val="left"/>
      <w:lvlText w:val="•"/>
      <w:numFmt w:val="bullet"/>
      <w:start w:val="1"/>
    </w:lvl>
  </w:abstractNum>
  <w:abstractNum w:abstractNumId="47">
    <w:nsid w:val="73BBD7F8"/>
    <w:multiLevelType w:val="hybridMultilevel"/>
    <w:lvl w:ilvl="0">
      <w:lvlJc w:val="left"/>
      <w:lvlText w:val="•"/>
      <w:numFmt w:val="bullet"/>
      <w:start w:val="1"/>
    </w:lvl>
    <w:lvl w:ilvl="1">
      <w:lvlJc w:val="left"/>
      <w:lvlText w:val="◦"/>
      <w:numFmt w:val="bullet"/>
      <w:start w:val="1"/>
    </w:lvl>
  </w:abstractNum>
  <w:abstractNum w:abstractNumId="48">
    <w:nsid w:val="1876589D"/>
    <w:multiLevelType w:val="hybridMultilevel"/>
    <w:lvl w:ilvl="0">
      <w:lvlJc w:val="left"/>
      <w:lvlText w:val="$"/>
      <w:numFmt w:val="bullet"/>
      <w:start w:val="1"/>
    </w:lvl>
  </w:abstractNum>
  <w:abstractNum w:abstractNumId="49">
    <w:nsid w:val="327FAC77"/>
    <w:multiLevelType w:val="hybridMultilevel"/>
    <w:lvl w:ilvl="0">
      <w:lvlJc w:val="left"/>
      <w:lvlText w:val="$"/>
      <w:numFmt w:val="bullet"/>
      <w:start w:val="1"/>
    </w:lvl>
  </w:abstractNum>
  <w:abstractNum w:abstractNumId="50">
    <w:nsid w:val="5A606509"/>
    <w:multiLevelType w:val="hybridMultilevel"/>
    <w:lvl w:ilvl="0">
      <w:lvlJc w:val="left"/>
      <w:lvlText w:val="•"/>
      <w:numFmt w:val="bullet"/>
      <w:start w:val="1"/>
    </w:lvl>
    <w:lvl w:ilvl="1">
      <w:lvlJc w:val="left"/>
      <w:lvlText w:val="◦"/>
      <w:numFmt w:val="bullet"/>
      <w:start w:val="1"/>
    </w:lvl>
  </w:abstractNum>
  <w:abstractNum w:abstractNumId="51">
    <w:nsid w:val="6F38E6D1"/>
    <w:multiLevelType w:val="hybridMultilevel"/>
    <w:lvl w:ilvl="0">
      <w:lvlJc w:val="left"/>
      <w:lvlText w:val="(%1)"/>
      <w:numFmt w:val="decimal"/>
      <w:start w:val="1"/>
    </w:lvl>
  </w:abstractNum>
  <w:abstractNum w:abstractNumId="52">
    <w:nsid w:val="46111BA5"/>
    <w:multiLevelType w:val="hybridMultilevel"/>
    <w:lvl w:ilvl="0">
      <w:lvlJc w:val="left"/>
      <w:lvlText w:val="(%1)"/>
      <w:numFmt w:val="decimal"/>
      <w:start w:val="2"/>
    </w:lvl>
  </w:abstractNum>
  <w:abstractNum w:abstractNumId="53">
    <w:nsid w:val="5E963896"/>
    <w:multiLevelType w:val="hybridMultilevel"/>
    <w:lvl w:ilvl="0">
      <w:lvlJc w:val="left"/>
      <w:lvlText w:val="(%1)"/>
      <w:numFmt w:val="decimal"/>
      <w:start w:val="3"/>
    </w:lvl>
  </w:abstractNum>
  <w:abstractNum w:abstractNumId="54">
    <w:nsid w:val="775BA7C1"/>
    <w:multiLevelType w:val="hybridMultilevel"/>
    <w:lvl w:ilvl="0">
      <w:lvlJc w:val="left"/>
      <w:lvlText w:val="•"/>
      <w:numFmt w:val="bullet"/>
      <w:start w:val="1"/>
    </w:lvl>
  </w:abstractNum>
  <w:abstractNum w:abstractNumId="55">
    <w:nsid w:val="1DD6D6F4"/>
    <w:multiLevelType w:val="hybridMultilevel"/>
    <w:lvl w:ilvl="0">
      <w:lvlJc w:val="left"/>
      <w:lvlText w:val="•"/>
      <w:numFmt w:val="bullet"/>
      <w:start w:val="1"/>
    </w:lvl>
  </w:abstractNum>
  <w:abstractNum w:abstractNumId="56">
    <w:nsid w:val="769A091F"/>
    <w:multiLevelType w:val="hybridMultilevel"/>
    <w:lvl w:ilvl="0">
      <w:lvlJc w:val="left"/>
      <w:lvlText w:val="*"/>
      <w:numFmt w:val="bullet"/>
      <w:start w:val="1"/>
    </w:lvl>
  </w:abstractNum>
  <w:abstractNum w:abstractNumId="57">
    <w:nsid w:val="4695AE95"/>
    <w:multiLevelType w:val="hybridMultilevel"/>
    <w:lvl w:ilvl="0">
      <w:lvlJc w:val="left"/>
      <w:lvlText w:val="*"/>
      <w:numFmt w:val="bullet"/>
      <w:start w:val="1"/>
    </w:lvl>
  </w:abstractNum>
  <w:abstractNum w:abstractNumId="58">
    <w:nsid w:val="777A4EAA"/>
    <w:multiLevelType w:val="hybridMultilevel"/>
    <w:lvl w:ilvl="0">
      <w:lvlJc w:val="left"/>
      <w:lvlText w:val="•"/>
      <w:numFmt w:val="bullet"/>
      <w:start w:val="1"/>
    </w:lvl>
  </w:abstractNum>
  <w:abstractNum w:abstractNumId="59">
    <w:nsid w:val="3F48B982"/>
    <w:multiLevelType w:val="hybridMultilevel"/>
    <w:lvl w:ilvl="0">
      <w:lvlJc w:val="left"/>
      <w:lvlText w:val="•"/>
      <w:numFmt w:val="bullet"/>
      <w:start w:val="1"/>
    </w:lvl>
  </w:abstractNum>
  <w:abstractNum w:abstractNumId="60">
    <w:nsid w:val="46BA8FCA"/>
    <w:multiLevelType w:val="hybridMultilevel"/>
    <w:lvl w:ilvl="0">
      <w:lvlJc w:val="left"/>
      <w:lvlText w:val="•"/>
      <w:numFmt w:val="bullet"/>
      <w:start w:val="1"/>
    </w:lvl>
  </w:abstractNum>
  <w:abstractNum w:abstractNumId="61">
    <w:nsid w:val="7835626C"/>
    <w:multiLevelType w:val="hybridMultilevel"/>
    <w:lvl w:ilvl="0">
      <w:lvlJc w:val="left"/>
      <w:lvlText w:val="•"/>
      <w:numFmt w:val="bullet"/>
      <w:start w:val="1"/>
    </w:lvl>
  </w:abstractNum>
  <w:abstractNum w:abstractNumId="62">
    <w:nsid w:val="665ACA49"/>
    <w:multiLevelType w:val="hybridMultilevel"/>
    <w:lvl w:ilvl="0">
      <w:lvlJc w:val="left"/>
      <w:lvlText w:val="•"/>
      <w:numFmt w:val="bullet"/>
      <w:start w:val="1"/>
    </w:lvl>
  </w:abstractNum>
  <w:abstractNum w:abstractNumId="63">
    <w:nsid w:val="6835B2AE"/>
    <w:multiLevelType w:val="hybridMultilevel"/>
    <w:lvl w:ilvl="0">
      <w:lvlJc w:val="left"/>
      <w:lvlText w:val="•"/>
      <w:numFmt w:val="bullet"/>
      <w:start w:val="1"/>
    </w:lvl>
  </w:abstractNum>
  <w:abstractNum w:abstractNumId="64">
    <w:nsid w:val="4C187C90"/>
    <w:multiLevelType w:val="hybridMultilevel"/>
    <w:lvl w:ilvl="0">
      <w:lvlJc w:val="left"/>
      <w:lvlText w:val="•"/>
      <w:numFmt w:val="bullet"/>
      <w:start w:val="1"/>
    </w:lvl>
  </w:abstractNum>
  <w:abstractNum w:abstractNumId="65">
    <w:nsid w:val="541F28CD"/>
    <w:multiLevelType w:val="hybridMultilevel"/>
    <w:lvl w:ilvl="0">
      <w:lvlJc w:val="left"/>
      <w:lvlText w:val="%1."/>
      <w:numFmt w:val="decimal"/>
      <w:start w:val="1"/>
    </w:lvl>
  </w:abstractNum>
  <w:abstractNum w:abstractNumId="66">
    <w:nsid w:val="7F65FD16"/>
    <w:multiLevelType w:val="hybridMultilevel"/>
    <w:lvl w:ilvl="0">
      <w:lvlJc w:val="left"/>
      <w:lvlText w:val="•"/>
      <w:numFmt w:val="bullet"/>
      <w:start w:val="1"/>
    </w:lvl>
  </w:abstractNum>
  <w:abstractNum w:abstractNumId="67">
    <w:nsid w:val="77C9FD68"/>
    <w:multiLevelType w:val="hybridMultilevel"/>
    <w:lvl w:ilvl="0">
      <w:lvlJc w:val="left"/>
      <w:lvlText w:val="•"/>
      <w:numFmt w:val="bullet"/>
      <w:start w:val="1"/>
    </w:lvl>
  </w:abstractNum>
  <w:abstractNum w:abstractNumId="68">
    <w:nsid w:val="298A92BA"/>
    <w:multiLevelType w:val="hybridMultilevel"/>
    <w:lvl w:ilvl="0">
      <w:lvlJc w:val="left"/>
      <w:lvlText w:val="•"/>
      <w:numFmt w:val="bullet"/>
      <w:start w:val="1"/>
    </w:lvl>
  </w:abstractNum>
  <w:abstractNum w:abstractNumId="69">
    <w:nsid w:val="6FE95EAC"/>
    <w:multiLevelType w:val="hybridMultilevel"/>
    <w:lvl w:ilvl="0">
      <w:lvlJc w:val="left"/>
      <w:lvlText w:val="•"/>
      <w:numFmt w:val="bullet"/>
      <w:start w:val="1"/>
    </w:lvl>
  </w:abstractNum>
  <w:abstractNum w:abstractNumId="70">
    <w:nsid w:val="4B697C7A"/>
    <w:multiLevelType w:val="hybridMultilevel"/>
    <w:lvl w:ilvl="0">
      <w:lvlJc w:val="left"/>
      <w:lvlText w:val="•"/>
      <w:numFmt w:val="bullet"/>
      <w:start w:val="1"/>
    </w:lvl>
  </w:abstractNum>
  <w:abstractNum w:abstractNumId="71">
    <w:nsid w:val="51A27AA6"/>
    <w:multiLevelType w:val="hybridMultilevel"/>
    <w:lvl w:ilvl="0">
      <w:lvlJc w:val="left"/>
      <w:lvlText w:val="•"/>
      <w:numFmt w:val="bullet"/>
      <w:start w:val="1"/>
    </w:lvl>
  </w:abstractNum>
  <w:abstractNum w:abstractNumId="72">
    <w:nsid w:val="613183F2"/>
    <w:multiLevelType w:val="hybridMultilevel"/>
    <w:lvl w:ilvl="0">
      <w:lvlJc w:val="left"/>
      <w:lvlText w:val="•"/>
      <w:numFmt w:val="bullet"/>
      <w:start w:val="1"/>
    </w:lvl>
  </w:abstractNum>
  <w:abstractNum w:abstractNumId="73">
    <w:nsid w:val="634102B4"/>
    <w:multiLevelType w:val="hybridMultilevel"/>
    <w:lvl w:ilvl="0">
      <w:lvlJc w:val="left"/>
      <w:lvlText w:val="•"/>
      <w:numFmt w:val="bullet"/>
      <w:start w:val="1"/>
    </w:lvl>
  </w:abstractNum>
  <w:abstractNum w:abstractNumId="74">
    <w:nsid w:val="65BF9DA8"/>
    <w:multiLevelType w:val="hybridMultilevel"/>
    <w:lvl w:ilvl="0">
      <w:lvlJc w:val="left"/>
      <w:lvlText w:val="•"/>
      <w:numFmt w:val="bullet"/>
      <w:start w:val="1"/>
    </w:lvl>
  </w:abstractNum>
  <w:abstractNum w:abstractNumId="75">
    <w:nsid w:val="21A2ECCA"/>
    <w:multiLevelType w:val="hybridMultilevel"/>
    <w:lvl w:ilvl="0">
      <w:lvlJc w:val="left"/>
      <w:lvlText w:val="•"/>
      <w:numFmt w:val="bullet"/>
      <w:start w:val="1"/>
    </w:lvl>
  </w:abstractNum>
  <w:abstractNum w:abstractNumId="76">
    <w:nsid w:val="4D5C4899"/>
    <w:multiLevelType w:val="hybridMultilevel"/>
    <w:lvl w:ilvl="0">
      <w:lvlJc w:val="left"/>
      <w:lvlText w:val="•"/>
      <w:numFmt w:val="bullet"/>
      <w:start w:val="1"/>
    </w:lvl>
  </w:abstractNum>
  <w:abstractNum w:abstractNumId="77">
    <w:nsid w:val="3C3B72B2"/>
    <w:multiLevelType w:val="hybridMultilevel"/>
    <w:lvl w:ilvl="0">
      <w:lvlJc w:val="left"/>
      <w:lvlText w:val="•"/>
      <w:numFmt w:val="bullet"/>
      <w:start w:val="1"/>
    </w:lvl>
  </w:abstractNum>
  <w:abstractNum w:abstractNumId="78">
    <w:nsid w:val="155EC4C2"/>
    <w:multiLevelType w:val="hybridMultilevel"/>
    <w:lvl w:ilvl="0">
      <w:lvlJc w:val="left"/>
      <w:lvlText w:val="•"/>
      <w:numFmt w:val="bullet"/>
      <w:start w:val="1"/>
    </w:lvl>
  </w:abstractNum>
  <w:abstractNum w:abstractNumId="79">
    <w:nsid w:val="65D2A137"/>
    <w:multiLevelType w:val="hybridMultilevel"/>
    <w:lvl w:ilvl="0">
      <w:lvlJc w:val="left"/>
      <w:lvlText w:val="(%1)"/>
      <w:numFmt w:val="decimal"/>
      <w:start w:val="1"/>
    </w:lvl>
  </w:abstractNum>
  <w:abstractNum w:abstractNumId="80">
    <w:nsid w:val="6EBB1F2A"/>
    <w:multiLevelType w:val="hybridMultilevel"/>
    <w:lvl w:ilvl="0">
      <w:lvlJc w:val="left"/>
      <w:lvlText w:val="•"/>
      <w:numFmt w:val="bullet"/>
      <w:start w:val="1"/>
    </w:lvl>
  </w:abstractNum>
  <w:abstractNum w:abstractNumId="81">
    <w:nsid w:val="6FBF29CB"/>
    <w:multiLevelType w:val="hybridMultilevel"/>
    <w:lvl w:ilvl="0">
      <w:lvlJc w:val="left"/>
      <w:lvlText w:val="•"/>
      <w:numFmt w:val="bullet"/>
      <w:start w:val="1"/>
    </w:lvl>
  </w:abstractNum>
  <w:abstractNum w:abstractNumId="82">
    <w:nsid w:val="550B8808"/>
    <w:multiLevelType w:val="hybridMultilevel"/>
    <w:lvl w:ilvl="0">
      <w:lvlJc w:val="left"/>
      <w:lvlText w:val="•"/>
      <w:numFmt w:val="bullet"/>
      <w:start w:val="1"/>
    </w:lvl>
  </w:abstractNum>
  <w:abstractNum w:abstractNumId="83">
    <w:nsid w:val="34CC3ACF"/>
    <w:multiLevelType w:val="hybridMultilevel"/>
    <w:lvl w:ilvl="0">
      <w:lvlJc w:val="left"/>
      <w:lvlText w:val="•"/>
      <w:numFmt w:val="bullet"/>
      <w:start w:val="1"/>
    </w:lvl>
  </w:abstractNum>
  <w:abstractNum w:abstractNumId="84">
    <w:nsid w:val="4E556261"/>
    <w:multiLevelType w:val="hybridMultilevel"/>
    <w:lvl w:ilvl="0">
      <w:lvlJc w:val="left"/>
      <w:lvlText w:val="(%1)"/>
      <w:numFmt w:val="decimal"/>
      <w:start w:val="1"/>
    </w:lvl>
  </w:abstractNum>
  <w:abstractNum w:abstractNumId="85">
    <w:nsid w:val="4C672FC9"/>
    <w:multiLevelType w:val="hybridMultilevel"/>
    <w:lvl w:ilvl="0">
      <w:lvlJc w:val="left"/>
      <w:lvlText w:val="(%1)"/>
      <w:numFmt w:val="decimal"/>
      <w:start w:val="1"/>
    </w:lvl>
  </w:abstractNum>
  <w:abstractNum w:abstractNumId="86">
    <w:nsid w:val="52A311C3"/>
    <w:multiLevelType w:val="hybridMultilevel"/>
    <w:lvl w:ilvl="0">
      <w:lvlJc w:val="left"/>
      <w:lvlText w:val="(%1)"/>
      <w:numFmt w:val="decimal"/>
      <w:start w:val="10"/>
    </w:lvl>
  </w:abstractNum>
  <w:abstractNum w:abstractNumId="87">
    <w:nsid w:val="44EF6B80"/>
    <w:multiLevelType w:val="hybridMultilevel"/>
    <w:lvl w:ilvl="0">
      <w:lvlJc w:val="left"/>
      <w:lvlText w:val="•"/>
      <w:numFmt w:val="bullet"/>
      <w:start w:val="1"/>
    </w:lvl>
  </w:abstractNum>
  <w:abstractNum w:abstractNumId="88">
    <w:nsid w:val="12FCDE5E"/>
    <w:multiLevelType w:val="hybridMultilevel"/>
    <w:lvl w:ilvl="0">
      <w:lvlJc w:val="left"/>
      <w:lvlText w:val="•"/>
      <w:numFmt w:val="bullet"/>
      <w:start w:val="1"/>
    </w:lvl>
  </w:abstractNum>
  <w:abstractNum w:abstractNumId="89">
    <w:nsid w:val="4A1D606E"/>
    <w:multiLevelType w:val="hybridMultilevel"/>
    <w:lvl w:ilvl="0">
      <w:lvlJc w:val="left"/>
      <w:lvlText w:val="(%1)"/>
      <w:numFmt w:val="decimal"/>
      <w:start w:val="1"/>
    </w:lvl>
  </w:abstractNum>
  <w:abstractNum w:abstractNumId="90">
    <w:nsid w:val="4382503"/>
    <w:multiLevelType w:val="hybridMultilevel"/>
    <w:lvl w:ilvl="0">
      <w:lvlJc w:val="left"/>
      <w:lvlText w:val="(%1)"/>
      <w:numFmt w:val="decimal"/>
      <w:start w:val="1"/>
    </w:lvl>
  </w:abstractNum>
  <w:abstractNum w:abstractNumId="91">
    <w:nsid w:val="59B76E28"/>
    <w:multiLevelType w:val="hybridMultilevel"/>
    <w:lvl w:ilvl="0">
      <w:lvlJc w:val="left"/>
      <w:lvlText w:val="•"/>
      <w:numFmt w:val="bullet"/>
      <w:start w:val="1"/>
    </w:lvl>
  </w:abstractNum>
  <w:abstractNum w:abstractNumId="92">
    <w:nsid w:val="4252C2DA"/>
    <w:multiLevelType w:val="hybridMultilevel"/>
    <w:lvl w:ilvl="0">
      <w:lvlJc w:val="left"/>
      <w:lvlText w:val="•"/>
      <w:numFmt w:val="bullet"/>
      <w:start w:val="1"/>
    </w:lvl>
  </w:abstractNum>
  <w:abstractNum w:abstractNumId="93">
    <w:nsid w:val="6A92EF4C"/>
    <w:multiLevelType w:val="hybridMultilevel"/>
    <w:lvl w:ilvl="0">
      <w:lvlJc w:val="left"/>
      <w:lvlText w:val="•"/>
      <w:numFmt w:val="bullet"/>
      <w:start w:val="1"/>
    </w:lvl>
  </w:abstractNum>
  <w:abstractNum w:abstractNumId="94">
    <w:nsid w:val="41ED20D7"/>
    <w:multiLevelType w:val="hybridMultilevel"/>
    <w:lvl w:ilvl="0">
      <w:lvlJc w:val="left"/>
      <w:lvlText w:val="•"/>
      <w:numFmt w:val="bullet"/>
      <w:start w:val="1"/>
    </w:lvl>
  </w:abstractNum>
  <w:abstractNum w:abstractNumId="95">
    <w:nsid w:val="E6B3F6A"/>
    <w:multiLevelType w:val="hybridMultilevel"/>
    <w:lvl w:ilvl="0">
      <w:lvlJc w:val="left"/>
      <w:lvlText w:val="•"/>
      <w:numFmt w:val="bullet"/>
      <w:start w:val="1"/>
    </w:lvl>
  </w:abstractNum>
  <w:abstractNum w:abstractNumId="96">
    <w:nsid w:val="3EB21819"/>
    <w:multiLevelType w:val="hybridMultilevel"/>
    <w:lvl w:ilvl="0">
      <w:lvlJc w:val="left"/>
      <w:lvlText w:val="•"/>
      <w:numFmt w:val="bullet"/>
      <w:start w:val="1"/>
    </w:lvl>
  </w:abstractNum>
  <w:abstractNum w:abstractNumId="97">
    <w:nsid w:val="41531DED"/>
    <w:multiLevelType w:val="hybridMultilevel"/>
    <w:lvl w:ilvl="0">
      <w:lvlJc w:val="left"/>
      <w:lvlText w:val="•"/>
      <w:numFmt w:val="bullet"/>
      <w:start w:val="1"/>
    </w:lvl>
  </w:abstractNum>
  <w:abstractNum w:abstractNumId="98">
    <w:nsid w:val="6353CD2"/>
    <w:multiLevelType w:val="hybridMultilevel"/>
    <w:lvl w:ilvl="0">
      <w:lvlJc w:val="left"/>
      <w:lvlText w:val="(%1)"/>
      <w:numFmt w:val="decimal"/>
      <w:start w:val="1"/>
    </w:lvl>
  </w:abstractNum>
  <w:abstractNum w:abstractNumId="99">
    <w:nsid w:val="683CAAD3"/>
    <w:multiLevelType w:val="hybridMultilevel"/>
    <w:lvl w:ilvl="0">
      <w:lvlJc w:val="left"/>
      <w:lvlText w:val="(%1)"/>
      <w:numFmt w:val="decimal"/>
      <w:start w:val="1"/>
    </w:lvl>
  </w:abstractNum>
  <w:abstractNum w:abstractNumId="100">
    <w:nsid w:val="313C7C99"/>
    <w:multiLevelType w:val="hybridMultilevel"/>
    <w:lvl w:ilvl="0">
      <w:lvlJc w:val="left"/>
      <w:lvlText w:val="(%1)"/>
      <w:numFmt w:val="decimal"/>
      <w:start w:val="1"/>
    </w:lvl>
  </w:abstractNum>
  <w:abstractNum w:abstractNumId="101">
    <w:nsid w:val="519EB94C"/>
    <w:multiLevelType w:val="hybridMultilevel"/>
    <w:lvl w:ilvl="0">
      <w:lvlJc w:val="left"/>
      <w:lvlText w:val="(%1)"/>
      <w:numFmt w:val="decimal"/>
      <w:start w:val="1"/>
    </w:lvl>
  </w:abstractNum>
  <w:abstractNum w:abstractNumId="102">
    <w:nsid w:val="39DF2579"/>
    <w:multiLevelType w:val="hybridMultilevel"/>
    <w:lvl w:ilvl="0">
      <w:lvlJc w:val="left"/>
      <w:lvlText w:val="(%1)"/>
      <w:numFmt w:val="decimal"/>
      <w:start w:val="1"/>
    </w:lvl>
  </w:abstractNum>
  <w:abstractNum w:abstractNumId="103">
    <w:nsid w:val="126E008B"/>
    <w:multiLevelType w:val="hybridMultilevel"/>
    <w:lvl w:ilvl="0">
      <w:lvlJc w:val="left"/>
      <w:lvlText w:val="(%1)"/>
      <w:numFmt w:val="decimal"/>
      <w:start w:val="2"/>
    </w:lvl>
  </w:abstractNum>
  <w:abstractNum w:abstractNumId="104">
    <w:nsid w:val="34DFBC00"/>
    <w:multiLevelType w:val="hybridMultilevel"/>
    <w:lvl w:ilvl="0">
      <w:lvlJc w:val="left"/>
      <w:lvlText w:val="•"/>
      <w:numFmt w:val="bullet"/>
      <w:start w:val="1"/>
    </w:lvl>
  </w:abstractNum>
  <w:abstractNum w:abstractNumId="105">
    <w:nsid w:val="1F9EC322"/>
    <w:multiLevelType w:val="hybridMultilevel"/>
    <w:lvl w:ilvl="0">
      <w:lvlJc w:val="left"/>
      <w:lvlText w:val="•"/>
      <w:numFmt w:val="bullet"/>
      <w:start w:val="1"/>
    </w:lvl>
  </w:abstractNum>
  <w:abstractNum w:abstractNumId="106">
    <w:nsid w:val="3410ED56"/>
    <w:multiLevelType w:val="hybridMultilevel"/>
    <w:lvl w:ilvl="0">
      <w:lvlJc w:val="left"/>
      <w:lvlText w:val="†"/>
      <w:numFmt w:val="bullet"/>
      <w:start w:val="1"/>
    </w:lvl>
  </w:abstractNum>
  <w:abstractNum w:abstractNumId="107">
    <w:nsid w:val="23C049A"/>
    <w:multiLevelType w:val="hybridMultilevel"/>
    <w:lvl w:ilvl="0">
      <w:lvlJc w:val="left"/>
      <w:lvlText w:val="#"/>
      <w:numFmt w:val="bullet"/>
      <w:start w:val="1"/>
    </w:lvl>
  </w:abstractNum>
  <w:abstractNum w:abstractNumId="108">
    <w:nsid w:val="5BDA35D4"/>
    <w:multiLevelType w:val="hybridMultilevel"/>
    <w:lvl w:ilvl="0">
      <w:lvlJc w:val="left"/>
      <w:lvlText w:val="*"/>
      <w:numFmt w:val="bullet"/>
      <w:start w:val="1"/>
    </w:lvl>
  </w:abstractNum>
  <w:abstractNum w:abstractNumId="109">
    <w:nsid w:val="496FB218"/>
    <w:multiLevelType w:val="hybridMultilevel"/>
    <w:lvl w:ilvl="0">
      <w:lvlJc w:val="left"/>
      <w:lvlText w:val="(%1)"/>
      <w:numFmt w:val="decimal"/>
      <w:start w:val="1"/>
    </w:lvl>
  </w:abstractNum>
  <w:abstractNum w:abstractNumId="110">
    <w:nsid w:val="680EA5D1"/>
    <w:multiLevelType w:val="hybridMultilevel"/>
    <w:lvl w:ilvl="0">
      <w:lvlJc w:val="left"/>
      <w:lvlText w:val="(%1)"/>
      <w:numFmt w:val="decimal"/>
      <w:start w:val="6"/>
    </w:lvl>
  </w:abstractNum>
  <w:abstractNum w:abstractNumId="111">
    <w:nsid w:val="4A9554FE"/>
    <w:multiLevelType w:val="hybridMultilevel"/>
    <w:lvl w:ilvl="0">
      <w:lvlJc w:val="left"/>
      <w:lvlText w:val="•"/>
      <w:numFmt w:val="bullet"/>
      <w:start w:val="1"/>
    </w:lvl>
  </w:abstractNum>
  <w:abstractNum w:abstractNumId="112">
    <w:nsid w:val="392EDBE4"/>
    <w:multiLevelType w:val="hybridMultilevel"/>
    <w:lvl w:ilvl="0">
      <w:lvlJc w:val="left"/>
      <w:lvlText w:val="•"/>
      <w:numFmt w:val="bullet"/>
      <w:start w:val="1"/>
    </w:lvl>
  </w:abstractNum>
  <w:abstractNum w:abstractNumId="113">
    <w:nsid w:val="3D1A2DD9"/>
    <w:multiLevelType w:val="hybridMultilevel"/>
    <w:lvl w:ilvl="0">
      <w:lvlJc w:val="left"/>
      <w:lvlText w:val="•"/>
      <w:numFmt w:val="bullet"/>
      <w:start w:val="1"/>
    </w:lvl>
  </w:abstractNum>
  <w:abstractNum w:abstractNumId="114">
    <w:nsid w:val="7F618FCD"/>
    <w:multiLevelType w:val="hybridMultilevel"/>
    <w:lvl w:ilvl="0">
      <w:lvlJc w:val="left"/>
      <w:lvlText w:val="(%1)"/>
      <w:numFmt w:val="lowerRoman"/>
      <w:start w:val="2"/>
    </w:lvl>
  </w:abstractNum>
  <w:abstractNum w:abstractNumId="115">
    <w:nsid w:val="7843E45"/>
    <w:multiLevelType w:val="hybridMultilevel"/>
    <w:lvl w:ilvl="0">
      <w:lvlJc w:val="left"/>
      <w:lvlText w:val="•"/>
      <w:numFmt w:val="bullet"/>
      <w:start w:val="1"/>
    </w:lvl>
  </w:abstractNum>
  <w:abstractNum w:abstractNumId="116">
    <w:nsid w:val="9815DA3"/>
    <w:multiLevelType w:val="hybridMultilevel"/>
    <w:lvl w:ilvl="0">
      <w:lvlJc w:val="left"/>
      <w:lvlText w:val="•"/>
      <w:numFmt w:val="bullet"/>
      <w:start w:val="1"/>
    </w:lvl>
  </w:abstractNum>
  <w:abstractNum w:abstractNumId="117">
    <w:nsid w:val="5204A191"/>
    <w:multiLevelType w:val="hybridMultilevel"/>
    <w:lvl w:ilvl="0">
      <w:lvlJc w:val="left"/>
      <w:lvlText w:val="•"/>
      <w:numFmt w:val="bullet"/>
      <w:start w:val="1"/>
    </w:lvl>
  </w:abstractNum>
  <w:abstractNum w:abstractNumId="118">
    <w:nsid w:val="4C73A9C6"/>
    <w:multiLevelType w:val="hybridMultilevel"/>
    <w:lvl w:ilvl="0">
      <w:lvlJc w:val="left"/>
      <w:lvlText w:val="•"/>
      <w:numFmt w:val="bullet"/>
      <w:start w:val="1"/>
    </w:lvl>
  </w:abstractNum>
  <w:abstractNum w:abstractNumId="119">
    <w:nsid w:val="1C7E3C01"/>
    <w:multiLevelType w:val="hybridMultilevel"/>
    <w:lvl w:ilvl="0">
      <w:lvlJc w:val="left"/>
      <w:lvlText w:val="•"/>
      <w:numFmt w:val="bullet"/>
      <w:start w:val="1"/>
    </w:lvl>
  </w:abstractNum>
  <w:abstractNum w:abstractNumId="120">
    <w:nsid w:val="1C2201FF"/>
    <w:multiLevelType w:val="hybridMultilevel"/>
    <w:lvl w:ilvl="0">
      <w:lvlJc w:val="left"/>
      <w:lvlText w:val="$"/>
      <w:numFmt w:val="bullet"/>
      <w:start w:val="1"/>
    </w:lvl>
  </w:abstractNum>
  <w:abstractNum w:abstractNumId="121">
    <w:nsid w:val="50ABCEC9"/>
    <w:multiLevelType w:val="hybridMultilevel"/>
    <w:lvl w:ilvl="0">
      <w:lvlJc w:val="left"/>
      <w:lvlText w:val="(%1)"/>
      <w:numFmt w:val="lowerRoman"/>
      <w:start w:val="6"/>
    </w:lvl>
  </w:abstractNum>
  <w:abstractNum w:abstractNumId="122">
    <w:nsid w:val="7635AA2A"/>
    <w:multiLevelType w:val="hybridMultilevel"/>
    <w:lvl w:ilvl="0">
      <w:lvlJc w:val="left"/>
      <w:lvlText w:val="(%1)"/>
      <w:numFmt w:val="lowerRoman"/>
      <w:start w:val="11"/>
    </w:lvl>
  </w:abstractNum>
  <w:abstractNum w:abstractNumId="123">
    <w:nsid w:val="5E74C4D9"/>
    <w:multiLevelType w:val="hybridMultilevel"/>
    <w:lvl w:ilvl="0">
      <w:lvlJc w:val="left"/>
      <w:lvlText w:val="•"/>
      <w:numFmt w:val="bullet"/>
      <w:start w:val="1"/>
    </w:lvl>
  </w:abstractNum>
  <w:abstractNum w:abstractNumId="124">
    <w:nsid w:val="3B3EBE15"/>
    <w:multiLevelType w:val="hybridMultilevel"/>
    <w:lvl w:ilvl="0">
      <w:lvlJc w:val="left"/>
      <w:lvlText w:val="%1."/>
      <w:numFmt w:val="lowerLetter"/>
      <w:start w:val="1"/>
    </w:lvl>
  </w:abstractNum>
  <w:abstractNum w:abstractNumId="125">
    <w:nsid w:val="3822CB01"/>
    <w:multiLevelType w:val="hybridMultilevel"/>
    <w:lvl w:ilvl="0">
      <w:lvlJc w:val="left"/>
      <w:lvlText w:val="•"/>
      <w:numFmt w:val="bullet"/>
      <w:start w:val="1"/>
    </w:lvl>
  </w:abstractNum>
  <w:abstractNum w:abstractNumId="126">
    <w:nsid w:val="6CE00443"/>
    <w:multiLevelType w:val="hybridMultilevel"/>
    <w:lvl w:ilvl="0">
      <w:lvlJc w:val="left"/>
      <w:lvlText w:val="%1."/>
      <w:numFmt w:val="lowerLetter"/>
      <w:start w:val="1"/>
    </w:lvl>
  </w:abstractNum>
  <w:abstractNum w:abstractNumId="127">
    <w:nsid w:val="79F0D62F"/>
    <w:multiLevelType w:val="hybridMultilevel"/>
    <w:lvl w:ilvl="0">
      <w:lvlJc w:val="left"/>
      <w:lvlText w:val="%1."/>
      <w:numFmt w:val="lowerLetter"/>
      <w:start w:val="1"/>
    </w:lvl>
  </w:abstractNum>
  <w:abstractNum w:abstractNumId="128">
    <w:nsid w:val="7975E8EE"/>
    <w:multiLevelType w:val="hybridMultilevel"/>
    <w:lvl w:ilvl="0">
      <w:lvlJc w:val="left"/>
      <w:lvlText w:val="(%1)"/>
      <w:numFmt w:val="lowerRoman"/>
      <w:start w:val="1"/>
    </w:lvl>
  </w:abstractNum>
  <w:abstractNum w:abstractNumId="129">
    <w:nsid w:val="73154115"/>
    <w:multiLevelType w:val="hybridMultilevel"/>
    <w:lvl w:ilvl="0">
      <w:lvlJc w:val="left"/>
      <w:lvlText w:val="%1."/>
      <w:numFmt w:val="decimal"/>
      <w:start w:val="1"/>
    </w:lvl>
  </w:abstractNum>
  <w:abstractNum w:abstractNumId="130">
    <w:nsid w:val="622D8102"/>
    <w:multiLevelType w:val="hybridMultilevel"/>
    <w:lvl w:ilvl="0">
      <w:lvlJc w:val="left"/>
      <w:lvlText w:val="%1."/>
      <w:numFmt w:val="decimal"/>
      <w:start w:val="2"/>
    </w:lvl>
  </w:abstractNum>
  <w:abstractNum w:abstractNumId="131">
    <w:nsid w:val="2AB26587"/>
    <w:multiLevelType w:val="hybridMultilevel"/>
    <w:lvl w:ilvl="0">
      <w:lvlJc w:val="left"/>
      <w:lvlText w:val="%1."/>
      <w:numFmt w:val="decimal"/>
      <w:start w:val="3"/>
    </w:lvl>
  </w:abstractNum>
  <w:abstractNum w:abstractNumId="132">
    <w:nsid w:val="44B3FA61"/>
    <w:multiLevelType w:val="hybridMultilevel"/>
    <w:lvl w:ilvl="0">
      <w:lvlJc w:val="left"/>
      <w:lvlText w:val="%1."/>
      <w:numFmt w:val="decimal"/>
      <w:start w:val="5"/>
    </w:lvl>
  </w:abstractNum>
  <w:abstractNum w:abstractNumId="133">
    <w:nsid w:val="1C0CA67C"/>
    <w:multiLevelType w:val="hybridMultilevel"/>
    <w:lvl w:ilvl="0">
      <w:lvlJc w:val="left"/>
      <w:lvlText w:val="%1."/>
      <w:numFmt w:val="decimal"/>
      <w:start w:val="6"/>
    </w:lvl>
  </w:abstractNum>
  <w:abstractNum w:abstractNumId="134">
    <w:nsid w:val="3D206613"/>
    <w:multiLevelType w:val="hybridMultilevel"/>
    <w:lvl w:ilvl="0">
      <w:lvlJc w:val="left"/>
      <w:lvlText w:val="%1."/>
      <w:numFmt w:val="decimal"/>
      <w:start w:val="7"/>
    </w:lvl>
  </w:abstractNum>
  <w:abstractNum w:abstractNumId="135">
    <w:nsid w:val="7993B662"/>
    <w:multiLevelType w:val="hybridMultilevel"/>
    <w:lvl w:ilvl="0">
      <w:lvlJc w:val="left"/>
      <w:lvlText w:val="%1."/>
      <w:numFmt w:val="decimal"/>
      <w:start w:val="8"/>
    </w:lvl>
  </w:abstractNum>
  <w:abstractNum w:abstractNumId="136">
    <w:nsid w:val="3BAB699E"/>
    <w:multiLevelType w:val="hybridMultilevel"/>
    <w:lvl w:ilvl="0">
      <w:lvlJc w:val="left"/>
      <w:lvlText w:val="%1."/>
      <w:numFmt w:val="decimal"/>
      <w:start w:val="9"/>
    </w:lvl>
  </w:abstractNum>
  <w:abstractNum w:abstractNumId="137">
    <w:nsid w:val="71315369"/>
    <w:multiLevelType w:val="hybridMultilevel"/>
    <w:lvl w:ilvl="0">
      <w:lvlJc w:val="left"/>
      <w:lvlText w:val="%1."/>
      <w:numFmt w:val="decimal"/>
      <w:start w:val="10"/>
    </w:lvl>
  </w:abstractNum>
  <w:abstractNum w:abstractNumId="138">
    <w:nsid w:val="7BCFBAFC"/>
    <w:multiLevelType w:val="hybridMultilevel"/>
    <w:lvl w:ilvl="0">
      <w:lvlJc w:val="left"/>
      <w:lvlText w:val="%1."/>
      <w:numFmt w:val="decimal"/>
      <w:start w:val="11"/>
    </w:lvl>
  </w:abstractNum>
  <w:abstractNum w:abstractNumId="139">
    <w:nsid w:val="17859F72"/>
    <w:multiLevelType w:val="hybridMultilevel"/>
    <w:lvl w:ilvl="0">
      <w:lvlJc w:val="left"/>
      <w:lvlText w:val="%1."/>
      <w:numFmt w:val="decimal"/>
      <w:start w:val="12"/>
    </w:lvl>
  </w:abstractNum>
  <w:abstractNum w:abstractNumId="140">
    <w:nsid w:val="3AA10581"/>
    <w:multiLevelType w:val="hybridMultilevel"/>
    <w:lvl w:ilvl="0">
      <w:lvlJc w:val="left"/>
      <w:lvlText w:val="%1."/>
      <w:numFmt w:val="decimal"/>
      <w:start w:val="14"/>
    </w:lvl>
  </w:abstractNum>
  <w:abstractNum w:abstractNumId="141">
    <w:nsid w:val="63DE60CD"/>
    <w:multiLevelType w:val="hybridMultilevel"/>
    <w:lvl w:ilvl="0">
      <w:lvlJc w:val="left"/>
      <w:lvlText w:val="%1."/>
      <w:numFmt w:val="decimal"/>
      <w:start w:val="15"/>
    </w:lvl>
  </w:abstractNum>
  <w:abstractNum w:abstractNumId="142">
    <w:nsid w:val="621AF471"/>
    <w:multiLevelType w:val="hybridMultilevel"/>
    <w:lvl w:ilvl="0">
      <w:lvlJc w:val="left"/>
      <w:lvlText w:val="*"/>
      <w:numFmt w:val="bullet"/>
      <w:start w:val="1"/>
    </w:lvl>
  </w:abstractNum>
  <w:abstractNum w:abstractNumId="143">
    <w:nsid w:val="73CFE165"/>
    <w:multiLevelType w:val="hybridMultilevel"/>
    <w:lvl w:ilvl="0">
      <w:lvlJc w:val="left"/>
      <w:lvlText w:val="•"/>
      <w:numFmt w:val="bullet"/>
      <w:start w:val="1"/>
    </w:lvl>
  </w:abstractNum>
  <w:abstractNum w:abstractNumId="144">
    <w:nsid w:val="20F88EA6"/>
    <w:multiLevelType w:val="hybridMultilevel"/>
    <w:lvl w:ilvl="0">
      <w:lvlJc w:val="left"/>
      <w:lvlText w:val="•"/>
      <w:numFmt w:val="bullet"/>
      <w:start w:val="1"/>
    </w:lvl>
  </w:abstractNum>
  <w:abstractNum w:abstractNumId="145">
    <w:nsid w:val="617C843E"/>
    <w:multiLevelType w:val="hybridMultilevel"/>
    <w:lvl w:ilvl="0">
      <w:lvlJc w:val="left"/>
      <w:lvlText w:val="•"/>
      <w:numFmt w:val="bullet"/>
      <w:start w:val="1"/>
    </w:lvl>
  </w:abstractNum>
  <w:abstractNum w:abstractNumId="146">
    <w:nsid w:val="7B541FAB"/>
    <w:multiLevelType w:val="hybridMultilevel"/>
    <w:lvl w:ilvl="0">
      <w:lvlJc w:val="left"/>
      <w:lvlText w:val="(%1)"/>
      <w:numFmt w:val="lowerLetter"/>
      <w:start w:val="1"/>
    </w:lvl>
  </w:abstractNum>
  <w:abstractNum w:abstractNumId="147">
    <w:nsid w:val="2A79EC49"/>
    <w:multiLevelType w:val="hybridMultilevel"/>
    <w:lvl w:ilvl="0">
      <w:lvlJc w:val="left"/>
      <w:lvlText w:val="(%1)"/>
      <w:numFmt w:val="lowerLetter"/>
      <w:start w:val="2"/>
    </w:lvl>
  </w:abstractNum>
  <w:abstractNum w:abstractNumId="148">
    <w:nsid w:val="338125CF"/>
    <w:multiLevelType w:val="hybridMultilevel"/>
    <w:lvl w:ilvl="0">
      <w:lvlJc w:val="left"/>
      <w:lvlText w:val="(%1)"/>
      <w:numFmt w:val="decimal"/>
      <w:start w:val="1"/>
    </w:lvl>
  </w:abstractNum>
  <w:abstractNum w:abstractNumId="149">
    <w:nsid w:val="47C7C971"/>
    <w:multiLevelType w:val="hybridMultilevel"/>
    <w:lvl w:ilvl="0">
      <w:lvlJc w:val="left"/>
      <w:lvlText w:val="*"/>
      <w:numFmt w:val="bullet"/>
      <w:start w:val="1"/>
    </w:lvl>
  </w:abstractNum>
  <w:abstractNum w:abstractNumId="150">
    <w:nsid w:val="46F8284B"/>
    <w:multiLevelType w:val="hybridMultilevel"/>
    <w:lvl w:ilvl="0">
      <w:lvlJc w:val="left"/>
      <w:lvlText w:val="+"/>
      <w:numFmt w:val="bullet"/>
      <w:start w:val="1"/>
    </w:lvl>
  </w:abstractNum>
  <w:abstractNum w:abstractNumId="151">
    <w:nsid w:val="4FA327CE"/>
    <w:multiLevelType w:val="hybridMultilevel"/>
    <w:lvl w:ilvl="0">
      <w:lvlJc w:val="left"/>
      <w:lvlText w:val="#"/>
      <w:numFmt w:val="bullet"/>
      <w:start w:val="1"/>
    </w:lvl>
  </w:abstractNum>
  <w:abstractNum w:abstractNumId="152">
    <w:nsid w:val="1873983A"/>
    <w:multiLevelType w:val="hybridMultilevel"/>
    <w:lvl w:ilvl="0">
      <w:lvlJc w:val="left"/>
      <w:lvlText w:val="%1."/>
      <w:numFmt w:val="decimal"/>
      <w:start w:val="1"/>
    </w:lvl>
  </w:abstractNum>
  <w:abstractNum w:abstractNumId="153">
    <w:nsid w:val="3D2DD27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154">
    <w:nsid w:val="2E17ECA7"/>
    <w:multiLevelType w:val="hybridMultilevel"/>
    <w:lvl w:ilvl="0">
      <w:lvlJc w:val="left"/>
      <w:lvlText w:val="(%1)"/>
      <w:numFmt w:val="lowerRoman"/>
      <w:start w:val="4"/>
    </w:lvl>
  </w:abstractNum>
  <w:abstractNum w:abstractNumId="155">
    <w:nsid w:val="53B2564F"/>
    <w:multiLevelType w:val="hybridMultilevel"/>
    <w:lvl w:ilvl="0">
      <w:lvlJc w:val="left"/>
      <w:lvlText w:val="(%1)"/>
      <w:numFmt w:val="lowerRoman"/>
      <w:start w:val="1"/>
    </w:lvl>
    <w:lvl w:ilvl="1">
      <w:lvlJc w:val="left"/>
      <w:lvlText w:val="-"/>
      <w:numFmt w:val="bullet"/>
      <w:start w:val="1"/>
    </w:lvl>
  </w:abstractNum>
  <w:abstractNum w:abstractNumId="156">
    <w:nsid w:val="75509D76"/>
    <w:multiLevelType w:val="hybridMultilevel"/>
    <w:lvl w:ilvl="0">
      <w:lvlJc w:val="left"/>
      <w:lvlText w:val="(%1)"/>
      <w:numFmt w:val="lowerRoman"/>
      <w:start w:val="4"/>
    </w:lvl>
  </w:abstractNum>
  <w:abstractNum w:abstractNumId="157">
    <w:nsid w:val="1AF7F0EA"/>
    <w:multiLevelType w:val="hybridMultilevel"/>
    <w:lvl w:ilvl="0">
      <w:lvlJc w:val="left"/>
      <w:lvlText w:val="%1"/>
      <w:numFmt w:val="upperLetter"/>
      <w:start w:val="1"/>
    </w:lvl>
    <w:lvl w:ilvl="1">
      <w:lvlJc w:val="left"/>
      <w:lvlText w:val="%2."/>
      <w:numFmt w:val="decimal"/>
      <w:start w:val="5"/>
    </w:lvl>
  </w:abstractNum>
  <w:abstractNum w:abstractNumId="158">
    <w:nsid w:val="4DA32C7E"/>
    <w:multiLevelType w:val="hybridMultilevel"/>
    <w:lvl w:ilvl="0">
      <w:lvlJc w:val="left"/>
      <w:lvlText w:val="%1."/>
      <w:numFmt w:val="upperLetter"/>
      <w:start w:val="2"/>
    </w:lvl>
    <w:lvl w:ilvl="1">
      <w:lvlJc w:val="left"/>
      <w:lvlText w:val="%2"/>
      <w:numFmt w:val="decimal"/>
      <w:start w:val="1"/>
    </w:lvl>
  </w:abstractNum>
  <w:abstractNum w:abstractNumId="159">
    <w:nsid w:val="6EC68664"/>
    <w:multiLevelType w:val="hybridMultilevel"/>
    <w:lvl w:ilvl="0">
      <w:lvlJc w:val="left"/>
      <w:lvlText w:val="%1."/>
      <w:numFmt w:val="decimal"/>
      <w:start w:val="1"/>
    </w:lvl>
  </w:abstractNum>
  <w:abstractNum w:abstractNumId="160">
    <w:nsid w:val="E0D31FF"/>
    <w:multiLevelType w:val="hybridMultilevel"/>
    <w:lvl w:ilvl="0">
      <w:lvlJc w:val="left"/>
      <w:lvlText w:val="%1."/>
      <w:numFmt w:val="decimal"/>
      <w:start w:val="2"/>
    </w:lvl>
  </w:abstractNum>
  <w:abstractNum w:abstractNumId="161">
    <w:nsid w:val="2FD0AD81"/>
    <w:multiLevelType w:val="hybridMultilevel"/>
    <w:lvl w:ilvl="0">
      <w:lvlJc w:val="left"/>
      <w:lvlText w:val="(%1)"/>
      <w:numFmt w:val="lowerLetter"/>
      <w:start w:val="1"/>
    </w:lvl>
    <w:lvl w:ilvl="1">
      <w:lvlJc w:val="left"/>
      <w:lvlText w:val="(%2)"/>
      <w:numFmt w:val="lowerRoman"/>
      <w:start w:val="1"/>
    </w:lvl>
  </w:abstractNum>
  <w:abstractNum w:abstractNumId="162">
    <w:nsid w:val="1978EBEB"/>
    <w:multiLevelType w:val="hybridMultilevel"/>
    <w:lvl w:ilvl="0">
      <w:lvlJc w:val="left"/>
      <w:lvlText w:val="(%1)"/>
      <w:numFmt w:val="lowerLetter"/>
      <w:start w:val="2"/>
    </w:lvl>
  </w:abstractNum>
  <w:abstractNum w:abstractNumId="163">
    <w:nsid w:val="52C12C6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64">
    <w:nsid w:val="4BDD53FD"/>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65">
    <w:nsid w:val="569951FE"/>
    <w:multiLevelType w:val="hybridMultilevel"/>
    <w:lvl w:ilvl="0">
      <w:lvlJc w:val="left"/>
      <w:lvlText w:val="%1."/>
      <w:numFmt w:val="decimal"/>
      <w:start w:val="3"/>
    </w:lvl>
  </w:abstractNum>
  <w:abstractNum w:abstractNumId="166">
    <w:nsid w:val="4C54E2C3"/>
    <w:multiLevelType w:val="hybridMultilevel"/>
    <w:lvl w:ilvl="0">
      <w:lvlJc w:val="left"/>
      <w:lvlText w:val="%1."/>
      <w:numFmt w:val="decimal"/>
      <w:start w:val="4"/>
    </w:lvl>
  </w:abstractNum>
  <w:abstractNum w:abstractNumId="167">
    <w:nsid w:val="788BD9B"/>
    <w:multiLevelType w:val="hybridMultilevel"/>
    <w:lvl w:ilvl="0">
      <w:lvlJc w:val="left"/>
      <w:lvlText w:val="(%1)"/>
      <w:numFmt w:val="lowerRoman"/>
      <w:start w:val="5"/>
    </w:lvl>
    <w:lvl w:ilvl="1">
      <w:lvlJc w:val="left"/>
      <w:lvlText w:val="-"/>
      <w:numFmt w:val="bullet"/>
      <w:start w:val="1"/>
    </w:lvl>
  </w:abstractNum>
  <w:abstractNum w:abstractNumId="168">
    <w:nsid w:val="47CAA567"/>
    <w:multiLevelType w:val="hybridMultilevel"/>
    <w:lvl w:ilvl="0">
      <w:lvlJc w:val="left"/>
      <w:lvlText w:val="(%1)"/>
      <w:numFmt w:val="lowerRoman"/>
      <w:start w:val="1"/>
    </w:lvl>
    <w:lvl w:ilvl="1">
      <w:lvlJc w:val="left"/>
      <w:lvlText w:val="-"/>
      <w:numFmt w:val="bullet"/>
      <w:start w:val="1"/>
    </w:lvl>
  </w:abstractNum>
  <w:abstractNum w:abstractNumId="169">
    <w:nsid w:val="48249DBF"/>
    <w:multiLevelType w:val="hybridMultilevel"/>
    <w:lvl w:ilvl="0">
      <w:lvlJc w:val="left"/>
      <w:lvlText w:val="(%1)"/>
      <w:numFmt w:val="lowerLetter"/>
      <w:start w:val="1"/>
    </w:lvl>
  </w:abstractNum>
  <w:abstractNum w:abstractNumId="170">
    <w:nsid w:val="1F0E5D0D"/>
    <w:multiLevelType w:val="hybridMultilevel"/>
    <w:lvl w:ilvl="0">
      <w:lvlJc w:val="left"/>
      <w:lvlText w:val="(%1)"/>
      <w:numFmt w:val="lowerLetter"/>
      <w:start w:val="2"/>
    </w:lvl>
  </w:abstractNum>
  <w:abstractNum w:abstractNumId="171">
    <w:nsid w:val="26BAAE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72">
    <w:nsid w:val="2C02FE8C"/>
    <w:multiLevelType w:val="hybridMultilevel"/>
    <w:lvl w:ilvl="0">
      <w:lvlJc w:val="left"/>
      <w:lvlText w:val="(%1)"/>
      <w:numFmt w:val="lowerRoman"/>
      <w:start w:val="5"/>
    </w:lvl>
    <w:lvl w:ilvl="1">
      <w:lvlJc w:val="left"/>
      <w:lvlText w:val="-"/>
      <w:numFmt w:val="bullet"/>
      <w:start w:val="1"/>
    </w:lvl>
  </w:abstractNum>
  <w:abstractNum w:abstractNumId="173">
    <w:nsid w:val="129517E"/>
    <w:multiLevelType w:val="hybridMultilevel"/>
    <w:lvl w:ilvl="0">
      <w:lvlJc w:val="left"/>
      <w:lvlText w:val="(%1)"/>
      <w:numFmt w:val="lowerRoman"/>
      <w:start w:val="10"/>
    </w:lvl>
  </w:abstractNum>
  <w:abstractNum w:abstractNumId="174">
    <w:nsid w:val="763B8C4E"/>
    <w:multiLevelType w:val="hybridMultilevel"/>
    <w:lvl w:ilvl="0">
      <w:lvlJc w:val="left"/>
      <w:lvlText w:val="(%1)"/>
      <w:numFmt w:val="lowerLetter"/>
      <w:start w:val="1"/>
    </w:lvl>
    <w:lvl w:ilvl="1">
      <w:lvlJc w:val="left"/>
      <w:lvlText w:val="-"/>
      <w:numFmt w:val="bullet"/>
      <w:start w:val="1"/>
    </w:lvl>
  </w:abstractNum>
  <w:abstractNum w:abstractNumId="175">
    <w:nsid w:val="4CFB8D32"/>
    <w:multiLevelType w:val="hybridMultilevel"/>
    <w:lvl w:ilvl="0">
      <w:lvlJc w:val="left"/>
      <w:lvlText w:val="(%1)"/>
      <w:numFmt w:val="decimal"/>
      <w:start w:val="1"/>
    </w:lvl>
    <w:lvl w:ilvl="1">
      <w:lvlJc w:val="left"/>
      <w:lvlText w:val="-"/>
      <w:numFmt w:val="bullet"/>
      <w:start w:val="1"/>
    </w:lvl>
  </w:abstractNum>
  <w:abstractNum w:abstractNumId="176">
    <w:nsid w:val="62A5D5BD"/>
    <w:multiLevelType w:val="hybridMultilevel"/>
    <w:lvl w:ilvl="0">
      <w:lvlJc w:val="left"/>
      <w:lvlText w:val="(%1)"/>
      <w:numFmt w:val="lowerLetter"/>
      <w:start w:val="3"/>
    </w:lvl>
    <w:lvl w:ilvl="1">
      <w:lvlJc w:val="left"/>
      <w:lvlText w:val="-"/>
      <w:numFmt w:val="bullet"/>
      <w:start w:val="1"/>
    </w:lvl>
  </w:abstractNum>
  <w:abstractNum w:abstractNumId="177">
    <w:nsid w:val="718FABF9"/>
    <w:multiLevelType w:val="hybridMultilevel"/>
    <w:lvl w:ilvl="0">
      <w:lvlJc w:val="left"/>
      <w:lvlText w:val="(%1)"/>
      <w:numFmt w:val="decimal"/>
      <w:start w:val="2"/>
    </w:lvl>
    <w:lvl w:ilvl="1">
      <w:lvlJc w:val="left"/>
      <w:lvlText w:val="(%2)"/>
      <w:numFmt w:val="lowerLetter"/>
      <w:start w:val="4"/>
    </w:lvl>
  </w:abstractNum>
  <w:abstractNum w:abstractNumId="178">
    <w:nsid w:val="7775797C"/>
    <w:multiLevelType w:val="hybridMultilevel"/>
    <w:lvl w:ilvl="0">
      <w:lvlJc w:val="left"/>
      <w:lvlText w:val="(%1)"/>
      <w:numFmt w:val="lowerLetter"/>
      <w:start w:val="1"/>
    </w:lvl>
  </w:abstractNum>
  <w:abstractNum w:abstractNumId="179">
    <w:nsid w:val="1626FB8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0">
    <w:nsid w:val="3957756A"/>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81">
    <w:nsid w:val="3E6DA1C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2">
    <w:nsid w:val="65CA235B"/>
    <w:multiLevelType w:val="hybridMultilevel"/>
    <w:lvl w:ilvl="0">
      <w:lvlJc w:val="left"/>
      <w:lvlText w:val="(%1)"/>
      <w:numFmt w:val="decimal"/>
      <w:start w:val="1"/>
    </w:lvl>
  </w:abstractNum>
  <w:abstractNum w:abstractNumId="183">
    <w:nsid w:val="51CB0DA4"/>
    <w:multiLevelType w:val="hybridMultilevel"/>
    <w:lvl w:ilvl="0">
      <w:lvlJc w:val="left"/>
      <w:lvlText w:val="(%1)"/>
      <w:numFmt w:val="lowerRoman"/>
      <w:start w:val="1"/>
    </w:lvl>
  </w:abstractNum>
  <w:abstractNum w:abstractNumId="184">
    <w:nsid w:val="7B9B743C"/>
    <w:multiLevelType w:val="hybridMultilevel"/>
    <w:lvl w:ilvl="0">
      <w:lvlJc w:val="left"/>
      <w:lvlText w:val="(%1)"/>
      <w:numFmt w:val="lowerLetter"/>
      <w:start w:val="1"/>
    </w:lvl>
    <w:lvl w:ilvl="1">
      <w:lvlJc w:val="left"/>
      <w:lvlText w:val="-"/>
      <w:numFmt w:val="bullet"/>
      <w:start w:val="1"/>
    </w:lvl>
  </w:abstractNum>
  <w:abstractNum w:abstractNumId="185">
    <w:nsid w:val="13E21002"/>
    <w:multiLevelType w:val="hybridMultilevel"/>
    <w:lvl w:ilvl="0">
      <w:lvlJc w:val="left"/>
      <w:lvlText w:val="(%1)"/>
      <w:numFmt w:val="lowerRoman"/>
      <w:start w:val="1"/>
    </w:lvl>
    <w:lvl w:ilvl="1">
      <w:lvlJc w:val="left"/>
      <w:lvlText w:val="%2."/>
      <w:numFmt w:val="decimal"/>
      <w:start w:val="5"/>
    </w:lvl>
  </w:abstractNum>
  <w:abstractNum w:abstractNumId="186">
    <w:nsid w:val="257D63F4"/>
    <w:multiLevelType w:val="hybridMultilevel"/>
    <w:lvl w:ilvl="0">
      <w:lvlJc w:val="left"/>
      <w:lvlText w:val="%1."/>
      <w:numFmt w:val="decimal"/>
      <w:start w:val="6"/>
    </w:lvl>
  </w:abstractNum>
  <w:abstractNum w:abstractNumId="187">
    <w:nsid w:val="70EC11B2"/>
    <w:multiLevelType w:val="hybridMultilevel"/>
    <w:lvl w:ilvl="0">
      <w:lvlJc w:val="left"/>
      <w:lvlText w:val="(%1)"/>
      <w:numFmt w:val="lowerRoman"/>
      <w:start w:val="4"/>
    </w:lvl>
    <w:lvl w:ilvl="1">
      <w:lvlJc w:val="left"/>
      <w:lvlText w:val="-"/>
      <w:numFmt w:val="bullet"/>
      <w:start w:val="1"/>
    </w:lvl>
  </w:abstractNum>
  <w:abstractNum w:abstractNumId="188">
    <w:nsid w:val="2EDA00ED"/>
    <w:multiLevelType w:val="hybridMultilevel"/>
    <w:lvl w:ilvl="0">
      <w:lvlJc w:val="left"/>
      <w:lvlText w:val="%1."/>
      <w:numFmt w:val="decimal"/>
      <w:start w:val="3"/>
    </w:lvl>
    <w:lvl w:ilvl="1">
      <w:lvlJc w:val="left"/>
      <w:lvlText w:val="-"/>
      <w:numFmt w:val="bullet"/>
      <w:start w:val="1"/>
    </w:lvl>
  </w:abstractNum>
  <w:abstractNum w:abstractNumId="189">
    <w:nsid w:val="73209072"/>
    <w:multiLevelType w:val="hybridMultilevel"/>
    <w:lvl w:ilvl="0">
      <w:lvlJc w:val="left"/>
      <w:lvlText w:val="%1."/>
      <w:numFmt w:val="upperLetter"/>
      <w:start w:val="1"/>
    </w:lvl>
  </w:abstractNum>
  <w:abstractNum w:abstractNumId="190">
    <w:nsid w:val="5FB29816"/>
    <w:multiLevelType w:val="hybridMultilevel"/>
    <w:lvl w:ilvl="0">
      <w:lvlJc w:val="left"/>
      <w:lvlText w:val="%1."/>
      <w:numFmt w:val="upperLetter"/>
      <w:start w:val="1"/>
    </w:lvl>
    <w:lvl w:ilvl="1">
      <w:lvlJc w:val="left"/>
      <w:lvlText w:val="%2."/>
      <w:numFmt w:val="decimal"/>
      <w:start w:val="1"/>
    </w:lvl>
  </w:abstractNum>
  <w:abstractNum w:abstractNumId="191">
    <w:nsid w:val="3CE732EC"/>
    <w:multiLevelType w:val="hybridMultilevel"/>
    <w:lvl w:ilvl="0">
      <w:lvlJc w:val="left"/>
      <w:lvlText w:val="%1."/>
      <w:numFmt w:val="decimal"/>
      <w:start w:val="2"/>
    </w:lvl>
  </w:abstractNum>
  <w:abstractNum w:abstractNumId="192">
    <w:nsid w:val="22F13DF3"/>
    <w:multiLevelType w:val="hybridMultilevel"/>
    <w:lvl w:ilvl="0">
      <w:lvlJc w:val="left"/>
      <w:lvlText w:val="%1."/>
      <w:numFmt w:val="decimal"/>
      <w:start w:val="3"/>
    </w:lvl>
    <w:lvl w:ilvl="1">
      <w:lvlJc w:val="left"/>
      <w:lvlText w:val="(%2)"/>
      <w:numFmt w:val="lowerRoman"/>
      <w:start w:val="1"/>
    </w:lvl>
  </w:abstractNum>
  <w:abstractNum w:abstractNumId="193">
    <w:nsid w:val="792B8401"/>
    <w:multiLevelType w:val="hybridMultilevel"/>
    <w:lvl w:ilvl="0">
      <w:lvlJc w:val="left"/>
      <w:lvlText w:val="(%1)"/>
      <w:numFmt w:val="lowerRoman"/>
      <w:start w:val="1"/>
    </w:lvl>
  </w:abstractNum>
  <w:abstractNum w:abstractNumId="194">
    <w:nsid w:val="FA85F4D"/>
    <w:multiLevelType w:val="hybridMultilevel"/>
    <w:lvl w:ilvl="0">
      <w:lvlJc w:val="left"/>
      <w:lvlText w:val="(%1)"/>
      <w:numFmt w:val="lowerRoman"/>
      <w:start w:val="6"/>
    </w:lvl>
  </w:abstractNum>
  <w:abstractNum w:abstractNumId="195">
    <w:nsid w:val="6ECE91F0"/>
    <w:multiLevelType w:val="hybridMultilevel"/>
    <w:lvl w:ilvl="0">
      <w:lvlJc w:val="left"/>
      <w:lvlText w:val="%1"/>
      <w:numFmt w:val="decimal"/>
      <w:start w:val="1"/>
    </w:lvl>
    <w:lvl w:ilvl="1">
      <w:lvlJc w:val="left"/>
      <w:lvlText w:val="%2."/>
      <w:numFmt w:val="decimal"/>
      <w:start w:val="4"/>
    </w:lvl>
  </w:abstractNum>
  <w:abstractNum w:abstractNumId="196">
    <w:nsid w:val="4FC4D600"/>
    <w:multiLevelType w:val="hybridMultilevel"/>
    <w:lvl w:ilvl="0">
      <w:lvlJc w:val="left"/>
      <w:lvlText w:val="(%1)"/>
      <w:numFmt w:val="decimal"/>
      <w:start w:val="2"/>
    </w:lvl>
    <w:lvl w:ilvl="1">
      <w:lvlJc w:val="left"/>
      <w:lvlText w:val="%2."/>
      <w:numFmt w:val="decimal"/>
      <w:start w:val="6"/>
    </w:lvl>
  </w:abstractNum>
  <w:abstractNum w:abstractNumId="197">
    <w:nsid w:val="5BFD4210"/>
    <w:multiLevelType w:val="hybridMultilevel"/>
    <w:lvl w:ilvl="0">
      <w:lvlJc w:val="left"/>
      <w:lvlText w:val="%1."/>
      <w:numFmt w:val="upperLetter"/>
      <w:start w:val="2"/>
    </w:lvl>
    <w:lvl w:ilvl="1">
      <w:lvlJc w:val="left"/>
      <w:lvlText w:val="%2."/>
      <w:numFmt w:val="decimal"/>
      <w:start w:val="1"/>
    </w:lvl>
  </w:abstractNum>
  <w:abstractNum w:abstractNumId="198">
    <w:nsid w:val="76574F8B"/>
    <w:multiLevelType w:val="hybridMultilevel"/>
    <w:lvl w:ilvl="0">
      <w:lvlJc w:val="left"/>
      <w:lvlText w:val="(%1)"/>
      <w:numFmt w:val="lowerRoman"/>
      <w:start w:val="5"/>
    </w:lvl>
  </w:abstractNum>
  <w:abstractNum w:abstractNumId="199">
    <w:nsid w:val="178F7B67"/>
    <w:multiLevelType w:val="hybridMultilevel"/>
    <w:lvl w:ilvl="0">
      <w:lvlJc w:val="left"/>
      <w:lvlText w:val="(%1)"/>
      <w:numFmt w:val="lowerLetter"/>
      <w:start w:val="1"/>
    </w:lvl>
    <w:lvl w:ilvl="1">
      <w:lvlJc w:val="left"/>
      <w:lvlText w:val="(%2)"/>
      <w:numFmt w:val="decimal"/>
      <w:start w:val="1"/>
    </w:lvl>
  </w:abstractNum>
  <w:abstractNum w:abstractNumId="200">
    <w:nsid w:val="2421DFCF"/>
    <w:multiLevelType w:val="hybridMultilevel"/>
    <w:lvl w:ilvl="0">
      <w:lvlJc w:val="left"/>
      <w:lvlText w:val="(%1)"/>
      <w:numFmt w:val="lowerLetter"/>
      <w:start w:val="1"/>
    </w:lvl>
  </w:abstractNum>
  <w:abstractNum w:abstractNumId="201">
    <w:nsid w:val="1565AC99"/>
    <w:multiLevelType w:val="hybridMultilevel"/>
    <w:lvl w:ilvl="0">
      <w:lvlJc w:val="left"/>
      <w:lvlText w:val="%1"/>
      <w:numFmt w:val="upperLetter"/>
      <w:start w:val="1"/>
    </w:lvl>
    <w:lvl w:ilvl="1">
      <w:lvlJc w:val="left"/>
      <w:lvlText w:val="(%2)"/>
      <w:numFmt w:val="lowerRoman"/>
      <w:start w:val="1"/>
    </w:lvl>
  </w:abstractNum>
  <w:abstractNum w:abstractNumId="202">
    <w:nsid w:val="19FB2650"/>
    <w:multiLevelType w:val="hybridMultilevel"/>
    <w:lvl w:ilvl="0">
      <w:lvlJc w:val="left"/>
      <w:lvlText w:val="(%1)"/>
      <w:numFmt w:val="upperLetter"/>
      <w:start w:val="2"/>
    </w:lvl>
    <w:lvl w:ilvl="1">
      <w:lvlJc w:val="left"/>
      <w:lvlText w:val="(%2)"/>
      <w:numFmt w:val="lowerRoman"/>
      <w:start w:val="2"/>
    </w:lvl>
  </w:abstractNum>
  <w:abstractNum w:abstractNumId="203">
    <w:nsid w:val="5024DE5B"/>
    <w:multiLevelType w:val="hybridMultilevel"/>
    <w:lvl w:ilvl="0">
      <w:lvlJc w:val="left"/>
      <w:lvlText w:val="(%1)"/>
      <w:numFmt w:val="lowerLetter"/>
      <w:start w:val="9"/>
    </w:lvl>
    <w:lvl w:ilvl="1">
      <w:lvlJc w:val="left"/>
      <w:lvlText w:val="(%2)"/>
      <w:numFmt w:val="lowerLetter"/>
      <w:start w:val="1"/>
    </w:lvl>
  </w:abstractNum>
  <w:abstractNum w:abstractNumId="204">
    <w:nsid w:val="168EFE17"/>
    <w:multiLevelType w:val="hybridMultilevel"/>
    <w:lvl w:ilvl="0">
      <w:lvlJc w:val="left"/>
      <w:lvlText w:val="%1"/>
      <w:numFmt w:val="lowerLetter"/>
      <w:start w:val="1"/>
    </w:lvl>
    <w:lvl w:ilvl="1">
      <w:lvlJc w:val="left"/>
      <w:lvlText w:val="(%2)"/>
      <w:numFmt w:val="lowerLetter"/>
      <w:start w:val="3"/>
    </w:lvl>
  </w:abstractNum>
  <w:abstractNum w:abstractNumId="205">
    <w:nsid w:val="1036B29F"/>
    <w:multiLevelType w:val="hybridMultilevel"/>
    <w:lvl w:ilvl="0">
      <w:lvlJc w:val="left"/>
      <w:lvlText w:val="(%1)"/>
      <w:numFmt w:val="lowerLetter"/>
      <w:start w:val="35"/>
    </w:lvl>
    <w:lvl w:ilvl="1">
      <w:lvlJc w:val="left"/>
      <w:lvlText w:val="%2"/>
      <w:numFmt w:val="lowerLetter"/>
      <w:start w:val="1"/>
    </w:lvl>
  </w:abstractNum>
  <w:abstractNum w:abstractNumId="206">
    <w:nsid w:val="1D206B8E"/>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207">
    <w:nsid w:val="7934D3D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08">
    <w:nsid w:val="1C65E9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209">
    <w:nsid w:val="1495E50A"/>
    <w:multiLevelType w:val="hybridMultilevel"/>
    <w:lvl w:ilvl="0">
      <w:lvlJc w:val="left"/>
      <w:lvlText w:val="%1"/>
      <w:numFmt w:val="upperLetter"/>
      <w:start w:val="1"/>
    </w:lvl>
    <w:lvl w:ilvl="1">
      <w:lvlJc w:val="left"/>
      <w:lvlText w:val="(%2)"/>
      <w:numFmt w:val="lowerLetter"/>
      <w:start w:val="61"/>
    </w:lvl>
    <w:lvl w:ilvl="2">
      <w:lvlJc w:val="left"/>
      <w:lvlText w:val="(%3)"/>
      <w:numFmt w:val="lowerLetter"/>
      <w:start w:val="1"/>
    </w:lvl>
  </w:abstractNum>
  <w:abstractNum w:abstractNumId="210">
    <w:nsid w:val="F5BCF6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11">
    <w:nsid w:val="3B1DD403"/>
    <w:multiLevelType w:val="hybridMultilevel"/>
    <w:lvl w:ilvl="0">
      <w:lvlJc w:val="left"/>
      <w:lvlText w:val="%1"/>
      <w:numFmt w:val="lowerRoman"/>
      <w:start w:val="1"/>
    </w:lvl>
    <w:lvl w:ilvl="1">
      <w:lvlJc w:val="left"/>
      <w:lvlText w:val="(%2)"/>
      <w:numFmt w:val="lowerLetter"/>
      <w:start w:val="2"/>
    </w:lvl>
  </w:abstractNum>
  <w:abstractNum w:abstractNumId="212">
    <w:nsid w:val="530386D1"/>
    <w:multiLevelType w:val="hybridMultilevel"/>
    <w:lvl w:ilvl="0">
      <w:lvlJc w:val="left"/>
      <w:lvlText w:val="(%1)"/>
      <w:numFmt w:val="lowerRoman"/>
      <w:start w:val="4"/>
    </w:lvl>
    <w:lvl w:ilvl="1">
      <w:lvlJc w:val="left"/>
      <w:lvlText w:val="%2"/>
      <w:numFmt w:val="lowerLetter"/>
      <w:start w:val="1"/>
    </w:lvl>
  </w:abstractNum>
  <w:abstractNum w:abstractNumId="213">
    <w:nsid w:val="7525F2BC"/>
    <w:multiLevelType w:val="hybridMultilevel"/>
    <w:lvl w:ilvl="0">
      <w:lvlJc w:val="left"/>
      <w:lvlText w:val="(%1)"/>
      <w:numFmt w:val="lowerRoman"/>
      <w:start w:val="1"/>
    </w:lvl>
  </w:abstractNum>
  <w:abstractNum w:abstractNumId="214">
    <w:nsid w:val="CE8E1A7"/>
    <w:multiLevelType w:val="hybridMultilevel"/>
    <w:lvl w:ilvl="0">
      <w:lvlJc w:val="left"/>
      <w:lvlText w:val="(%1)"/>
      <w:numFmt w:val="lowerRoman"/>
      <w:start w:val="1"/>
    </w:lvl>
  </w:abstractNum>
  <w:abstractNum w:abstractNumId="215">
    <w:nsid w:val="4E9EFB0D"/>
    <w:multiLevelType w:val="hybridMultilevel"/>
    <w:lvl w:ilvl="0">
      <w:lvlJc w:val="left"/>
      <w:lvlText w:val="(%1)"/>
      <w:numFmt w:val="lowerRoman"/>
      <w:start w:val="1"/>
    </w:lvl>
  </w:abstractNum>
  <w:abstractNum w:abstractNumId="216">
    <w:nsid w:val="90802BE"/>
    <w:multiLevelType w:val="hybridMultilevel"/>
    <w:lvl w:ilvl="0">
      <w:lvlJc w:val="left"/>
      <w:lvlText w:val="(%1)"/>
      <w:numFmt w:val="lowerRoman"/>
      <w:start w:val="1"/>
    </w:lvl>
  </w:abstractNum>
  <w:abstractNum w:abstractNumId="217">
    <w:nsid w:val="3266459B"/>
    <w:multiLevelType w:val="hybridMultilevel"/>
    <w:lvl w:ilvl="0">
      <w:lvlJc w:val="left"/>
      <w:lvlText w:val="(%1)"/>
      <w:numFmt w:val="lowerRoman"/>
      <w:start w:val="1"/>
    </w:lvl>
  </w:abstractNum>
  <w:abstractNum w:abstractNumId="218">
    <w:nsid w:val="3F8B0CBF"/>
    <w:multiLevelType w:val="hybridMultilevel"/>
    <w:lvl w:ilvl="0">
      <w:lvlJc w:val="left"/>
      <w:lvlText w:val="(%1)"/>
      <w:numFmt w:val="lowerRoman"/>
      <w:start w:val="1"/>
    </w:lvl>
  </w:abstractNum>
  <w:abstractNum w:abstractNumId="219">
    <w:nsid w:val="37E203AB"/>
    <w:multiLevelType w:val="hybridMultilevel"/>
    <w:lvl w:ilvl="0">
      <w:lvlJc w:val="left"/>
      <w:lvlText w:val="(%1)"/>
      <w:numFmt w:val="lowerRoman"/>
      <w:start w:val="1"/>
    </w:lvl>
    <w:lvl w:ilvl="1">
      <w:lvlJc w:val="left"/>
      <w:lvlText w:val="(%2)"/>
      <w:numFmt w:val="upperLetter"/>
      <w:start w:val="1"/>
    </w:lvl>
  </w:abstractNum>
  <w:abstractNum w:abstractNumId="220">
    <w:nsid w:val="2586D60E"/>
    <w:multiLevelType w:val="hybridMultilevel"/>
    <w:lvl w:ilvl="0">
      <w:lvlJc w:val="left"/>
      <w:lvlText w:val="(%1)"/>
      <w:numFmt w:val="lowerRoman"/>
      <w:start w:val="1"/>
    </w:lvl>
  </w:abstractNum>
  <w:abstractNum w:abstractNumId="221">
    <w:nsid w:val="1F3DA4D5"/>
    <w:multiLevelType w:val="hybridMultilevel"/>
    <w:lvl w:ilvl="0">
      <w:lvlJc w:val="left"/>
      <w:lvlText w:val="(%1)"/>
      <w:numFmt w:val="lowerRoman"/>
      <w:start w:val="5"/>
    </w:lvl>
  </w:abstractNum>
  <w:abstractNum w:abstractNumId="222">
    <w:nsid w:val="74C93698"/>
    <w:multiLevelType w:val="hybridMultilevel"/>
    <w:lvl w:ilvl="0">
      <w:lvlJc w:val="left"/>
      <w:lvlText w:val="%1."/>
      <w:numFmt w:val="decimal"/>
      <w:start w:val="1"/>
    </w:lvl>
  </w:abstractNum>
  <w:abstractNum w:abstractNumId="223">
    <w:nsid w:val="48781401"/>
    <w:multiLevelType w:val="hybridMultilevel"/>
    <w:lvl w:ilvl="0">
      <w:lvlJc w:val="left"/>
      <w:lvlText w:val="%1."/>
      <w:numFmt w:val="decimal"/>
      <w:start w:val="2"/>
    </w:lvl>
    <w:lvl w:ilvl="1">
      <w:lvlJc w:val="left"/>
      <w:lvlText w:val="(%2)"/>
      <w:numFmt w:val="lowerLetter"/>
      <w:start w:val="1"/>
    </w:lvl>
  </w:abstractNum>
  <w:abstractNum w:abstractNumId="224">
    <w:nsid w:val="186928D6"/>
    <w:multiLevelType w:val="hybridMultilevel"/>
    <w:lvl w:ilvl="0">
      <w:lvlJc w:val="left"/>
      <w:lvlText w:val="(%1)"/>
      <w:numFmt w:val="lowerLetter"/>
      <w:start w:val="9"/>
    </w:lvl>
    <w:lvl w:ilvl="1">
      <w:lvlJc w:val="left"/>
      <w:lvlText w:val="(%2)"/>
      <w:numFmt w:val="lowerLetter"/>
      <w:start w:val="4"/>
    </w:lvl>
  </w:abstractNum>
  <w:abstractNum w:abstractNumId="225">
    <w:nsid w:val="47195E5"/>
    <w:multiLevelType w:val="hybridMultilevel"/>
    <w:lvl w:ilvl="0">
      <w:lvlJc w:val="left"/>
      <w:lvlText w:val="(%1)"/>
      <w:numFmt w:val="lowerLetter"/>
      <w:start w:val="9"/>
    </w:lvl>
    <w:lvl w:ilvl="1">
      <w:lvlJc w:val="left"/>
      <w:lvlText w:val="%2"/>
      <w:numFmt w:val="lowerLetter"/>
      <w:start w:val="1"/>
    </w:lvl>
  </w:abstractNum>
  <w:abstractNum w:abstractNumId="226">
    <w:nsid w:val="3746A5F2"/>
    <w:multiLevelType w:val="hybridMultilevel"/>
    <w:lvl w:ilvl="0">
      <w:lvlJc w:val="left"/>
      <w:lvlText w:val="(%1)"/>
      <w:numFmt w:val="lowerLetter"/>
      <w:start w:val="1"/>
    </w:lvl>
  </w:abstractNum>
  <w:abstractNum w:abstractNumId="227">
    <w:nsid w:val="682DFED6"/>
    <w:multiLevelType w:val="hybridMultilevel"/>
    <w:lvl w:ilvl="0">
      <w:lvlJc w:val="left"/>
      <w:lvlText w:val="(%1)"/>
      <w:numFmt w:val="lowerLetter"/>
      <w:start w:val="1"/>
    </w:lvl>
  </w:abstractNum>
  <w:abstractNum w:abstractNumId="228">
    <w:nsid w:val="606ED7F6"/>
    <w:multiLevelType w:val="hybridMultilevel"/>
    <w:lvl w:ilvl="0">
      <w:lvlJc w:val="left"/>
      <w:lvlText w:val="(%1)"/>
      <w:numFmt w:val="lowerLetter"/>
      <w:start w:val="3"/>
    </w:lvl>
  </w:abstractNum>
  <w:abstractNum w:abstractNumId="229">
    <w:nsid w:val="2D9DF57D"/>
    <w:multiLevelType w:val="hybridMultilevel"/>
    <w:lvl w:ilvl="0">
      <w:lvlJc w:val="left"/>
      <w:lvlText w:val="(%1)"/>
      <w:numFmt w:val="lowerLetter"/>
      <w:start w:val="1"/>
    </w:lvl>
  </w:abstractNum>
  <w:abstractNum w:abstractNumId="230">
    <w:nsid w:val="7FBD7A3E"/>
    <w:multiLevelType w:val="hybridMultilevel"/>
    <w:lvl w:ilvl="0">
      <w:lvlJc w:val="left"/>
      <w:lvlText w:val="(%1)"/>
      <w:numFmt w:val="lowerLetter"/>
      <w:start w:val="2"/>
    </w:lvl>
  </w:abstractNum>
  <w:abstractNum w:abstractNumId="231">
    <w:nsid w:val="490B7C5"/>
    <w:multiLevelType w:val="hybridMultilevel"/>
    <w:lvl w:ilvl="0">
      <w:lvlJc w:val="left"/>
      <w:lvlText w:val="(%1)"/>
      <w:numFmt w:val="lowerLetter"/>
      <w:start w:val="4"/>
    </w:lvl>
  </w:abstractNum>
  <w:abstractNum w:abstractNumId="232">
    <w:nsid w:val="4303A216"/>
    <w:multiLevelType w:val="hybridMultilevel"/>
    <w:lvl w:ilvl="0">
      <w:lvlJc w:val="left"/>
      <w:lvlText w:val="(%1)"/>
      <w:numFmt w:val="lowerLetter"/>
      <w:start w:val="1"/>
    </w:lvl>
  </w:abstractNum>
  <w:abstractNum w:abstractNumId="233">
    <w:nsid w:val="19B8A08E"/>
    <w:multiLevelType w:val="hybridMultilevel"/>
    <w:lvl w:ilvl="0">
      <w:lvlJc w:val="left"/>
      <w:lvlText w:val="(%1)"/>
      <w:numFmt w:val="lowerRoman"/>
      <w:start w:val="2"/>
    </w:lvl>
  </w:abstractNum>
  <w:abstractNum w:abstractNumId="234">
    <w:nsid w:val="54B59621"/>
    <w:multiLevelType w:val="hybridMultilevel"/>
    <w:lvl w:ilvl="0">
      <w:lvlJc w:val="left"/>
      <w:lvlText w:val="(%1)"/>
      <w:numFmt w:val="lowerLetter"/>
      <w:start w:val="1"/>
    </w:lvl>
  </w:abstractNum>
  <w:abstractNum w:abstractNumId="235">
    <w:nsid w:val="5992A02E"/>
    <w:multiLevelType w:val="hybridMultilevel"/>
    <w:lvl w:ilvl="0">
      <w:lvlJc w:val="left"/>
      <w:lvlText w:val="(%1)"/>
      <w:numFmt w:val="lowerLetter"/>
      <w:start w:val="3"/>
    </w:lvl>
  </w:abstractNum>
  <w:abstractNum w:abstractNumId="236">
    <w:nsid w:val="29EF532D"/>
    <w:multiLevelType w:val="hybridMultilevel"/>
    <w:lvl w:ilvl="0">
      <w:lvlJc w:val="left"/>
      <w:lvlText w:val="%1"/>
      <w:numFmt w:val="decimal"/>
      <w:start w:val="1"/>
    </w:lvl>
    <w:lvl w:ilvl="1">
      <w:lvlJc w:val="left"/>
      <w:lvlText w:val="(%2)"/>
      <w:numFmt w:val="lowerLetter"/>
      <w:start w:val="1"/>
    </w:lvl>
  </w:abstractNum>
  <w:abstractNum w:abstractNumId="237">
    <w:nsid w:val="71D601AF"/>
    <w:multiLevelType w:val="hybridMultilevel"/>
    <w:lvl w:ilvl="0">
      <w:lvlJc w:val="left"/>
      <w:lvlText w:val="%1."/>
      <w:numFmt w:val="decimal"/>
      <w:start w:val="3"/>
    </w:lvl>
    <w:lvl w:ilvl="1">
      <w:lvlJc w:val="left"/>
      <w:lvlText w:val="%2"/>
      <w:numFmt w:val="lowerLetter"/>
      <w:start w:val="1"/>
    </w:lvl>
  </w:abstractNum>
  <w:abstractNum w:abstractNumId="238">
    <w:nsid w:val="52C77402"/>
    <w:multiLevelType w:val="hybridMultilevel"/>
    <w:lvl w:ilvl="0">
      <w:lvlJc w:val="left"/>
      <w:lvlText w:val="(%1)"/>
      <w:numFmt w:val="lowerLetter"/>
      <w:start w:val="1"/>
    </w:lvl>
  </w:abstractNum>
  <w:abstractNum w:abstractNumId="239">
    <w:nsid w:val="2BB5B1C6"/>
    <w:multiLevelType w:val="hybridMultilevel"/>
    <w:lvl w:ilvl="0">
      <w:lvlJc w:val="left"/>
      <w:lvlText w:val="(%1)"/>
      <w:numFmt w:val="lowerLetter"/>
      <w:start w:val="4"/>
    </w:lvl>
  </w:abstractNum>
  <w:abstractNum w:abstractNumId="240">
    <w:nsid w:val="66BE6B9"/>
    <w:multiLevelType w:val="hybridMultilevel"/>
    <w:lvl w:ilvl="0">
      <w:lvlJc w:val="left"/>
      <w:lvlText w:val="(%1)"/>
      <w:numFmt w:val="lowerLetter"/>
      <w:start w:val="1"/>
    </w:lvl>
  </w:abstractNum>
  <w:abstractNum w:abstractNumId="241">
    <w:nsid w:val="62234363"/>
    <w:multiLevelType w:val="hybridMultilevel"/>
    <w:lvl w:ilvl="0">
      <w:lvlJc w:val="left"/>
      <w:lvlText w:val="(%1)"/>
      <w:numFmt w:val="lowerLetter"/>
      <w:start w:val="2"/>
    </w:lvl>
  </w:abstractNum>
  <w:abstractNum w:abstractNumId="242">
    <w:nsid w:val="66D385C9"/>
    <w:multiLevelType w:val="hybridMultilevel"/>
    <w:lvl w:ilvl="0">
      <w:lvlJc w:val="left"/>
      <w:lvlText w:val="%1."/>
      <w:numFmt w:val="decimal"/>
      <w:start w:val="4"/>
    </w:lvl>
  </w:abstractNum>
  <w:abstractNum w:abstractNumId="243">
    <w:nsid w:val="596F6D8A"/>
    <w:multiLevelType w:val="hybridMultilevel"/>
    <w:lvl w:ilvl="0">
      <w:lvlJc w:val="left"/>
      <w:lvlText w:val="(%1)"/>
      <w:numFmt w:val="lowerLetter"/>
      <w:start w:val="1"/>
    </w:lvl>
  </w:abstractNum>
  <w:abstractNum w:abstractNumId="244">
    <w:nsid w:val="5749361F"/>
    <w:multiLevelType w:val="hybridMultilevel"/>
    <w:lvl w:ilvl="0">
      <w:lvlJc w:val="left"/>
      <w:lvlText w:val="(%1)"/>
      <w:numFmt w:val="lowerLetter"/>
      <w:start w:val="4"/>
    </w:lvl>
  </w:abstractNum>
  <w:abstractNum w:abstractNumId="245">
    <w:nsid w:val="73BC6770"/>
    <w:multiLevelType w:val="hybridMultilevel"/>
    <w:lvl w:ilvl="0">
      <w:lvlJc w:val="left"/>
      <w:lvlText w:val="%1."/>
      <w:numFmt w:val="decimal"/>
      <w:start w:val="5"/>
    </w:lvl>
  </w:abstractNum>
  <w:abstractNum w:abstractNumId="246">
    <w:nsid w:val="280E6897"/>
    <w:multiLevelType w:val="hybridMultilevel"/>
    <w:lvl w:ilvl="0">
      <w:lvlJc w:val="left"/>
      <w:lvlText w:val="(%1)"/>
      <w:numFmt w:val="lowerLetter"/>
      <w:start w:val="1"/>
    </w:lvl>
  </w:abstractNum>
  <w:abstractNum w:abstractNumId="247">
    <w:nsid w:val="605138DE"/>
    <w:multiLevelType w:val="hybridMultilevel"/>
    <w:lvl w:ilvl="0">
      <w:lvlJc w:val="left"/>
      <w:lvlText w:val="(%1)"/>
      <w:numFmt w:val="lowerLetter"/>
      <w:start w:val="3"/>
    </w:lvl>
  </w:abstractNum>
  <w:abstractNum w:abstractNumId="248">
    <w:nsid w:val="2622AD0C"/>
    <w:multiLevelType w:val="hybridMultilevel"/>
    <w:lvl w:ilvl="0">
      <w:lvlJc w:val="left"/>
      <w:lvlText w:val="%1."/>
      <w:numFmt w:val="decimal"/>
      <w:start w:val="6"/>
    </w:lvl>
  </w:abstractNum>
  <w:abstractNum w:abstractNumId="249">
    <w:nsid w:val="67997556"/>
    <w:multiLevelType w:val="hybridMultilevel"/>
    <w:lvl w:ilvl="0">
      <w:lvlJc w:val="left"/>
      <w:lvlText w:val="%1."/>
      <w:numFmt w:val="decimal"/>
      <w:start w:val="1"/>
    </w:lvl>
  </w:abstractNum>
  <w:abstractNum w:abstractNumId="250">
    <w:nsid w:val="18333C89"/>
    <w:multiLevelType w:val="hybridMultilevel"/>
    <w:lvl w:ilvl="0">
      <w:lvlJc w:val="left"/>
      <w:lvlText w:val="%1."/>
      <w:numFmt w:val="decimal"/>
      <w:start w:val="2"/>
    </w:lvl>
    <w:lvl w:ilvl="1">
      <w:lvlJc w:val="left"/>
      <w:lvlText w:val="(%2)"/>
      <w:numFmt w:val="lowerLetter"/>
      <w:start w:val="1"/>
    </w:lvl>
  </w:abstractNum>
  <w:abstractNum w:abstractNumId="251">
    <w:nsid w:val="4BA9831A"/>
    <w:multiLevelType w:val="hybridMultilevel"/>
    <w:lvl w:ilvl="0">
      <w:lvlJc w:val="left"/>
      <w:lvlText w:val="%1"/>
      <w:numFmt w:val="lowerLetter"/>
      <w:start w:val="1"/>
    </w:lvl>
    <w:lvl w:ilvl="1">
      <w:lvlJc w:val="left"/>
      <w:lvlText w:val="(%2)"/>
      <w:numFmt w:val="lowerLetter"/>
      <w:start w:val="3"/>
    </w:lvl>
  </w:abstractNum>
  <w:abstractNum w:abstractNumId="252">
    <w:nsid w:val="6D71A2B"/>
    <w:multiLevelType w:val="hybridMultilevel"/>
    <w:lvl w:ilvl="0">
      <w:lvlJc w:val="left"/>
      <w:lvlText w:val="(%1)"/>
      <w:numFmt w:val="lowerLetter"/>
      <w:start w:val="9"/>
    </w:lvl>
    <w:lvl w:ilvl="1">
      <w:lvlJc w:val="left"/>
      <w:lvlText w:val="%2"/>
      <w:numFmt w:val="lowerLetter"/>
      <w:start w:val="1"/>
    </w:lvl>
  </w:abstractNum>
  <w:abstractNum w:abstractNumId="253">
    <w:nsid w:val="CFC7321"/>
    <w:multiLevelType w:val="hybridMultilevel"/>
    <w:lvl w:ilvl="0">
      <w:lvlJc w:val="left"/>
      <w:lvlText w:val="(%1)"/>
      <w:numFmt w:val="lowerLetter"/>
      <w:start w:val="1"/>
    </w:lvl>
  </w:abstractNum>
  <w:abstractNum w:abstractNumId="254">
    <w:nsid w:val="1421971B"/>
    <w:multiLevelType w:val="hybridMultilevel"/>
    <w:lvl w:ilvl="0">
      <w:lvlJc w:val="left"/>
      <w:lvlText w:val="(%1)"/>
      <w:numFmt w:val="lowerLetter"/>
      <w:start w:val="1"/>
    </w:lvl>
  </w:abstractNum>
  <w:abstractNum w:abstractNumId="255">
    <w:nsid w:val="1F404301"/>
    <w:multiLevelType w:val="hybridMultilevel"/>
    <w:lvl w:ilvl="0">
      <w:lvlJc w:val="left"/>
      <w:lvlText w:val="(%1)"/>
      <w:numFmt w:val="lowerLetter"/>
      <w:start w:val="2"/>
    </w:lvl>
  </w:abstractNum>
  <w:abstractNum w:abstractNumId="256">
    <w:nsid w:val="116E0907"/>
    <w:multiLevelType w:val="hybridMultilevel"/>
    <w:lvl w:ilvl="0">
      <w:lvlJc w:val="left"/>
      <w:lvlText w:val="(%1)"/>
      <w:numFmt w:val="lowerLetter"/>
      <w:start w:val="10"/>
    </w:lvl>
  </w:abstractNum>
  <w:abstractNum w:abstractNumId="257">
    <w:nsid w:val="4B683D0D"/>
    <w:multiLevelType w:val="hybridMultilevel"/>
    <w:lvl w:ilvl="0">
      <w:lvlJc w:val="left"/>
      <w:lvlText w:val="(%1)"/>
      <w:numFmt w:val="lowerLetter"/>
      <w:start w:val="1"/>
    </w:lvl>
  </w:abstractNum>
  <w:abstractNum w:abstractNumId="258">
    <w:nsid w:val="76E41D8"/>
    <w:multiLevelType w:val="hybridMultilevel"/>
    <w:lvl w:ilvl="0">
      <w:lvlJc w:val="left"/>
      <w:lvlText w:val="(%1)"/>
      <w:numFmt w:val="lowerLetter"/>
      <w:start w:val="2"/>
    </w:lvl>
  </w:abstractNum>
  <w:abstractNum w:abstractNumId="259">
    <w:nsid w:val="71DCE0FD"/>
    <w:multiLevelType w:val="hybridMultilevel"/>
    <w:lvl w:ilvl="0">
      <w:lvlJc w:val="left"/>
      <w:lvlText w:val="(%1)"/>
      <w:numFmt w:val="lowerLetter"/>
      <w:start w:val="4"/>
    </w:lvl>
  </w:abstractNum>
  <w:abstractNum w:abstractNumId="260">
    <w:nsid w:val="7906328B"/>
    <w:multiLevelType w:val="hybridMultilevel"/>
    <w:lvl w:ilvl="0">
      <w:lvlJc w:val="left"/>
      <w:lvlText w:val="(%1)"/>
      <w:numFmt w:val="lowerLetter"/>
      <w:start w:val="6"/>
    </w:lvl>
  </w:abstractNum>
  <w:abstractNum w:abstractNumId="261">
    <w:nsid w:val="72BBC16"/>
    <w:multiLevelType w:val="hybridMultilevel"/>
    <w:lvl w:ilvl="0">
      <w:lvlJc w:val="left"/>
      <w:lvlText w:val="(%1)"/>
      <w:numFmt w:val="lowerLetter"/>
      <w:start w:val="1"/>
    </w:lvl>
  </w:abstractNum>
  <w:abstractNum w:abstractNumId="262">
    <w:nsid w:val="766D98C2"/>
    <w:multiLevelType w:val="hybridMultilevel"/>
    <w:lvl w:ilvl="0">
      <w:lvlJc w:val="left"/>
      <w:lvlText w:val="(%1)"/>
      <w:numFmt w:val="decimal"/>
      <w:start w:val="2"/>
    </w:lvl>
  </w:abstractNum>
  <w:abstractNum w:abstractNumId="263">
    <w:nsid w:val="3C09D4A1"/>
    <w:multiLevelType w:val="hybridMultilevel"/>
    <w:lvl w:ilvl="0">
      <w:lvlJc w:val="left"/>
      <w:lvlText w:val="(%1)"/>
      <w:numFmt w:val="lowerLetter"/>
      <w:start w:val="1"/>
    </w:lvl>
  </w:abstractNum>
  <w:abstractNum w:abstractNumId="264">
    <w:nsid w:val="20E45CA4"/>
    <w:multiLevelType w:val="hybridMultilevel"/>
    <w:lvl w:ilvl="0">
      <w:lvlJc w:val="left"/>
      <w:lvlText w:val="(%1)"/>
      <w:numFmt w:val="lowerLetter"/>
      <w:start w:val="2"/>
    </w:lvl>
  </w:abstractNum>
  <w:abstractNum w:abstractNumId="265">
    <w:nsid w:val="4B232EE3"/>
    <w:multiLevelType w:val="hybridMultilevel"/>
    <w:lvl w:ilvl="0">
      <w:lvlJc w:val="left"/>
      <w:lvlText w:val="(%1)"/>
      <w:numFmt w:val="lowerLetter"/>
      <w:start w:val="3"/>
    </w:lvl>
  </w:abstractNum>
  <w:abstractNum w:abstractNumId="266">
    <w:nsid w:val="159C74CF"/>
    <w:multiLevelType w:val="hybridMultilevel"/>
    <w:lvl w:ilvl="0">
      <w:lvlJc w:val="left"/>
      <w:lvlText w:val="%1"/>
      <w:numFmt w:val="decimal"/>
      <w:start w:val="1"/>
    </w:lvl>
    <w:lvl w:ilvl="1">
      <w:lvlJc w:val="left"/>
      <w:lvlText w:val="(%2)"/>
      <w:numFmt w:val="lowerLetter"/>
      <w:start w:val="1"/>
    </w:lvl>
  </w:abstractNum>
  <w:abstractNum w:abstractNumId="267">
    <w:nsid w:val="4AD3AFD2"/>
    <w:multiLevelType w:val="hybridMultilevel"/>
    <w:lvl w:ilvl="0">
      <w:lvlJc w:val="left"/>
      <w:lvlText w:val="%1."/>
      <w:numFmt w:val="decimal"/>
      <w:start w:val="3"/>
    </w:lvl>
    <w:lvl w:ilvl="1">
      <w:lvlJc w:val="left"/>
      <w:lvlText w:val="%2"/>
      <w:numFmt w:val="lowerLetter"/>
      <w:start w:val="1"/>
    </w:lvl>
  </w:abstractNum>
  <w:abstractNum w:abstractNumId="268">
    <w:nsid w:val="3CF93092"/>
    <w:multiLevelType w:val="hybridMultilevel"/>
    <w:lvl w:ilvl="0">
      <w:lvlJc w:val="left"/>
      <w:lvlText w:val="(%1)"/>
      <w:numFmt w:val="lowerLetter"/>
      <w:start w:val="1"/>
    </w:lvl>
  </w:abstractNum>
  <w:abstractNum w:abstractNumId="269">
    <w:nsid w:val="6863E8D2"/>
    <w:multiLevelType w:val="hybridMultilevel"/>
    <w:lvl w:ilvl="0">
      <w:lvlJc w:val="left"/>
      <w:lvlText w:val="(%1)"/>
      <w:numFmt w:val="lowerLetter"/>
      <w:start w:val="4"/>
    </w:lvl>
  </w:abstractNum>
  <w:abstractNum w:abstractNumId="270">
    <w:nsid w:val="76896198"/>
    <w:multiLevelType w:val="hybridMultilevel"/>
    <w:lvl w:ilvl="0">
      <w:lvlJc w:val="left"/>
      <w:lvlText w:val="(%1)"/>
      <w:numFmt w:val="lowerLetter"/>
      <w:start w:val="1"/>
    </w:lvl>
  </w:abstractNum>
  <w:abstractNum w:abstractNumId="271">
    <w:nsid w:val="4365174B"/>
    <w:multiLevelType w:val="hybridMultilevel"/>
    <w:lvl w:ilvl="0">
      <w:lvlJc w:val="left"/>
      <w:lvlText w:val="(%1)"/>
      <w:numFmt w:val="lowerLetter"/>
      <w:start w:val="2"/>
    </w:lvl>
  </w:abstractNum>
  <w:abstractNum w:abstractNumId="272">
    <w:nsid w:val="4A872C35"/>
    <w:multiLevelType w:val="hybridMultilevel"/>
    <w:lvl w:ilvl="0">
      <w:lvlJc w:val="left"/>
      <w:lvlText w:val="%1."/>
      <w:numFmt w:val="decimal"/>
      <w:start w:val="4"/>
    </w:lvl>
  </w:abstractNum>
  <w:abstractNum w:abstractNumId="273">
    <w:nsid w:val="5D5CE761"/>
    <w:multiLevelType w:val="hybridMultilevel"/>
    <w:lvl w:ilvl="0">
      <w:lvlJc w:val="left"/>
      <w:lvlText w:val="(%1)"/>
      <w:numFmt w:val="lowerLetter"/>
      <w:start w:val="1"/>
    </w:lvl>
  </w:abstractNum>
  <w:abstractNum w:abstractNumId="274">
    <w:nsid w:val="1CD484D5"/>
    <w:multiLevelType w:val="hybridMultilevel"/>
    <w:lvl w:ilvl="0">
      <w:lvlJc w:val="left"/>
      <w:lvlText w:val="(%1)"/>
      <w:numFmt w:val="lowerLetter"/>
      <w:start w:val="4"/>
    </w:lvl>
  </w:abstractNum>
  <w:abstractNum w:abstractNumId="275">
    <w:nsid w:val="21D06255"/>
    <w:multiLevelType w:val="hybridMultilevel"/>
    <w:lvl w:ilvl="0">
      <w:lvlJc w:val="left"/>
      <w:lvlText w:val="%1."/>
      <w:numFmt w:val="decimal"/>
      <w:start w:val="5"/>
    </w:lvl>
  </w:abstractNum>
  <w:abstractNum w:abstractNumId="276">
    <w:nsid w:val="51194ED1"/>
    <w:multiLevelType w:val="hybridMultilevel"/>
    <w:lvl w:ilvl="0">
      <w:lvlJc w:val="left"/>
      <w:lvlText w:val="(%1)"/>
      <w:numFmt w:val="lowerLetter"/>
      <w:start w:val="1"/>
    </w:lvl>
  </w:abstractNum>
  <w:abstractNum w:abstractNumId="277">
    <w:nsid w:val="44E2ED6C"/>
    <w:multiLevelType w:val="hybridMultilevel"/>
    <w:lvl w:ilvl="0">
      <w:lvlJc w:val="left"/>
      <w:lvlText w:val="(%1)"/>
      <w:numFmt w:val="lowerLetter"/>
      <w:start w:val="3"/>
    </w:lvl>
  </w:abstractNum>
  <w:abstractNum w:abstractNumId="278">
    <w:nsid w:val="2219B33"/>
    <w:multiLevelType w:val="hybridMultilevel"/>
    <w:lvl w:ilvl="0">
      <w:lvlJc w:val="left"/>
      <w:lvlText w:val="%1."/>
      <w:numFmt w:val="decimal"/>
      <w:start w:val="6"/>
    </w:lvl>
  </w:abstractNum>
  <w:abstractNum w:abstractNumId="279">
    <w:nsid w:val="773BFBDD"/>
    <w:multiLevelType w:val="hybridMultilevel"/>
    <w:lvl w:ilvl="0">
      <w:lvlJc w:val="left"/>
      <w:lvlText w:val="%1."/>
      <w:numFmt w:val="upperLetter"/>
      <w:start w:val="1"/>
    </w:lvl>
  </w:abstractNum>
  <w:abstractNum w:abstractNumId="280">
    <w:nsid w:val="2C7C62C2"/>
    <w:multiLevelType w:val="hybridMultilevel"/>
    <w:lvl w:ilvl="0">
      <w:lvlJc w:val="left"/>
      <w:lvlText w:val="%1."/>
      <w:numFmt w:val="decimal"/>
      <w:start w:val="1"/>
    </w:lvl>
    <w:lvl w:ilvl="1">
      <w:lvlJc w:val="left"/>
      <w:lvlText w:val="(%2)"/>
      <w:numFmt w:val="lowerLetter"/>
      <w:start w:val="1"/>
    </w:lvl>
  </w:abstractNum>
  <w:abstractNum w:abstractNumId="281">
    <w:nsid w:val="1A54D7BC"/>
    <w:multiLevelType w:val="hybridMultilevel"/>
    <w:lvl w:ilvl="0">
      <w:lvlJc w:val="left"/>
      <w:lvlText w:val="(%1)"/>
      <w:numFmt w:val="lowerRoman"/>
      <w:start w:val="1"/>
    </w:lvl>
  </w:abstractNum>
  <w:abstractNum w:abstractNumId="282">
    <w:nsid w:val="42E57EF7"/>
    <w:multiLevelType w:val="hybridMultilevel"/>
    <w:lvl w:ilvl="0">
      <w:lvlJc w:val="left"/>
      <w:lvlText w:val="(%1)"/>
      <w:numFmt w:val="decimal"/>
      <w:start w:val="1"/>
    </w:lvl>
  </w:abstractNum>
  <w:abstractNum w:abstractNumId="283">
    <w:nsid w:val="33537CED"/>
    <w:multiLevelType w:val="hybridMultilevel"/>
    <w:lvl w:ilvl="0">
      <w:lvlJc w:val="left"/>
      <w:lvlText w:val="(%1)"/>
      <w:numFmt w:val="lowerLetter"/>
      <w:start w:val="2"/>
    </w:lvl>
  </w:abstractNum>
  <w:abstractNum w:abstractNumId="284">
    <w:nsid w:val="27514ADE"/>
    <w:multiLevelType w:val="hybridMultilevel"/>
    <w:lvl w:ilvl="0">
      <w:lvlJc w:val="left"/>
      <w:lvlText w:val="%1"/>
      <w:numFmt w:val="decimal"/>
      <w:start w:val="1"/>
    </w:lvl>
    <w:lvl w:ilvl="1">
      <w:lvlJc w:val="left"/>
      <w:lvlText w:val="(%2)"/>
      <w:numFmt w:val="lowerLetter"/>
      <w:start w:val="8"/>
    </w:lvl>
  </w:abstractNum>
  <w:abstractNum w:abstractNumId="285">
    <w:nsid w:val="57071613"/>
    <w:multiLevelType w:val="hybridMultilevel"/>
    <w:lvl w:ilvl="0">
      <w:lvlJc w:val="left"/>
      <w:lvlText w:val="%1."/>
      <w:numFmt w:val="decimal"/>
      <w:start w:val="2"/>
    </w:lvl>
    <w:lvl w:ilvl="1">
      <w:lvlJc w:val="left"/>
      <w:lvlText w:val="%2"/>
      <w:numFmt w:val="lowerLetter"/>
      <w:start w:val="1"/>
    </w:lvl>
  </w:abstractNum>
  <w:abstractNum w:abstractNumId="286">
    <w:nsid w:val="5293BFEF"/>
    <w:multiLevelType w:val="hybridMultilevel"/>
    <w:lvl w:ilvl="0">
      <w:lvlJc w:val="left"/>
      <w:lvlText w:val="%1."/>
      <w:numFmt w:val="decimal"/>
      <w:start w:val="4"/>
    </w:lvl>
    <w:lvl w:ilvl="1">
      <w:lvlJc w:val="left"/>
      <w:lvlText w:val="(%2)"/>
      <w:numFmt w:val="lowerLetter"/>
      <w:start w:val="1"/>
    </w:lvl>
  </w:abstractNum>
  <w:abstractNum w:abstractNumId="287">
    <w:nsid w:val="38BF5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8">
    <w:nsid w:val="226F532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9">
    <w:nsid w:val="5A0201C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90">
    <w:nsid w:val="2A9C34E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91">
    <w:nsid w:val="1B7585AB"/>
    <w:multiLevelType w:val="hybridMultilevel"/>
    <w:lvl w:ilvl="0">
      <w:lvlJc w:val="left"/>
      <w:lvlText w:val="(%1)"/>
      <w:numFmt w:val="lowerLetter"/>
      <w:start w:val="4"/>
    </w:lvl>
  </w:abstractNum>
  <w:abstractNum w:abstractNumId="292">
    <w:nsid w:val="612DBDDD"/>
    <w:multiLevelType w:val="hybridMultilevel"/>
    <w:lvl w:ilvl="0">
      <w:lvlJc w:val="left"/>
      <w:lvlText w:val="%1"/>
      <w:numFmt w:val="decimal"/>
      <w:start w:val="1"/>
    </w:lvl>
    <w:lvl w:ilvl="1">
      <w:lvlJc w:val="left"/>
      <w:lvlText w:val="(%2)"/>
      <w:numFmt w:val="lowerLetter"/>
      <w:start w:val="5"/>
    </w:lvl>
  </w:abstractNum>
  <w:abstractNum w:abstractNumId="293">
    <w:nsid w:val="2109CDA4"/>
    <w:multiLevelType w:val="hybridMultilevel"/>
    <w:lvl w:ilvl="0">
      <w:lvlJc w:val="left"/>
      <w:lvlText w:val="%1."/>
      <w:numFmt w:val="decimal"/>
      <w:start w:val="11"/>
    </w:lvl>
    <w:lvl w:ilvl="1">
      <w:lvlJc w:val="left"/>
      <w:lvlText w:val="(%2)"/>
      <w:numFmt w:val="lowerLetter"/>
      <w:start w:val="1"/>
    </w:lvl>
  </w:abstractNum>
  <w:abstractNum w:abstractNumId="294">
    <w:nsid w:val="577F5A4D"/>
    <w:multiLevelType w:val="hybridMultilevel"/>
    <w:lvl w:ilvl="0">
      <w:lvlJc w:val="left"/>
      <w:lvlText w:val="%1"/>
      <w:numFmt w:val="decimal"/>
      <w:start w:val="1"/>
    </w:lvl>
    <w:lvl w:ilvl="1">
      <w:lvlJc w:val="left"/>
      <w:lvlText w:val="(%2)"/>
      <w:numFmt w:val="lowerLetter"/>
      <w:start w:val="3"/>
    </w:lvl>
  </w:abstractNum>
  <w:abstractNum w:abstractNumId="295">
    <w:nsid w:val="2121A81"/>
    <w:multiLevelType w:val="hybridMultilevel"/>
    <w:lvl w:ilvl="0">
      <w:lvlJc w:val="left"/>
      <w:lvlText w:val="%1."/>
      <w:numFmt w:val="decimal"/>
      <w:start w:val="12"/>
    </w:lvl>
    <w:lvl w:ilvl="1">
      <w:lvlJc w:val="left"/>
      <w:lvlText w:val="(%2)"/>
      <w:numFmt w:val="lowerLetter"/>
      <w:start w:val="1"/>
    </w:lvl>
  </w:abstractNum>
  <w:abstractNum w:abstractNumId="296">
    <w:nsid w:val="6C2CFC8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97">
    <w:nsid w:val="6D1BCF1C"/>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298">
    <w:nsid w:val="4CE5CA5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99">
    <w:nsid w:val="29262D1A"/>
    <w:multiLevelType w:val="hybridMultilevel"/>
    <w:lvl w:ilvl="0">
      <w:lvlJc w:val="left"/>
      <w:lvlText w:val="%1"/>
      <w:numFmt w:val="decimal"/>
      <w:start w:val="1"/>
    </w:lvl>
    <w:lvl w:ilvl="1">
      <w:lvlJc w:val="left"/>
      <w:lvlText w:val="(%2)"/>
      <w:numFmt w:val="lowerLetter"/>
      <w:start w:val="3"/>
    </w:lvl>
  </w:abstractNum>
  <w:abstractNum w:abstractNumId="300">
    <w:nsid w:val="557FB7EE"/>
    <w:multiLevelType w:val="hybridMultilevel"/>
    <w:lvl w:ilvl="0">
      <w:lvlJc w:val="left"/>
      <w:lvlText w:val="%1."/>
      <w:numFmt w:val="decimal"/>
      <w:start w:val="14"/>
    </w:lvl>
    <w:lvl w:ilvl="1">
      <w:lvlJc w:val="left"/>
      <w:lvlText w:val="%2"/>
      <w:numFmt w:val="lowerLetter"/>
      <w:start w:val="1"/>
    </w:lvl>
  </w:abstractNum>
  <w:abstractNum w:abstractNumId="301">
    <w:nsid w:val="436F2BEB"/>
    <w:multiLevelType w:val="hybridMultilevel"/>
    <w:lvl w:ilvl="0">
      <w:lvlJc w:val="left"/>
      <w:lvlText w:val="%1."/>
      <w:numFmt w:val="decimal"/>
      <w:start w:val="15"/>
    </w:lvl>
  </w:abstractNum>
  <w:abstractNum w:abstractNumId="302">
    <w:nsid w:val="6C8B4466"/>
    <w:multiLevelType w:val="hybridMultilevel"/>
    <w:lvl w:ilvl="0">
      <w:lvlJc w:val="left"/>
      <w:lvlText w:val="%1."/>
      <w:numFmt w:val="decimal"/>
      <w:start w:val="18"/>
    </w:lvl>
  </w:abstractNum>
  <w:abstractNum w:abstractNumId="303">
    <w:nsid w:val="2006E424"/>
    <w:multiLevelType w:val="hybridMultilevel"/>
    <w:lvl w:ilvl="0">
      <w:lvlJc w:val="left"/>
      <w:lvlText w:val="%1"/>
      <w:numFmt w:val="lowerRoman"/>
      <w:start w:val="1"/>
    </w:lvl>
    <w:lvl w:ilvl="1">
      <w:lvlJc w:val="left"/>
      <w:lvlText w:val="%2."/>
      <w:numFmt w:val="decimal"/>
      <w:start w:val="23"/>
    </w:lvl>
  </w:abstractNum>
  <w:abstractNum w:abstractNumId="304">
    <w:nsid w:val="20CC134C"/>
    <w:multiLevelType w:val="hybridMultilevel"/>
    <w:lvl w:ilvl="0">
      <w:lvlJc w:val="left"/>
      <w:lvlText w:val="(%1)"/>
      <w:numFmt w:val="lowerRoman"/>
      <w:start w:val="3"/>
    </w:lvl>
    <w:lvl w:ilvl="1">
      <w:lvlJc w:val="left"/>
      <w:lvlText w:val="%2."/>
      <w:numFmt w:val="decimal"/>
      <w:start w:val="24"/>
    </w:lvl>
  </w:abstractNum>
  <w:abstractNum w:abstractNumId="305">
    <w:nsid w:val="95FC93B"/>
    <w:multiLevelType w:val="hybridMultilevel"/>
    <w:lvl w:ilvl="0">
      <w:lvlJc w:val="left"/>
      <w:lvlText w:val="%1."/>
      <w:numFmt w:val="decimal"/>
      <w:start w:val="27"/>
    </w:lvl>
    <w:lvl w:ilvl="1">
      <w:lvlJc w:val="left"/>
      <w:lvlText w:val="(%2)"/>
      <w:numFmt w:val="lowerLetter"/>
      <w:start w:val="1"/>
    </w:lvl>
  </w:abstractNum>
  <w:abstractNum w:abstractNumId="306">
    <w:nsid w:val="41D74679"/>
    <w:multiLevelType w:val="hybridMultilevel"/>
    <w:lvl w:ilvl="0">
      <w:lvlJc w:val="left"/>
      <w:lvlText w:val="%1."/>
      <w:numFmt w:val="decimal"/>
      <w:start w:val="28"/>
    </w:lvl>
  </w:abstractNum>
  <w:abstractNum w:abstractNumId="307">
    <w:nsid w:val="71E5621E"/>
    <w:multiLevelType w:val="hybridMultilevel"/>
    <w:lvl w:ilvl="0">
      <w:lvlJc w:val="left"/>
      <w:lvlText w:val="%1."/>
      <w:numFmt w:val="decimal"/>
      <w:start w:val="30"/>
    </w:lvl>
  </w:abstractNum>
  <w:abstractNum w:abstractNumId="308">
    <w:nsid w:val="4E42B6A8"/>
    <w:multiLevelType w:val="hybridMultilevel"/>
    <w:lvl w:ilvl="0">
      <w:lvlJc w:val="left"/>
      <w:lvlText w:val="%1."/>
      <w:numFmt w:val="decimal"/>
      <w:start w:val="1"/>
    </w:lvl>
  </w:abstractNum>
  <w:abstractNum w:abstractNumId="309">
    <w:nsid w:val="43F8E1AC"/>
    <w:multiLevelType w:val="hybridMultilevel"/>
    <w:lvl w:ilvl="0">
      <w:lvlJc w:val="left"/>
      <w:lvlText w:val="%1."/>
      <w:numFmt w:val="decimal"/>
      <w:start w:val="2"/>
    </w:lvl>
  </w:abstractNum>
  <w:abstractNum w:abstractNumId="310">
    <w:nsid w:val="69215DFB"/>
    <w:multiLevelType w:val="hybridMultilevel"/>
    <w:lvl w:ilvl="0">
      <w:lvlJc w:val="left"/>
      <w:lvlText w:val="%1."/>
      <w:numFmt w:val="decimal"/>
      <w:start w:val="3"/>
    </w:lvl>
  </w:abstractNum>
  <w:abstractNum w:abstractNumId="311">
    <w:nsid w:val="7ABF196A"/>
    <w:multiLevelType w:val="hybridMultilevel"/>
    <w:lvl w:ilvl="0">
      <w:lvlJc w:val="left"/>
      <w:lvlText w:val="%1."/>
      <w:numFmt w:val="decimal"/>
      <w:start w:val="4"/>
    </w:lvl>
  </w:abstractNum>
  <w:abstractNum w:abstractNumId="312">
    <w:nsid w:val="5E4DB968"/>
    <w:multiLevelType w:val="hybridMultilevel"/>
    <w:lvl w:ilvl="0">
      <w:lvlJc w:val="left"/>
      <w:lvlText w:val="%1."/>
      <w:numFmt w:val="decimal"/>
      <w:start w:val="5"/>
    </w:lvl>
  </w:abstractNum>
  <w:abstractNum w:abstractNumId="313">
    <w:nsid w:val="2C06DCF3"/>
    <w:multiLevelType w:val="hybridMultilevel"/>
    <w:lvl w:ilvl="0">
      <w:lvlJc w:val="left"/>
      <w:lvlText w:val="%1."/>
      <w:numFmt w:val="decimal"/>
      <w:start w:val="6"/>
    </w:lvl>
  </w:abstractNum>
  <w:abstractNum w:abstractNumId="314">
    <w:nsid w:val="2E129658"/>
    <w:multiLevelType w:val="hybridMultilevel"/>
    <w:lvl w:ilvl="0">
      <w:lvlJc w:val="left"/>
      <w:lvlText w:val="(%1)"/>
      <w:numFmt w:val="lowerRoman"/>
      <w:start w:val="1"/>
    </w:lvl>
  </w:abstractNum>
  <w:abstractNum w:abstractNumId="315">
    <w:nsid w:val="59F0446"/>
    <w:multiLevelType w:val="hybridMultilevel"/>
    <w:lvl w:ilvl="0">
      <w:lvlJc w:val="left"/>
      <w:lvlText w:val="%1."/>
      <w:numFmt w:val="decimal"/>
      <w:start w:val="7"/>
    </w:lvl>
  </w:abstractNum>
  <w:abstractNum w:abstractNumId="316">
    <w:nsid w:val="30DF306"/>
    <w:multiLevelType w:val="hybridMultilevel"/>
    <w:lvl w:ilvl="0">
      <w:lvlJc w:val="left"/>
      <w:lvlText w:val="%1."/>
      <w:numFmt w:val="decimal"/>
      <w:start w:val="8"/>
    </w:lvl>
  </w:abstractNum>
  <w:abstractNum w:abstractNumId="317">
    <w:nsid w:val="A65647"/>
    <w:multiLevelType w:val="hybridMultilevel"/>
    <w:lvl w:ilvl="0">
      <w:lvlJc w:val="left"/>
      <w:lvlText w:val="%1."/>
      <w:numFmt w:val="decimal"/>
      <w:start w:val="9"/>
    </w:lvl>
  </w:abstractNum>
  <w:abstractNum w:abstractNumId="318">
    <w:nsid w:val="3E5E582B"/>
    <w:multiLevelType w:val="hybridMultilevel"/>
    <w:lvl w:ilvl="0">
      <w:lvlJc w:val="left"/>
      <w:lvlText w:val="%1."/>
      <w:numFmt w:val="decimal"/>
      <w:start w:val="10"/>
    </w:lvl>
    <w:lvl w:ilvl="1">
      <w:lvlJc w:val="left"/>
      <w:lvlText w:val="(%2)"/>
      <w:numFmt w:val="lowerRoman"/>
      <w:start w:val="1"/>
    </w:lvl>
  </w:abstractNum>
  <w:abstractNum w:abstractNumId="319">
    <w:nsid w:val="257D4626"/>
    <w:multiLevelType w:val="hybridMultilevel"/>
    <w:lvl w:ilvl="0">
      <w:lvlJc w:val="left"/>
      <w:lvlText w:val="(%1)"/>
      <w:numFmt w:val="lowerRoman"/>
      <w:start w:val="4"/>
    </w:lvl>
  </w:abstractNum>
  <w:abstractNum w:abstractNumId="320">
    <w:nsid w:val="5AA8580E"/>
    <w:multiLevelType w:val="hybridMultilevel"/>
    <w:lvl w:ilvl="0">
      <w:lvlJc w:val="left"/>
      <w:lvlText w:val="%1."/>
      <w:numFmt w:val="decimal"/>
      <w:start w:val="11"/>
    </w:lvl>
  </w:abstractNum>
  <w:abstractNum w:abstractNumId="321">
    <w:nsid w:val="68FA8D0D"/>
    <w:multiLevelType w:val="hybridMultilevel"/>
    <w:lvl w:ilvl="0">
      <w:lvlJc w:val="left"/>
      <w:lvlText w:val="%1."/>
      <w:numFmt w:val="decimal"/>
      <w:start w:val="12"/>
    </w:lvl>
  </w:abstractNum>
  <w:abstractNum w:abstractNumId="322">
    <w:nsid w:val="40F2CBD2"/>
    <w:multiLevelType w:val="hybridMultilevel"/>
    <w:lvl w:ilvl="0">
      <w:lvlJc w:val="left"/>
      <w:lvlText w:val="%1."/>
      <w:numFmt w:val="decimal"/>
      <w:start w:val="15"/>
    </w:lvl>
  </w:abstractNum>
  <w:abstractNum w:abstractNumId="323">
    <w:nsid w:val="3BD615EB"/>
    <w:multiLevelType w:val="hybridMultilevel"/>
    <w:lvl w:ilvl="0">
      <w:lvlJc w:val="left"/>
      <w:lvlText w:val="%1."/>
      <w:numFmt w:val="decimal"/>
      <w:start w:val="16"/>
    </w:lvl>
  </w:abstractNum>
  <w:abstractNum w:abstractNumId="324">
    <w:nsid w:val="A045AB2"/>
    <w:multiLevelType w:val="hybridMultilevel"/>
    <w:lvl w:ilvl="0">
      <w:lvlJc w:val="left"/>
      <w:lvlText w:val="%1."/>
      <w:numFmt w:val="decimal"/>
      <w:start w:val="19"/>
    </w:lvl>
  </w:abstractNum>
  <w:abstractNum w:abstractNumId="325">
    <w:nsid w:val="1872261F"/>
    <w:multiLevelType w:val="hybridMultilevel"/>
    <w:lvl w:ilvl="0">
      <w:lvlJc w:val="left"/>
      <w:lvlText w:val="%1."/>
      <w:numFmt w:val="decimal"/>
      <w:start w:val="21"/>
    </w:lvl>
  </w:abstractNum>
  <w:abstractNum w:abstractNumId="326">
    <w:nsid w:val="3DE8306C"/>
    <w:multiLevelType w:val="hybridMultilevel"/>
    <w:lvl w:ilvl="0">
      <w:lvlJc w:val="left"/>
      <w:lvlText w:val="%1."/>
      <w:numFmt w:val="decimal"/>
      <w:start w:val="25"/>
    </w:lvl>
  </w:abstractNum>
  <w:abstractNum w:abstractNumId="327">
    <w:nsid w:val="7631573A"/>
    <w:multiLevelType w:val="hybridMultilevel"/>
    <w:lvl w:ilvl="0">
      <w:lvlJc w:val="left"/>
      <w:lvlText w:val="%1."/>
      <w:numFmt w:val="decimal"/>
      <w:start w:val="1"/>
    </w:lvl>
  </w:abstractNum>
  <w:abstractNum w:abstractNumId="328">
    <w:nsid w:val="58DF53B"/>
    <w:multiLevelType w:val="hybridMultilevel"/>
    <w:lvl w:ilvl="0">
      <w:lvlJc w:val="left"/>
      <w:lvlText w:val="(%1)"/>
      <w:numFmt w:val="lowerRoman"/>
      <w:start w:val="1"/>
    </w:lvl>
  </w:abstractNum>
  <w:abstractNum w:abstractNumId="329">
    <w:nsid w:val="ACDFAC0"/>
    <w:multiLevelType w:val="hybridMultilevel"/>
    <w:lvl w:ilvl="0">
      <w:lvlJc w:val="left"/>
      <w:lvlText w:val="%1."/>
      <w:numFmt w:val="decimal"/>
      <w:start w:val="7"/>
    </w:lvl>
  </w:abstractNum>
  <w:abstractNum w:abstractNumId="330">
    <w:nsid w:val="1F578454"/>
    <w:multiLevelType w:val="hybridMultilevel"/>
    <w:lvl w:ilvl="0">
      <w:lvlJc w:val="left"/>
      <w:lvlText w:val="%1."/>
      <w:numFmt w:val="decimal"/>
      <w:start w:val="9"/>
    </w:lvl>
    <w:lvl w:ilvl="1">
      <w:lvlJc w:val="left"/>
      <w:lvlText w:val="(%2)"/>
      <w:numFmt w:val="lowerRoman"/>
      <w:start w:val="1"/>
    </w:lvl>
  </w:abstractNum>
  <w:abstractNum w:abstractNumId="331">
    <w:nsid w:val="5B0DAD2A"/>
    <w:multiLevelType w:val="hybridMultilevel"/>
    <w:lvl w:ilvl="0">
      <w:lvlJc w:val="left"/>
      <w:lvlText w:val="%1"/>
      <w:numFmt w:val="decimal"/>
      <w:start w:val="1"/>
    </w:lvl>
    <w:lvl w:ilvl="1">
      <w:lvlJc w:val="left"/>
      <w:lvlText w:val="(%2)"/>
      <w:numFmt w:val="lowerRoman"/>
      <w:start w:val="5"/>
    </w:lvl>
  </w:abstractNum>
  <w:abstractNum w:abstractNumId="332">
    <w:nsid w:val="4E3D26AB"/>
    <w:multiLevelType w:val="hybridMultilevel"/>
    <w:lvl w:ilvl="0">
      <w:lvlJc w:val="left"/>
      <w:lvlText w:val="%1."/>
      <w:numFmt w:val="decimal"/>
      <w:start w:val="10"/>
    </w:lvl>
    <w:lvl w:ilvl="1">
      <w:lvlJc w:val="left"/>
      <w:lvlText w:val="%2"/>
      <w:numFmt w:val="lowerRoman"/>
      <w:start w:val="1"/>
    </w:lvl>
  </w:abstractNum>
  <w:abstractNum w:abstractNumId="333">
    <w:nsid w:val="BE2C8BA"/>
    <w:multiLevelType w:val="hybridMultilevel"/>
    <w:lvl w:ilvl="0">
      <w:lvlJc w:val="left"/>
      <w:lvlText w:val="%1."/>
      <w:numFmt w:val="decimal"/>
      <w:start w:val="1"/>
    </w:lvl>
  </w:abstractNum>
  <w:abstractNum w:abstractNumId="334">
    <w:nsid w:val="7B14914E"/>
    <w:multiLevelType w:val="hybridMultilevel"/>
    <w:lvl w:ilvl="0">
      <w:lvlJc w:val="left"/>
      <w:lvlText w:val="%1."/>
      <w:numFmt w:val="decimal"/>
      <w:start w:val="6"/>
    </w:lvl>
  </w:abstractNum>
  <w:abstractNum w:abstractNumId="335">
    <w:nsid w:val="6F0939F8"/>
    <w:multiLevelType w:val="hybridMultilevel"/>
    <w:lvl w:ilvl="0">
      <w:lvlJc w:val="left"/>
      <w:lvlText w:val="%1."/>
      <w:numFmt w:val="decimal"/>
      <w:start w:val="7"/>
    </w:lvl>
  </w:abstractNum>
  <w:abstractNum w:abstractNumId="336">
    <w:nsid w:val="154291F6"/>
    <w:multiLevelType w:val="hybridMultilevel"/>
    <w:lvl w:ilvl="0">
      <w:lvlJc w:val="left"/>
      <w:lvlText w:val="(%1)"/>
      <w:numFmt w:val="lowerRoman"/>
      <w:start w:val="1"/>
    </w:lvl>
  </w:abstractNum>
  <w:abstractNum w:abstractNumId="337">
    <w:nsid w:val="3CEBD7C7"/>
    <w:multiLevelType w:val="hybridMultilevel"/>
    <w:lvl w:ilvl="0">
      <w:lvlJc w:val="left"/>
      <w:lvlText w:val="%1."/>
      <w:numFmt w:val="decimal"/>
      <w:start w:val="8"/>
    </w:lvl>
  </w:abstractNum>
  <w:abstractNum w:abstractNumId="338">
    <w:nsid w:val="60EE9C16"/>
    <w:multiLevelType w:val="hybridMultilevel"/>
    <w:lvl w:ilvl="0">
      <w:lvlJc w:val="left"/>
      <w:lvlText w:val="%1."/>
      <w:numFmt w:val="decimal"/>
      <w:start w:val="1"/>
    </w:lvl>
  </w:abstractNum>
  <w:abstractNum w:abstractNumId="339">
    <w:nsid w:val="6385489E"/>
    <w:multiLevelType w:val="hybridMultilevel"/>
    <w:lvl w:ilvl="0">
      <w:lvlJc w:val="left"/>
      <w:lvlText w:val="(%1)"/>
      <w:numFmt w:val="lowerRoman"/>
      <w:start w:val="1"/>
    </w:lvl>
  </w:abstractNum>
  <w:abstractNum w:abstractNumId="340">
    <w:nsid w:val="E4B973"/>
    <w:multiLevelType w:val="hybridMultilevel"/>
    <w:lvl w:ilvl="0">
      <w:lvlJc w:val="left"/>
      <w:lvlText w:val="%1."/>
      <w:numFmt w:val="decimal"/>
      <w:start w:val="7"/>
    </w:lvl>
  </w:abstractNum>
  <w:abstractNum w:abstractNumId="341">
    <w:nsid w:val="4A0FFA11"/>
    <w:multiLevelType w:val="hybridMultilevel"/>
    <w:lvl w:ilvl="0">
      <w:lvlJc w:val="left"/>
      <w:lvlText w:val="%1."/>
      <w:numFmt w:val="decimal"/>
      <w:start w:val="9"/>
    </w:lvl>
    <w:lvl w:ilvl="1">
      <w:lvlJc w:val="left"/>
      <w:lvlText w:val="(%2)"/>
      <w:numFmt w:val="lowerRoman"/>
      <w:start w:val="1"/>
    </w:lvl>
  </w:abstractNum>
  <w:abstractNum w:abstractNumId="342">
    <w:nsid w:val="5E446208"/>
    <w:multiLevelType w:val="hybridMultilevel"/>
    <w:lvl w:ilvl="0">
      <w:lvlJc w:val="left"/>
      <w:lvlText w:val="%1."/>
      <w:numFmt w:val="decimal"/>
      <w:start w:val="10"/>
    </w:lvl>
  </w:abstractNum>
  <w:abstractNum w:abstractNumId="343">
    <w:nsid w:val="5F3272DB"/>
    <w:multiLevelType w:val="hybridMultilevel"/>
    <w:lvl w:ilvl="0">
      <w:lvlJc w:val="left"/>
      <w:lvlText w:val="%1."/>
      <w:numFmt w:val="decimal"/>
      <w:start w:val="1"/>
    </w:lvl>
  </w:abstractNum>
  <w:abstractNum w:abstractNumId="344">
    <w:nsid w:val="7616D704"/>
    <w:multiLevelType w:val="hybridMultilevel"/>
    <w:lvl w:ilvl="0">
      <w:lvlJc w:val="left"/>
      <w:lvlText w:val="%1."/>
      <w:numFmt w:val="decimal"/>
      <w:start w:val="6"/>
    </w:lvl>
  </w:abstractNum>
  <w:abstractNum w:abstractNumId="345">
    <w:nsid w:val="C56F860"/>
    <w:multiLevelType w:val="hybridMultilevel"/>
    <w:lvl w:ilvl="0">
      <w:lvlJc w:val="left"/>
      <w:lvlText w:val="%1"/>
      <w:numFmt w:val="decimal"/>
      <w:start w:val="1"/>
    </w:lvl>
    <w:lvl w:ilvl="1">
      <w:lvlJc w:val="left"/>
      <w:lvlText w:val="%2."/>
      <w:numFmt w:val="decimal"/>
      <w:start w:val="7"/>
    </w:lvl>
    <w:lvl w:ilvl="2">
      <w:lvlJc w:val="left"/>
      <w:lvlText w:val="(%3)"/>
      <w:numFmt w:val="lowerRoman"/>
      <w:start w:val="1"/>
    </w:lvl>
  </w:abstractNum>
  <w:abstractNum w:abstractNumId="346">
    <w:nsid w:val="64D17722"/>
    <w:multiLevelType w:val="hybridMultilevel"/>
    <w:lvl w:ilvl="0">
      <w:lvlJc w:val="left"/>
      <w:lvlText w:val="%1."/>
      <w:numFmt w:val="decimal"/>
      <w:start w:val="8"/>
    </w:lvl>
    <w:lvl w:ilvl="1">
      <w:lvlJc w:val="left"/>
      <w:lvlText w:val="%2"/>
      <w:numFmt w:val="decimal"/>
      <w:start w:val="1"/>
    </w:lvl>
    <w:lvl w:ilvl="2">
      <w:lvlJc w:val="left"/>
      <w:lvlText w:val="%3"/>
      <w:numFmt w:val="lowerRoman"/>
      <w:start w:val="1"/>
    </w:lvl>
  </w:abstractNum>
  <w:abstractNum w:abstractNumId="347">
    <w:nsid w:val="7924CA0A"/>
    <w:multiLevelType w:val="hybridMultilevel"/>
    <w:lvl w:ilvl="0">
      <w:lvlJc w:val="left"/>
      <w:lvlText w:val="%1."/>
      <w:numFmt w:val="decimal"/>
      <w:start w:val="1"/>
    </w:lvl>
  </w:abstractNum>
  <w:abstractNum w:abstractNumId="348">
    <w:nsid w:val="CFD4EA7"/>
    <w:multiLevelType w:val="hybridMultilevel"/>
    <w:lvl w:ilvl="0">
      <w:lvlJc w:val="left"/>
      <w:lvlText w:val="%1."/>
      <w:numFmt w:val="decimal"/>
      <w:start w:val="2"/>
    </w:lvl>
    <w:lvl w:ilvl="1">
      <w:lvlJc w:val="left"/>
      <w:lvlText w:val="(%2)"/>
      <w:numFmt w:val="lowerLetter"/>
      <w:start w:val="1"/>
    </w:lvl>
  </w:abstractNum>
  <w:abstractNum w:abstractNumId="349">
    <w:nsid w:val="232FCF4D"/>
    <w:multiLevelType w:val="hybridMultilevel"/>
    <w:lvl w:ilvl="0">
      <w:lvlJc w:val="left"/>
      <w:lvlText w:val="%1"/>
      <w:numFmt w:val="decimal"/>
      <w:start w:val="1"/>
    </w:lvl>
    <w:lvl w:ilvl="1">
      <w:lvlJc w:val="left"/>
      <w:lvlText w:val="(%2)"/>
      <w:numFmt w:val="lowerLetter"/>
      <w:start w:val="3"/>
    </w:lvl>
  </w:abstractNum>
  <w:abstractNum w:abstractNumId="350">
    <w:nsid w:val="1EA21031"/>
    <w:multiLevelType w:val="hybridMultilevel"/>
    <w:lvl w:ilvl="0">
      <w:lvlJc w:val="left"/>
      <w:lvlText w:val="%1."/>
      <w:numFmt w:val="decimal"/>
      <w:start w:val="4"/>
    </w:lvl>
    <w:lvl w:ilvl="1">
      <w:lvlJc w:val="left"/>
      <w:lvlText w:val="(%2)"/>
      <w:numFmt w:val="lowerLetter"/>
      <w:start w:val="1"/>
    </w:lvl>
  </w:abstractNum>
  <w:abstractNum w:abstractNumId="351">
    <w:nsid w:val="67A5A6B5"/>
    <w:multiLevelType w:val="hybridMultilevel"/>
    <w:lvl w:ilvl="0">
      <w:lvlJc w:val="left"/>
      <w:lvlText w:val="(%1)"/>
      <w:numFmt w:val="lowerLetter"/>
      <w:start w:val="2"/>
    </w:lvl>
    <w:lvl w:ilvl="1">
      <w:lvlJc w:val="left"/>
      <w:lvlText w:val="(%2)"/>
      <w:numFmt w:val="lowerRoman"/>
      <w:start w:val="1"/>
    </w:lvl>
  </w:abstractNum>
  <w:abstractNum w:abstractNumId="352">
    <w:nsid w:val="C2A5C5B"/>
    <w:multiLevelType w:val="hybridMultilevel"/>
    <w:lvl w:ilvl="0">
      <w:lvlJc w:val="left"/>
      <w:lvlText w:val="%1"/>
      <w:numFmt w:val="decimal"/>
      <w:start w:val="1"/>
    </w:lvl>
    <w:lvl w:ilvl="1">
      <w:lvlJc w:val="left"/>
      <w:lvlText w:val="(%2)"/>
      <w:numFmt w:val="lowerLetter"/>
      <w:start w:val="5"/>
    </w:lvl>
  </w:abstractNum>
  <w:abstractNum w:abstractNumId="353">
    <w:nsid w:val="5F94DC03"/>
    <w:multiLevelType w:val="hybridMultilevel"/>
    <w:lvl w:ilvl="0">
      <w:lvlJc w:val="left"/>
      <w:lvlText w:val="%1."/>
      <w:numFmt w:val="decimal"/>
      <w:start w:val="5"/>
    </w:lvl>
    <w:lvl w:ilvl="1">
      <w:lvlJc w:val="left"/>
      <w:lvlText w:val="(%2)"/>
      <w:numFmt w:val="lowerLetter"/>
      <w:start w:val="1"/>
    </w:lvl>
  </w:abstractNum>
  <w:abstractNum w:abstractNumId="354">
    <w:nsid w:val="237BBCA0"/>
    <w:multiLevelType w:val="hybridMultilevel"/>
    <w:lvl w:ilvl="0">
      <w:lvlJc w:val="left"/>
      <w:lvlText w:val="(%1)"/>
      <w:numFmt w:val="lowerLetter"/>
      <w:start w:val="2"/>
    </w:lvl>
  </w:abstractNum>
  <w:abstractNum w:abstractNumId="355">
    <w:nsid w:val="162EB70D"/>
    <w:multiLevelType w:val="hybridMultilevel"/>
    <w:lvl w:ilvl="0">
      <w:lvlJc w:val="left"/>
      <w:lvlText w:val="%1."/>
      <w:numFmt w:val="decimal"/>
      <w:start w:val="6"/>
    </w:lvl>
    <w:lvl w:ilvl="1">
      <w:lvlJc w:val="left"/>
      <w:lvlText w:val="(%2)"/>
      <w:numFmt w:val="lowerLetter"/>
      <w:start w:val="1"/>
    </w:lvl>
  </w:abstractNum>
  <w:abstractNum w:abstractNumId="356">
    <w:nsid w:val="7807022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57">
    <w:nsid w:val="6163ED0D"/>
    <w:multiLevelType w:val="hybridMultilevel"/>
    <w:lvl w:ilvl="0">
      <w:lvlJc w:val="left"/>
      <w:lvlText w:val="(%1)"/>
      <w:numFmt w:val="lowerLetter"/>
      <w:start w:val="5"/>
    </w:lvl>
  </w:abstractNum>
  <w:abstractNum w:abstractNumId="358">
    <w:nsid w:val="C600E47"/>
    <w:multiLevelType w:val="hybridMultilevel"/>
    <w:lvl w:ilvl="0">
      <w:lvlJc w:val="left"/>
      <w:lvlText w:val="(%1)"/>
      <w:numFmt w:val="lowerLetter"/>
      <w:start w:val="6"/>
    </w:lvl>
  </w:abstractNum>
  <w:abstractNum w:abstractNumId="359">
    <w:nsid w:val="7D94F75D"/>
    <w:multiLevelType w:val="hybridMultilevel"/>
    <w:lvl w:ilvl="0">
      <w:lvlJc w:val="left"/>
      <w:lvlText w:val="(%1)"/>
      <w:numFmt w:val="lowerLetter"/>
      <w:start w:val="12"/>
    </w:lvl>
  </w:abstractNum>
  <w:abstractNum w:abstractNumId="360">
    <w:nsid w:val="6C31E7CD"/>
    <w:multiLevelType w:val="hybridMultilevel"/>
    <w:lvl w:ilvl="0">
      <w:lvlJc w:val="left"/>
      <w:lvlText w:val="%1."/>
      <w:numFmt w:val="decimal"/>
      <w:start w:val="1"/>
    </w:lvl>
    <w:lvl w:ilvl="1">
      <w:lvlJc w:val="left"/>
      <w:lvlText w:val="•"/>
      <w:numFmt w:val="bullet"/>
      <w:start w:val="1"/>
    </w:lvl>
  </w:abstractNum>
  <w:abstractNum w:abstractNumId="361">
    <w:nsid w:val="2BB7929B"/>
    <w:multiLevelType w:val="hybridMultilevel"/>
    <w:lvl w:ilvl="0">
      <w:lvlJc w:val="left"/>
      <w:lvlText w:val="%1."/>
      <w:numFmt w:val="decimal"/>
      <w:start w:val="2"/>
    </w:lvl>
    <w:lvl w:ilvl="1">
      <w:lvlJc w:val="left"/>
      <w:lvlText w:val="(%2)"/>
      <w:numFmt w:val="lowerLetter"/>
      <w:start w:val="1"/>
    </w:lvl>
  </w:abstractNum>
  <w:abstractNum w:abstractNumId="362">
    <w:nsid w:val="58A2A487"/>
    <w:multiLevelType w:val="hybridMultilevel"/>
    <w:lvl w:ilvl="0">
      <w:lvlJc w:val="left"/>
      <w:lvlText w:val="(%1)"/>
      <w:numFmt w:val="lowerLetter"/>
      <w:start w:val="2"/>
    </w:lvl>
    <w:lvl w:ilvl="1">
      <w:lvlJc w:val="left"/>
      <w:lvlText w:val="(%2)"/>
      <w:numFmt w:val="lowerLetter"/>
      <w:start w:val="9"/>
    </w:lvl>
  </w:abstractNum>
  <w:abstractNum w:abstractNumId="363">
    <w:nsid w:val="3A6F0E78"/>
    <w:multiLevelType w:val="hybridMultilevel"/>
    <w:lvl w:ilvl="0">
      <w:lvlJc w:val="left"/>
      <w:lvlText w:val="(%1)"/>
      <w:numFmt w:val="lowerRoman"/>
      <w:start w:val="2"/>
    </w:lvl>
  </w:abstractNum>
  <w:abstractNum w:abstractNumId="364">
    <w:nsid w:val="379A5B56"/>
    <w:multiLevelType w:val="hybridMultilevel"/>
    <w:lvl w:ilvl="0">
      <w:lvlJc w:val="left"/>
      <w:lvlText w:val="(%1)"/>
      <w:numFmt w:val="lowerLetter"/>
      <w:start w:val="7"/>
    </w:lvl>
  </w:abstractNum>
  <w:abstractNum w:abstractNumId="365">
    <w:nsid w:val="53B735D5"/>
    <w:multiLevelType w:val="hybridMultilevel"/>
    <w:lvl w:ilvl="0">
      <w:lvlJc w:val="left"/>
      <w:lvlText w:val="(%1)"/>
      <w:numFmt w:val="lowerLetter"/>
      <w:start w:val="14"/>
    </w:lvl>
    <w:lvl w:ilvl="1">
      <w:lvlJc w:val="left"/>
      <w:lvlText w:val="(%2)"/>
      <w:numFmt w:val="lowerRoman"/>
      <w:start w:val="1"/>
    </w:lvl>
  </w:abstractNum>
  <w:abstractNum w:abstractNumId="366">
    <w:nsid w:val="29784870"/>
    <w:multiLevelType w:val="hybridMultilevel"/>
    <w:lvl w:ilvl="0">
      <w:lvlJc w:val="left"/>
      <w:lvlText w:val="%1"/>
      <w:numFmt w:val="decimal"/>
      <w:start w:val="1"/>
    </w:lvl>
    <w:lvl w:ilvl="1">
      <w:lvlJc w:val="left"/>
      <w:lvlText w:val="(%2)"/>
      <w:numFmt w:val="lowerLetter"/>
      <w:start w:val="21"/>
    </w:lvl>
  </w:abstractNum>
  <w:abstractNum w:abstractNumId="367">
    <w:nsid w:val="4CDCED4C"/>
    <w:multiLevelType w:val="hybridMultilevel"/>
    <w:lvl w:ilvl="0">
      <w:lvlJc w:val="left"/>
      <w:lvlText w:val="%1."/>
      <w:numFmt w:val="decimal"/>
      <w:start w:val="3"/>
    </w:lvl>
    <w:lvl w:ilvl="1">
      <w:lvlJc w:val="left"/>
      <w:lvlText w:val="(%2)"/>
      <w:numFmt w:val="lowerLetter"/>
      <w:start w:val="1"/>
    </w:lvl>
  </w:abstractNum>
  <w:abstractNum w:abstractNumId="368">
    <w:nsid w:val="10A30D9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9">
    <w:nsid w:val="A66E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370">
    <w:nsid w:val="306235E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1">
    <w:nsid w:val="1187C7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2">
    <w:nsid w:val="5476DE98"/>
    <w:multiLevelType w:val="hybridMultilevel"/>
    <w:lvl w:ilvl="0">
      <w:lvlJc w:val="left"/>
      <w:lvlText w:val="%1."/>
      <w:numFmt w:val="decimal"/>
      <w:start w:val="7"/>
    </w:lvl>
    <w:lvl w:ilvl="1">
      <w:lvlJc w:val="left"/>
      <w:lvlText w:val="(%2)"/>
      <w:numFmt w:val="lowerLetter"/>
      <w:start w:val="1"/>
    </w:lvl>
  </w:abstractNum>
  <w:abstractNum w:abstractNumId="373">
    <w:nsid w:val="EA697F2"/>
    <w:multiLevelType w:val="hybridMultilevel"/>
    <w:lvl w:ilvl="0">
      <w:lvlJc w:val="left"/>
      <w:lvlText w:val="%1"/>
      <w:numFmt w:val="lowerLetter"/>
      <w:start w:val="1"/>
    </w:lvl>
    <w:lvl w:ilvl="1">
      <w:lvlJc w:val="left"/>
      <w:lvlText w:val="(%2)"/>
      <w:numFmt w:val="lowerLetter"/>
      <w:start w:val="2"/>
    </w:lvl>
  </w:abstractNum>
  <w:abstractNum w:abstractNumId="374">
    <w:nsid w:val="70BA39EB"/>
    <w:multiLevelType w:val="hybridMultilevel"/>
    <w:lvl w:ilvl="0">
      <w:lvlJc w:val="left"/>
      <w:lvlText w:val="(%1)"/>
      <w:numFmt w:val="lowerLetter"/>
      <w:start w:val="61"/>
    </w:lvl>
    <w:lvl w:ilvl="1">
      <w:lvlJc w:val="left"/>
      <w:lvlText w:val="%2"/>
      <w:numFmt w:val="lowerLetter"/>
      <w:start w:val="1"/>
    </w:lvl>
  </w:abstractNum>
  <w:abstractNum w:abstractNumId="375">
    <w:nsid w:val="4A8DB59C"/>
    <w:multiLevelType w:val="hybridMultilevel"/>
    <w:lvl w:ilvl="0">
      <w:lvlJc w:val="left"/>
      <w:lvlText w:val="%1."/>
      <w:numFmt w:val="decimal"/>
      <w:start w:val="11"/>
    </w:lvl>
    <w:lvl w:ilvl="1">
      <w:lvlJc w:val="left"/>
      <w:lvlText w:val="(%2)"/>
      <w:numFmt w:val="lowerLetter"/>
      <w:start w:val="1"/>
    </w:lvl>
  </w:abstractNum>
  <w:abstractNum w:abstractNumId="376">
    <w:nsid w:val="1AFD9053"/>
    <w:multiLevelType w:val="hybridMultilevel"/>
    <w:lvl w:ilvl="0">
      <w:lvlJc w:val="left"/>
      <w:lvlText w:val="%1."/>
      <w:numFmt w:val="decimal"/>
      <w:start w:val="12"/>
    </w:lvl>
    <w:lvl w:ilvl="1">
      <w:lvlJc w:val="left"/>
      <w:lvlText w:val="(%2)"/>
      <w:numFmt w:val="lowerLetter"/>
      <w:start w:val="1"/>
    </w:lvl>
  </w:abstractNum>
  <w:abstractNum w:abstractNumId="377">
    <w:nsid w:val="558BB10D"/>
    <w:multiLevelType w:val="hybridMultilevel"/>
    <w:lvl w:ilvl="0">
      <w:lvlJc w:val="left"/>
      <w:lvlText w:val="%1."/>
      <w:numFmt w:val="decimal"/>
      <w:start w:val="17"/>
    </w:lvl>
    <w:lvl w:ilvl="1">
      <w:lvlJc w:val="left"/>
      <w:lvlText w:val="(%2)"/>
      <w:numFmt w:val="lowerLetter"/>
      <w:start w:val="1"/>
    </w:lvl>
  </w:abstractNum>
  <w:abstractNum w:abstractNumId="378">
    <w:nsid w:val="43B27FA7"/>
    <w:multiLevelType w:val="hybridMultilevel"/>
    <w:lvl w:ilvl="0">
      <w:lvlJc w:val="left"/>
      <w:lvlText w:val="(%1)"/>
      <w:numFmt w:val="lowerLetter"/>
      <w:start w:val="2"/>
    </w:lvl>
  </w:abstractNum>
  <w:abstractNum w:abstractNumId="379">
    <w:nsid w:val="27FADEFA"/>
    <w:multiLevelType w:val="hybridMultilevel"/>
    <w:lvl w:ilvl="0">
      <w:lvlJc w:val="left"/>
      <w:lvlText w:val="%1."/>
      <w:numFmt w:val="upperLetter"/>
      <w:start w:val="9"/>
    </w:lvl>
  </w:abstractNum>
  <w:abstractNum w:abstractNumId="380">
    <w:nsid w:val="78BB805A"/>
    <w:multiLevelType w:val="hybridMultilevel"/>
    <w:lvl w:ilvl="0">
      <w:lvlJc w:val="left"/>
      <w:lvlText w:val="%1."/>
      <w:numFmt w:val="upperLetter"/>
      <w:start w:val="35"/>
    </w:lvl>
    <w:lvl w:ilvl="1">
      <w:lvlJc w:val="left"/>
      <w:lvlText w:val="%2."/>
      <w:numFmt w:val="decimal"/>
      <w:start w:val="1"/>
    </w:lvl>
  </w:abstractNum>
  <w:abstractNum w:abstractNumId="381">
    <w:nsid w:val="62548FD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2">
    <w:nsid w:val="FA085B0"/>
    <w:multiLevelType w:val="hybridMultilevel"/>
    <w:lvl w:ilvl="0">
      <w:lvlJc w:val="left"/>
      <w:lvlText w:val="%1"/>
      <w:numFmt w:val="decimal"/>
      <w:start w:val="1"/>
    </w:lvl>
    <w:lvl w:ilvl="1">
      <w:lvlJc w:val="left"/>
      <w:lvlText w:val="(%2)"/>
      <w:numFmt w:val="lowerLetter"/>
      <w:start w:val="3"/>
    </w:lvl>
  </w:abstractNum>
  <w:abstractNum w:abstractNumId="383">
    <w:nsid w:val="4E5DCB5"/>
    <w:multiLevelType w:val="hybridMultilevel"/>
    <w:lvl w:ilvl="0">
      <w:lvlJc w:val="left"/>
      <w:lvlText w:val="%1."/>
      <w:numFmt w:val="decimal"/>
      <w:start w:val="7"/>
    </w:lvl>
    <w:lvl w:ilvl="1">
      <w:lvlJc w:val="left"/>
      <w:lvlText w:val="%2"/>
      <w:numFmt w:val="lowerLetter"/>
      <w:start w:val="1"/>
    </w:lvl>
  </w:abstractNum>
  <w:abstractNum w:abstractNumId="384">
    <w:nsid w:val="41E96BDB"/>
    <w:multiLevelType w:val="hybridMultilevel"/>
    <w:lvl w:ilvl="0">
      <w:lvlJc w:val="left"/>
      <w:lvlText w:val="%1."/>
      <w:numFmt w:val="decimal"/>
      <w:start w:val="11"/>
    </w:lvl>
  </w:abstractNum>
  <w:abstractNum w:abstractNumId="385">
    <w:nsid w:val="331C4250"/>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386">
    <w:nsid w:val="1B1493C2"/>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abstractNum>
  <w:abstractNum w:abstractNumId="387">
    <w:nsid w:val="39F06DFD"/>
    <w:multiLevelType w:val="hybridMultilevel"/>
    <w:lvl w:ilvl="0">
      <w:lvlJc w:val="left"/>
      <w:lvlText w:val="%1"/>
      <w:numFmt w:val="decimal"/>
      <w:start w:val="1"/>
    </w:lvl>
    <w:lvl w:ilvl="1">
      <w:lvlJc w:val="left"/>
      <w:lvlText w:val="(%2)"/>
      <w:numFmt w:val="lowerLetter"/>
      <w:start w:val="6"/>
    </w:lvl>
  </w:abstractNum>
  <w:abstractNum w:abstractNumId="388">
    <w:nsid w:val="14802F5D"/>
    <w:multiLevelType w:val="hybridMultilevel"/>
    <w:lvl w:ilvl="0">
      <w:lvlJc w:val="left"/>
      <w:lvlText w:val="%1."/>
      <w:numFmt w:val="decimal"/>
      <w:start w:val="15"/>
    </w:lvl>
    <w:lvl w:ilvl="1">
      <w:lvlJc w:val="left"/>
      <w:lvlText w:val="(%2)"/>
      <w:numFmt w:val="lowerLetter"/>
      <w:start w:val="1"/>
    </w:lvl>
  </w:abstractNum>
  <w:abstractNum w:abstractNumId="389">
    <w:nsid w:val="2774A209"/>
    <w:multiLevelType w:val="hybridMultilevel"/>
    <w:lvl w:ilvl="0">
      <w:lvlJc w:val="left"/>
      <w:lvlText w:val="%1"/>
      <w:numFmt w:val="decimal"/>
      <w:start w:val="1"/>
    </w:lvl>
    <w:lvl w:ilvl="1">
      <w:lvlJc w:val="left"/>
      <w:lvlText w:val="(%2)"/>
      <w:numFmt w:val="lowerLetter"/>
      <w:start w:val="2"/>
    </w:lvl>
  </w:abstractNum>
  <w:abstractNum w:abstractNumId="390">
    <w:nsid w:val="3785655A"/>
    <w:multiLevelType w:val="hybridMultilevel"/>
    <w:lvl w:ilvl="0">
      <w:lvlJc w:val="left"/>
      <w:lvlText w:val="%1."/>
      <w:numFmt w:val="decimal"/>
      <w:start w:val="16"/>
    </w:lvl>
    <w:lvl w:ilvl="1">
      <w:lvlJc w:val="left"/>
      <w:lvlText w:val="%2"/>
      <w:numFmt w:val="lowerLetter"/>
      <w:start w:val="1"/>
    </w:lvl>
  </w:abstractNum>
  <w:abstractNum w:abstractNumId="391">
    <w:nsid w:val="B2172A"/>
    <w:multiLevelType w:val="hybridMultilevel"/>
    <w:lvl w:ilvl="0">
      <w:lvlJc w:val="left"/>
      <w:lvlText w:val="%1."/>
      <w:numFmt w:val="decimal"/>
      <w:start w:val="21"/>
    </w:lvl>
  </w:abstractNum>
  <w:abstractNum w:abstractNumId="392">
    <w:nsid w:val="532C34A5"/>
    <w:multiLevelType w:val="hybridMultilevel"/>
    <w:lvl w:ilvl="0">
      <w:lvlJc w:val="left"/>
      <w:lvlText w:val="(%1)"/>
      <w:numFmt w:val="lowerLetter"/>
      <w:start w:val="1"/>
    </w:lvl>
  </w:abstractNum>
  <w:abstractNum w:abstractNumId="393">
    <w:nsid w:val="102809E2"/>
    <w:multiLevelType w:val="hybridMultilevel"/>
    <w:lvl w:ilvl="0">
      <w:lvlJc w:val="left"/>
      <w:lvlText w:val="(%1)"/>
      <w:numFmt w:val="lowerLetter"/>
      <w:start w:val="4"/>
    </w:lvl>
  </w:abstractNum>
  <w:abstractNum w:abstractNumId="394">
    <w:nsid w:val="3B2125A3"/>
    <w:multiLevelType w:val="hybridMultilevel"/>
    <w:lvl w:ilvl="0">
      <w:lvlJc w:val="left"/>
      <w:lvlText w:val="[***]"/>
      <w:numFmt w:val="bullet"/>
      <w:start w:val="1"/>
    </w:lvl>
  </w:abstractNum>
  <w:abstractNum w:abstractNumId="395">
    <w:nsid w:val="AC68FFB"/>
    <w:multiLevelType w:val="hybridMultilevel"/>
    <w:lvl w:ilvl="0">
      <w:lvlJc w:val="left"/>
      <w:lvlText w:val="%1."/>
      <w:numFmt w:val="decimal"/>
      <w:start w:val="1"/>
    </w:lvl>
  </w:abstractNum>
  <w:abstractNum w:abstractNumId="396">
    <w:nsid w:val="63DF3FB7"/>
    <w:multiLevelType w:val="hybridMultilevel"/>
    <w:lvl w:ilvl="0">
      <w:lvlJc w:val="left"/>
      <w:lvlText w:val="%1."/>
      <w:numFmt w:val="decimal"/>
      <w:start w:val="6"/>
    </w:lvl>
  </w:abstractNum>
  <w:abstractNum w:abstractNumId="397">
    <w:nsid w:val="64996E13"/>
    <w:multiLevelType w:val="hybridMultilevel"/>
    <w:lvl w:ilvl="0">
      <w:lvlJc w:val="left"/>
      <w:lvlText w:val="%1."/>
      <w:numFmt w:val="decimal"/>
      <w:start w:val="18"/>
    </w:lvl>
  </w:abstractNum>
  <w:abstractNum w:abstractNumId="398">
    <w:nsid w:val="57A37D47"/>
    <w:multiLevelType w:val="hybridMultilevel"/>
    <w:lvl w:ilvl="0">
      <w:lvlJc w:val="left"/>
      <w:lvlText w:val="[***]"/>
      <w:numFmt w:val="bullet"/>
      <w:start w:val="1"/>
    </w:lvl>
  </w:abstractNum>
  <w:abstractNum w:abstractNumId="399">
    <w:nsid w:val="74824D54"/>
    <w:multiLevelType w:val="hybridMultilevel"/>
    <w:lvl w:ilvl="0">
      <w:lvlJc w:val="left"/>
      <w:lvlText w:val="(%1)"/>
      <w:numFmt w:val="lowerLetter"/>
      <w:start w:val="1"/>
    </w:lvl>
  </w:abstractNum>
  <w:abstractNum w:abstractNumId="400">
    <w:nsid w:val="6F00529A"/>
    <w:multiLevelType w:val="hybridMultilevel"/>
    <w:lvl w:ilvl="0">
      <w:lvlJc w:val="left"/>
      <w:lvlText w:val="(%1)"/>
      <w:numFmt w:val="lowerLetter"/>
      <w:start w:val="1"/>
    </w:lvl>
  </w:abstractNum>
  <w:abstractNum w:abstractNumId="401">
    <w:nsid w:val="805B331"/>
    <w:multiLevelType w:val="hybridMultilevel"/>
    <w:lvl w:ilvl="0">
      <w:lvlJc w:val="left"/>
      <w:lvlText w:val="[***]"/>
      <w:numFmt w:val="bullet"/>
      <w:start w:val="1"/>
    </w:lvl>
  </w:abstractNum>
  <w:abstractNum w:abstractNumId="402">
    <w:nsid w:val="60A1463"/>
    <w:multiLevelType w:val="hybridMultilevel"/>
    <w:lvl w:ilvl="0">
      <w:lvlJc w:val="left"/>
      <w:lvlText w:val="%1."/>
      <w:numFmt w:val="decimal"/>
      <w:start w:val="1"/>
    </w:lvl>
  </w:abstractNum>
  <w:abstractNum w:abstractNumId="403">
    <w:nsid w:val="437731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4">
    <w:nsid w:val="16AC4B23"/>
    <w:multiLevelType w:val="hybridMultilevel"/>
    <w:lvl w:ilvl="0">
      <w:lvlJc w:val="left"/>
      <w:lvlText w:val="%1."/>
      <w:numFmt w:val="decimal"/>
      <w:start w:val="2"/>
    </w:lvl>
  </w:abstractNum>
  <w:abstractNum w:abstractNumId="405">
    <w:nsid w:val="76C44E4E"/>
    <w:multiLevelType w:val="hybridMultilevel"/>
    <w:lvl w:ilvl="0">
      <w:lvlJc w:val="left"/>
      <w:lvlText w:val="%1"/>
      <w:numFmt w:val="lowerLetter"/>
      <w:start w:val="1"/>
    </w:lvl>
    <w:lvl w:ilvl="1">
      <w:lvlJc w:val="left"/>
      <w:lvlText w:val="(%2)"/>
      <w:numFmt w:val="upperLetter"/>
      <w:start w:val="2"/>
    </w:lvl>
  </w:abstractNum>
  <w:abstractNum w:abstractNumId="406">
    <w:nsid w:val="E04E6CE"/>
    <w:multiLevelType w:val="hybridMultilevel"/>
    <w:lvl w:ilvl="0">
      <w:lvlJc w:val="left"/>
      <w:lvlText w:val="(%1)"/>
      <w:numFmt w:val="lowerLetter"/>
      <w:start w:val="2"/>
    </w:lvl>
    <w:lvl w:ilvl="1">
      <w:lvlJc w:val="left"/>
      <w:lvlText w:val="%2"/>
      <w:numFmt w:val="upperLetter"/>
      <w:start w:val="1"/>
    </w:lvl>
  </w:abstractNum>
  <w:abstractNum w:abstractNumId="407">
    <w:nsid w:val="31A9DB76"/>
    <w:multiLevelType w:val="hybridMultilevel"/>
    <w:lvl w:ilvl="0">
      <w:lvlJc w:val="left"/>
      <w:lvlText w:val="%1."/>
      <w:numFmt w:val="decimal"/>
      <w:start w:val="2"/>
    </w:lvl>
  </w:abstractNum>
  <w:abstractNum w:abstractNumId="408">
    <w:nsid w:val="4C4FFF5B"/>
    <w:multiLevelType w:val="hybridMultilevel"/>
    <w:lvl w:ilvl="0">
      <w:lvlJc w:val="left"/>
      <w:lvlText w:val="(%1)"/>
      <w:numFmt w:val="lowerLetter"/>
      <w:start w:val="1"/>
    </w:lvl>
    <w:lvl w:ilvl="1">
      <w:lvlJc w:val="left"/>
      <w:lvlText w:val="(%2)"/>
      <w:numFmt w:val="lowerRoman"/>
      <w:start w:val="1"/>
    </w:lvl>
  </w:abstractNum>
  <w:abstractNum w:abstractNumId="409">
    <w:nsid w:val="51B76675"/>
    <w:multiLevelType w:val="hybridMultilevel"/>
    <w:lvl w:ilvl="0">
      <w:lvlJc w:val="left"/>
      <w:lvlText w:val="%1"/>
      <w:numFmt w:val="lowerLetter"/>
      <w:start w:val="1"/>
    </w:lvl>
    <w:lvl w:ilvl="1">
      <w:lvlJc w:val="left"/>
      <w:lvlText w:val="(%2)"/>
      <w:numFmt w:val="lowerRoman"/>
      <w:start w:val="1"/>
    </w:lvl>
  </w:abstractNum>
  <w:abstractNum w:abstractNumId="410">
    <w:nsid w:val="59A4BA71"/>
    <w:multiLevelType w:val="hybridMultilevel"/>
    <w:lvl w:ilvl="0">
      <w:lvlJc w:val="left"/>
      <w:lvlText w:val="(%1)"/>
      <w:numFmt w:val="lowerLetter"/>
      <w:start w:val="3"/>
    </w:lvl>
    <w:lvl w:ilvl="1">
      <w:lvlJc w:val="left"/>
      <w:lvlText w:val="%2"/>
      <w:numFmt w:val="lowerRoman"/>
      <w:start w:val="1"/>
    </w:lvl>
  </w:abstractNum>
  <w:abstractNum w:abstractNumId="411">
    <w:nsid w:val="450B7FB6"/>
    <w:multiLevelType w:val="hybridMultilevel"/>
    <w:lvl w:ilvl="0">
      <w:lvlJc w:val="left"/>
      <w:lvlText w:val="(%1)"/>
      <w:numFmt w:val="lowerLetter"/>
      <w:start w:val="1"/>
    </w:lvl>
  </w:abstractNum>
  <w:abstractNum w:abstractNumId="412">
    <w:nsid w:val="340BF64D"/>
    <w:multiLevelType w:val="hybridMultilevel"/>
    <w:lvl w:ilvl="0">
      <w:lvlJc w:val="left"/>
      <w:lvlText w:val="(%1)"/>
      <w:numFmt w:val="lowerLetter"/>
      <w:start w:val="4"/>
    </w:lvl>
  </w:abstractNum>
  <w:abstractNum w:abstractNumId="413">
    <w:nsid w:val="69454021"/>
    <w:multiLevelType w:val="hybridMultilevel"/>
    <w:lvl w:ilvl="0">
      <w:lvlJc w:val="left"/>
      <w:lvlText w:val="(%1)"/>
      <w:numFmt w:val="lowerLetter"/>
      <w:start w:val="1"/>
    </w:lvl>
    <w:lvl w:ilvl="1">
      <w:lvlJc w:val="left"/>
      <w:lvlText w:val="(%2)"/>
      <w:numFmt w:val="lowerRoman"/>
      <w:start w:val="1"/>
    </w:lvl>
  </w:abstractNum>
  <w:abstractNum w:abstractNumId="414">
    <w:nsid w:val="49F15C6B"/>
    <w:multiLevelType w:val="hybridMultilevel"/>
    <w:lvl w:ilvl="0">
      <w:lvlJc w:val="left"/>
      <w:lvlText w:val="%1."/>
      <w:numFmt w:val="decimal"/>
      <w:start w:val="3"/>
    </w:lvl>
  </w:abstractNum>
  <w:abstractNum w:abstractNumId="415">
    <w:nsid w:val="75F56228"/>
    <w:multiLevelType w:val="hybridMultilevel"/>
    <w:lvl w:ilvl="0">
      <w:lvlJc w:val="left"/>
      <w:lvlText w:val="(%1)"/>
      <w:numFmt w:val="lowerLetter"/>
      <w:start w:val="1"/>
    </w:lvl>
  </w:abstractNum>
  <w:abstractNum w:abstractNumId="416">
    <w:nsid w:val="1C618271"/>
    <w:multiLevelType w:val="hybridMultilevel"/>
    <w:lvl w:ilvl="0">
      <w:lvlJc w:val="left"/>
      <w:lvlText w:val="%1."/>
      <w:numFmt w:val="decimal"/>
      <w:start w:val="4"/>
    </w:lvl>
  </w:abstractNum>
  <w:abstractNum w:abstractNumId="417">
    <w:nsid w:val="6505F02E"/>
    <w:multiLevelType w:val="hybridMultilevel"/>
    <w:lvl w:ilvl="0">
      <w:lvlJc w:val="left"/>
      <w:lvlText w:val="(%1)"/>
      <w:numFmt w:val="lowerLetter"/>
      <w:start w:val="1"/>
    </w:lvl>
  </w:abstractNum>
  <w:abstractNum w:abstractNumId="418">
    <w:nsid w:val="2FE5D025"/>
    <w:multiLevelType w:val="hybridMultilevel"/>
    <w:lvl w:ilvl="0">
      <w:lvlJc w:val="left"/>
      <w:lvlText w:val="(%1)"/>
      <w:numFmt w:val="lowerLetter"/>
      <w:start w:val="1"/>
    </w:lvl>
  </w:abstractNum>
  <w:abstractNum w:abstractNumId="419">
    <w:nsid w:val="30E1B1CF"/>
    <w:multiLevelType w:val="hybridMultilevel"/>
    <w:lvl w:ilvl="0">
      <w:lvlJc w:val="left"/>
      <w:lvlText w:val="%1"/>
      <w:numFmt w:val="lowerLetter"/>
      <w:start w:val="1"/>
    </w:lvl>
    <w:lvl w:ilvl="1">
      <w:lvlJc w:val="left"/>
      <w:lvlText w:val="(%2)"/>
      <w:numFmt w:val="lowerRoman"/>
      <w:start w:val="1"/>
    </w:lvl>
  </w:abstractNum>
  <w:abstractNum w:abstractNumId="420">
    <w:nsid w:val="C7A9237"/>
    <w:multiLevelType w:val="hybridMultilevel"/>
    <w:lvl w:ilvl="0">
      <w:lvlJc w:val="left"/>
      <w:lvlText w:val="(%1)"/>
      <w:numFmt w:val="lowerLetter"/>
      <w:start w:val="2"/>
    </w:lvl>
    <w:lvl w:ilvl="1">
      <w:lvlJc w:val="left"/>
      <w:lvlText w:val="%2"/>
      <w:numFmt w:val="lowerRoman"/>
      <w:start w:val="1"/>
    </w:lvl>
  </w:abstractNum>
  <w:abstractNum w:abstractNumId="421">
    <w:nsid w:val="676B3580"/>
    <w:multiLevelType w:val="hybridMultilevel"/>
    <w:lvl w:ilvl="0">
      <w:lvlJc w:val="left"/>
      <w:lvlText w:val="(%1)"/>
      <w:numFmt w:val="lowerLetter"/>
      <w:start w:val="1"/>
    </w:lvl>
  </w:abstractNum>
  <w:abstractNum w:abstractNumId="422">
    <w:nsid w:val="3193C8F9"/>
    <w:multiLevelType w:val="hybridMultilevel"/>
    <w:lvl w:ilvl="0">
      <w:lvlJc w:val="left"/>
      <w:lvlText w:val="(%1)"/>
      <w:numFmt w:val="lowerLetter"/>
      <w:start w:val="1"/>
    </w:lvl>
  </w:abstractNum>
  <w:abstractNum w:abstractNumId="423">
    <w:nsid w:val="5FA6C6DC"/>
    <w:multiLevelType w:val="hybridMultilevel"/>
    <w:lvl w:ilvl="0">
      <w:lvlJc w:val="left"/>
      <w:lvlText w:val="(%1)"/>
      <w:numFmt w:val="lowerLetter"/>
      <w:start w:val="3"/>
    </w:lvl>
  </w:abstractNum>
  <w:abstractNum w:abstractNumId="424">
    <w:nsid w:val="77933F62"/>
    <w:multiLevelType w:val="hybridMultilevel"/>
    <w:lvl w:ilvl="0">
      <w:lvlJc w:val="left"/>
      <w:lvlText w:val="%1."/>
      <w:numFmt w:val="decimal"/>
      <w:start w:val="5"/>
    </w:lvl>
  </w:abstractNum>
  <w:abstractNum w:abstractNumId="425">
    <w:nsid w:val="6CB4EE9C"/>
    <w:multiLevelType w:val="hybridMultilevel"/>
    <w:lvl w:ilvl="0">
      <w:lvlJc w:val="left"/>
      <w:lvlText w:val="(%1)"/>
      <w:numFmt w:val="lowerLetter"/>
      <w:start w:val="1"/>
    </w:lvl>
  </w:abstractNum>
  <w:abstractNum w:abstractNumId="426">
    <w:nsid w:val="6A6D56D7"/>
    <w:multiLevelType w:val="hybridMultilevel"/>
    <w:lvl w:ilvl="0">
      <w:lvlJc w:val="left"/>
      <w:lvlText w:val="%1."/>
      <w:numFmt w:val="decimal"/>
      <w:start w:val="6"/>
    </w:lvl>
  </w:abstractNum>
  <w:abstractNum w:abstractNumId="427">
    <w:nsid w:val="5B727F19"/>
    <w:multiLevelType w:val="hybridMultilevel"/>
    <w:lvl w:ilvl="0">
      <w:lvlJc w:val="left"/>
      <w:lvlText w:val="%1."/>
      <w:numFmt w:val="decimal"/>
      <w:start w:val="7"/>
    </w:lvl>
  </w:abstractNum>
  <w:abstractNum w:abstractNumId="428">
    <w:nsid w:val="514E5CB0"/>
    <w:multiLevelType w:val="hybridMultilevel"/>
    <w:lvl w:ilvl="0">
      <w:lvlJc w:val="left"/>
      <w:lvlText w:val="(%1)"/>
      <w:numFmt w:val="lowerLetter"/>
      <w:start w:val="1"/>
    </w:lvl>
  </w:abstractNum>
  <w:abstractNum w:abstractNumId="429">
    <w:nsid w:val="4210D41E"/>
    <w:multiLevelType w:val="hybridMultilevel"/>
    <w:lvl w:ilvl="0">
      <w:lvlJc w:val="left"/>
      <w:lvlText w:val="%1."/>
      <w:numFmt w:val="decimal"/>
      <w:start w:val="8"/>
    </w:lvl>
  </w:abstractNum>
  <w:abstractNum w:abstractNumId="430">
    <w:nsid w:val="4FF4CC6D"/>
    <w:multiLevelType w:val="hybridMultilevel"/>
    <w:lvl w:ilvl="0">
      <w:lvlJc w:val="left"/>
      <w:lvlText w:val="(%1)"/>
      <w:numFmt w:val="lowerLetter"/>
      <w:start w:val="1"/>
    </w:lvl>
  </w:abstractNum>
  <w:abstractNum w:abstractNumId="431">
    <w:nsid w:val="404EAF4A"/>
    <w:multiLevelType w:val="hybridMultilevel"/>
    <w:lvl w:ilvl="0">
      <w:lvlJc w:val="left"/>
      <w:lvlText w:val="(%1)"/>
      <w:numFmt w:val="lowerLetter"/>
      <w:start w:val="3"/>
    </w:lvl>
  </w:abstractNum>
  <w:abstractNum w:abstractNumId="432">
    <w:nsid w:val="4A16874F"/>
    <w:multiLevelType w:val="hybridMultilevel"/>
    <w:lvl w:ilvl="0">
      <w:lvlJc w:val="left"/>
      <w:lvlText w:val="(%1)"/>
      <w:numFmt w:val="lowerLetter"/>
      <w:start w:val="1"/>
    </w:lvl>
    <w:lvl w:ilvl="1">
      <w:lvlJc w:val="left"/>
      <w:lvlText w:val="%2."/>
      <w:numFmt w:val="decimal"/>
      <w:start w:val="9"/>
    </w:lvl>
  </w:abstractNum>
  <w:abstractNum w:abstractNumId="433">
    <w:nsid w:val="55FEE0D1"/>
    <w:multiLevelType w:val="hybridMultilevel"/>
    <w:lvl w:ilvl="0">
      <w:lvlJc w:val="left"/>
      <w:lvlText w:val="(%1)"/>
      <w:numFmt w:val="lowerLetter"/>
      <w:start w:val="1"/>
    </w:lvl>
  </w:abstractNum>
  <w:abstractNum w:abstractNumId="434">
    <w:nsid w:val="3C5E07C"/>
    <w:multiLevelType w:val="hybridMultilevel"/>
    <w:lvl w:ilvl="0">
      <w:lvlJc w:val="left"/>
      <w:lvlText w:val="%1."/>
      <w:numFmt w:val="decimal"/>
      <w:start w:val="10"/>
    </w:lvl>
  </w:abstractNum>
  <w:abstractNum w:abstractNumId="435">
    <w:nsid w:val="60C2D273"/>
    <w:multiLevelType w:val="hybridMultilevel"/>
    <w:lvl w:ilvl="0">
      <w:lvlJc w:val="left"/>
      <w:lvlText w:val="(%1)"/>
      <w:numFmt w:val="lowerLetter"/>
      <w:start w:val="1"/>
    </w:lvl>
  </w:abstractNum>
  <w:abstractNum w:abstractNumId="436">
    <w:nsid w:val="4CC32F1F"/>
    <w:multiLevelType w:val="hybridMultilevel"/>
    <w:lvl w:ilvl="0">
      <w:lvlJc w:val="left"/>
      <w:lvlText w:val="[***]"/>
      <w:numFmt w:val="bullet"/>
      <w:start w:val="1"/>
    </w:lvl>
  </w:abstractNum>
  <w:abstractNum w:abstractNumId="437">
    <w:nsid w:val="11CAC74A"/>
    <w:multiLevelType w:val="hybridMultilevel"/>
    <w:lvl w:ilvl="0">
      <w:lvlJc w:val="left"/>
      <w:lvlText w:val="%1."/>
      <w:numFmt w:val="decimal"/>
      <w:start w:val="11"/>
    </w:lvl>
  </w:abstractNum>
  <w:abstractNum w:abstractNumId="438">
    <w:nsid w:val="126CADE9"/>
    <w:multiLevelType w:val="hybridMultilevel"/>
    <w:lvl w:ilvl="0">
      <w:lvlJc w:val="left"/>
      <w:lvlText w:val="%1."/>
      <w:numFmt w:val="decimal"/>
      <w:start w:val="12"/>
    </w:lvl>
  </w:abstractNum>
  <w:abstractNum w:abstractNumId="439">
    <w:nsid w:val="19132E7B"/>
    <w:multiLevelType w:val="hybridMultilevel"/>
    <w:lvl w:ilvl="0">
      <w:lvlJc w:val="left"/>
      <w:lvlText w:val="%1."/>
      <w:numFmt w:val="decimal"/>
      <w:start w:val="1"/>
    </w:lvl>
  </w:abstractNum>
  <w:abstractNum w:abstractNumId="440">
    <w:nsid w:val="63822DC0"/>
    <w:multiLevelType w:val="hybridMultilevel"/>
    <w:lvl w:ilvl="0">
      <w:lvlJc w:val="left"/>
      <w:lvlText w:val="%1."/>
      <w:numFmt w:val="decimal"/>
      <w:start w:val="1"/>
    </w:lvl>
  </w:abstractNum>
  <w:abstractNum w:abstractNumId="441">
    <w:nsid w:val="6C11685A"/>
    <w:multiLevelType w:val="hybridMultilevel"/>
    <w:lvl w:ilvl="0">
      <w:lvlJc w:val="left"/>
      <w:lvlText w:val="%1."/>
      <w:numFmt w:val="decimal"/>
      <w:start w:val="1"/>
    </w:lvl>
  </w:abstractNum>
  <w:abstractNum w:abstractNumId="442">
    <w:nsid w:val="5E1EAE31"/>
    <w:multiLevelType w:val="hybridMultilevel"/>
    <w:lvl w:ilvl="0">
      <w:lvlJc w:val="left"/>
      <w:lvlText w:val="%1."/>
      <w:numFmt w:val="decimal"/>
      <w:start w:val="6"/>
    </w:lvl>
  </w:abstractNum>
  <w:abstractNum w:abstractNumId="443">
    <w:nsid w:val="178E240D"/>
    <w:multiLevelType w:val="hybridMultilevel"/>
    <w:lvl w:ilvl="0">
      <w:lvlJc w:val="left"/>
      <w:lvlText w:val="%1."/>
      <w:numFmt w:val="decimal"/>
      <w:start w:val="1"/>
    </w:lvl>
  </w:abstractNum>
  <w:abstractNum w:abstractNumId="444">
    <w:nsid w:val="5556A87B"/>
    <w:multiLevelType w:val="hybridMultilevel"/>
    <w:lvl w:ilvl="0">
      <w:lvlJc w:val="left"/>
      <w:lvlText w:val="%1."/>
      <w:numFmt w:val="decimal"/>
      <w:start w:val="2"/>
    </w:lvl>
  </w:abstractNum>
  <w:abstractNum w:abstractNumId="445">
    <w:nsid w:val="28100A9C"/>
    <w:multiLevelType w:val="hybridMultilevel"/>
    <w:lvl w:ilvl="0">
      <w:lvlJc w:val="left"/>
      <w:lvlText w:val="%1."/>
      <w:numFmt w:val="decimal"/>
      <w:start w:val="3"/>
    </w:lvl>
  </w:abstractNum>
  <w:abstractNum w:abstractNumId="446">
    <w:nsid w:val="D838636"/>
    <w:multiLevelType w:val="hybridMultilevel"/>
    <w:lvl w:ilvl="0">
      <w:lvlJc w:val="left"/>
      <w:lvlText w:val="(%1)"/>
      <w:numFmt w:val="lowerLetter"/>
      <w:start w:val="1"/>
    </w:lvl>
  </w:abstractNum>
  <w:abstractNum w:abstractNumId="447">
    <w:nsid w:val="71B82AED"/>
    <w:multiLevelType w:val="hybridMultilevel"/>
    <w:lvl w:ilvl="0">
      <w:lvlJc w:val="left"/>
      <w:lvlText w:val="(%1)"/>
      <w:numFmt w:val="lowerLetter"/>
      <w:start w:val="1"/>
    </w:lvl>
  </w:abstractNum>
  <w:abstractNum w:abstractNumId="448">
    <w:nsid w:val="D15FACA"/>
    <w:multiLevelType w:val="hybridMultilevel"/>
    <w:lvl w:ilvl="0">
      <w:lvlJc w:val="left"/>
      <w:lvlText w:val="(%1)"/>
      <w:numFmt w:val="lowerLetter"/>
      <w:start w:val="2"/>
    </w:lvl>
  </w:abstractNum>
  <w:abstractNum w:abstractNumId="449">
    <w:nsid w:val="3D69565B"/>
    <w:multiLevelType w:val="hybridMultilevel"/>
    <w:lvl w:ilvl="0">
      <w:lvlJc w:val="left"/>
      <w:lvlText w:val="%1."/>
      <w:numFmt w:val="decimal"/>
      <w:start w:val="4"/>
    </w:lvl>
  </w:abstractNum>
  <w:abstractNum w:abstractNumId="450">
    <w:nsid w:val="2299DCBC"/>
    <w:multiLevelType w:val="hybridMultilevel"/>
    <w:lvl w:ilvl="0">
      <w:lvlJc w:val="left"/>
      <w:lvlText w:val="(%1)"/>
      <w:numFmt w:val="lowerRoman"/>
      <w:start w:val="1"/>
    </w:lvl>
  </w:abstractNum>
  <w:abstractNum w:abstractNumId="451">
    <w:nsid w:val="19908D02"/>
    <w:multiLevelType w:val="hybridMultilevel"/>
    <w:lvl w:ilvl="0">
      <w:lvlJc w:val="left"/>
      <w:lvlText w:val="%1."/>
      <w:numFmt w:val="decimal"/>
      <w:start w:val="5"/>
    </w:lvl>
  </w:abstractNum>
  <w:abstractNum w:abstractNumId="452">
    <w:nsid w:val="24D48BDB"/>
    <w:multiLevelType w:val="hybridMultilevel"/>
    <w:lvl w:ilvl="0">
      <w:lvlJc w:val="left"/>
      <w:lvlText w:val="%1."/>
      <w:numFmt w:val="decimal"/>
      <w:start w:val="6"/>
    </w:lvl>
  </w:abstractNum>
  <w:abstractNum w:abstractNumId="453">
    <w:nsid w:val="542DA5B5"/>
    <w:multiLevelType w:val="hybridMultilevel"/>
    <w:lvl w:ilvl="0">
      <w:lvlJc w:val="left"/>
      <w:lvlText w:val="%1."/>
      <w:numFmt w:val="decimal"/>
      <w:start w:val="7"/>
    </w:lvl>
  </w:abstractNum>
  <w:abstractNum w:abstractNumId="454">
    <w:nsid w:val="793753D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2020-11-12T15:49:01Z</dcterms:created>
  <dcterms:modified xsi:type="dcterms:W3CDTF">2020-11-12T15:49:01Z</dcterms:modified>
</cp:coreProperties>
</file>