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Filed pursuant to Rule 424(b)(4)</w:t>
      </w:r>
    </w:p>
    <w:p>
      <w:pPr>
        <w:spacing w:after="0" w:line="50" w:lineRule="exact"/>
        <w:rPr>
          <w:sz w:val="24"/>
          <w:szCs w:val="24"/>
          <w:color w:val="auto"/>
        </w:rPr>
      </w:pPr>
    </w:p>
    <w:p>
      <w:pPr>
        <w:ind w:left="7740"/>
        <w:spacing w:after="0"/>
        <w:rPr>
          <w:sz w:val="20"/>
          <w:szCs w:val="20"/>
          <w:color w:val="auto"/>
        </w:rPr>
      </w:pPr>
      <w:r>
        <w:rPr>
          <w:rFonts w:ascii="Arial" w:cs="Arial" w:eastAsia="Arial" w:hAnsi="Arial"/>
          <w:sz w:val="16"/>
          <w:szCs w:val="16"/>
          <w:b w:val="1"/>
          <w:bCs w:val="1"/>
          <w:color w:val="auto"/>
        </w:rPr>
        <w:t>Registration Nos. 333-252395 and 333-252491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3,750,000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24130</wp:posOffset>
            </wp:positionV>
            <wp:extent cx="2571750" cy="840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Class A Common Stock</w:t>
      </w:r>
    </w:p>
    <w:p>
      <w:pPr>
        <w:spacing w:after="0" w:line="131" w:lineRule="exact"/>
        <w:rPr>
          <w:sz w:val="24"/>
          <w:szCs w:val="24"/>
          <w:color w:val="auto"/>
        </w:rPr>
      </w:pPr>
    </w:p>
    <w:p>
      <w:pPr>
        <w:ind w:right="40" w:firstLine="324"/>
        <w:spacing w:after="0" w:line="263" w:lineRule="auto"/>
        <w:rPr>
          <w:sz w:val="20"/>
          <w:szCs w:val="20"/>
          <w:color w:val="auto"/>
        </w:rPr>
      </w:pPr>
      <w:r>
        <w:rPr>
          <w:rFonts w:ascii="Arial" w:cs="Arial" w:eastAsia="Arial" w:hAnsi="Arial"/>
          <w:sz w:val="18"/>
          <w:szCs w:val="18"/>
          <w:color w:val="auto"/>
        </w:rPr>
        <w:t>We are offering 1,650,000 shares of our Class A common stock. The selling stockholders identified in this prospectus, including our chief executive officer, are offering 2,100,000 shares of our Class A common stock. We will not receive any proceeds from the sale of shares of Class A Common Stock by the selling stockholders.</w:t>
      </w:r>
    </w:p>
    <w:p>
      <w:pPr>
        <w:spacing w:after="0" w:line="13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Our Class A common stock is listed on the Nasdaq Global Select Market under the symbol “SEER.” On January 27, 2021, the last reported price of our Class A common stock on the Nasdaq Global Select Market was $68.13 per share.</w:t>
      </w:r>
    </w:p>
    <w:p>
      <w:pPr>
        <w:spacing w:after="0" w:line="116"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we have elected to comply with certain reduced reporting requirements for this prospectus and may elect to do so in future filings.</w:t>
      </w:r>
    </w:p>
    <w:p>
      <w:pPr>
        <w:spacing w:after="0" w:line="116"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Investing in our Class A common stock involves a high degree of risk. Please read “Risk Factors” beginning on page 18 of this prospectus.</w:t>
      </w:r>
    </w:p>
    <w:p>
      <w:pPr>
        <w:spacing w:after="0" w:line="179" w:lineRule="exact"/>
        <w:rPr>
          <w:sz w:val="24"/>
          <w:szCs w:val="24"/>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25"/>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251,250,000</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12,611,700</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to Seer, Inc., before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103,917,000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Proceeds to selling stockholders, before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134,721,300</w:t>
            </w:r>
          </w:p>
        </w:tc>
      </w:tr>
      <w:tr>
        <w:trPr>
          <w:trHeight w:val="182"/>
        </w:trPr>
        <w:tc>
          <w:tcPr>
            <w:tcW w:w="8020" w:type="dxa"/>
            <w:vAlign w:val="bottom"/>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ind w:left="340" w:right="80" w:hanging="332"/>
        <w:spacing w:after="0" w:line="255" w:lineRule="auto"/>
        <w:tabs>
          <w:tab w:leader="none" w:pos="328"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beginning on page 175 for a description of the compensation payable to the underwriters and underwriting discounts and commissions paid by Seer, Inc. and the selling stockholders.</w:t>
      </w:r>
    </w:p>
    <w:p>
      <w:pPr>
        <w:spacing w:after="0" w:line="136" w:lineRule="exact"/>
        <w:rPr>
          <w:sz w:val="24"/>
          <w:szCs w:val="24"/>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selling stockholders have granted the underwriters an option for a period of 30 days to purchase an additional 562,500 shares of our Class A common stock at the public offering price less underwriting discounts and commissions. We will not receive any proceeds from the sale of additional shares of Class A Common Stock by the selling stockholders.</w:t>
      </w:r>
    </w:p>
    <w:p>
      <w:pPr>
        <w:spacing w:after="0" w:line="13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Delivery of the shares of Class A common stock is expected to be made on or about February 1, 2021.</w:t>
      </w:r>
    </w:p>
    <w:p>
      <w:pPr>
        <w:sectPr>
          <w:pgSz w:w="11900" w:h="16838" w:orient="portrait"/>
          <w:cols w:equalWidth="0" w:num="1">
            <w:col w:w="11240"/>
          </w:cols>
          <w:pgMar w:left="320" w:top="877" w:right="339" w:bottom="1440" w:gutter="0" w:footer="0" w:header="0"/>
        </w:sectPr>
      </w:pPr>
    </w:p>
    <w:p>
      <w:pPr>
        <w:spacing w:after="0" w:line="207" w:lineRule="exact"/>
        <w:rPr>
          <w:sz w:val="24"/>
          <w:szCs w:val="24"/>
          <w:color w:val="auto"/>
        </w:rPr>
      </w:pPr>
    </w:p>
    <w:p>
      <w:pPr>
        <w:ind w:left="2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BofA Securities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Cowen</w:t>
      </w:r>
    </w:p>
    <w:p>
      <w:pPr>
        <w:spacing w:after="0" w:line="211" w:lineRule="exact"/>
        <w:rPr>
          <w:sz w:val="24"/>
          <w:szCs w:val="24"/>
          <w:color w:val="auto"/>
        </w:rPr>
      </w:pPr>
    </w:p>
    <w:p>
      <w:pPr>
        <w:sectPr>
          <w:pgSz w:w="11900" w:h="16838" w:orient="portrait"/>
          <w:cols w:equalWidth="0" w:num="4">
            <w:col w:w="2540" w:space="720"/>
            <w:col w:w="2600" w:space="720"/>
            <w:col w:w="3080" w:space="720"/>
            <w:col w:w="860"/>
          </w:cols>
          <w:pgMar w:left="320" w:top="877" w:right="3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Prospectus dated January 27, 2021</w:t>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PROSPECTUS SUMMARY</w:t>
              </w:r>
            </w:hyperlink>
          </w:p>
        </w:tc>
        <w:tc>
          <w:tcPr>
            <w:tcW w:w="480" w:type="dxa"/>
            <w:vAlign w:val="bottom"/>
            <w:gridSpan w:val="2"/>
          </w:tcPr>
          <w:p>
            <w:pPr>
              <w:jc w:val="center"/>
              <w:ind w:left="151"/>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1</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GLOSSARY</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15</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RISK FACTORS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18</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SPECIAL NOTE REGARDING FORWARD-LOOKING STATEMENTS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60</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MARKET, INDUSTRY AND OTHER DATA</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62</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USE OF PROCEEDS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63</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DIVIDEND POLICY</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64</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CAPITALIZATION</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65</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DILUTION</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68</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SELECTED FINANCIAL DATA</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71">
              <w:r>
                <w:rPr>
                  <w:rFonts w:ascii="Arial" w:cs="Arial" w:eastAsia="Arial" w:hAnsi="Arial"/>
                  <w:sz w:val="18"/>
                  <w:szCs w:val="18"/>
                  <w:u w:val="single" w:color="auto"/>
                  <w:color w:val="0000FF"/>
                  <w:w w:val="89"/>
                </w:rPr>
                <w:t>70</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MANAGEMENT’S DISCUSSION AND ANALYSIS OF FINANCIAL CONDITION AND RESULTS OF OPERATIONS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72</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BUSINESS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88">
              <w:r>
                <w:rPr>
                  <w:rFonts w:ascii="Arial" w:cs="Arial" w:eastAsia="Arial" w:hAnsi="Arial"/>
                  <w:sz w:val="18"/>
                  <w:szCs w:val="18"/>
                  <w:u w:val="single" w:color="auto"/>
                  <w:color w:val="0000FF"/>
                  <w:w w:val="89"/>
                </w:rPr>
                <w:t>87</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MANAGEMENT</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25">
              <w:r>
                <w:rPr>
                  <w:rFonts w:ascii="Arial" w:cs="Arial" w:eastAsia="Arial" w:hAnsi="Arial"/>
                  <w:sz w:val="18"/>
                  <w:szCs w:val="18"/>
                  <w:u w:val="single" w:color="auto"/>
                  <w:color w:val="0000FF"/>
                  <w:w w:val="93"/>
                </w:rPr>
                <w:t>124</w:t>
              </w:r>
            </w:hyperlink>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EXECUTIVE COMPENSATION</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35">
              <w:r>
                <w:rPr>
                  <w:rFonts w:ascii="Arial" w:cs="Arial" w:eastAsia="Arial" w:hAnsi="Arial"/>
                  <w:sz w:val="18"/>
                  <w:szCs w:val="18"/>
                  <w:u w:val="single" w:color="auto"/>
                  <w:color w:val="0000FF"/>
                  <w:w w:val="93"/>
                </w:rPr>
                <w:t>134</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CERTAIN RELATIONSHIPS AND RELATED-PARTY TRANSACTIONS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54">
              <w:r>
                <w:rPr>
                  <w:rFonts w:ascii="Arial" w:cs="Arial" w:eastAsia="Arial" w:hAnsi="Arial"/>
                  <w:sz w:val="18"/>
                  <w:szCs w:val="18"/>
                  <w:u w:val="single" w:color="auto"/>
                  <w:color w:val="0000FF"/>
                  <w:w w:val="93"/>
                </w:rPr>
                <w:t>153</w:t>
              </w:r>
            </w:hyperlink>
          </w:p>
        </w:tc>
      </w:tr>
      <w:tr>
        <w:trPr>
          <w:trHeight w:val="190"/>
        </w:trPr>
        <w:tc>
          <w:tcPr>
            <w:tcW w:w="10500" w:type="dxa"/>
            <w:vAlign w:val="bottom"/>
            <w:gridSpan w:val="2"/>
          </w:tcPr>
          <w:p>
            <w:pPr>
              <w:spacing w:after="0" w:line="190" w:lineRule="exact"/>
              <w:rPr>
                <w:rFonts w:ascii="Arial" w:cs="Arial" w:eastAsia="Arial" w:hAnsi="Arial"/>
                <w:sz w:val="18"/>
                <w:szCs w:val="18"/>
                <w:color w:val="0000FF"/>
              </w:rPr>
            </w:pPr>
            <w:hyperlink w:anchor="page159">
              <w:r>
                <w:rPr>
                  <w:rFonts w:ascii="Arial" w:cs="Arial" w:eastAsia="Arial" w:hAnsi="Arial"/>
                  <w:sz w:val="18"/>
                  <w:szCs w:val="18"/>
                  <w:color w:val="0000FF"/>
                </w:rPr>
                <w:t>PRINCIPAL AND SELLING STOCKHOLDERS</w:t>
              </w:r>
            </w:hyperlink>
          </w:p>
        </w:tc>
        <w:tc>
          <w:tcPr>
            <w:tcW w:w="720" w:type="dxa"/>
            <w:vAlign w:val="bottom"/>
            <w:gridSpan w:val="3"/>
          </w:tcPr>
          <w:p>
            <w:pPr>
              <w:jc w:val="center"/>
              <w:spacing w:after="0" w:line="190" w:lineRule="exact"/>
              <w:rPr>
                <w:rFonts w:ascii="Arial" w:cs="Arial" w:eastAsia="Arial" w:hAnsi="Arial"/>
                <w:sz w:val="18"/>
                <w:szCs w:val="18"/>
                <w:u w:val="single" w:color="auto"/>
                <w:color w:val="0000FF"/>
                <w:w w:val="93"/>
              </w:rPr>
            </w:pPr>
            <w:hyperlink w:anchor="page159">
              <w:r>
                <w:rPr>
                  <w:rFonts w:ascii="Arial" w:cs="Arial" w:eastAsia="Arial" w:hAnsi="Arial"/>
                  <w:sz w:val="18"/>
                  <w:szCs w:val="18"/>
                  <w:u w:val="single" w:color="auto"/>
                  <w:color w:val="0000FF"/>
                  <w:w w:val="93"/>
                </w:rPr>
                <w:t>158</w:t>
              </w:r>
            </w:hyperlink>
          </w:p>
        </w:tc>
      </w:tr>
      <w:tr>
        <w:trPr>
          <w:trHeight w:val="249"/>
        </w:trPr>
        <w:tc>
          <w:tcPr>
            <w:tcW w:w="3600" w:type="dxa"/>
            <w:vAlign w:val="bottom"/>
            <w:tcBorders>
              <w:top w:val="single" w:sz="8" w:color="0000FF"/>
            </w:tcBorders>
          </w:tcPr>
          <w:p>
            <w:pPr>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DESCRIPTION OF CAPITAL STOCK</w:t>
              </w:r>
            </w:hyperlink>
          </w:p>
        </w:tc>
        <w:tc>
          <w:tcPr>
            <w:tcW w:w="6900" w:type="dxa"/>
            <w:vAlign w:val="bottom"/>
          </w:tcPr>
          <w:p>
            <w:pPr>
              <w:spacing w:after="0"/>
              <w:rPr>
                <w:sz w:val="21"/>
                <w:szCs w:val="21"/>
                <w:color w:val="auto"/>
              </w:rPr>
            </w:pPr>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63">
              <w:r>
                <w:rPr>
                  <w:rFonts w:ascii="Arial" w:cs="Arial" w:eastAsia="Arial" w:hAnsi="Arial"/>
                  <w:sz w:val="18"/>
                  <w:szCs w:val="18"/>
                  <w:u w:val="single" w:color="auto"/>
                  <w:color w:val="0000FF"/>
                  <w:w w:val="93"/>
                </w:rPr>
                <w:t>162</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69">
              <w:r>
                <w:rPr>
                  <w:rFonts w:ascii="Arial" w:cs="Arial" w:eastAsia="Arial" w:hAnsi="Arial"/>
                  <w:sz w:val="18"/>
                  <w:szCs w:val="18"/>
                  <w:u w:val="single" w:color="auto"/>
                  <w:color w:val="0000FF"/>
                </w:rPr>
                <w:t>SHARES ELIGIBLE FOR FUTURE SALE</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69">
              <w:r>
                <w:rPr>
                  <w:rFonts w:ascii="Arial" w:cs="Arial" w:eastAsia="Arial" w:hAnsi="Arial"/>
                  <w:sz w:val="18"/>
                  <w:szCs w:val="18"/>
                  <w:u w:val="single" w:color="auto"/>
                  <w:color w:val="0000FF"/>
                  <w:w w:val="93"/>
                </w:rPr>
                <w:t>168</w:t>
              </w:r>
            </w:hyperlink>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MATERIAL U.S. FEDERAL INCOME AND TAX CONSIDERATIONS FOR NON-U.S. HOLDERS OF OUR COMMON STOCK</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72">
              <w:r>
                <w:rPr>
                  <w:rFonts w:ascii="Arial" w:cs="Arial" w:eastAsia="Arial" w:hAnsi="Arial"/>
                  <w:sz w:val="18"/>
                  <w:szCs w:val="18"/>
                  <w:u w:val="single" w:color="auto"/>
                  <w:color w:val="0000FF"/>
                  <w:w w:val="93"/>
                </w:rPr>
                <w:t>171</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76">
              <w:r>
                <w:rPr>
                  <w:rFonts w:ascii="Arial" w:cs="Arial" w:eastAsia="Arial" w:hAnsi="Arial"/>
                  <w:sz w:val="18"/>
                  <w:szCs w:val="18"/>
                  <w:u w:val="single" w:color="auto"/>
                  <w:color w:val="0000FF"/>
                </w:rPr>
                <w:t>UNDERWRITING</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76">
              <w:r>
                <w:rPr>
                  <w:rFonts w:ascii="Arial" w:cs="Arial" w:eastAsia="Arial" w:hAnsi="Arial"/>
                  <w:sz w:val="18"/>
                  <w:szCs w:val="18"/>
                  <w:u w:val="single" w:color="auto"/>
                  <w:color w:val="0000FF"/>
                  <w:w w:val="93"/>
                </w:rPr>
                <w:t>175</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LEGAL MATTERS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6">
              <w:r>
                <w:rPr>
                  <w:rFonts w:ascii="Arial" w:cs="Arial" w:eastAsia="Arial" w:hAnsi="Arial"/>
                  <w:sz w:val="18"/>
                  <w:szCs w:val="18"/>
                  <w:u w:val="single" w:color="auto"/>
                  <w:color w:val="0000FF"/>
                  <w:w w:val="93"/>
                </w:rPr>
                <w:t>185</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EXPERTS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7">
              <w:r>
                <w:rPr>
                  <w:rFonts w:ascii="Arial" w:cs="Arial" w:eastAsia="Arial" w:hAnsi="Arial"/>
                  <w:sz w:val="18"/>
                  <w:szCs w:val="18"/>
                  <w:u w:val="single" w:color="auto"/>
                  <w:color w:val="0000FF"/>
                  <w:w w:val="93"/>
                </w:rPr>
                <w:t>185</w:t>
              </w:r>
            </w:hyperlink>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WHERE YOU CAN FIND ADDITIONAL INFORMATION</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7">
              <w:r>
                <w:rPr>
                  <w:rFonts w:ascii="Arial" w:cs="Arial" w:eastAsia="Arial" w:hAnsi="Arial"/>
                  <w:sz w:val="18"/>
                  <w:szCs w:val="18"/>
                  <w:u w:val="single" w:color="auto"/>
                  <w:color w:val="0000FF"/>
                  <w:w w:val="93"/>
                </w:rPr>
                <w:t>185</w:t>
              </w:r>
            </w:hyperlink>
          </w:p>
        </w:tc>
      </w:tr>
      <w:tr>
        <w:trPr>
          <w:trHeight w:val="190"/>
        </w:trPr>
        <w:tc>
          <w:tcPr>
            <w:tcW w:w="10500" w:type="dxa"/>
            <w:vAlign w:val="bottom"/>
            <w:gridSpan w:val="2"/>
          </w:tcPr>
          <w:p>
            <w:pPr>
              <w:spacing w:after="0" w:line="190" w:lineRule="exact"/>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INDEX TO FINANCIAL STATEMENTS</w:t>
              </w:r>
            </w:hyperlink>
          </w:p>
        </w:tc>
        <w:tc>
          <w:tcPr>
            <w:tcW w:w="240" w:type="dxa"/>
            <w:vAlign w:val="bottom"/>
          </w:tcPr>
          <w:p>
            <w:pPr>
              <w:spacing w:after="0"/>
              <w:rPr>
                <w:sz w:val="16"/>
                <w:szCs w:val="16"/>
                <w:color w:val="auto"/>
              </w:rPr>
            </w:pPr>
          </w:p>
        </w:tc>
        <w:tc>
          <w:tcPr>
            <w:tcW w:w="480" w:type="dxa"/>
            <w:vAlign w:val="bottom"/>
            <w:gridSpan w:val="2"/>
          </w:tcPr>
          <w:p>
            <w:pPr>
              <w:jc w:val="center"/>
              <w:ind w:right="240"/>
              <w:spacing w:after="0" w:line="190" w:lineRule="exact"/>
              <w:rPr>
                <w:rFonts w:ascii="Arial" w:cs="Arial" w:eastAsia="Arial" w:hAnsi="Arial"/>
                <w:sz w:val="18"/>
                <w:szCs w:val="18"/>
                <w:color w:val="0000FF"/>
                <w:w w:val="88"/>
              </w:rPr>
            </w:pPr>
            <w:hyperlink w:anchor="page187">
              <w:r>
                <w:rPr>
                  <w:rFonts w:ascii="Arial" w:cs="Arial" w:eastAsia="Arial" w:hAnsi="Arial"/>
                  <w:sz w:val="18"/>
                  <w:szCs w:val="18"/>
                  <w:color w:val="0000FF"/>
                  <w:w w:val="88"/>
                </w:rPr>
                <w:t>F-1</w:t>
              </w:r>
            </w:hyperlink>
          </w:p>
        </w:tc>
      </w:tr>
      <w:tr>
        <w:trPr>
          <w:trHeight w:val="20"/>
        </w:trPr>
        <w:tc>
          <w:tcPr>
            <w:tcW w:w="36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Neither we, the selling stockholders nor the underwriters have authorized anyone to provide you any information other than that contained in this prospectus or in any free writing prospectus prepared by or on behalf of us or to which we have referred you. We, the selling stockholders and the underwriters take no responsibility for, and can provide no assurance as to the reliability of, any other information that others may give you. Neither we, the selling stockholders nor the underwriters are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Class A common stock offered hereby. Our business, financial condition, results of operations and prospects may have changed since that date.</w:t>
      </w:r>
    </w:p>
    <w:p>
      <w:pPr>
        <w:spacing w:after="0" w:line="12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For investors outside of the United States: neither we, the selling stockholders nor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030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left="340" w:right="40"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and “Management’s Discussion and Analysis of Financial Condition and Results of Operations,” and our financial statements and related notes. In this prospectus, unless the context requires otherwise, references to “we,” “us,” “our,” “Seer,” or “the Company” refer to Seer, Inc. A summary of key terms used in this prospectus can be found in the section titled “Glossary” located after this Prospectus Summary.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5" w:lineRule="exact"/>
        <w:rPr>
          <w:sz w:val="20"/>
          <w:szCs w:val="20"/>
          <w:color w:val="auto"/>
        </w:rPr>
      </w:pPr>
    </w:p>
    <w:p>
      <w:pPr>
        <w:ind w:left="340" w:right="40" w:firstLine="324"/>
        <w:spacing w:after="0" w:line="268" w:lineRule="auto"/>
        <w:rPr>
          <w:sz w:val="20"/>
          <w:szCs w:val="20"/>
          <w:color w:val="auto"/>
        </w:rPr>
      </w:pPr>
      <w:r>
        <w:rPr>
          <w:rFonts w:ascii="Arial" w:cs="Arial" w:eastAsia="Arial" w:hAnsi="Arial"/>
          <w:sz w:val="17"/>
          <w:szCs w:val="17"/>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7"/>
          <w:szCs w:val="17"/>
          <w:i w:val="1"/>
          <w:iCs w:val="1"/>
          <w:color w:val="auto"/>
        </w:rPr>
        <w:t>de novo</w:t>
      </w:r>
      <w:r>
        <w:rPr>
          <w:rFonts w:ascii="Arial" w:cs="Arial" w:eastAsia="Arial" w:hAnsi="Arial"/>
          <w:sz w:val="17"/>
          <w:szCs w:val="17"/>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00"/>
          </w:cols>
          <w:pgMar w:left="660" w:top="121" w:right="1039" w:bottom="1440" w:gutter="0" w:footer="0" w:header="0"/>
        </w:sectPr>
      </w:pPr>
    </w:p>
    <w:bookmarkStart w:id="3" w:name="page4"/>
    <w:bookmarkEnd w:id="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826135</wp:posOffset>
            </wp:positionV>
            <wp:extent cx="7136130" cy="7324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ectPr>
          <w:pgSz w:w="11900" w:h="16838" w:orient="portrait"/>
          <w:cols w:equalWidth="0" w:num="1">
            <w:col w:w="10220"/>
          </w:cols>
          <w:pgMar w:left="66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right="20" w:firstLine="324"/>
        <w:spacing w:after="0" w:line="285" w:lineRule="auto"/>
        <w:rPr>
          <w:sz w:val="20"/>
          <w:szCs w:val="20"/>
          <w:color w:val="auto"/>
        </w:rPr>
      </w:pPr>
      <w:r>
        <w:rPr>
          <w:rFonts w:ascii="Arial" w:cs="Arial" w:eastAsia="Arial" w:hAnsi="Arial"/>
          <w:sz w:val="16"/>
          <w:szCs w:val="16"/>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delivered a second Proteograph to a collaborator in December 2020.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left="340" w:firstLine="324"/>
        <w:spacing w:after="0" w:line="269" w:lineRule="auto"/>
        <w:rPr>
          <w:sz w:val="20"/>
          <w:szCs w:val="20"/>
          <w:color w:val="auto"/>
        </w:rPr>
      </w:pPr>
      <w:r>
        <w:rPr>
          <w:rFonts w:ascii="Arial" w:cs="Arial" w:eastAsia="Arial" w:hAnsi="Arial"/>
          <w:sz w:val="17"/>
          <w:szCs w:val="17"/>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20"/>
          </w:cols>
          <w:pgMar w:left="660" w:top="121" w:right="10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819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Background of Massively Parallel Sampling</w:t>
      </w:r>
    </w:p>
    <w:p>
      <w:pPr>
        <w:spacing w:after="0" w:line="171" w:lineRule="exact"/>
        <w:rPr>
          <w:sz w:val="20"/>
          <w:szCs w:val="20"/>
          <w:color w:val="auto"/>
        </w:rPr>
      </w:pPr>
    </w:p>
    <w:p>
      <w:pPr>
        <w:ind w:left="340" w:firstLine="324"/>
        <w:spacing w:after="0" w:line="287" w:lineRule="auto"/>
        <w:rPr>
          <w:sz w:val="20"/>
          <w:szCs w:val="20"/>
          <w:color w:val="auto"/>
        </w:rPr>
      </w:pPr>
      <w:r>
        <w:rPr>
          <w:rFonts w:ascii="Arial" w:cs="Arial" w:eastAsia="Arial" w:hAnsi="Arial"/>
          <w:sz w:val="16"/>
          <w:szCs w:val="16"/>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Engineered Nanoparticle Technology</w:t>
      </w:r>
    </w:p>
    <w:p>
      <w:pPr>
        <w:spacing w:after="0" w:line="171" w:lineRule="exact"/>
        <w:rPr>
          <w:sz w:val="20"/>
          <w:szCs w:val="20"/>
          <w:color w:val="auto"/>
        </w:rPr>
      </w:pPr>
    </w:p>
    <w:p>
      <w:pPr>
        <w:ind w:left="340" w:firstLine="324"/>
        <w:spacing w:after="0" w:line="296" w:lineRule="auto"/>
        <w:rPr>
          <w:sz w:val="20"/>
          <w:szCs w:val="20"/>
          <w:color w:val="auto"/>
        </w:rPr>
      </w:pPr>
      <w:r>
        <w:rPr>
          <w:rFonts w:ascii="Arial" w:cs="Arial" w:eastAsia="Arial" w:hAnsi="Arial"/>
          <w:sz w:val="16"/>
          <w:szCs w:val="16"/>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07" w:lineRule="exact"/>
        <w:rPr>
          <w:sz w:val="20"/>
          <w:szCs w:val="20"/>
          <w:color w:val="auto"/>
        </w:rPr>
      </w:pPr>
    </w:p>
    <w:p>
      <w:pPr>
        <w:ind w:left="340" w:right="8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138" w:lineRule="exact"/>
        <w:rPr>
          <w:sz w:val="20"/>
          <w:szCs w:val="20"/>
          <w:color w:val="auto"/>
        </w:rPr>
      </w:pPr>
    </w:p>
    <w:p>
      <w:pPr>
        <w:ind w:left="340" w:right="40" w:firstLine="324"/>
        <w:spacing w:after="0" w:line="287" w:lineRule="auto"/>
        <w:rPr>
          <w:sz w:val="20"/>
          <w:szCs w:val="20"/>
          <w:color w:val="auto"/>
        </w:rPr>
      </w:pPr>
      <w:r>
        <w:rPr>
          <w:rFonts w:ascii="Arial" w:cs="Arial" w:eastAsia="Arial" w:hAnsi="Arial"/>
          <w:sz w:val="16"/>
          <w:szCs w:val="16"/>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mass spectrometry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660" w:top="121" w:right="101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055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980" w:hanging="32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980" w:right="20" w:hanging="322"/>
        <w:spacing w:after="0" w:line="342" w:lineRule="auto"/>
        <w:tabs>
          <w:tab w:leader="none" w:pos="975" w:val="left"/>
        </w:tabs>
        <w:numPr>
          <w:ilvl w:val="0"/>
          <w:numId w:val="2"/>
        </w:numPr>
        <w:rPr>
          <w:rFonts w:ascii="Arial" w:cs="Arial" w:eastAsia="Arial" w:hAnsi="Arial"/>
          <w:sz w:val="16"/>
          <w:szCs w:val="16"/>
          <w:color w:val="auto"/>
        </w:rPr>
      </w:pPr>
      <w:r>
        <w:rPr>
          <w:rFonts w:ascii="Arial" w:cs="Arial" w:eastAsia="Arial" w:hAnsi="Arial"/>
          <w:sz w:val="16"/>
          <w:szCs w:val="16"/>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69" w:lineRule="exact"/>
        <w:rPr>
          <w:rFonts w:ascii="Arial" w:cs="Arial" w:eastAsia="Arial" w:hAnsi="Arial"/>
          <w:sz w:val="16"/>
          <w:szCs w:val="16"/>
          <w:color w:val="auto"/>
        </w:rPr>
      </w:pPr>
    </w:p>
    <w:p>
      <w:pPr>
        <w:ind w:left="980" w:hanging="32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980" w:hanging="32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980" w:right="100" w:hanging="322"/>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machine learning to design, synthesize and select different NPs and NP panels to create multiple products and applications; and</w:t>
      </w:r>
    </w:p>
    <w:p>
      <w:pPr>
        <w:spacing w:after="0" w:line="116" w:lineRule="exact"/>
        <w:rPr>
          <w:rFonts w:ascii="Arial" w:cs="Arial" w:eastAsia="Arial" w:hAnsi="Arial"/>
          <w:sz w:val="18"/>
          <w:szCs w:val="18"/>
          <w:color w:val="auto"/>
        </w:rPr>
      </w:pPr>
    </w:p>
    <w:p>
      <w:pPr>
        <w:ind w:left="980" w:right="600" w:hanging="322"/>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left="340" w:firstLine="324"/>
        <w:spacing w:after="0" w:line="301" w:lineRule="auto"/>
        <w:rPr>
          <w:sz w:val="20"/>
          <w:szCs w:val="20"/>
          <w:color w:val="auto"/>
        </w:rPr>
      </w:pPr>
      <w:r>
        <w:rPr>
          <w:rFonts w:ascii="Arial" w:cs="Arial" w:eastAsia="Arial" w:hAnsi="Arial"/>
          <w:sz w:val="16"/>
          <w:szCs w:val="16"/>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40"/>
          </w:cols>
          <w:pgMar w:left="660" w:top="121" w:right="999" w:bottom="1440" w:gutter="0" w:footer="0" w:header="0"/>
        </w:sectPr>
      </w:pPr>
    </w:p>
    <w:bookmarkStart w:id="6" w:name="page7"/>
    <w:bookmarkEnd w:id="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826135</wp:posOffset>
            </wp:positionV>
            <wp:extent cx="7136130" cy="7890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890510"/>
                    </a:xfrm>
                    <a:prstGeom prst="rect">
                      <a:avLst/>
                    </a:prstGeom>
                    <a:noFill/>
                  </pic:spPr>
                </pic:pic>
              </a:graphicData>
            </a:graphic>
          </wp:anchor>
        </w:drawing>
      </w:r>
    </w:p>
    <w:p>
      <w:pPr>
        <w:sectPr>
          <w:pgSz w:w="11900" w:h="16838" w:orient="portrait"/>
          <w:cols w:equalWidth="0" w:num="1">
            <w:col w:w="10220"/>
          </w:cols>
          <w:pgMar w:left="66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Proteograph’s key components are the following:</w:t>
      </w:r>
    </w:p>
    <w:p>
      <w:pPr>
        <w:spacing w:after="0" w:line="171" w:lineRule="exact"/>
        <w:rPr>
          <w:sz w:val="20"/>
          <w:szCs w:val="20"/>
          <w:color w:val="auto"/>
        </w:rPr>
      </w:pPr>
    </w:p>
    <w:p>
      <w:pPr>
        <w:ind w:left="980" w:right="140" w:hanging="322"/>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Consumables: Our Proteograph consumables consist of our NP panel and all other consumables necessary to assay samples on our automation instrument.</w:t>
      </w:r>
    </w:p>
    <w:p>
      <w:pPr>
        <w:spacing w:after="0" w:line="116" w:lineRule="exact"/>
        <w:rPr>
          <w:rFonts w:ascii="Arial" w:cs="Arial" w:eastAsia="Arial" w:hAnsi="Arial"/>
          <w:sz w:val="18"/>
          <w:szCs w:val="18"/>
          <w:color w:val="auto"/>
        </w:rPr>
      </w:pPr>
    </w:p>
    <w:p>
      <w:pPr>
        <w:ind w:left="980" w:hanging="322"/>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w:t>
      </w:r>
    </w:p>
    <w:p>
      <w:pPr>
        <w:spacing w:after="0" w:line="132" w:lineRule="exact"/>
        <w:rPr>
          <w:rFonts w:ascii="Arial" w:cs="Arial" w:eastAsia="Arial" w:hAnsi="Arial"/>
          <w:sz w:val="18"/>
          <w:szCs w:val="18"/>
          <w:color w:val="auto"/>
        </w:rPr>
      </w:pPr>
    </w:p>
    <w:p>
      <w:pPr>
        <w:ind w:left="980" w:hanging="322"/>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Our Proteograph software was designed for ease-of-use and was developed to help users arrive at insights quickly and efficiently following peptide detection by an MS instrument.</w:t>
      </w:r>
    </w:p>
    <w:p>
      <w:pPr>
        <w:spacing w:after="0" w:line="116" w:lineRule="exact"/>
        <w:rPr>
          <w:sz w:val="20"/>
          <w:szCs w:val="20"/>
          <w:color w:val="auto"/>
        </w:rPr>
      </w:pPr>
    </w:p>
    <w:p>
      <w:pPr>
        <w:ind w:left="340" w:right="160" w:firstLine="324"/>
        <w:spacing w:after="0" w:line="255" w:lineRule="auto"/>
        <w:rPr>
          <w:sz w:val="20"/>
          <w:szCs w:val="20"/>
          <w:color w:val="auto"/>
        </w:rPr>
      </w:pPr>
      <w:r>
        <w:rPr>
          <w:rFonts w:ascii="Arial" w:cs="Arial" w:eastAsia="Arial" w:hAnsi="Arial"/>
          <w:sz w:val="18"/>
          <w:szCs w:val="18"/>
          <w:color w:val="auto"/>
        </w:rPr>
        <w:t>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w:t>
      </w:r>
    </w:p>
    <w:p>
      <w:pPr>
        <w:spacing w:after="0" w:line="138" w:lineRule="exact"/>
        <w:rPr>
          <w:sz w:val="20"/>
          <w:szCs w:val="20"/>
          <w:color w:val="auto"/>
        </w:rPr>
      </w:pPr>
    </w:p>
    <w:p>
      <w:pPr>
        <w:ind w:left="340" w:right="40" w:firstLine="324"/>
        <w:spacing w:after="0" w:line="259" w:lineRule="auto"/>
        <w:rPr>
          <w:sz w:val="20"/>
          <w:szCs w:val="20"/>
          <w:color w:val="auto"/>
        </w:rPr>
      </w:pPr>
      <w:r>
        <w:rPr>
          <w:rFonts w:ascii="Arial" w:cs="Arial" w:eastAsia="Arial" w:hAnsi="Arial"/>
          <w:sz w:val="18"/>
          <w:szCs w:val="18"/>
          <w:color w:val="auto"/>
        </w:rPr>
        <w:t>For our first Proteograph assay, we will employ a panel of five NPs.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Proteograph Product Suite Performance</w:t>
      </w:r>
    </w:p>
    <w:p>
      <w:pPr>
        <w:spacing w:after="0" w:line="171" w:lineRule="exact"/>
        <w:rPr>
          <w:sz w:val="20"/>
          <w:szCs w:val="20"/>
          <w:color w:val="auto"/>
        </w:rPr>
      </w:pPr>
    </w:p>
    <w:p>
      <w:pPr>
        <w:ind w:left="340" w:right="120" w:firstLine="324"/>
        <w:spacing w:after="0" w:line="301" w:lineRule="auto"/>
        <w:rPr>
          <w:sz w:val="20"/>
          <w:szCs w:val="20"/>
          <w:color w:val="auto"/>
        </w:rPr>
      </w:pPr>
      <w:r>
        <w:rPr>
          <w:rFonts w:ascii="Arial" w:cs="Arial" w:eastAsia="Arial" w:hAnsi="Arial"/>
          <w:sz w:val="16"/>
          <w:szCs w:val="16"/>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w:t>
      </w:r>
    </w:p>
    <w:p>
      <w:pPr>
        <w:spacing w:after="0" w:line="103" w:lineRule="exact"/>
        <w:rPr>
          <w:sz w:val="20"/>
          <w:szCs w:val="20"/>
          <w:color w:val="auto"/>
        </w:rPr>
      </w:pPr>
    </w:p>
    <w:p>
      <w:pPr>
        <w:jc w:val="both"/>
        <w:ind w:left="980" w:right="20" w:hanging="322"/>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Breadth of protein sampling refers to our Proteograph Product Suite’s ability to conduct unbiased,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 parallel sampling of the proteome across its entire dynamic range, from high to low abundant proteins. Given the unique characteristics of our NPs, our Proteograph Product Suite allows</w:t>
      </w: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20"/>
          </w:cols>
          <w:pgMar w:left="660" w:top="121" w:right="10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299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right="420"/>
        <w:spacing w:after="0" w:line="279" w:lineRule="auto"/>
        <w:rPr>
          <w:sz w:val="20"/>
          <w:szCs w:val="20"/>
          <w:color w:val="auto"/>
        </w:rPr>
      </w:pPr>
      <w:r>
        <w:rPr>
          <w:rFonts w:ascii="Arial" w:cs="Arial" w:eastAsia="Arial" w:hAnsi="Arial"/>
          <w:sz w:val="17"/>
          <w:szCs w:val="17"/>
          <w:color w:val="auto"/>
        </w:rPr>
        <w:t>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 methods of unbiased proteomic analysis.</w:t>
      </w:r>
    </w:p>
    <w:p>
      <w:pPr>
        <w:spacing w:after="0" w:line="117" w:lineRule="exact"/>
        <w:rPr>
          <w:sz w:val="20"/>
          <w:szCs w:val="20"/>
          <w:color w:val="auto"/>
        </w:rPr>
      </w:pPr>
    </w:p>
    <w:p>
      <w:pPr>
        <w:ind w:left="980" w:right="60" w:hanging="322"/>
        <w:spacing w:after="0" w:line="293"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Depth of coverage. </w:t>
      </w:r>
      <w:r>
        <w:rPr>
          <w:rFonts w:ascii="Arial" w:cs="Arial" w:eastAsia="Arial" w:hAnsi="Arial"/>
          <w:sz w:val="16"/>
          <w:szCs w:val="16"/>
          <w:color w:val="auto"/>
        </w:rPr>
        <w:t>Depth of coverage refers to our Proteograph’s ability to evaluate the proteome across the wide dynamic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range of abundance of 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w:t>
      </w:r>
    </w:p>
    <w:p>
      <w:pPr>
        <w:spacing w:after="0" w:line="110" w:lineRule="exact"/>
        <w:rPr>
          <w:rFonts w:ascii="Arial" w:cs="Arial" w:eastAsia="Arial" w:hAnsi="Arial"/>
          <w:sz w:val="16"/>
          <w:szCs w:val="16"/>
          <w:color w:val="auto"/>
        </w:rPr>
      </w:pPr>
    </w:p>
    <w:p>
      <w:pPr>
        <w:ind w:left="980" w:right="20" w:hanging="322"/>
        <w:spacing w:after="0" w:line="279"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sample. Accuracy of protein abundance measurement can be demonstrated by MS signal intensity of the proteins sampled with our Proteograph, and comparing these values with measurements obtained directly by immuno-assay (ELISA). Our Proteograph assay can distinguish changes in protein abundance with significant accuracy.</w:t>
      </w:r>
    </w:p>
    <w:p>
      <w:pPr>
        <w:spacing w:after="0" w:line="117" w:lineRule="exact"/>
        <w:rPr>
          <w:rFonts w:ascii="Arial" w:cs="Arial" w:eastAsia="Arial" w:hAnsi="Arial"/>
          <w:sz w:val="17"/>
          <w:szCs w:val="17"/>
          <w:color w:val="auto"/>
        </w:rPr>
      </w:pPr>
    </w:p>
    <w:p>
      <w:pPr>
        <w:ind w:left="980" w:hanging="322"/>
        <w:spacing w:after="0" w:line="255"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Precision of measurement. </w:t>
      </w:r>
      <w:r>
        <w:rPr>
          <w:rFonts w:ascii="Arial" w:cs="Arial" w:eastAsia="Arial" w:hAnsi="Arial"/>
          <w:sz w:val="18"/>
          <w:szCs w:val="18"/>
          <w:color w:val="auto"/>
        </w:rPr>
        <w:t>Precision refers to how close several measurements of protein abundance in the same sample are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other. Less 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Our Proteograph analysis shows lower CV%s than fractionation and depletion methods, which is notable since we achieve lower CV%s while concurrently sampling significantly more proteins.</w:t>
      </w:r>
    </w:p>
    <w:p>
      <w:pPr>
        <w:spacing w:after="0" w:line="134" w:lineRule="exact"/>
        <w:rPr>
          <w:rFonts w:ascii="Arial" w:cs="Arial" w:eastAsia="Arial" w:hAnsi="Arial"/>
          <w:sz w:val="18"/>
          <w:szCs w:val="18"/>
          <w:color w:val="auto"/>
        </w:rPr>
      </w:pPr>
    </w:p>
    <w:p>
      <w:pPr>
        <w:ind w:left="980" w:right="120" w:hanging="322"/>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Rapid and large-scale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Proteograph enables rapid and large-scale proteomic sample processing in a seven-hour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unbiased solutions that can take days to weeks. We believe this increased throughput will enable researchers to perform large-scale proteomics studies that were not previously accessible, but are needed for a more complete characterization of the proteome, and thus biology.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left="340" w:right="40"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38" w:lineRule="exact"/>
        <w:rPr>
          <w:sz w:val="20"/>
          <w:szCs w:val="20"/>
          <w:color w:val="auto"/>
        </w:rPr>
      </w:pPr>
    </w:p>
    <w:p>
      <w:pPr>
        <w:ind w:left="340" w:right="200" w:firstLine="324"/>
        <w:spacing w:after="0" w:line="290" w:lineRule="auto"/>
        <w:rPr>
          <w:sz w:val="20"/>
          <w:szCs w:val="20"/>
          <w:color w:val="auto"/>
        </w:rPr>
      </w:pPr>
      <w:r>
        <w:rPr>
          <w:rFonts w:ascii="Arial" w:cs="Arial" w:eastAsia="Arial" w:hAnsi="Arial"/>
          <w:sz w:val="16"/>
          <w:szCs w:val="16"/>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w:t>
      </w:r>
    </w:p>
    <w:p>
      <w:pPr>
        <w:sectPr>
          <w:pgSz w:w="11900" w:h="16838" w:orient="portrait"/>
          <w:cols w:equalWidth="0" w:num="1">
            <w:col w:w="10240"/>
          </w:cols>
          <w:pgMar w:left="66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240"/>
          </w:cols>
          <w:pgMar w:left="660" w:top="121" w:right="9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676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proprietary engineered NP technology and Proteograph Product Suite have the following advantages:</w:t>
      </w:r>
    </w:p>
    <w:p>
      <w:pPr>
        <w:spacing w:after="0" w:line="171" w:lineRule="exact"/>
        <w:rPr>
          <w:sz w:val="20"/>
          <w:szCs w:val="20"/>
          <w:color w:val="auto"/>
        </w:rPr>
      </w:pPr>
    </w:p>
    <w:p>
      <w:pPr>
        <w:ind w:left="980" w:right="62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Proteograph Product Suite is expected to be the first commercially available solution to provide the combination of unbiased, deep, rapid and large-scale access to the proteome.</w:t>
      </w:r>
    </w:p>
    <w:p>
      <w:pPr>
        <w:spacing w:after="0" w:line="116" w:lineRule="exact"/>
        <w:rPr>
          <w:rFonts w:ascii="Arial" w:cs="Arial" w:eastAsia="Arial" w:hAnsi="Arial"/>
          <w:sz w:val="18"/>
          <w:szCs w:val="18"/>
          <w:color w:val="auto"/>
        </w:rPr>
      </w:pPr>
    </w:p>
    <w:p>
      <w:pPr>
        <w:ind w:left="980" w:right="180" w:hanging="322"/>
        <w:spacing w:after="0" w:line="308"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Proteograph Product Suite provides insight into protein variation and PPIs at a depth and scale that we believe sets a new standard for unbiased and deep proteomics, and is unattainable with other existing approaches.</w:t>
      </w:r>
    </w:p>
    <w:p>
      <w:pPr>
        <w:spacing w:after="0" w:line="92" w:lineRule="exact"/>
        <w:rPr>
          <w:rFonts w:ascii="Arial" w:cs="Arial" w:eastAsia="Arial" w:hAnsi="Arial"/>
          <w:sz w:val="17"/>
          <w:szCs w:val="17"/>
          <w:color w:val="auto"/>
        </w:rPr>
      </w:pPr>
    </w:p>
    <w:p>
      <w:pPr>
        <w:ind w:left="980" w:right="8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Proteograph Product Suite was designed to enable broad adoption across a wide variety of customers in both decentralized and centralized settings.</w:t>
      </w:r>
    </w:p>
    <w:p>
      <w:pPr>
        <w:spacing w:after="0" w:line="116" w:lineRule="exact"/>
        <w:rPr>
          <w:rFonts w:ascii="Arial" w:cs="Arial" w:eastAsia="Arial" w:hAnsi="Arial"/>
          <w:sz w:val="18"/>
          <w:szCs w:val="18"/>
          <w:color w:val="auto"/>
        </w:rPr>
      </w:pPr>
    </w:p>
    <w:p>
      <w:pPr>
        <w:ind w:left="980" w:right="60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proprietary engineered NPs are a core technology from which we can develop a range of products, applications and platforms.</w:t>
      </w:r>
    </w:p>
    <w:p>
      <w:pPr>
        <w:spacing w:after="0" w:line="116" w:lineRule="exact"/>
        <w:rPr>
          <w:rFonts w:ascii="Arial" w:cs="Arial" w:eastAsia="Arial" w:hAnsi="Arial"/>
          <w:sz w:val="18"/>
          <w:szCs w:val="18"/>
          <w:color w:val="auto"/>
        </w:rPr>
      </w:pPr>
    </w:p>
    <w:p>
      <w:pPr>
        <w:ind w:left="980" w:right="52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NP technology inherently provides significant operational leverage in research and development, manufacturing and commercialization.</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Proteograph Product Suite has the potential to provide sustainable differentiation.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left="340" w:right="48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980" w:right="30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 adoption of our Proteograph Product Suite to enable researchers to create large-scale unbiased proteomic datasets that generate transformative scientific insights.</w:t>
      </w:r>
    </w:p>
    <w:p>
      <w:pPr>
        <w:spacing w:after="0" w:line="116" w:lineRule="exact"/>
        <w:rPr>
          <w:rFonts w:ascii="Arial" w:cs="Arial" w:eastAsia="Arial" w:hAnsi="Arial"/>
          <w:sz w:val="18"/>
          <w:szCs w:val="18"/>
          <w:color w:val="auto"/>
        </w:rPr>
      </w:pPr>
    </w:p>
    <w:p>
      <w:pPr>
        <w:ind w:left="980" w:right="8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market development activities to increase awareness of the importance of large-scale proteomic data and the ability to access it.</w:t>
      </w:r>
    </w:p>
    <w:p>
      <w:pPr>
        <w:spacing w:after="0" w:line="116" w:lineRule="exact"/>
        <w:rPr>
          <w:rFonts w:ascii="Arial" w:cs="Arial" w:eastAsia="Arial" w:hAnsi="Arial"/>
          <w:sz w:val="18"/>
          <w:szCs w:val="18"/>
          <w:color w:val="auto"/>
        </w:rPr>
      </w:pPr>
    </w:p>
    <w:p>
      <w:pPr>
        <w:ind w:left="980" w:right="22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Continually innovate to develop and commercialize additional transformative products to access the proteome and accelerate our understanding of biology.</w:t>
      </w:r>
    </w:p>
    <w:p>
      <w:pPr>
        <w:spacing w:after="0" w:line="116" w:lineRule="exact"/>
        <w:rPr>
          <w:rFonts w:ascii="Arial" w:cs="Arial" w:eastAsia="Arial" w:hAnsi="Arial"/>
          <w:sz w:val="18"/>
          <w:szCs w:val="18"/>
          <w:color w:val="auto"/>
        </w:rPr>
      </w:pPr>
    </w:p>
    <w:p>
      <w:pPr>
        <w:ind w:left="980" w:right="32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build our commercial infrastructure and NP manufacturing capabilities to provide for our commercial launch in the United States and internationally.</w:t>
      </w:r>
    </w:p>
    <w:p>
      <w:pPr>
        <w:spacing w:after="0" w:line="116" w:lineRule="exact"/>
        <w:rPr>
          <w:rFonts w:ascii="Arial" w:cs="Arial" w:eastAsia="Arial" w:hAnsi="Arial"/>
          <w:sz w:val="18"/>
          <w:szCs w:val="18"/>
          <w:color w:val="auto"/>
        </w:rPr>
      </w:pPr>
    </w:p>
    <w:p>
      <w:pPr>
        <w:ind w:left="980" w:right="32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Foster the creation of an ecosystem of customers, partners and collaborators whose expertise and offerings complement and enhance the power and utility of our products.</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proprietary engineered NP technology to analyze molecules beyond proteins.</w:t>
      </w:r>
    </w:p>
    <w:p>
      <w:pPr>
        <w:sectPr>
          <w:pgSz w:w="11900" w:h="16838" w:orient="portrait"/>
          <w:cols w:equalWidth="0" w:num="1">
            <w:col w:w="10200"/>
          </w:cols>
          <w:pgMar w:left="66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200"/>
          </w:cols>
          <w:pgMar w:left="660" w:top="121" w:right="10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333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Associated with Our Business</w:t>
      </w:r>
    </w:p>
    <w:p>
      <w:pPr>
        <w:spacing w:after="0" w:line="175" w:lineRule="exact"/>
        <w:rPr>
          <w:sz w:val="20"/>
          <w:szCs w:val="20"/>
          <w:color w:val="auto"/>
        </w:rPr>
      </w:pPr>
    </w:p>
    <w:p>
      <w:pPr>
        <w:ind w:left="340" w:right="60" w:firstLine="324"/>
        <w:spacing w:after="0" w:line="342" w:lineRule="auto"/>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70" w:lineRule="exact"/>
        <w:rPr>
          <w:sz w:val="20"/>
          <w:szCs w:val="20"/>
          <w:color w:val="auto"/>
        </w:rPr>
      </w:pPr>
    </w:p>
    <w:p>
      <w:pPr>
        <w:ind w:left="980" w:right="8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980" w:right="22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980" w:right="8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980" w:right="200" w:hanging="322"/>
        <w:spacing w:after="0" w:line="308"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92" w:lineRule="exact"/>
        <w:rPr>
          <w:rFonts w:ascii="Arial" w:cs="Arial" w:eastAsia="Arial" w:hAnsi="Arial"/>
          <w:sz w:val="17"/>
          <w:szCs w:val="17"/>
          <w:color w:val="auto"/>
        </w:rPr>
      </w:pPr>
    </w:p>
    <w:p>
      <w:pPr>
        <w:ind w:left="980" w:right="12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98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980" w:right="34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980" w:right="12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980" w:right="360" w:hanging="322"/>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2" w:lineRule="exact"/>
        <w:rPr>
          <w:rFonts w:ascii="Arial" w:cs="Arial" w:eastAsia="Arial" w:hAnsi="Arial"/>
          <w:sz w:val="18"/>
          <w:szCs w:val="18"/>
          <w:color w:val="auto"/>
        </w:rPr>
      </w:pPr>
    </w:p>
    <w:p>
      <w:pPr>
        <w:ind w:left="980" w:right="20" w:hanging="322"/>
        <w:spacing w:after="0" w:line="301"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left="340" w:firstLine="324"/>
        <w:spacing w:after="0" w:line="296" w:lineRule="auto"/>
        <w:rPr>
          <w:sz w:val="20"/>
          <w:szCs w:val="20"/>
          <w:color w:val="auto"/>
        </w:rPr>
      </w:pPr>
      <w:r>
        <w:rPr>
          <w:rFonts w:ascii="Arial" w:cs="Arial" w:eastAsia="Arial" w:hAnsi="Arial"/>
          <w:sz w:val="16"/>
          <w:szCs w:val="16"/>
          <w:color w:val="auto"/>
          <w:highlight w:val="white"/>
        </w:rPr>
        <w:t xml:space="preserve">On January 5, 2021, we signed a collaboration program agreement with Discovery Life Sciences, LLC (DLS), who is our third collaboration customer. DLS is a highly respected leader in multi-omics services spanning a range of research and translational offerings including whole genome sequencing, RNA sequencing, metagenomics, epigenomics, and single-cell analysis at scale. DLS is adding the Proteograph to extend its capabilities into unbiased, deep, rapid and large-scale proteomics as a complementary capability to its existing multi-omics capabilities to offer </w:t>
      </w:r>
      <w:r>
        <w:rPr>
          <w:rFonts w:ascii="Arial" w:cs="Arial" w:eastAsia="Arial" w:hAnsi="Arial"/>
          <w:sz w:val="16"/>
          <w:szCs w:val="16"/>
          <w:color w:val="auto"/>
        </w:rPr>
        <w:t>proteomic, proteogenomics and other multi-omic services to its customers.</w:t>
      </w:r>
    </w:p>
    <w:p>
      <w:pPr>
        <w:spacing w:after="0" w:line="107" w:lineRule="exact"/>
        <w:rPr>
          <w:sz w:val="20"/>
          <w:szCs w:val="20"/>
          <w:color w:val="auto"/>
        </w:rPr>
      </w:pPr>
    </w:p>
    <w:p>
      <w:pPr>
        <w:ind w:left="340" w:right="60" w:firstLine="324"/>
        <w:spacing w:after="0" w:line="263" w:lineRule="auto"/>
        <w:rPr>
          <w:sz w:val="20"/>
          <w:szCs w:val="20"/>
          <w:color w:val="auto"/>
        </w:rPr>
      </w:pPr>
      <w:r>
        <w:rPr>
          <w:rFonts w:ascii="Arial" w:cs="Arial" w:eastAsia="Arial" w:hAnsi="Arial"/>
          <w:sz w:val="18"/>
          <w:szCs w:val="18"/>
          <w:color w:val="auto"/>
        </w:rPr>
        <w:t xml:space="preserve">On January 11, 2021, </w:t>
      </w:r>
      <w:r>
        <w:rPr>
          <w:rFonts w:ascii="Arial" w:cs="Arial" w:eastAsia="Arial" w:hAnsi="Arial"/>
          <w:sz w:val="18"/>
          <w:szCs w:val="18"/>
          <w:color w:val="auto"/>
          <w:highlight w:val="white"/>
        </w:rPr>
        <w:t>we announced non-exclusive commercial agreements with Bruker Scientific LLC (Bruker) and Thermo</w:t>
      </w:r>
      <w:r>
        <w:rPr>
          <w:rFonts w:ascii="Arial" w:cs="Arial" w:eastAsia="Arial" w:hAnsi="Arial"/>
          <w:sz w:val="18"/>
          <w:szCs w:val="18"/>
          <w:color w:val="auto"/>
        </w:rPr>
        <w:t xml:space="preserve"> </w:t>
      </w:r>
      <w:r>
        <w:rPr>
          <w:rFonts w:ascii="Arial" w:cs="Arial" w:eastAsia="Arial" w:hAnsi="Arial"/>
          <w:sz w:val="18"/>
          <w:szCs w:val="18"/>
          <w:color w:val="auto"/>
          <w:highlight w:val="white"/>
        </w:rPr>
        <w:t>Electron North America LLC (Thermo Fisher). These agreements will enable us to market certain of Bruker’s and Thermo Fisher’s MS systems together with our Proteograph Product Suite. We believe our</w:t>
      </w:r>
    </w:p>
    <w:p>
      <w:pPr>
        <w:sectPr>
          <w:pgSz w:w="11900" w:h="16838" w:orient="portrait"/>
          <w:cols w:equalWidth="0" w:num="1">
            <w:col w:w="10160"/>
          </w:cols>
          <w:pgMar w:left="660" w:top="12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160"/>
          </w:cols>
          <w:pgMar w:left="660" w:top="121" w:right="10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339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160"/>
        <w:spacing w:after="0" w:line="263" w:lineRule="auto"/>
        <w:rPr>
          <w:sz w:val="20"/>
          <w:szCs w:val="20"/>
          <w:color w:val="auto"/>
        </w:rPr>
      </w:pPr>
      <w:r>
        <w:rPr>
          <w:rFonts w:ascii="Arial" w:cs="Arial" w:eastAsia="Arial" w:hAnsi="Arial"/>
          <w:sz w:val="18"/>
          <w:szCs w:val="18"/>
          <w:color w:val="auto"/>
          <w:highlight w:val="white"/>
        </w:rPr>
        <w:t>Proteograph coupled with any one of these leading MS systems will provide customers with a complete and scalable workflow for unbiased, deep, rapid and large-scale proteomics, and will make proteomics more accessible to a broader range of customers, including those interested in adding proteomics to their genomics and multi-omics studies.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highlight w:val="white"/>
        </w:rPr>
        <w:t>As of December 31, 2020, our cash, cash equivalents and investments were $431.9 million.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 and History</w:t>
      </w:r>
    </w:p>
    <w:p>
      <w:pPr>
        <w:spacing w:after="0" w:line="175" w:lineRule="exact"/>
        <w:rPr>
          <w:sz w:val="20"/>
          <w:szCs w:val="20"/>
          <w:color w:val="auto"/>
        </w:rPr>
      </w:pPr>
    </w:p>
    <w:p>
      <w:pPr>
        <w:ind w:left="340" w:right="20" w:firstLine="324"/>
        <w:spacing w:after="0" w:line="301" w:lineRule="auto"/>
        <w:rPr>
          <w:sz w:val="20"/>
          <w:szCs w:val="20"/>
          <w:color w:val="auto"/>
        </w:rPr>
      </w:pPr>
      <w:r>
        <w:rPr>
          <w:rFonts w:ascii="Arial" w:cs="Arial" w:eastAsia="Arial" w:hAnsi="Arial"/>
          <w:sz w:val="16"/>
          <w:szCs w:val="16"/>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is not incorporated by reference into this prospectus and should not be considered to be part of this prospectus.</w:t>
      </w:r>
    </w:p>
    <w:p>
      <w:pPr>
        <w:spacing w:after="0" w:line="103" w:lineRule="exact"/>
        <w:rPr>
          <w:sz w:val="20"/>
          <w:szCs w:val="20"/>
          <w:color w:val="auto"/>
        </w:rPr>
      </w:pPr>
    </w:p>
    <w:p>
      <w:pPr>
        <w:ind w:left="340" w:firstLine="324"/>
        <w:spacing w:after="0" w:line="273" w:lineRule="auto"/>
        <w:rPr>
          <w:sz w:val="20"/>
          <w:szCs w:val="20"/>
          <w:color w:val="auto"/>
        </w:rPr>
      </w:pPr>
      <w:r>
        <w:rPr>
          <w:rFonts w:ascii="Arial" w:cs="Arial" w:eastAsia="Arial" w:hAnsi="Arial"/>
          <w:sz w:val="17"/>
          <w:szCs w:val="17"/>
          <w:color w:val="auto"/>
        </w:rPr>
        <w:t>We use Seer and Proteograph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left="340" w:firstLine="324"/>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28" w:lineRule="exact"/>
        <w:rPr>
          <w:sz w:val="20"/>
          <w:szCs w:val="20"/>
          <w:color w:val="auto"/>
        </w:rPr>
      </w:pPr>
    </w:p>
    <w:p>
      <w:pPr>
        <w:ind w:left="340" w:right="240" w:firstLine="324"/>
        <w:spacing w:after="0" w:line="286" w:lineRule="auto"/>
        <w:rPr>
          <w:sz w:val="20"/>
          <w:szCs w:val="20"/>
          <w:color w:val="auto"/>
        </w:rPr>
      </w:pPr>
      <w:r>
        <w:rPr>
          <w:rFonts w:ascii="Arial" w:cs="Arial" w:eastAsia="Arial" w:hAnsi="Arial"/>
          <w:sz w:val="17"/>
          <w:szCs w:val="17"/>
          <w:color w:val="auto"/>
        </w:rPr>
        <w:t>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660" w:top="121" w:right="10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5610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61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200"/>
          </w:cols>
          <w:pgMar w:left="660" w:top="121" w:right="1039" w:bottom="1440" w:gutter="0" w:footer="0" w:header="0"/>
        </w:sect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common stock offered by us in this offering</w:t>
      </w:r>
    </w:p>
    <w:p>
      <w:pPr>
        <w:spacing w:after="0" w:line="77" w:lineRule="exact"/>
        <w:rPr>
          <w:sz w:val="20"/>
          <w:szCs w:val="20"/>
          <w:color w:val="auto"/>
        </w:rPr>
      </w:pPr>
    </w:p>
    <w:p>
      <w:pPr>
        <w:ind w:left="360"/>
        <w:spacing w:after="0" w:line="235" w:lineRule="auto"/>
        <w:rPr>
          <w:sz w:val="20"/>
          <w:szCs w:val="20"/>
          <w:color w:val="auto"/>
        </w:rPr>
      </w:pPr>
      <w:r>
        <w:rPr>
          <w:rFonts w:ascii="Arial" w:cs="Arial" w:eastAsia="Arial" w:hAnsi="Arial"/>
          <w:sz w:val="18"/>
          <w:szCs w:val="18"/>
          <w:color w:val="auto"/>
        </w:rPr>
        <w:t>Class A common stock offered by the selling stockholders in this offering</w:t>
      </w:r>
    </w:p>
    <w:p>
      <w:pPr>
        <w:spacing w:after="0" w:line="54" w:lineRule="exact"/>
        <w:rPr>
          <w:sz w:val="20"/>
          <w:szCs w:val="20"/>
          <w:color w:val="auto"/>
        </w:rPr>
      </w:pPr>
    </w:p>
    <w:p>
      <w:pPr>
        <w:ind w:left="520" w:right="240" w:hanging="161"/>
        <w:spacing w:after="0" w:line="235" w:lineRule="auto"/>
        <w:rPr>
          <w:sz w:val="20"/>
          <w:szCs w:val="20"/>
          <w:color w:val="auto"/>
        </w:rPr>
      </w:pPr>
      <w:r>
        <w:rPr>
          <w:rFonts w:ascii="Arial" w:cs="Arial" w:eastAsia="Arial" w:hAnsi="Arial"/>
          <w:sz w:val="18"/>
          <w:szCs w:val="18"/>
          <w:color w:val="auto"/>
        </w:rPr>
        <w:t>Underwriters’ option to purchase additional shares of Class A common stock from the selling stockholders</w:t>
      </w:r>
    </w:p>
    <w:p>
      <w:pPr>
        <w:spacing w:after="0" w:line="200" w:lineRule="exact"/>
        <w:rPr>
          <w:sz w:val="20"/>
          <w:szCs w:val="20"/>
          <w:color w:val="auto"/>
        </w:rPr>
      </w:pPr>
    </w:p>
    <w:p>
      <w:pPr>
        <w:spacing w:after="0" w:line="205" w:lineRule="exact"/>
        <w:rPr>
          <w:sz w:val="20"/>
          <w:szCs w:val="20"/>
          <w:color w:val="auto"/>
        </w:rPr>
      </w:pPr>
    </w:p>
    <w:p>
      <w:pPr>
        <w:ind w:left="360" w:right="440"/>
        <w:spacing w:after="0" w:line="369" w:lineRule="auto"/>
        <w:rPr>
          <w:sz w:val="20"/>
          <w:szCs w:val="20"/>
          <w:color w:val="auto"/>
        </w:rPr>
      </w:pPr>
      <w:r>
        <w:rPr>
          <w:rFonts w:ascii="Arial" w:cs="Arial" w:eastAsia="Arial" w:hAnsi="Arial"/>
          <w:sz w:val="16"/>
          <w:szCs w:val="16"/>
          <w:color w:val="auto"/>
        </w:rPr>
        <w:t>Class A common stock to be outstanding after this offering Class B common stock to be outstanding after this offering</w:t>
      </w:r>
    </w:p>
    <w:p>
      <w:pPr>
        <w:spacing w:after="0" w:line="1" w:lineRule="exact"/>
        <w:rPr>
          <w:sz w:val="20"/>
          <w:szCs w:val="20"/>
          <w:color w:val="auto"/>
        </w:rPr>
      </w:pPr>
    </w:p>
    <w:p>
      <w:pPr>
        <w:ind w:left="520" w:right="200" w:hanging="161"/>
        <w:spacing w:after="0" w:line="235"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1,650,000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2,100,000 shares</w:t>
      </w:r>
    </w:p>
    <w:p>
      <w:pPr>
        <w:spacing w:after="0" w:line="77"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 underwriters have been granted an option by the selling stockholders to purchase up to 562,500 additional shares of Class A common stock at any time within 30 days from the date of this prospectus.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55,821,229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5,089,822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60,911,051 shares</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net proceeds to us from this offering will be approximately $103.1 million, based upon the public offering price of $67.00 per share, after deducting the underwriting discounts and commissions and estimated offering expenses payable by us. The principal purpose of this offering is to obtain additional capital to support our operations. We will not receive any proceeds from the sale of shares of Class A common stock by the selling stockholders.</w:t>
      </w:r>
    </w:p>
    <w:p>
      <w:pPr>
        <w:spacing w:after="0" w:line="108"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We currently intend to use the net proceeds from this offering together with our existing cash, to commercialize our Proteograph Product Suite through our ongoing sales and marketing activities, and for other development work associated with advancing our Proteograph Product Suite, research and development and general corporate purposes. 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165"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See “Risk Factors” beginning on page 18 and other information included in this prospectus for a discussion of factors that you should consider carefully before deciding to invest in our Class A common stock.</w:t>
      </w:r>
    </w:p>
    <w:p>
      <w:pPr>
        <w:spacing w:after="0" w:line="200" w:lineRule="exact"/>
        <w:rPr>
          <w:sz w:val="20"/>
          <w:szCs w:val="20"/>
          <w:color w:val="auto"/>
        </w:rPr>
      </w:pPr>
    </w:p>
    <w:p>
      <w:pPr>
        <w:sectPr>
          <w:pgSz w:w="11900" w:h="16838" w:orient="portrait"/>
          <w:cols w:equalWidth="0" w:num="2">
            <w:col w:w="5040" w:space="260"/>
            <w:col w:w="4900"/>
          </w:cols>
          <w:pgMar w:left="660" w:top="121"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00"/>
          </w:cols>
          <w:pgMar w:left="660" w:top="121" w:right="10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193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19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spacing w:after="0"/>
        <w:tabs>
          <w:tab w:leader="none" w:pos="528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Shares of Class A common stock are entitled to one vote per share.</w:t>
      </w:r>
    </w:p>
    <w:p>
      <w:pPr>
        <w:spacing w:after="0" w:line="13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Shares of Class B common stock are entitled to ten votes per share.</w:t>
      </w:r>
    </w:p>
    <w:p>
      <w:pPr>
        <w:spacing w:after="0" w:line="15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Holders of our Class A common stock and Class B common stock</w:t>
      </w:r>
    </w:p>
    <w:p>
      <w:pPr>
        <w:ind w:left="5300"/>
        <w:spacing w:after="0" w:line="224" w:lineRule="auto"/>
        <w:rPr>
          <w:sz w:val="20"/>
          <w:szCs w:val="20"/>
          <w:color w:val="auto"/>
        </w:rPr>
      </w:pPr>
      <w:r>
        <w:rPr>
          <w:rFonts w:ascii="Arial" w:cs="Arial" w:eastAsia="Arial" w:hAnsi="Arial"/>
          <w:sz w:val="17"/>
          <w:szCs w:val="17"/>
          <w:color w:val="auto"/>
        </w:rPr>
        <w:t>will generally vote together as a single class, unless otherwise</w:t>
      </w:r>
    </w:p>
    <w:p>
      <w:pPr>
        <w:ind w:left="5300"/>
        <w:spacing w:after="0" w:line="204" w:lineRule="auto"/>
        <w:rPr>
          <w:sz w:val="20"/>
          <w:szCs w:val="20"/>
          <w:color w:val="auto"/>
        </w:rPr>
      </w:pPr>
      <w:r>
        <w:rPr>
          <w:rFonts w:ascii="Arial" w:cs="Arial" w:eastAsia="Arial" w:hAnsi="Arial"/>
          <w:sz w:val="18"/>
          <w:szCs w:val="18"/>
          <w:color w:val="auto"/>
        </w:rPr>
        <w:t>required by law or our amended and restated certificate of</w:t>
      </w:r>
    </w:p>
    <w:p>
      <w:pPr>
        <w:ind w:left="5300"/>
        <w:spacing w:after="0" w:line="203" w:lineRule="auto"/>
        <w:rPr>
          <w:sz w:val="20"/>
          <w:szCs w:val="20"/>
          <w:color w:val="auto"/>
        </w:rPr>
      </w:pPr>
      <w:r>
        <w:rPr>
          <w:rFonts w:ascii="Arial" w:cs="Arial" w:eastAsia="Arial" w:hAnsi="Arial"/>
          <w:sz w:val="18"/>
          <w:szCs w:val="18"/>
          <w:color w:val="auto"/>
        </w:rPr>
        <w:t>incorporation. Upon completion of this offering, holders of our</w:t>
      </w:r>
    </w:p>
    <w:p>
      <w:pPr>
        <w:ind w:left="5300"/>
        <w:spacing w:after="0" w:line="204" w:lineRule="auto"/>
        <w:rPr>
          <w:sz w:val="20"/>
          <w:szCs w:val="20"/>
          <w:color w:val="auto"/>
        </w:rPr>
      </w:pPr>
      <w:r>
        <w:rPr>
          <w:rFonts w:ascii="Arial" w:cs="Arial" w:eastAsia="Arial" w:hAnsi="Arial"/>
          <w:sz w:val="18"/>
          <w:szCs w:val="18"/>
          <w:color w:val="auto"/>
        </w:rPr>
        <w:t>outstanding Class B common stock, which includes our Chief</w:t>
      </w:r>
    </w:p>
    <w:p>
      <w:pPr>
        <w:ind w:left="5300"/>
        <w:spacing w:after="0" w:line="203" w:lineRule="auto"/>
        <w:rPr>
          <w:sz w:val="20"/>
          <w:szCs w:val="20"/>
          <w:color w:val="auto"/>
        </w:rPr>
      </w:pPr>
      <w:r>
        <w:rPr>
          <w:rFonts w:ascii="Arial" w:cs="Arial" w:eastAsia="Arial" w:hAnsi="Arial"/>
          <w:sz w:val="18"/>
          <w:szCs w:val="18"/>
          <w:color w:val="auto"/>
        </w:rPr>
        <w:t>Executive Officer, will hold approximately 47.7% of the voting</w:t>
      </w:r>
    </w:p>
    <w:p>
      <w:pPr>
        <w:ind w:left="5300"/>
        <w:spacing w:after="0" w:line="216" w:lineRule="auto"/>
        <w:rPr>
          <w:sz w:val="20"/>
          <w:szCs w:val="20"/>
          <w:color w:val="auto"/>
        </w:rPr>
      </w:pPr>
      <w:r>
        <w:rPr>
          <w:rFonts w:ascii="Arial" w:cs="Arial" w:eastAsia="Arial" w:hAnsi="Arial"/>
          <w:sz w:val="17"/>
          <w:szCs w:val="17"/>
          <w:color w:val="auto"/>
        </w:rPr>
        <w:t>power of our outstanding capital stock and will have the ability to</w:t>
      </w:r>
    </w:p>
    <w:p>
      <w:pPr>
        <w:ind w:left="5300"/>
        <w:spacing w:after="0" w:line="215" w:lineRule="auto"/>
        <w:rPr>
          <w:sz w:val="20"/>
          <w:szCs w:val="20"/>
          <w:color w:val="auto"/>
        </w:rPr>
      </w:pPr>
      <w:r>
        <w:rPr>
          <w:rFonts w:ascii="Arial" w:cs="Arial" w:eastAsia="Arial" w:hAnsi="Arial"/>
          <w:sz w:val="17"/>
          <w:szCs w:val="17"/>
          <w:color w:val="auto"/>
        </w:rPr>
        <w:t>control the outcome of matters submitted to our stockholders for</w:t>
      </w:r>
    </w:p>
    <w:p>
      <w:pPr>
        <w:ind w:left="5300"/>
        <w:spacing w:after="0" w:line="229" w:lineRule="auto"/>
        <w:rPr>
          <w:sz w:val="20"/>
          <w:szCs w:val="20"/>
          <w:color w:val="auto"/>
        </w:rPr>
      </w:pPr>
      <w:r>
        <w:rPr>
          <w:rFonts w:ascii="Arial" w:cs="Arial" w:eastAsia="Arial" w:hAnsi="Arial"/>
          <w:sz w:val="16"/>
          <w:szCs w:val="16"/>
          <w:color w:val="auto"/>
        </w:rPr>
        <w:t>approval, including the election of our directors, amendments of our</w:t>
      </w:r>
    </w:p>
    <w:p>
      <w:pPr>
        <w:ind w:left="5300"/>
        <w:spacing w:after="0" w:line="229" w:lineRule="auto"/>
        <w:rPr>
          <w:sz w:val="20"/>
          <w:szCs w:val="20"/>
          <w:color w:val="auto"/>
        </w:rPr>
      </w:pPr>
      <w:r>
        <w:rPr>
          <w:rFonts w:ascii="Arial" w:cs="Arial" w:eastAsia="Arial" w:hAnsi="Arial"/>
          <w:sz w:val="16"/>
          <w:szCs w:val="16"/>
          <w:color w:val="auto"/>
        </w:rPr>
        <w:t>organizational documents and any merger, consolidation, sale of all</w:t>
      </w:r>
    </w:p>
    <w:p>
      <w:pPr>
        <w:ind w:left="5300"/>
        <w:spacing w:after="0" w:line="203" w:lineRule="auto"/>
        <w:rPr>
          <w:sz w:val="20"/>
          <w:szCs w:val="20"/>
          <w:color w:val="auto"/>
        </w:rPr>
      </w:pPr>
      <w:r>
        <w:rPr>
          <w:rFonts w:ascii="Arial" w:cs="Arial" w:eastAsia="Arial" w:hAnsi="Arial"/>
          <w:sz w:val="18"/>
          <w:szCs w:val="18"/>
          <w:color w:val="auto"/>
        </w:rPr>
        <w:t>or substantially all of our assets or other major corporate</w:t>
      </w:r>
    </w:p>
    <w:p>
      <w:pPr>
        <w:ind w:left="5300"/>
        <w:spacing w:after="0" w:line="204" w:lineRule="auto"/>
        <w:rPr>
          <w:sz w:val="20"/>
          <w:szCs w:val="20"/>
          <w:color w:val="auto"/>
        </w:rPr>
      </w:pPr>
      <w:r>
        <w:rPr>
          <w:rFonts w:ascii="Arial" w:cs="Arial" w:eastAsia="Arial" w:hAnsi="Arial"/>
          <w:sz w:val="18"/>
          <w:szCs w:val="18"/>
          <w:color w:val="auto"/>
        </w:rPr>
        <w:t>transactions. See the sections titled “Principal and Selling</w:t>
      </w:r>
    </w:p>
    <w:p>
      <w:pPr>
        <w:ind w:left="5300"/>
        <w:spacing w:after="0" w:line="203" w:lineRule="auto"/>
        <w:rPr>
          <w:sz w:val="20"/>
          <w:szCs w:val="20"/>
          <w:color w:val="auto"/>
        </w:rPr>
      </w:pPr>
      <w:r>
        <w:rPr>
          <w:rFonts w:ascii="Arial" w:cs="Arial" w:eastAsia="Arial" w:hAnsi="Arial"/>
          <w:sz w:val="18"/>
          <w:szCs w:val="18"/>
          <w:color w:val="auto"/>
        </w:rPr>
        <w:t>Stockholders” and “Description of Capital Stock” for additional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information.</w:t>
      </w:r>
    </w:p>
    <w:p>
      <w:pPr>
        <w:spacing w:after="0" w:line="61" w:lineRule="exact"/>
        <w:rPr>
          <w:sz w:val="20"/>
          <w:szCs w:val="20"/>
          <w:color w:val="auto"/>
        </w:rPr>
      </w:pPr>
    </w:p>
    <w:p>
      <w:pPr>
        <w:ind w:left="360"/>
        <w:spacing w:after="0"/>
        <w:tabs>
          <w:tab w:leader="none" w:pos="5280" w:val="left"/>
        </w:tabs>
        <w:rPr>
          <w:sz w:val="20"/>
          <w:szCs w:val="20"/>
          <w:color w:val="auto"/>
        </w:rPr>
      </w:pPr>
      <w:r>
        <w:rPr>
          <w:rFonts w:ascii="Arial" w:cs="Arial" w:eastAsia="Arial" w:hAnsi="Arial"/>
          <w:sz w:val="18"/>
          <w:szCs w:val="18"/>
          <w:color w:val="auto"/>
        </w:rPr>
        <w:t>Nasdaq Global Select Market trading symbol</w:t>
      </w:r>
      <w:r>
        <w:rPr>
          <w:sz w:val="20"/>
          <w:szCs w:val="20"/>
          <w:color w:val="auto"/>
        </w:rPr>
        <w:tab/>
      </w:r>
      <w:r>
        <w:rPr>
          <w:rFonts w:ascii="Arial" w:cs="Arial" w:eastAsia="Arial" w:hAnsi="Arial"/>
          <w:sz w:val="17"/>
          <w:szCs w:val="17"/>
          <w:color w:val="auto"/>
        </w:rPr>
        <w:t>“SEER”</w:t>
      </w:r>
    </w:p>
    <w:p>
      <w:pPr>
        <w:spacing w:after="0" w:line="171" w:lineRule="exact"/>
        <w:rPr>
          <w:sz w:val="20"/>
          <w:szCs w:val="20"/>
          <w:color w:val="auto"/>
        </w:rPr>
      </w:pPr>
    </w:p>
    <w:p>
      <w:pPr>
        <w:ind w:left="340" w:right="100" w:firstLine="324"/>
        <w:spacing w:after="0" w:line="342" w:lineRule="auto"/>
        <w:rPr>
          <w:sz w:val="20"/>
          <w:szCs w:val="20"/>
          <w:color w:val="auto"/>
        </w:rPr>
      </w:pPr>
      <w:r>
        <w:rPr>
          <w:rFonts w:ascii="Arial" w:cs="Arial" w:eastAsia="Arial" w:hAnsi="Arial"/>
          <w:sz w:val="16"/>
          <w:szCs w:val="16"/>
          <w:color w:val="auto"/>
        </w:rPr>
        <w:t>The number of shares of our common stock that will be outstanding after this offering is based on 53,395,319 shares of our Class A common stock and 5,865,732 shares of our Class B common stock outstanding as of December 31, 2020, and excludes the following:</w:t>
      </w:r>
    </w:p>
    <w:p>
      <w:pPr>
        <w:spacing w:after="0" w:line="70" w:lineRule="exact"/>
        <w:rPr>
          <w:sz w:val="20"/>
          <w:szCs w:val="20"/>
          <w:color w:val="auto"/>
        </w:rPr>
      </w:pPr>
    </w:p>
    <w:p>
      <w:pPr>
        <w:ind w:left="980" w:right="20" w:hanging="322"/>
        <w:spacing w:after="0" w:line="308"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9,576,902 shares of our Class A common stock issuable upon the exercise of options to purchase shares of our Class A common stock outstanding as of December 31, 2020, with a weighted-average exercise price of $5.54 per share;</w:t>
      </w:r>
    </w:p>
    <w:p>
      <w:pPr>
        <w:spacing w:after="0" w:line="92" w:lineRule="exact"/>
        <w:rPr>
          <w:rFonts w:ascii="Arial" w:cs="Arial" w:eastAsia="Arial" w:hAnsi="Arial"/>
          <w:sz w:val="17"/>
          <w:szCs w:val="17"/>
          <w:color w:val="auto"/>
        </w:rPr>
      </w:pPr>
    </w:p>
    <w:p>
      <w:pPr>
        <w:ind w:left="980" w:right="14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167,389 shares of our Class A common stock issuable upon the exercise of options to purchase shares of our Class A common stock granted after December 31, 2020, with an exercise price of $59.17 per share;</w:t>
      </w:r>
    </w:p>
    <w:p>
      <w:pPr>
        <w:spacing w:after="0" w:line="116" w:lineRule="exact"/>
        <w:rPr>
          <w:rFonts w:ascii="Arial" w:cs="Arial" w:eastAsia="Arial" w:hAnsi="Arial"/>
          <w:sz w:val="18"/>
          <w:szCs w:val="18"/>
          <w:color w:val="auto"/>
        </w:rPr>
      </w:pPr>
    </w:p>
    <w:p>
      <w:pPr>
        <w:ind w:left="980" w:right="52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491,318 shares of our Class A common stock issuable upon the vesting of restricted stock units (RSUs) outstanding as of December 31, 2020;</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17,858 shares of our Class A common stock issuable upon the vesting of RSUs granted after December 31, 2020; and</w:t>
      </w:r>
    </w:p>
    <w:p>
      <w:pPr>
        <w:spacing w:after="0" w:line="182" w:lineRule="exact"/>
        <w:rPr>
          <w:rFonts w:ascii="Arial" w:cs="Arial" w:eastAsia="Arial" w:hAnsi="Arial"/>
          <w:sz w:val="17"/>
          <w:szCs w:val="17"/>
          <w:color w:val="auto"/>
        </w:rPr>
      </w:pPr>
    </w:p>
    <w:p>
      <w:pPr>
        <w:ind w:left="980" w:hanging="322"/>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7,797,109 shares of our Class A common stock reserved for future issuance under our equity compensation plans, consisting of:</w:t>
      </w:r>
    </w:p>
    <w:p>
      <w:pPr>
        <w:spacing w:after="0" w:line="194" w:lineRule="exact"/>
        <w:rPr>
          <w:rFonts w:ascii="Arial" w:cs="Arial" w:eastAsia="Arial" w:hAnsi="Arial"/>
          <w:sz w:val="16"/>
          <w:szCs w:val="16"/>
          <w:color w:val="auto"/>
        </w:rPr>
      </w:pPr>
    </w:p>
    <w:p>
      <w:pPr>
        <w:ind w:left="1300" w:hanging="318"/>
        <w:spacing w:after="0" w:line="263"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6,601,782 shares of our Class A common stock reserved for future issuance under our 2020 Equity Incentive Plan (2020 Plan) and any additional shares that become available under our 2020 Plan pursuant to provisions thereof that automatically increase the share reserve under the plan each year; and</w:t>
      </w:r>
    </w:p>
    <w:p>
      <w:pPr>
        <w:spacing w:after="0" w:line="129" w:lineRule="exact"/>
        <w:rPr>
          <w:rFonts w:ascii="Arial" w:cs="Arial" w:eastAsia="Arial" w:hAnsi="Arial"/>
          <w:sz w:val="18"/>
          <w:szCs w:val="18"/>
          <w:color w:val="auto"/>
        </w:rPr>
      </w:pPr>
    </w:p>
    <w:p>
      <w:pPr>
        <w:ind w:left="1300" w:right="60" w:hanging="318"/>
        <w:spacing w:after="0" w:line="263"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1,195,327 shares of common stock reserved for future issuance under our 2020 Employee Stock Purchase Plan (ESPP) and any additional shares that become available under our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660" w:top="121" w:right="10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2087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08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71" w:lineRule="exact"/>
        <w:rPr>
          <w:sz w:val="20"/>
          <w:szCs w:val="20"/>
          <w:color w:val="auto"/>
        </w:rPr>
      </w:pPr>
    </w:p>
    <w:p>
      <w:pPr>
        <w:ind w:left="980" w:hanging="32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stock options or settlement of outstanding RSUs subsequent to December 31, 2020;</w:t>
      </w:r>
    </w:p>
    <w:p>
      <w:pPr>
        <w:spacing w:after="0" w:line="171" w:lineRule="exact"/>
        <w:rPr>
          <w:rFonts w:ascii="Arial" w:cs="Arial" w:eastAsia="Arial" w:hAnsi="Arial"/>
          <w:sz w:val="18"/>
          <w:szCs w:val="18"/>
          <w:color w:val="auto"/>
        </w:rPr>
      </w:pPr>
    </w:p>
    <w:p>
      <w:pPr>
        <w:ind w:left="980" w:hanging="32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775,910 shares of our Class B common stock into an equal number of shares of Class A common stock by the selling stockholders in connection with this offering; and</w:t>
      </w:r>
    </w:p>
    <w:p>
      <w:pPr>
        <w:spacing w:after="0" w:line="116" w:lineRule="exact"/>
        <w:rPr>
          <w:rFonts w:ascii="Arial" w:cs="Arial" w:eastAsia="Arial" w:hAnsi="Arial"/>
          <w:sz w:val="18"/>
          <w:szCs w:val="18"/>
          <w:color w:val="auto"/>
        </w:rPr>
      </w:pPr>
    </w:p>
    <w:p>
      <w:pPr>
        <w:ind w:left="980" w:right="660" w:hanging="32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Class A common stock from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80"/>
          </w:cols>
          <w:pgMar w:left="660" w:top="121"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847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FINANCIAL AND OTHER DATA</w:t>
      </w:r>
    </w:p>
    <w:p>
      <w:pPr>
        <w:spacing w:after="0" w:line="175" w:lineRule="exact"/>
        <w:rPr>
          <w:sz w:val="20"/>
          <w:szCs w:val="20"/>
          <w:color w:val="auto"/>
        </w:rPr>
      </w:pPr>
    </w:p>
    <w:p>
      <w:pPr>
        <w:ind w:left="340" w:firstLine="324"/>
        <w:spacing w:after="0" w:line="287" w:lineRule="auto"/>
        <w:rPr>
          <w:sz w:val="20"/>
          <w:szCs w:val="20"/>
          <w:color w:val="auto"/>
        </w:rPr>
      </w:pPr>
      <w:r>
        <w:rPr>
          <w:rFonts w:ascii="Arial" w:cs="Arial" w:eastAsia="Arial" w:hAnsi="Arial"/>
          <w:sz w:val="16"/>
          <w:szCs w:val="16"/>
          <w:color w:val="auto"/>
        </w:rPr>
        <w:t>The following tables summarize our financial and other data. We have derived the summary statement of operations data for the years ended December 31, 2018 and 2019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generally accepted accounting principles in the United States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The following summary financial and other data should be read in conjunction with the sections titled “Management’s Discussion and Analysis of Financial Condition and Results of Operations” and “Selected Financial Data” and our financial statements and related notes included elsewhere in this prospectus.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Operations Data</w:t>
      </w:r>
    </w:p>
    <w:p>
      <w:pPr>
        <w:spacing w:after="0" w:line="221" w:lineRule="exact"/>
        <w:rPr>
          <w:sz w:val="20"/>
          <w:szCs w:val="20"/>
          <w:color w:val="auto"/>
        </w:rPr>
      </w:pPr>
    </w:p>
    <w:tbl>
      <w:tblPr>
        <w:tblLayout w:type="fixed"/>
        <w:tblInd w:w="4400" w:type="dxa"/>
        <w:tblCellMar>
          <w:top w:w="0" w:type="dxa"/>
          <w:left w:w="0" w:type="dxa"/>
          <w:bottom w:w="0" w:type="dxa"/>
          <w:right w:w="0" w:type="dxa"/>
        </w:tblCellMar>
      </w:tblPr>
      <w:tr>
        <w:trPr>
          <w:trHeight w:val="186"/>
        </w:trPr>
        <w:tc>
          <w:tcPr>
            <w:tcW w:w="2940" w:type="dxa"/>
            <w:vAlign w:val="bottom"/>
            <w:gridSpan w:val="3"/>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28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6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700" w:type="dxa"/>
            <w:vAlign w:val="bottom"/>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6"/>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80" w:type="dxa"/>
            <w:vAlign w:val="bottom"/>
          </w:tcPr>
          <w:p>
            <w:pPr>
              <w:spacing w:after="0"/>
              <w:rPr>
                <w:sz w:val="16"/>
                <w:szCs w:val="16"/>
                <w:color w:val="auto"/>
              </w:rPr>
            </w:pPr>
          </w:p>
        </w:tc>
        <w:tc>
          <w:tcPr>
            <w:tcW w:w="3460" w:type="dxa"/>
            <w:vAlign w:val="bottom"/>
            <w:gridSpan w:val="3"/>
          </w:tcPr>
          <w:p>
            <w:pPr>
              <w:jc w:val="right"/>
              <w:ind w:right="288"/>
              <w:spacing w:after="0"/>
              <w:rPr>
                <w:sz w:val="20"/>
                <w:szCs w:val="20"/>
                <w:color w:val="auto"/>
              </w:rPr>
            </w:pPr>
            <w:r>
              <w:rPr>
                <w:rFonts w:ascii="Arial" w:cs="Arial" w:eastAsia="Arial" w:hAnsi="Arial"/>
                <w:sz w:val="14"/>
                <w:szCs w:val="14"/>
                <w:i w:val="1"/>
                <w:iCs w:val="1"/>
                <w:color w:val="auto"/>
              </w:rPr>
              <w:t>(in thousands, except share and per share data)</w:t>
            </w:r>
          </w:p>
        </w:tc>
        <w:tc>
          <w:tcPr>
            <w:tcW w:w="1180" w:type="dxa"/>
            <w:vAlign w:val="bottom"/>
          </w:tcPr>
          <w:p>
            <w:pPr>
              <w:spacing w:after="0"/>
              <w:rPr>
                <w:sz w:val="16"/>
                <w:szCs w:val="16"/>
                <w:color w:val="auto"/>
              </w:rPr>
            </w:pPr>
          </w:p>
        </w:tc>
      </w:tr>
    </w:tbl>
    <w:p>
      <w:pPr>
        <w:spacing w:after="0" w:line="38" w:lineRule="exact"/>
        <w:rPr>
          <w:sz w:val="20"/>
          <w:szCs w:val="20"/>
          <w:color w:val="auto"/>
        </w:rPr>
      </w:pPr>
    </w:p>
    <w:p>
      <w:pPr>
        <w:sectPr>
          <w:pgSz w:w="11900" w:h="16838" w:orient="portrait"/>
          <w:cols w:equalWidth="0" w:num="1">
            <w:col w:w="10220"/>
          </w:cols>
          <w:pgMar w:left="660" w:top="121" w:right="1019" w:bottom="1440" w:gutter="0" w:footer="0" w:header="0"/>
        </w:sectPr>
      </w:pPr>
    </w:p>
    <w:tbl>
      <w:tblPr>
        <w:tblLayout w:type="fixed"/>
        <w:tblInd w:w="340" w:type="dxa"/>
        <w:tblCellMar>
          <w:top w:w="0" w:type="dxa"/>
          <w:left w:w="0" w:type="dxa"/>
          <w:bottom w:w="0" w:type="dxa"/>
          <w:right w:w="0" w:type="dxa"/>
        </w:tblCellMar>
      </w:tblP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Pr>
          <w:p>
            <w:pPr>
              <w:ind w:left="220"/>
              <w:spacing w:after="0" w:line="25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20"/>
              <w:spacing w:after="0" w:line="24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Total other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89"/>
              </w:rPr>
              <w:t>Net loss per share attributable to common stockholders,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basic and diluted</w:t>
            </w:r>
            <w:r>
              <w:rPr>
                <w:rFonts w:ascii="Arial" w:cs="Arial" w:eastAsia="Arial" w:hAnsi="Arial"/>
                <w:sz w:val="23"/>
                <w:szCs w:val="23"/>
                <w:color w:val="auto"/>
                <w:vertAlign w:val="superscript"/>
              </w:rPr>
              <w:t>(2)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Weighted-average common shares outstanding, basic</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and diluted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rPr>
              <w:t>Pro forma net loss per common share, basic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4"/>
              </w:rPr>
              <w:t>Pro forma weighted-average common shares used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compute basic and diluted net loss per common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180"/>
              <w:spacing w:after="0" w:line="211"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20"/>
                <w:szCs w:val="20"/>
                <w:color w:val="auto"/>
              </w:rPr>
            </w:pPr>
            <w:r>
              <w:rPr>
                <w:rFonts w:ascii="Arial" w:cs="Arial" w:eastAsia="Arial" w:hAnsi="Arial"/>
                <w:sz w:val="14"/>
                <w:szCs w:val="14"/>
                <w:color w:val="auto"/>
              </w:rPr>
              <w:t>__________________</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6"/>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and expenses include stock-based compensation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79"/>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3,776</w:t>
            </w: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3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2,982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6,758</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70"/>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(6,758)</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54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(6,307)</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8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358"/>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jc w:val="right"/>
              <w:ind w:right="73"/>
              <w:spacing w:after="0"/>
              <w:rPr>
                <w:sz w:val="20"/>
                <w:szCs w:val="20"/>
                <w:color w:val="auto"/>
              </w:rPr>
            </w:pPr>
            <w:r>
              <w:rPr>
                <w:rFonts w:ascii="Arial" w:cs="Arial" w:eastAsia="Arial" w:hAnsi="Arial"/>
                <w:sz w:val="18"/>
                <w:szCs w:val="18"/>
                <w:color w:val="auto"/>
                <w:w w:val="89"/>
              </w:rPr>
              <w:t>3,973,329</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6,952,419</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21,454,787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0"/>
        </w:trPr>
        <w:tc>
          <w:tcPr>
            <w:tcW w:w="23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9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2"/>
                <w:szCs w:val="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6"/>
          </w:tcPr>
          <w:p>
            <w:pPr>
              <w:ind w:left="7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2">
            <w:col w:w="4500" w:space="460"/>
            <w:col w:w="5260"/>
          </w:cols>
          <w:pgMar w:left="660" w:top="121" w:right="1019" w:bottom="1440" w:gutter="0" w:footer="0" w:header="0"/>
          <w:type w:val="continuous"/>
        </w:sectPr>
      </w:pPr>
    </w:p>
    <w:tbl>
      <w:tblPr>
        <w:tblLayout w:type="fixed"/>
        <w:tblInd w:w="320" w:type="dxa"/>
        <w:tblCellMar>
          <w:top w:w="0" w:type="dxa"/>
          <w:left w:w="0" w:type="dxa"/>
          <w:bottom w:w="0" w:type="dxa"/>
          <w:right w:w="0" w:type="dxa"/>
        </w:tblCellMar>
      </w:tblP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7"/>
        </w:trPr>
        <w:tc>
          <w:tcPr>
            <w:tcW w:w="4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20"/>
          </w:cols>
          <w:pgMar w:left="660" w:top="121" w:right="10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417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417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right="300" w:hanging="326"/>
        <w:spacing w:after="0" w:line="312" w:lineRule="auto"/>
        <w:tabs>
          <w:tab w:leader="none" w:pos="652"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 September 30, 2020</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1"/>
                <w:szCs w:val="11"/>
                <w:color w:val="auto"/>
              </w:rPr>
            </w:pPr>
          </w:p>
        </w:tc>
        <w:tc>
          <w:tcPr>
            <w:tcW w:w="130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9"/>
                <w:szCs w:val="9"/>
                <w:b w:val="1"/>
                <w:bCs w:val="1"/>
                <w:color w:val="auto"/>
                <w:w w:val="96"/>
              </w:rPr>
              <w:t>(1)</w:t>
            </w:r>
          </w:p>
        </w:tc>
        <w:tc>
          <w:tcPr>
            <w:tcW w:w="180" w:type="dxa"/>
            <w:vAlign w:val="bottom"/>
          </w:tcPr>
          <w:p>
            <w:pPr>
              <w:spacing w:after="0"/>
              <w:rPr>
                <w:sz w:val="11"/>
                <w:szCs w:val="11"/>
                <w:color w:val="auto"/>
              </w:rPr>
            </w:pPr>
          </w:p>
        </w:tc>
        <w:tc>
          <w:tcPr>
            <w:tcW w:w="120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5"/>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435,965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539,057</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117,451</w:t>
            </w:r>
          </w:p>
        </w:tc>
        <w:tc>
          <w:tcPr>
            <w:tcW w:w="30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433,005</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536,097</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447,180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550,272</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8,354</w:t>
            </w:r>
          </w:p>
        </w:tc>
        <w:tc>
          <w:tcPr>
            <w:tcW w:w="3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7,259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(42,600)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125,536</w:t>
            </w:r>
          </w:p>
        </w:tc>
        <w:tc>
          <w:tcPr>
            <w:tcW w:w="3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439,921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543,012</w:t>
            </w:r>
          </w:p>
        </w:tc>
        <w:tc>
          <w:tcPr>
            <w:tcW w:w="0" w:type="dxa"/>
            <w:vAlign w:val="bottom"/>
          </w:tcPr>
          <w:p>
            <w:pPr>
              <w:spacing w:after="0"/>
              <w:rPr>
                <w:sz w:val="1"/>
                <w:szCs w:val="1"/>
                <w:color w:val="auto"/>
              </w:rPr>
            </w:pPr>
          </w:p>
        </w:tc>
      </w:tr>
      <w:tr>
        <w:trPr>
          <w:trHeight w:val="182"/>
        </w:trPr>
        <w:tc>
          <w:tcPr>
            <w:tcW w:w="554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6"/>
        <w:spacing w:after="0" w:line="260" w:lineRule="auto"/>
        <w:tabs>
          <w:tab w:leader="none" w:pos="652"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pro forma column in the balance sheet data table above reflects (i) the automatic conversion of all shares of our convertible preferred stock into 29,026,787 shares of Class A common stock, as if such conversions had occurred on September 30, 2020, (ii) stock-based compensation of approximately $0.2 million associated with RSUs subject to service-based and performance-based vesting conditions that we recognized upon the completion of our initial public offering and is reflected as an increase to additional paid-in capital and accumulated deficit, and (iii) the receipt of $314.4 million in net proceeds from the sale and issuance by us of shares of our Class A common stock in our initial public offering, including the exercise of the underwriters option to purchase additional shares, and the concurrent private placement and after deducting estimated underwriting discounts and commissions and estimated offering expenses payable by us.</w:t>
      </w:r>
    </w:p>
    <w:p>
      <w:pPr>
        <w:ind w:left="660" w:right="200" w:hanging="326"/>
        <w:spacing w:after="0" w:line="260" w:lineRule="auto"/>
        <w:tabs>
          <w:tab w:leader="none" w:pos="652"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pro forma as adjusted column in the balance sheet data table above gives effect to (i) the pro forma adjustments set forth above and (ii) the receipt of $103.1 million in net proceeds from the sale and issuance by us of shares of our Class A common stock in this offering, based upon the public offering price of $67.00 per share, and after deducting estimated underwriting discounts and commissions and estimated offering expenses payable by us.</w:t>
      </w:r>
    </w:p>
    <w:p>
      <w:pPr>
        <w:ind w:left="660" w:right="80" w:hanging="326"/>
        <w:spacing w:after="0" w:line="255"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20"/>
          </w:cols>
          <w:pgMar w:left="660" w:top="121" w:right="1019" w:bottom="1440" w:gutter="0" w:footer="0" w:header="0"/>
        </w:sectPr>
      </w:pPr>
    </w:p>
    <w:bookmarkStart w:id="16" w:name="page17"/>
    <w:bookmarkEnd w:id="1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Terms Used in this Prospectus</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Accuracy. </w:t>
      </w:r>
      <w:r>
        <w:rPr>
          <w:rFonts w:ascii="Arial" w:cs="Arial" w:eastAsia="Arial" w:hAnsi="Arial"/>
          <w:sz w:val="18"/>
          <w:szCs w:val="18"/>
          <w:color w:val="auto"/>
        </w:rPr>
        <w:t>In the context of proteomics studies, accuracy of measurement refers to how close the measured abundance of a protein is to the true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abundance in a sample.</w:t>
      </w:r>
    </w:p>
    <w:p>
      <w:pPr>
        <w:spacing w:after="0" w:line="1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Biased. </w:t>
      </w:r>
      <w:r>
        <w:rPr>
          <w:rFonts w:ascii="Arial" w:cs="Arial" w:eastAsia="Arial" w:hAnsi="Arial"/>
          <w:sz w:val="17"/>
          <w:szCs w:val="17"/>
          <w:color w:val="auto"/>
        </w:rPr>
        <w:t>Biased refers to molecular analyses that depend upon specific ligands that are targeted to specific proteins in the case of biased proteomics,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specific genes or gene mutations in the case of biased genomics. Biased contrasts with unbiased, which does not require specific ligands to target molecules. Biased is also referred to as targeted since the ligands used are directed against specific target molecules.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Breadth. </w:t>
      </w:r>
      <w:r>
        <w:rPr>
          <w:rFonts w:ascii="Arial" w:cs="Arial" w:eastAsia="Arial" w:hAnsi="Arial"/>
          <w:sz w:val="17"/>
          <w:szCs w:val="17"/>
          <w:color w:val="auto"/>
        </w:rPr>
        <w:t>In the context of proteomics studies, breadth of sampling refers to the number of proteins that are sampled in a proteomics study.</w:t>
      </w:r>
    </w:p>
    <w:p>
      <w:pPr>
        <w:spacing w:after="0" w:line="18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Centralized. </w:t>
      </w:r>
      <w:r>
        <w:rPr>
          <w:rFonts w:ascii="Arial" w:cs="Arial" w:eastAsia="Arial" w:hAnsi="Arial"/>
          <w:sz w:val="18"/>
          <w:szCs w:val="18"/>
          <w:color w:val="auto"/>
        </w:rPr>
        <w:t>Centralized refers to a centralized laboratory in an institution where services, often highly technical or requiring specific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are performed for others in the institution. Examples of centralized laboratories include core labs for proteomics and genomics. Centralized contrasts with decentralized laboratories where technology and/or equipment is dispersed in an institution.</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Consumables. </w:t>
      </w:r>
      <w:r>
        <w:rPr>
          <w:rFonts w:ascii="Arial" w:cs="Arial" w:eastAsia="Arial" w:hAnsi="Arial"/>
          <w:sz w:val="18"/>
          <w:szCs w:val="18"/>
          <w:color w:val="auto"/>
        </w:rPr>
        <w:t>Our consumables refer to the nanoparticle formulations, related reagents and disposable items in our assays that are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to conduct proteomic assays using our Proteograph Product Suite.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Decentralized. </w:t>
      </w:r>
      <w:r>
        <w:rPr>
          <w:rFonts w:ascii="Arial" w:cs="Arial" w:eastAsia="Arial" w:hAnsi="Arial"/>
          <w:sz w:val="18"/>
          <w:szCs w:val="18"/>
          <w:color w:val="auto"/>
        </w:rPr>
        <w:t>Decentralized refers to a laboratory configuration in an institution where a specific technology, capabilities and equipment is dispersed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the institution. Decentralized contrasts with centralized where technology, capabilities and/or equipment is centralized in an institution, often in a core laboratory.</w:t>
      </w:r>
    </w:p>
    <w:p>
      <w:pPr>
        <w:spacing w:after="0" w:line="13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Depth. </w:t>
      </w:r>
      <w:r>
        <w:rPr>
          <w:rFonts w:ascii="Arial" w:cs="Arial" w:eastAsia="Arial" w:hAnsi="Arial"/>
          <w:sz w:val="17"/>
          <w:szCs w:val="17"/>
          <w:color w:val="auto"/>
        </w:rPr>
        <w:t>In the context of proteomics studies, depth of coverage refers to the magnitude of the range of protein concentrations that are represented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set of proteomic information. Thus, a data set which is deep has a wide range of protein concentrations in the components. For example, this range could represent more than five orders of magnitude of mass per volume of sample that are contained in that data set.</w:t>
      </w:r>
    </w:p>
    <w:p>
      <w:pPr>
        <w:spacing w:after="0" w:line="107"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i w:val="1"/>
          <w:iCs w:val="1"/>
          <w:color w:val="auto"/>
        </w:rPr>
        <w:t>Functional context/characterization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context/characterization, in the case of genes, refers to the details of how genes are hypothesized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 biologically, either directly or through the mRNA or protein molecules that derive from the genes. The interactions of these molecules produce a specific biological function.</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Genomics. </w:t>
      </w:r>
      <w:r>
        <w:rPr>
          <w:rFonts w:ascii="Arial" w:cs="Arial" w:eastAsia="Arial" w:hAnsi="Arial"/>
          <w:sz w:val="18"/>
          <w:szCs w:val="18"/>
          <w:color w:val="auto"/>
        </w:rPr>
        <w:t>Genomics refers to the study of all an organism’s genes and their interactions to influence the organism. Large-scale studies are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 how changes in an organism’s genes influence the organism.</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Instrument. </w:t>
      </w:r>
      <w:r>
        <w:rPr>
          <w:rFonts w:ascii="Arial" w:cs="Arial" w:eastAsia="Arial" w:hAnsi="Arial"/>
          <w:sz w:val="18"/>
          <w:szCs w:val="18"/>
          <w:color w:val="auto"/>
        </w:rPr>
        <w:t>In the context of our Proteograph, our instrument refers to the automated, robotic, liquid handling workstation that is used along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consumables to conduct proteomic assays using our Proteograph Product Suite.</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Interactome. </w:t>
      </w:r>
      <w:r>
        <w:rPr>
          <w:rFonts w:ascii="Arial" w:cs="Arial" w:eastAsia="Arial" w:hAnsi="Arial"/>
          <w:sz w:val="18"/>
          <w:szCs w:val="18"/>
          <w:color w:val="auto"/>
        </w:rPr>
        <w:t>Interactome refers to the broad set of interaction networks among molecules, such PPIs. Other interactions may include those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molecules and proteins.</w:t>
      </w:r>
    </w:p>
    <w:p>
      <w:pPr>
        <w:spacing w:after="0" w:line="11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Interrogation. </w:t>
      </w:r>
      <w:r>
        <w:rPr>
          <w:rFonts w:ascii="Arial" w:cs="Arial" w:eastAsia="Arial" w:hAnsi="Arial"/>
          <w:sz w:val="18"/>
          <w:szCs w:val="18"/>
          <w:color w:val="auto"/>
        </w:rPr>
        <w:t>In the context of our Proteograph, interrogation refers to analyses of one of more samples to explore the proteomic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contained in those samples.</w:t>
      </w:r>
    </w:p>
    <w:p>
      <w:pPr>
        <w:spacing w:after="0" w:line="116"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b w:val="1"/>
          <w:bCs w:val="1"/>
          <w:i w:val="1"/>
          <w:iCs w:val="1"/>
          <w:color w:val="auto"/>
        </w:rPr>
        <w:t xml:space="preserve">Large-scale. </w:t>
      </w:r>
      <w:r>
        <w:rPr>
          <w:rFonts w:ascii="Arial" w:cs="Arial" w:eastAsia="Arial" w:hAnsi="Arial"/>
          <w:sz w:val="17"/>
          <w:szCs w:val="17"/>
          <w:color w:val="auto"/>
        </w:rPr>
        <w:t>In the context of proteomics studies, large-scale refers to studies of more than 100 samples, given that most proteomics studies,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particularly those that cover a wide range of protein concentrations (i.e. deep studies) are in the range of less than 50 samples.</w:t>
      </w:r>
    </w:p>
    <w:p>
      <w:pPr>
        <w:spacing w:after="0" w:line="9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-omics. </w:t>
      </w:r>
      <w:r>
        <w:rPr>
          <w:rFonts w:ascii="Arial" w:cs="Arial" w:eastAsia="Arial" w:hAnsi="Arial"/>
          <w:sz w:val="18"/>
          <w:szCs w:val="18"/>
          <w:color w:val="auto"/>
        </w:rPr>
        <w:t>This term refers to various different biological analyses approaches whereby researchers can analyze complex biological data, often in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methods, to find novel associations between biological entities, pinpoint relevant biomarkers and build elaborate markers of disease and physiology. Examples of various “omics”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121" w:right="379" w:bottom="1440" w:gutter="0" w:footer="0" w:header="0"/>
        </w:sectPr>
      </w:pPr>
    </w:p>
    <w:bookmarkStart w:id="17" w:name="page18"/>
    <w:bookmarkEnd w:id="1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analyses include: genomics, proteomics, transcriptomics, epigenomics, and metabolomics. When two or more of the -omics analyses approaches are combined either directly in analyses and/or in examination of -omics data sets, the approach is referred to as “multi-omics.”</w:t>
      </w:r>
    </w:p>
    <w:p>
      <w:pPr>
        <w:spacing w:after="0" w:line="88"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i w:val="1"/>
          <w:iCs w:val="1"/>
          <w:color w:val="auto"/>
        </w:rPr>
        <w:t>Mass spectrometry (MS)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Mass spectrometry refers to an analytical technique that can be used to accurately measure the mass-to-charge ratio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 ions within a sample. The ions are derived from the sample by bombarding, or “ionizing,” the sample with electrons. MS technology allows molecules, including proteins, to be analyzed accurately and with very high sensitivity at the atomic level. Analyzing complex biological samples, however, often requires prior sample preparation to allow for the sample to be more easily ionized and processed in an MS instrument.</w:t>
      </w:r>
    </w:p>
    <w:p>
      <w:pPr>
        <w:spacing w:after="0" w:line="11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7"/>
          <w:szCs w:val="17"/>
          <w:b w:val="1"/>
          <w:bCs w:val="1"/>
          <w:i w:val="1"/>
          <w:iCs w:val="1"/>
          <w:color w:val="auto"/>
        </w:rPr>
        <w:t>Nanoparticle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Nanoparticle refers to a particle of matter that is generally tens to hundreds of nanometers in diameter. The small size of nanoparticles,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between atomic scale and bulk material scale, results in material properties that can vary significantly from larger particles of the same material. These differences in material properties can be physical or chemical, and often involve differences in surface properties.</w:t>
      </w:r>
    </w:p>
    <w:p>
      <w:pPr>
        <w:spacing w:after="0" w:line="10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Peptide. </w:t>
      </w:r>
      <w:r>
        <w:rPr>
          <w:rFonts w:ascii="Arial" w:cs="Arial" w:eastAsia="Arial" w:hAnsi="Arial"/>
          <w:sz w:val="18"/>
          <w:szCs w:val="18"/>
          <w:color w:val="auto"/>
        </w:rPr>
        <w:t>Peptide refers to a chemical entity that is between two and 50 amino acids. A polypeptide that contains more than 50 amino acids is labelled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protein.</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Phenotype</w:t>
      </w:r>
      <w:r>
        <w:rPr>
          <w:rFonts w:ascii="Arial" w:cs="Arial" w:eastAsia="Arial" w:hAnsi="Arial"/>
          <w:sz w:val="18"/>
          <w:szCs w:val="18"/>
          <w:color w:val="auto"/>
        </w:rPr>
        <w:t>. Phenotype refers to the observable characteristics or traits of an organism, which can be manifested in form or structure by biochemical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physiological properties, or by behavior.</w:t>
      </w:r>
    </w:p>
    <w:p>
      <w:pPr>
        <w:spacing w:after="0" w:line="11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b w:val="1"/>
          <w:bCs w:val="1"/>
          <w:i w:val="1"/>
          <w:iCs w:val="1"/>
          <w:color w:val="auto"/>
        </w:rPr>
        <w:t xml:space="preserve">Polymorphism. </w:t>
      </w:r>
      <w:r>
        <w:rPr>
          <w:rFonts w:ascii="Arial" w:cs="Arial" w:eastAsia="Arial" w:hAnsi="Arial"/>
          <w:sz w:val="16"/>
          <w:szCs w:val="16"/>
          <w:color w:val="auto"/>
        </w:rPr>
        <w:t>Polymorphism refers to the occurrence of two or more forms or morphs of genes that are seen across a population. Polymorphisms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be, but are not always, associated with changes in phenotype, and these phenotypic changes are mediated through proteins and protein variants that can result from the polymorphism. Polymorphisms can be as small as a single nucleotide, and these are known as single nucleotide polymorphisms.</w:t>
      </w:r>
    </w:p>
    <w:p>
      <w:pPr>
        <w:spacing w:after="0" w:line="9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Post-translational modifications (PTMs). </w:t>
      </w:r>
      <w:r>
        <w:rPr>
          <w:rFonts w:ascii="Arial" w:cs="Arial" w:eastAsia="Arial" w:hAnsi="Arial"/>
          <w:sz w:val="18"/>
          <w:szCs w:val="18"/>
          <w:color w:val="auto"/>
        </w:rPr>
        <w:t>Post-translational modifications refer to the covalent and generally enzymatic modifications of proteins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protein synthesis. Examples of PTMs include phosphorylation, which is the addition of a phosphate group to an amino acid within a protein, or glycosylation, which refers to the addition of a carbohydrate group to an amino acid within a protein.</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Precision. </w:t>
      </w:r>
      <w:r>
        <w:rPr>
          <w:rFonts w:ascii="Arial" w:cs="Arial" w:eastAsia="Arial" w:hAnsi="Arial"/>
          <w:sz w:val="18"/>
          <w:szCs w:val="18"/>
          <w:color w:val="auto"/>
        </w:rPr>
        <w:t>In the context of proteomics studies, precision of measurement refers to how close several measurements of protein abundance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sample are to each other.</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Protein. </w:t>
      </w:r>
      <w:r>
        <w:rPr>
          <w:rFonts w:ascii="Arial" w:cs="Arial" w:eastAsia="Arial" w:hAnsi="Arial"/>
          <w:sz w:val="18"/>
          <w:szCs w:val="18"/>
          <w:color w:val="auto"/>
        </w:rPr>
        <w:t>Protein refers to a polypeptide of more than 50 amino acids. Proteins conduct a vast array of functions within an organism,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catalyzing enzymatic reactions, other molecular processes, cellular processes, and cell structure. The function of proteins is highly dependent on the three dimensional structure of the intact protein, including protein variants such as post-translational modifications. Moreover, these functional processes are often mediated through PPIs.</w:t>
      </w:r>
    </w:p>
    <w:p>
      <w:pPr>
        <w:spacing w:after="0" w:line="13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Protein-protein interactions (PPIs). </w:t>
      </w:r>
      <w:r>
        <w:rPr>
          <w:rFonts w:ascii="Arial" w:cs="Arial" w:eastAsia="Arial" w:hAnsi="Arial"/>
          <w:sz w:val="18"/>
          <w:szCs w:val="18"/>
          <w:color w:val="auto"/>
        </w:rPr>
        <w:t>Protein-protein interactions refer to specific physical interactions between two or more proteins driven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physicochemical forces, and which are the result of molecular mechanisms that mediate biological function.</w:t>
      </w:r>
    </w:p>
    <w:p>
      <w:pPr>
        <w:spacing w:after="0" w:line="11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Protein variant. </w:t>
      </w:r>
      <w:r>
        <w:rPr>
          <w:rFonts w:ascii="Arial" w:cs="Arial" w:eastAsia="Arial" w:hAnsi="Arial"/>
          <w:sz w:val="18"/>
          <w:szCs w:val="18"/>
          <w:color w:val="auto"/>
        </w:rPr>
        <w:t>Protein variant, also known as a protein isoform, refers to a set of similar proteins that originate from a single gene or gene family.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variations can be generated by different molecular mechanisms, including alternative splicing of RNAs, various expression patterns of RNAs and post-translational modifications.</w:t>
      </w:r>
    </w:p>
    <w:p>
      <w:pPr>
        <w:spacing w:after="0" w:line="130"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Proteograph Product Suite. </w:t>
      </w:r>
      <w:r>
        <w:rPr>
          <w:rFonts w:ascii="Arial" w:cs="Arial" w:eastAsia="Arial" w:hAnsi="Arial"/>
          <w:sz w:val="18"/>
          <w:szCs w:val="18"/>
          <w:color w:val="auto"/>
        </w:rPr>
        <w:t>Our Proteograph Product Suite refers to an integrated solution consisting of consumables, which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nanoparticles, our automatic instrument, and our data analysis software.</w:t>
      </w:r>
    </w:p>
    <w:p>
      <w:pPr>
        <w:spacing w:after="0" w:line="11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Proteomic(s). </w:t>
      </w:r>
      <w:r>
        <w:rPr>
          <w:rFonts w:ascii="Arial" w:cs="Arial" w:eastAsia="Arial" w:hAnsi="Arial"/>
          <w:sz w:val="18"/>
          <w:szCs w:val="18"/>
          <w:color w:val="auto"/>
        </w:rPr>
        <w:t>Proteomic(s) refers to the large-scale study of proteins. The proteome is the entire set of proteins that is produced or modified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organism or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18" w:name="page19"/>
    <w:bookmarkEnd w:id="1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Software. </w:t>
      </w:r>
      <w:r>
        <w:rPr>
          <w:rFonts w:ascii="Arial" w:cs="Arial" w:eastAsia="Arial" w:hAnsi="Arial"/>
          <w:sz w:val="18"/>
          <w:szCs w:val="18"/>
          <w:color w:val="auto"/>
        </w:rPr>
        <w:t>Our software refers to our integrated software suite that helps our customers process and interrogate the data that is generated by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after a proteomic assay has been performed using our Proteograph Product Suite.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Throughput. </w:t>
      </w:r>
      <w:r>
        <w:rPr>
          <w:rFonts w:ascii="Arial" w:cs="Arial" w:eastAsia="Arial" w:hAnsi="Arial"/>
          <w:sz w:val="18"/>
          <w:szCs w:val="18"/>
          <w:color w:val="auto"/>
        </w:rPr>
        <w:t>Throughput refers to the rate at which an assay can be performed on during a given time period.</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Transcriptome. </w:t>
      </w:r>
      <w:r>
        <w:rPr>
          <w:rFonts w:ascii="Arial" w:cs="Arial" w:eastAsia="Arial" w:hAnsi="Arial"/>
          <w:sz w:val="16"/>
          <w:szCs w:val="16"/>
          <w:color w:val="auto"/>
        </w:rPr>
        <w:t>Transcriptome refers to the sum total of all messenger RNA (mRNA) molecules that are expressed from the genes of an organism,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result of a biological process called “transcription” whereby the information in a strand of DNA is copied into a new molecule of mRNA.</w:t>
      </w:r>
    </w:p>
    <w:p>
      <w:pPr>
        <w:spacing w:after="0" w:line="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Unbiased. </w:t>
      </w:r>
      <w:r>
        <w:rPr>
          <w:rFonts w:ascii="Arial" w:cs="Arial" w:eastAsia="Arial" w:hAnsi="Arial"/>
          <w:sz w:val="18"/>
          <w:szCs w:val="18"/>
          <w:color w:val="auto"/>
        </w:rPr>
        <w:t>Unbiased refers to molecular analyses that does not depend upon specific ligands that are targeted to specific proteins, genes or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mutations. Unbiased contrasts with biased, which requires specific ligands to target molecules. Unbiased is also referred to as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since it enables the discovery of new molecular information by not being restricted to specific ligands and/or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121" w:right="459" w:bottom="1440" w:gutter="0" w:footer="0" w:header="0"/>
        </w:sectPr>
      </w:pPr>
    </w:p>
    <w:bookmarkStart w:id="19" w:name="page20"/>
    <w:bookmarkEnd w:id="1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in this prospectus,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116" w:lineRule="exact"/>
        <w:rPr>
          <w:sz w:val="20"/>
          <w:szCs w:val="20"/>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660" w:right="8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and</w:t>
      </w:r>
    </w:p>
    <w:p>
      <w:pPr>
        <w:spacing w:after="0" w:line="129"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1" w:right="359" w:bottom="1440" w:gutter="0" w:footer="0" w:header="0"/>
        </w:sectPr>
      </w:pPr>
    </w:p>
    <w:bookmarkStart w:id="20" w:name="page21"/>
    <w:bookmarkEnd w:id="2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an early-stage life sciences technology company, and we have incurred significant losses since we were formed in 2017, and expect to continue to incur losses in the future. We incurred net losses of $6.3 million and $16.0 million in 2018 and 2019, respectively and $10.9 million and $19.8 million in the nine months ended September 30, 2019 and 2020, respectively. As of September 30, 2020, we had an accumulated deficit of $42.4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newly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20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have not commercialized our Proteograph Product Suite or any other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Proteograph Product Suite on our anticipated timeline;</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and commercialization activities relating to our Proteograph Product Suite, including our Proteograph automation instrument and proprietary engineered nanoparticle (NP) technology, which may change from time to time;</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Proteograph, which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1" w:name="page22"/>
    <w:bookmarkEnd w:id="2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drive adoption of our Proteograph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prices at which we will be able to sell our Proteograph;</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volume and mix of our sales between our Proteograph consumables, automation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length of time of the sales cycle for purchases of our Proteograph, including lead time needed to procure Proteograph automation instruments from our third-party contract manufacturer;</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21" w:right="379" w:bottom="1440" w:gutter="0" w:footer="0" w:header="0"/>
        </w:sectPr>
      </w:pPr>
    </w:p>
    <w:bookmarkStart w:id="22" w:name="page23"/>
    <w:bookmarkEnd w:id="2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not yet commercially launched our Proteograph Product Suite, and we may not be able to successfully commercially launch our Proteograph as planned.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not yet commercially launched our Proteograph Product Suite. We plan to follow a three phase launch plan to commercialize our Proteograph, which includes a collaboration phase, an early access limited release phase and a broad commercial availability phase. We are currently in the collaboration phase of our commercial launch plan. Our commercial launch plan may not progress as planned due to:</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establish the capabilities and value proposition of our Proteograph with key opinion leaders in a timely fashion;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potential need or desire to modify aspects of our Proteograph prior to entering into the second or third phases of our commercial launch plan;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over the span of our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 and</w:t>
      </w:r>
    </w:p>
    <w:p>
      <w:pPr>
        <w:spacing w:after="0" w:line="194" w:lineRule="exact"/>
        <w:rPr>
          <w:rFonts w:ascii="Arial" w:cs="Arial" w:eastAsia="Arial" w:hAnsi="Arial"/>
          <w:sz w:val="16"/>
          <w:szCs w:val="16"/>
          <w:color w:val="auto"/>
        </w:rPr>
      </w:pPr>
    </w:p>
    <w:p>
      <w:pPr>
        <w:ind w:left="660" w:right="8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ramping up manufacturing, either internally or through our suppliers to meet the expected demand in each of the phases of our commercial launch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extent our commercial launch plan is delayed or unsuccessful, our financial results will be adversely impacted.</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commercially launch our Proteograph Product Suite, our success depends on broad scientific and market acceptance of our Proteograph, which we may fail to achieve.</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we will continue to experience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Proteograph. During the collaboration and early access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early access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our Proteograph;</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Proteograph to demonstrate comparable performance in intended use applications broadly in the hands of customers as achieved in the collaboration and early access limited release phases of our commercialization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customers’ willingness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Proteograph’s ease of use and whether it reliably provides advantages over other alternative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adoption of our Proteograph by academic institutions, laboratories, biopharmaceutical companies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we charge for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our Proteograph;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each of these criteria or other criteria that might affect the market acceptance of any products we commercialize, particularly our Proteograph. If we are unsuccessful in achieving and maintaining market acceptance of our Proteograph, our business, financial condition and results of operations would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19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have limited experience as a company in sales and marketing and our ability to achieve profitability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121" w:right="399" w:bottom="1440" w:gutter="0" w:footer="0" w:header="0"/>
        </w:sectPr>
      </w:pPr>
    </w:p>
    <w:bookmarkStart w:id="24" w:name="page25"/>
    <w:bookmarkEnd w:id="2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launch of our Proteograph. To perform sales, marketing, distribution, and customer service and support successfully, we will face a number of risks, including:</w:t>
      </w:r>
    </w:p>
    <w:p>
      <w:pPr>
        <w:spacing w:after="0" w:line="116" w:lineRule="exact"/>
        <w:rPr>
          <w:sz w:val="20"/>
          <w:szCs w:val="20"/>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for our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83"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Even if we are able to commercialize our Proteograph Product Suite and achieve broad scientific and market acceptance, our ability to attract new customers and increase revenue from existing customers will depend in large part on our ability to enhance and improve our Proteograph and to introduce compelling new products. The success of any enhancement to our Proteograph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1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Proteograph automation instrument and NPs. For instance, there are standing “stay-at-home” orders in California, and specifically San Mateo County where our headquarters is located, that require businesses to implement certain social distancing protocols and other written health and safety plans and measures which may affect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5" w:name="page26"/>
    <w:bookmarkEnd w:id="2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near term, we expect that substantially all of our revenue will be derived from sales of our Proteograph Product Suite, including our instruments and consumables, to academic and research institutions. We are currently in the collaboration phase of our commercialization plan and, as a result, in the near term, our ability to drive the adoption of our Proteograph will depend upon our ability to visit customer sites, the ability of our customers to access laboratories, install and train on our Proteograph Product Suite and conduct research in light of the COVID-19 pandemic. Additionally, as we move into the early access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Proteograph. All of these considerations are impacted by factors beyond our control, such as:</w:t>
      </w:r>
    </w:p>
    <w:p>
      <w:pPr>
        <w:spacing w:after="0" w:line="138" w:lineRule="exact"/>
        <w:rPr>
          <w:sz w:val="20"/>
          <w:szCs w:val="20"/>
          <w:color w:val="auto"/>
        </w:rPr>
      </w:pPr>
    </w:p>
    <w:p>
      <w:pPr>
        <w:ind w:left="660" w:right="120" w:hanging="328"/>
        <w:spacing w:after="0" w:line="286"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Additionally, our suppliers have also been impacted by the COVID-19 pandemic. For example, our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1" w:right="359" w:bottom="1440" w:gutter="0" w:footer="0" w:header="0"/>
        </w:sectPr>
      </w:pPr>
    </w:p>
    <w:bookmarkStart w:id="26" w:name="page27"/>
    <w:bookmarkEnd w:id="2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harm our business, and we cannot anticipate all of the ways in which the current economic climate and financial market conditions could adversely impact our ability to raise capital,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17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Our anticipated growth will place significant strains on our management, operational and manufacturing systems and processes, sales and marketing team, financial systems and internal controls and other aspects of our business. As of December 31, 2020, we had 60 employees. Developing and commercializing our Proteograph will require us to hire and retain scientific, sales and marketing, software, manufacturing, customer service, distribution and quality assurance personnel. In addition, we expect that we will need to hire additional accounting, finance and other personnel in connection with our becoming, and our efforts to comply with the requirements of being, a public company. As a newly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16"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12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The current United States administration has made restricting immigration and reforming the work visa process a key focus of its initiatives and these efforts may adversely affect our ability to find qualified personnel.</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failure to attract, train, retain and motivate qualified personnel could materially harm our business, results of operations, financial condition and prospects.</w:t>
      </w:r>
    </w:p>
    <w:p>
      <w:pPr>
        <w:spacing w:after="0" w:line="1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 of our Proteograph Product Suite from the time it is commercialized through the foreseeable future.</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that our Proteograph Product Suite will be our first commercial product. While we anticipate having early access limited release in 2021, we do not expect to have broad commercial availability for our Proteograph until early 2022. If we are able to successfully commercialize our Proteograph, we expect that we will generate substantially all of our revenue from the sale of our Proteograph, which we expect to consist of consumables,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in order to keep up with the latest technology. To date, we have limited experience simultaneously designing, testing, manufacturing and selling products and there can be no assurance we will be able to do so. Our sales expectations are based in part on the assumption that our Proteograph will increase study sizes for our future customers and their associated purchases of our consumables. If sales of our instruments fail to materialize, so will the related consumable sales and associated revenue.</w:t>
      </w:r>
    </w:p>
    <w:p>
      <w:pPr>
        <w:spacing w:after="0" w:line="13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Proteograph or new products or product enhancements would have a substantial adverse effect on our business and results of operations.</w:t>
      </w:r>
    </w:p>
    <w:p>
      <w:pPr>
        <w:spacing w:after="0" w:line="117"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to academic institutions and other research institutions. Much of these customers’ funding will be, in turn, provided by various state, federal and international government agencies. As a result, the demand for our Proteograph will depend upon the research and development budgets of these customers, which are impacted by factors beyond our control, such as:</w:t>
      </w:r>
    </w:p>
    <w:p>
      <w:pPr>
        <w:spacing w:after="0" w:line="13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researchers’ opinions of the utility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citation of our Proteograph in published research;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 Proteograph.</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2019,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and a decrease may be more likely under the current administration, whose annual budget proposals have repeatedly decreased NIH appropriations.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and we may not be able to obtain adequate supplies in a timely manner or on commercially reasonable terms. For example, due to the COVID-19 pandemic and increased demand for Hamilton’s products, we have seen the lead time for our instruments increase significantly. Further, if Hamilton is unable to obtain critical components used in our Proteograph or supply our instruments on the timelines we require, our business and commercialization efforts would be harmed.</w:t>
      </w:r>
    </w:p>
    <w:p>
      <w:pPr>
        <w:spacing w:after="0" w:line="14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1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9" w:name="page30"/>
    <w:bookmarkEnd w:id="2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We have limited experience producing and supplying our products, and we may be unable to consistently manufacture or source our automation instruments and consumables to the necessary specifications or in quantities necessary to meet demand on a timely basis and at acceptable performance and cost levels.</w:t>
      </w:r>
    </w:p>
    <w:p>
      <w:pPr>
        <w:spacing w:after="0" w:line="13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2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Proteograph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fails to maintain ISO quality management certifications, customers might choose not to purchase products from us.</w:t>
      </w:r>
    </w:p>
    <w:p>
      <w:pPr>
        <w:spacing w:after="0" w:line="13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3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21" w:right="379" w:bottom="1440" w:gutter="0" w:footer="0" w:header="0"/>
        </w:sectPr>
      </w:pPr>
    </w:p>
    <w:bookmarkStart w:id="30" w:name="page31"/>
    <w:bookmarkEnd w:id="3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manufacturing our Proteograph, we depend upon third parties for the supply of our instruments and various components, many of which require a significant degree of technical expertise to produce. If our suppliers fail to produce our Proteograph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Proteograph contain defects, we may experience:</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achieve market acceptance for our Proteograph or expansion of our Proteograph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could negatively affect our business, financial condition, and results of operations.</w:t>
      </w:r>
    </w:p>
    <w:p>
      <w:pPr>
        <w:spacing w:after="0" w:line="1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our Proteograph software, our commercialization efforts and therefore business and results of operations could suffer.</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success of our Proteograph Product Suite depends, in part, on our ability to design and deploy our Proteograph software in a manner that enables the integration with our potential customers’ systems and accommodates our potential customers’ needs. Without our Proteograph software, the use of MS instruments can require expert knowledge and scalable high-performance computer infrastructure to run efficiently and can make it difficult for our customers to understand and evaluate the quality of their results.</w:t>
      </w:r>
    </w:p>
    <w:p>
      <w:pPr>
        <w:spacing w:after="0" w:line="13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have and will continue to spend significant amounts of effort developing our Proteograph software, and potential enhanced versions over time, to meet our customers’ and potential customers’ evolving needs. There is no assurance that the development or deployment of our Proteograph software, or any potential enhancements,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1" w:name="page32"/>
    <w:bookmarkEnd w:id="3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compelling to our customers. In addition, we may experience delays in our release dates of our Proteograph software, and there can be no assurance that our Proteograph software will be released according to schedule. If our software development and deployment plan does not accurately anticipate customer demands or if we fail to develop our Proteograph software in a manner that satisfies customer preferences in a timely and cost-effective manner, our Proteograph may fail to gain market acceptance.</w:t>
      </w:r>
    </w:p>
    <w:p>
      <w:pPr>
        <w:spacing w:after="0" w:line="13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2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3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1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21" w:right="379" w:bottom="1440" w:gutter="0" w:footer="0" w:header="0"/>
        </w:sectPr>
      </w:pPr>
    </w:p>
    <w:bookmarkStart w:id="32" w:name="page33"/>
    <w:bookmarkEnd w:id="3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financial statements for the year ended December 31, 2019, we and our independent registered public accounting firm identified the following material weaknesses in our internal control over financial reporting, which remain unremediated:</w:t>
      </w:r>
    </w:p>
    <w:p>
      <w:pPr>
        <w:spacing w:after="0" w:line="117" w:lineRule="exact"/>
        <w:rPr>
          <w:sz w:val="20"/>
          <w:szCs w:val="20"/>
          <w:color w:val="auto"/>
        </w:rPr>
      </w:pPr>
    </w:p>
    <w:p>
      <w:pPr>
        <w:ind w:left="660" w:right="4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jc w:val="both"/>
        <w:ind w:left="660" w:right="66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69" w:lineRule="exact"/>
        <w:rPr>
          <w:rFonts w:ascii="Arial" w:cs="Arial" w:eastAsia="Arial" w:hAnsi="Arial"/>
          <w:sz w:val="16"/>
          <w:szCs w:val="16"/>
          <w:color w:val="auto"/>
        </w:rPr>
      </w:pPr>
    </w:p>
    <w:p>
      <w:pPr>
        <w:ind w:left="660" w:right="10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21" w:right="359" w:bottom="1440" w:gutter="0" w:footer="0" w:header="0"/>
        </w:sectPr>
      </w:pPr>
    </w:p>
    <w:bookmarkStart w:id="33" w:name="page34"/>
    <w:bookmarkEnd w:id="3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our current plan includes the hiring of an additional two finance and accounting personnel during 2021 to assist in executing on these specific functions.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1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becoming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4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To achieve compliance with Section 404(a) within the prescribed period, we will be engaging in a process to document and evaluate our internal control over financial reporting, which is both costly and challenging.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4" w:name="page35"/>
    <w:bookmarkEnd w:id="3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9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1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academic and research institutions and research companies as research use only (RUO) products,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1" w:right="359" w:bottom="1440" w:gutter="0" w:footer="0" w:header="0"/>
        </w:sectPr>
      </w:pPr>
    </w:p>
    <w:bookmarkStart w:id="35" w:name="page36"/>
    <w:bookmarkEnd w:id="3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24"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1" w:right="379" w:bottom="1440" w:gutter="0" w:footer="0" w:header="0"/>
        </w:sectPr>
      </w:pPr>
    </w:p>
    <w:bookmarkStart w:id="36" w:name="page37"/>
    <w:bookmarkEnd w:id="3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3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7" w:name="page38"/>
    <w:bookmarkEnd w:id="3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Based on our current plans, we believe that our current cash and cash equivalents and anticipated cash flow from operations will be sufficient to meet our anticipated cash requirements for at least twelve months from the date of this prospectus. If our available cash resources, net proceeds from this offering and anticipated cash flow from operations are insufficient to satisfy our liquidity requirements including because of lower demand for our products or the realization of other risks described in this prospectus, we may be required to raise additional capital prior to such time through issuances of equity or convertible debt securities, entrance into a credit facility or another form of third-party funding or seek other debt financing.</w:t>
      </w:r>
    </w:p>
    <w:p>
      <w:pPr>
        <w:spacing w:after="0" w:line="12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will consider raising additional capital in the future to expand our business, to pursue strategic investments, to take advantage of financing opportunities or for other reasons, including:</w:t>
      </w:r>
    </w:p>
    <w:p>
      <w:pPr>
        <w:spacing w:after="0" w:line="116" w:lineRule="exact"/>
        <w:rPr>
          <w:sz w:val="20"/>
          <w:szCs w:val="20"/>
          <w:color w:val="auto"/>
        </w:rPr>
      </w:pPr>
    </w:p>
    <w:p>
      <w:pPr>
        <w:ind w:left="660" w:right="7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sales and marketing and other commercialization efforts to drive market adoption of our Proteograph Product Suite, once commercialized;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funding development and marketing efforts of our Proteograph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acquiring, licensing or investing in technologies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acquiring or investing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right="5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our Proteograph and new products, and the cost of the sales and marketing activities associated with establishing adoption of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1" w:right="359" w:bottom="1440" w:gutter="0" w:footer="0" w:header="0"/>
        </w:sectPr>
      </w:pPr>
    </w:p>
    <w:bookmarkStart w:id="38" w:name="page39"/>
    <w:bookmarkEnd w:id="3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PrognomIQ as a separate healthcare company in the area of disease testing.</w:t>
      </w:r>
    </w:p>
    <w:p>
      <w:pPr>
        <w:spacing w:after="0" w:line="171"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our Proteograph for unbiased, deep and large-scale proteomic information. We continue to hold approximately 19% of the outstanding capital stock of PrognomIQ. We may not realize the potential benefits of forming PrognomIQ for a variety of reasons, including:</w:t>
      </w:r>
    </w:p>
    <w:p>
      <w:pPr>
        <w:spacing w:after="0" w:line="9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 may be unable to successfully develop viable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PrognomIQ’s business may not help demonstrate the value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reach agreement with PrognomIQ on future commercial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 may not become a meaningful customer of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 may need to raise additional funding in the future and be unable to do so; and</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formation of PrognomIQ and our continuing equity stake in PrognomIQ may add complexities to our business from a finance, tax and accounting perspective.</w:t>
      </w:r>
    </w:p>
    <w:p>
      <w:pPr>
        <w:spacing w:after="0" w:line="116"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39" w:name="page40"/>
    <w:bookmarkEnd w:id="3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1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America Invents Act and its implementation could increase the uncertainties and costs surrounding the prosecution of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1" w:right="359" w:bottom="1440" w:gutter="0" w:footer="0" w:header="0"/>
        </w:sectPr>
      </w:pPr>
    </w:p>
    <w:bookmarkStart w:id="40" w:name="page41"/>
    <w:bookmarkEnd w:id="4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applications and the enforcement or defense of our issued patents, all of which could have a material adverse effect on our business, financial condition, results of operations and prospects.</w:t>
      </w:r>
    </w:p>
    <w:p>
      <w:pPr>
        <w:spacing w:after="0" w:line="11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2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1" w:right="339" w:bottom="1440" w:gutter="0" w:footer="0" w:header="0"/>
        </w:sectPr>
      </w:pPr>
    </w:p>
    <w:bookmarkStart w:id="41" w:name="page42"/>
    <w:bookmarkEnd w:id="4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other intellectual property rights on a worldwide basis. As a result, it is possible that we will not be able to enforce our rights against third parties that misappropriate our proprietary technology in those countries.</w:t>
      </w:r>
    </w:p>
    <w:p>
      <w:pPr>
        <w:spacing w:after="0" w:line="11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44"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1" w:right="359" w:bottom="1440" w:gutter="0" w:footer="0" w:header="0"/>
        </w:sectPr>
      </w:pPr>
    </w:p>
    <w:bookmarkStart w:id="42" w:name="page43"/>
    <w:bookmarkEnd w:id="4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13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1" w:right="359" w:bottom="1440" w:gutter="0" w:footer="0" w:header="0"/>
        </w:sectPr>
      </w:pPr>
    </w:p>
    <w:bookmarkStart w:id="43" w:name="page44"/>
    <w:bookmarkEnd w:id="4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1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Proteograph Product Suite for an adequate amount of time.</w:t>
      </w:r>
    </w:p>
    <w:p>
      <w:pPr>
        <w:spacing w:after="0" w:line="1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While extensions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1" w:right="339" w:bottom="1440" w:gutter="0" w:footer="0" w:header="0"/>
        </w:sectPr>
      </w:pPr>
    </w:p>
    <w:bookmarkStart w:id="44" w:name="page45"/>
    <w:bookmarkEnd w:id="4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1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a pending patent application in Europe owned by a third party that is directed to methods of identifying biomarkers in biofluids using nanoparticles and, if issued, is projected to expire in 2037, without taking into account any possible patent term adjustments or extensions. Such patent and patent application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1" w:right="339" w:bottom="1440" w:gutter="0" w:footer="0" w:header="0"/>
        </w:sectPr>
      </w:pPr>
    </w:p>
    <w:bookmarkStart w:id="45" w:name="page46"/>
    <w:bookmarkEnd w:id="4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1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1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4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1" w:right="359" w:bottom="1440" w:gutter="0" w:footer="0" w:header="0"/>
        </w:sectPr>
      </w:pPr>
    </w:p>
    <w:bookmarkStart w:id="46" w:name="page47"/>
    <w:bookmarkEnd w:id="4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2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21" w:right="359" w:bottom="1440" w:gutter="0" w:footer="0" w:header="0"/>
        </w:sectPr>
      </w:pPr>
    </w:p>
    <w:bookmarkStart w:id="47" w:name="page48"/>
    <w:bookmarkEnd w:id="4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manufacture or commercialize our products without infringing third-party patent rights. Any of the foregoing could harm our business, financial condition, results of operations and prospects.</w:t>
      </w:r>
    </w:p>
    <w:p>
      <w:pPr>
        <w:spacing w:after="0" w:line="116"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We may need to obtain additional licenses from others to advance our research, development and commercialization activities. For instance, under our license agreement with BWH, we currently in-license two patent families one of which includes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24"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1" w:right="339" w:bottom="1440" w:gutter="0" w:footer="0" w:header="0"/>
        </w:sectPr>
      </w:pPr>
    </w:p>
    <w:bookmarkStart w:id="48" w:name="page49"/>
    <w:bookmarkEnd w:id="4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2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1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which could adversely affect our ability to offer products or services, our ability to continue operations and our business, financial condition, results of operations and prospects.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1" w:right="339" w:bottom="1440" w:gutter="0" w:footer="0" w:header="0"/>
        </w:sectPr>
      </w:pPr>
    </w:p>
    <w:bookmarkStart w:id="49" w:name="page50"/>
    <w:bookmarkEnd w:id="4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92"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21" w:right="359" w:bottom="1440" w:gutter="0" w:footer="0" w:header="0"/>
        </w:sectPr>
      </w:pPr>
    </w:p>
    <w:bookmarkStart w:id="50" w:name="page51"/>
    <w:bookmarkEnd w:id="5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660" w:right="4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left="660" w:right="1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16" w:lineRule="exact"/>
        <w:rPr>
          <w:sz w:val="20"/>
          <w:szCs w:val="20"/>
          <w:color w:val="auto"/>
        </w:rPr>
      </w:pPr>
    </w:p>
    <w:p>
      <w:pPr>
        <w:ind w:right="660" w:firstLine="324"/>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 xml:space="preserve">Risks Related to this Offering and Ownership of Our Class A Common Stock </w:t>
      </w:r>
      <w:r>
        <w:rPr>
          <w:rFonts w:ascii="Arial" w:cs="Arial" w:eastAsia="Arial" w:hAnsi="Arial"/>
          <w:sz w:val="18"/>
          <w:szCs w:val="18"/>
          <w:b w:val="1"/>
          <w:bCs w:val="1"/>
          <w:i w:val="1"/>
          <w:iCs w:val="1"/>
          <w:color w:val="auto"/>
        </w:rPr>
        <w:t>An active trading market for our Class A common stock may not be sustained.</w:t>
      </w:r>
    </w:p>
    <w:p>
      <w:pPr>
        <w:spacing w:after="0" w:line="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Although our Class A common stock is traded on the Nasdaq Global Select Market under the symbol “SEER,” there is a very limited trading history and an active trading market for our Class A common stock may not be sustained. Accordingly, we cannot assure you of your ability to sell your shares of Class A common stock when desired or the prices that you may obtain for your shares.</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an active market for our Class A common stock with meaningful trading volume is not sustained, the market price of our Class A common stock may decline materially below the offering price and you may not be able to sell your shares. The public offering price for our shares in this offering will be determined by negotiations between the Company, the selling stockholders and representatives of the underwriters and may not be indicative of prices that will prevail in the open market following this offering. Consequently, you may not be able to sell your shares of our Class A common stock at prices equal to or greater than the price you paid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60"/>
          </w:cols>
          <w:pgMar w:left="320" w:top="121" w:right="419" w:bottom="1440" w:gutter="0" w:footer="0" w:header="0"/>
        </w:sectPr>
      </w:pPr>
    </w:p>
    <w:bookmarkStart w:id="51" w:name="page52"/>
    <w:bookmarkEnd w:id="5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Class A common stock may be volatile, which could result in substantial losses for investors purchasing shares in this offering.</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660" w:right="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our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21" w:right="359" w:bottom="1440" w:gutter="0" w:footer="0" w:header="0"/>
        </w:sectPr>
      </w:pPr>
    </w:p>
    <w:bookmarkStart w:id="52" w:name="page53"/>
    <w:bookmarkEnd w:id="5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particularly in light of the current COVID-19 pandemic. Broad market and industry factors may seriously affect the market price of our Class A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Class A common stock, which is the stock we are offering in this offering, has one vote per share, and our Class B common stock has ten votes per share, except as otherwise required by law. Our Class B common stock is held by our founders and early investors. Following this offering, the holders of our Class B common stock will hold in the aggregate 47.7% of the voting power of our capital stock.</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this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See the section titled “Description of Capital Stock—Common stock—Conversion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over the long term.</w:t>
      </w:r>
    </w:p>
    <w:p>
      <w:pPr>
        <w:spacing w:after="0" w:line="11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6"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1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following the expiration of the market standoff and lock-up agreements or the early release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21" w:right="359" w:bottom="1440" w:gutter="0" w:footer="0" w:header="0"/>
        </w:sectPr>
      </w:pPr>
    </w:p>
    <w:bookmarkStart w:id="53" w:name="page54"/>
    <w:bookmarkEnd w:id="5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or the perception in the market that the holders of a large number of shares of Class A common stock intend to sell shares and could reduce the market price of our Class A common stock.</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connection with this offering, J.P. Morgan Securities LLC, Morgan Stanley &amp; Co. LLC and BofA Securities, Inc., as representatives of the several underwriters of our initial public offering, have agreed to release the restrictions under the lock-up agreements that were executed in connection with our initial public offering with respect to up to 2,625,000 shares of our Class A common stock to be sold in this offering that are held by the selling stockholders, which includes shares beneficially owned by our directors and executive officers or entities with which they are affiliated; provided, however, that the release of shares of our common stock held by the selling stockholders is limited to the shares actually sold in this offering. J.P. Morgan Securities LLC, Morgan Stanley &amp; Co. LLC and BofA Securities, Inc., as representatives of the several underwriters of our initial public offering, may, in their sole discretion, from time to time permit our stockholders to sell additional shares and waive the contractual lock-up prior to the expiration of the lock-up agreements.</w:t>
      </w:r>
    </w:p>
    <w:p>
      <w:pPr>
        <w:spacing w:after="0" w:line="13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addition to the existing lock-up agreements that were executed in connection with our initial public offering, the selling stockholders who are selling up to 5% of their existing holdings have entered into lock-up agreements in connection with this offering, on substantially similar terms, which expire 180 days from the date of this prospectus, and the selling stockholders who are selling greater than 5% and up to 20.8% of their existing holdings have entered into lock-up agreements in connection with this offering, on substantially similar terms, which expire 365 days from the date of this prospectus.</w:t>
      </w:r>
    </w:p>
    <w:p>
      <w:pPr>
        <w:spacing w:after="0" w:line="10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addition, J.P. Morgan Securities LLC, Morgan Stanley &amp; Co. LLC and BofA Securities, Inc., as representatives of the several underwriters of our initial public offering, have agreed to release the restrictions under the lock-up agreements that were executed in connection with our initial public offering with respect to 52,575 shares of our Class A common stock, which may be sold by existing stockholders separately from this offering. Such stockholders have agreed to execute additional lock-up agreements substantially on the same terms as those described above for the selling stockholders.</w:t>
      </w:r>
    </w:p>
    <w:p>
      <w:pPr>
        <w:spacing w:after="0" w:line="103"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Upon completion of this offering, 41,426,548 shares of Class A common stock and all shares of our Class B common stock (and any share of Class A common stock into which they are converted) are currently prohibited or otherwise restricted from being sold in the public market under securities laws, lock-up agreements entered into with the underwriters in connection with our initial public offering or this offering, market standoff agreements entered into by our stockholders with us, or lock-up agreements entered into by our stockholders; however, subject to applicable securities law restrictions and the new lock-up agreements referred to above, and excluding shares of Class A common stock issued pursuant to the early exercise of unvested stock options that will remain unvested, the shares of our Class A common stock outstanding at the time of our initial public offering will be able to be sold in the public market beginning on June 2,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1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Moreover, 35,676,836 shares of our Class A common stock have rights, subject to conditions, to require us to file registration statements with the SEC covering their shares or to include their shares in registration statements that we may file for ourselves or other stockholders as described under “Description of Capital Stock—Registration Rights.” Sales of Class A common stock in the public market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 See the section titled “Shares Eligible for Future Sale” for more information regarding shares of Class A common stock that may be sold in the public market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21" w:right="359" w:bottom="1440" w:gutter="0" w:footer="0" w:header="0"/>
        </w:sectPr>
      </w:pPr>
    </w:p>
    <w:bookmarkStart w:id="54" w:name="page55"/>
    <w:bookmarkEnd w:id="5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we will receive from this offering. Our management will have broad discretion in the application of the net proceeds, including for any of the purposes described in the section titled “Use of Proceeds” in this prospectus.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any dividends for the foreseeable future. Investors in this offering may never obtain a return on their investment.</w:t>
      </w:r>
    </w:p>
    <w:p>
      <w:pPr>
        <w:spacing w:after="0" w:line="1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1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1" w:right="339" w:bottom="1440" w:gutter="0" w:footer="0" w:header="0"/>
        </w:sectPr>
      </w:pPr>
    </w:p>
    <w:bookmarkStart w:id="55" w:name="page56"/>
    <w:bookmarkEnd w:id="5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22" w:lineRule="exact"/>
        <w:rPr>
          <w:sz w:val="20"/>
          <w:szCs w:val="20"/>
          <w:color w:val="auto"/>
        </w:rPr>
      </w:pPr>
    </w:p>
    <w:p>
      <w:pPr>
        <w:jc w:val="both"/>
        <w:ind w:right="300"/>
        <w:spacing w:after="0" w:line="381"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46"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03" w:lineRule="exact"/>
        <w:rPr>
          <w:sz w:val="20"/>
          <w:szCs w:val="20"/>
          <w:color w:val="auto"/>
        </w:rPr>
      </w:pPr>
    </w:p>
    <w:p>
      <w:pPr>
        <w:ind w:left="660" w:right="2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9" w:lineRule="exact"/>
        <w:rPr>
          <w:rFonts w:ascii="Arial" w:cs="Arial" w:eastAsia="Arial" w:hAnsi="Arial"/>
          <w:sz w:val="18"/>
          <w:szCs w:val="18"/>
          <w:color w:val="auto"/>
        </w:rPr>
      </w:pPr>
    </w:p>
    <w:p>
      <w:pPr>
        <w:ind w:left="660" w:right="340" w:hanging="328"/>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69"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stockholder-proposed amendment to our amended and restated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stockholders are be able to act by written consent only if the action is first recommended or approved by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only the chair of the board of directors, chief executive officer or a majority of the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121" w:right="379" w:bottom="1440" w:gutter="0" w:footer="0" w:header="0"/>
        </w:sectPr>
      </w:pPr>
    </w:p>
    <w:bookmarkStart w:id="56" w:name="page57"/>
    <w:bookmarkEnd w:id="5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of December 31, 2018 and 2019, we had U.S. federal and state net operating loss carryforwards, or NOLs, of $5.3 million and $35.1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this offering or future issuances or sales of our stock, including certain transactions involving our stock that are outside of our control, could result in future “ownership changes.” “Ownership changes” that have occurred in the past or that may occur in the future, including in connection with this offering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92"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20"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1" w:right="339" w:bottom="1440" w:gutter="0" w:footer="0" w:header="0"/>
        </w:sectPr>
      </w:pPr>
    </w:p>
    <w:bookmarkStart w:id="57" w:name="page58"/>
    <w:bookmarkEnd w:id="5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incur significant increased costs and management resources as a result of operating as a public company.</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As a public company, we continue to incur significant legal, accounting, compliance and other expenses that we did not incur as a private company and these expenses may increase even more after we are no longer an “emerging growth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Class A common stock in this offering, you will incur immediate and substantial dilution as a result of this offering.</w:t>
      </w:r>
    </w:p>
    <w:p>
      <w:pPr>
        <w:spacing w:after="0" w:line="18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If you purchase our Class A common stock in this offering, you will incur immediate and substantial dilution of $58.10 per share, representing the difference between the public offering price of $67.00 per share, after deducting the estimated underwriting discounts and commissions and estimated offering expenses payable by us, and our pro forma net tangible book value per share after giving effect to the issuance and sale of 1,650,000 shares of Class A common stock by us in this offering. As of December 31, 2020, there were 7,553,500 shares of our Class A common stock subject to outstanding stock options with a weighted-average exercise price of $2.51 per share. To the extent that these outstanding stock options and warrants are ultimately exercised or the underwriters exercise their option to purchase additional shares of our Class A common stock, you will incur further dilution. See the section titled “Dilution”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4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130"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1" w:right="339" w:bottom="1440" w:gutter="0" w:footer="0" w:header="0"/>
        </w:sectPr>
      </w:pPr>
    </w:p>
    <w:bookmarkStart w:id="58" w:name="page59"/>
    <w:bookmarkEnd w:id="5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2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1" w:right="339" w:bottom="1440" w:gutter="0" w:footer="0" w:header="0"/>
        </w:sectPr>
      </w:pPr>
    </w:p>
    <w:bookmarkStart w:id="59" w:name="page60"/>
    <w:bookmarkEnd w:id="5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personal information, including sensitive personal information, of our employees, customers and others, any of which could have a material adverse effect on our business, reputation, financial condition and results of operations.</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1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11"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1" w:right="339" w:bottom="1440" w:gutter="0" w:footer="0" w:header="0"/>
        </w:sectPr>
      </w:pPr>
    </w:p>
    <w:bookmarkStart w:id="60" w:name="page61"/>
    <w:bookmarkEnd w:id="6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1" w:right="339" w:bottom="1440" w:gutter="0" w:footer="0" w:header="0"/>
        </w:sectPr>
      </w:pPr>
    </w:p>
    <w:bookmarkStart w:id="61" w:name="page62"/>
    <w:bookmarkEnd w:id="6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All statements other than statements of historical facts contained in this prospectus,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30" w:lineRule="exact"/>
        <w:rPr>
          <w:sz w:val="20"/>
          <w:szCs w:val="20"/>
          <w:color w:val="auto"/>
        </w:rPr>
      </w:pPr>
    </w:p>
    <w:p>
      <w:pPr>
        <w:ind w:left="660" w:right="8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estimates of our addressable market, market growth, future revenue, key performance indicators, expenses, capital requirements and our needs for additional financing;</w:t>
      </w:r>
    </w:p>
    <w:p>
      <w:pPr>
        <w:spacing w:after="0" w:line="116"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successfully implement our three phase commercial launch plan, including our ability to add additional collaborators during the collaboration phase and expand to additional key opinion leaders during the early access limited release phase;</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Proteograph Product Suite, including the expected pricing of our Proteograph automation instrument and associated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of our Proteograph Product Suite on the field of proteomics and the size and growth of the addressable proteomics market;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hire and retain key personnel and to manage our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additional financing in this or future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volatility of the trading price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benefits of the PrognomIQ, Inc.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local, regional, and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COVID-19 on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1" w:right="339" w:bottom="1440" w:gutter="0" w:footer="0" w:header="0"/>
        </w:sectPr>
      </w:pPr>
    </w:p>
    <w:bookmarkStart w:id="62" w:name="page63"/>
    <w:bookmarkEnd w:id="6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prospectus, whether as a result of any new information, future events or otherwise.</w:t>
      </w:r>
    </w:p>
    <w:p>
      <w:pPr>
        <w:spacing w:after="0" w:line="12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21" w:right="379" w:bottom="1440" w:gutter="0" w:footer="0" w:header="0"/>
        </w:sectPr>
      </w:pPr>
    </w:p>
    <w:bookmarkStart w:id="63" w:name="page64"/>
    <w:bookmarkEnd w:id="6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7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Proteograph Product Suite, including data regarding the estimated size of such markets.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The sources listed below are not a part of this prospectus and are not incorporated by reference in this prospectus.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sources of industry, market and other data contained in this prospectus are listed below:</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Allied Market Research. “Global Proteomics Market - Opportunity Analysis and Industry Forecast, 2018-2025” (March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Technavio. “Genomics Market by Solution and Geography - Forecast and Analysis 2020-2024”.</w:t>
      </w:r>
    </w:p>
    <w:p>
      <w:pPr>
        <w:spacing w:after="0" w:line="171" w:lineRule="exact"/>
        <w:rPr>
          <w:rFonts w:ascii="Arial" w:cs="Arial" w:eastAsia="Arial" w:hAnsi="Arial"/>
          <w:sz w:val="18"/>
          <w:szCs w:val="18"/>
          <w:color w:val="auto"/>
        </w:rPr>
      </w:pPr>
    </w:p>
    <w:p>
      <w:pPr>
        <w:jc w:val="both"/>
        <w:ind w:left="660" w:right="6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Pubmed Database. PubMed is the National Library of Medicine. PubMed comprises more than 30 million citations for biomedical literature from MEDLINE, life science journals, and online books. Citations may include links to full-text content from PubMed Central and publisher web sites.</w:t>
      </w:r>
    </w:p>
    <w:p>
      <w:pPr>
        <w:spacing w:after="0" w:line="69" w:lineRule="exact"/>
        <w:rPr>
          <w:rFonts w:ascii="Arial" w:cs="Arial" w:eastAsia="Arial" w:hAnsi="Arial"/>
          <w:sz w:val="16"/>
          <w:szCs w:val="16"/>
          <w:color w:val="auto"/>
        </w:rPr>
      </w:pPr>
    </w:p>
    <w:p>
      <w:pPr>
        <w:ind w:left="660" w:right="14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UniProt Database. The Universal Protein Resource (UniProt) is a comprehensive resource for protein sequence and annotation data. The UniProt databases are the UniProt Knowledgebase (UniProtKB), the UniProt Reference Clusters (UniRef), and the UniProt Archive (UniParc).</w:t>
      </w:r>
    </w:p>
    <w:p>
      <w:pPr>
        <w:spacing w:after="0" w:line="69"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ClinVar. ClinVar is a freely accessible, public archive of reports of the relationships among human variations and phenotypes, with supporting evidence.</w:t>
      </w:r>
    </w:p>
    <w:p>
      <w:pPr>
        <w:spacing w:after="0" w:line="116"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dbSNP. dbSNP is a public-domain archive for human single nucleotide variations, microsatellites, and small-scale insertions and deletions along with publication, population frequency, molecular consequence, and genomic and RefSeq mapping information for both common variations and clinical mutations.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are published studies referenced throughout this prospectus, the citations for those studies are listed below:</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Blume, J. E. et al. Rapid, deep and precise profiling of the plasma proteome with multi-nanoparticle protein corona. </w:t>
      </w:r>
      <w:r>
        <w:rPr>
          <w:rFonts w:ascii="Arial" w:cs="Arial" w:eastAsia="Arial" w:hAnsi="Arial"/>
          <w:sz w:val="16"/>
          <w:szCs w:val="16"/>
          <w:i w:val="1"/>
          <w:iCs w:val="1"/>
          <w:color w:val="auto"/>
        </w:rPr>
        <w:t>Nat. Commun.</w:t>
      </w:r>
      <w:r>
        <w:rPr>
          <w:rFonts w:ascii="Arial" w:cs="Arial" w:eastAsia="Arial" w:hAnsi="Arial"/>
          <w:sz w:val="16"/>
          <w:szCs w:val="16"/>
          <w:color w:val="auto"/>
        </w:rPr>
        <w:t xml:space="preserve"> 11, (2020).</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Keshishian, H. et al. Quantitative, multiplexed workflow for deep analysis of human blood plasma and biomarker discovery by mass spectrometry. </w:t>
      </w:r>
      <w:r>
        <w:rPr>
          <w:rFonts w:ascii="Arial" w:cs="Arial" w:eastAsia="Arial" w:hAnsi="Arial"/>
          <w:sz w:val="18"/>
          <w:szCs w:val="18"/>
          <w:i w:val="1"/>
          <w:iCs w:val="1"/>
          <w:color w:val="auto"/>
        </w:rPr>
        <w:t xml:space="preserve">Nat. Protoc. </w:t>
      </w:r>
      <w:r>
        <w:rPr>
          <w:rFonts w:ascii="Arial" w:cs="Arial" w:eastAsia="Arial" w:hAnsi="Arial"/>
          <w:sz w:val="18"/>
          <w:szCs w:val="18"/>
          <w:color w:val="auto"/>
        </w:rPr>
        <w:t>12, 1683–1701 (2017).</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Schwenk, J. M. et al. The Human Plasma Proteome Draft of 2017: Building on the Human Plasma PeptideAtlas from Mass Spectrometry and Complementary Assays. </w:t>
      </w:r>
      <w:r>
        <w:rPr>
          <w:rFonts w:ascii="Arial" w:cs="Arial" w:eastAsia="Arial" w:hAnsi="Arial"/>
          <w:sz w:val="18"/>
          <w:szCs w:val="18"/>
          <w:i w:val="1"/>
          <w:iCs w:val="1"/>
          <w:color w:val="auto"/>
        </w:rPr>
        <w:t>J. Proteome Res.</w:t>
      </w:r>
      <w:r>
        <w:rPr>
          <w:rFonts w:ascii="Arial" w:cs="Arial" w:eastAsia="Arial" w:hAnsi="Arial"/>
          <w:sz w:val="18"/>
          <w:szCs w:val="18"/>
          <w:color w:val="auto"/>
        </w:rPr>
        <w:t xml:space="preserve"> 16, 4299–4310 (2017).</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Liao, W. Y. et al. Heparin co-factor II enhances cell motility and promotes metastasis in non-small cell lung cancer. </w:t>
      </w:r>
      <w:r>
        <w:rPr>
          <w:rFonts w:ascii="Arial" w:cs="Arial" w:eastAsia="Arial" w:hAnsi="Arial"/>
          <w:sz w:val="16"/>
          <w:szCs w:val="16"/>
          <w:i w:val="1"/>
          <w:iCs w:val="1"/>
          <w:color w:val="auto"/>
        </w:rPr>
        <w:t>J. Pathol.</w:t>
      </w:r>
      <w:r>
        <w:rPr>
          <w:rFonts w:ascii="Arial" w:cs="Arial" w:eastAsia="Arial" w:hAnsi="Arial"/>
          <w:sz w:val="16"/>
          <w:szCs w:val="16"/>
          <w:color w:val="auto"/>
        </w:rPr>
        <w:t xml:space="preserve"> 235, 50–64 (2015).</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Szklarczyk, D. et al. STRING v11: Protein-protein association networks with increased coverage, supporting functional discovery in genome-wide experimental datasets. </w:t>
      </w:r>
      <w:r>
        <w:rPr>
          <w:rFonts w:ascii="Arial" w:cs="Arial" w:eastAsia="Arial" w:hAnsi="Arial"/>
          <w:sz w:val="18"/>
          <w:szCs w:val="18"/>
          <w:i w:val="1"/>
          <w:iCs w:val="1"/>
          <w:color w:val="auto"/>
        </w:rPr>
        <w:t>Nucleic Acids Res.</w:t>
      </w:r>
      <w:r>
        <w:rPr>
          <w:rFonts w:ascii="Arial" w:cs="Arial" w:eastAsia="Arial" w:hAnsi="Arial"/>
          <w:sz w:val="18"/>
          <w:szCs w:val="18"/>
          <w:color w:val="auto"/>
        </w:rPr>
        <w:t xml:space="preserve"> 47, D607–D613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21" w:right="359" w:bottom="1440" w:gutter="0" w:footer="0" w:header="0"/>
        </w:sectPr>
      </w:pPr>
    </w:p>
    <w:bookmarkStart w:id="64" w:name="page65"/>
    <w:bookmarkEnd w:id="6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We estimate that the net proceeds from our issuance and sale of shares of our Class A common stock in this offering will be approximately $103.1 million, based on a public offering price of $67.00 per share, and after deducting the underwriting discounts and commissions and estimated offering expenses payable by us. We will not receive any proceeds from the sale of shares of Class A common stock by the selling stockholders or if the underwriters exercise their option to purchase additional shares from the selling stockholders.</w:t>
      </w:r>
    </w:p>
    <w:p>
      <w:pPr>
        <w:spacing w:after="0" w:line="11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principal purpose of this offering is to obtain additional capital to support our operations. Our intended use of the net proceeds from this offering is generally consistent with our intended use of proceeds from our initial public offering. We currently intend to use the net proceeds from this offering, together with our existing cash, to commercialize our Proteograph Product Suite through our ongoing sales and marketing activities, and for other development work associated with advancing our Proteograph Product Suite, research and development, and general corporate purposes.</w:t>
      </w:r>
    </w:p>
    <w:p>
      <w:pPr>
        <w:spacing w:after="0" w:line="11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may also use a portion of the proceeds to in-license, acquire or invest in additional businesses, technologies, products or assets, subject to applicable regulatory restrictions. Although we have no specific agreements, commitments or understandings with respect to any in-licensing activity or acquisitions, we evaluate these opportunities and engage in related discussions with other companies from time-to-time.</w:t>
      </w:r>
    </w:p>
    <w:p>
      <w:pPr>
        <w:spacing w:after="0" w:line="11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amount and timing of our actual expenditures will depend on numerous factors, including the results of our research and development and commercialization efforts, cash flows from operations, the anticipated growth of our business and any unforeseen cash needs. As a result, our management will have broad discretion over the use of the proceeds from this offering.</w:t>
      </w:r>
    </w:p>
    <w:p>
      <w:pPr>
        <w:spacing w:after="0" w:line="130"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Pending their uses, we plan to invest the net proceeds of this offering in short-term, interest-bearing, investment-grade instruments, including certificates of deposit or direct or guaranteed obligations of the U.S. government, and subject to applicable regulatory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21" w:right="359" w:bottom="1440" w:gutter="0" w:footer="0" w:header="0"/>
        </w:sectPr>
      </w:pPr>
    </w:p>
    <w:bookmarkStart w:id="65" w:name="page66"/>
    <w:bookmarkEnd w:id="6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21" w:right="359" w:bottom="1440" w:gutter="0" w:footer="0" w:header="0"/>
        </w:sectPr>
      </w:pPr>
    </w:p>
    <w:bookmarkStart w:id="66" w:name="page67"/>
    <w:bookmarkEnd w:id="6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cash equivalents and investments and our capitalization as of September 30, 2020:</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171" w:lineRule="exact"/>
        <w:rPr>
          <w:rFonts w:ascii="Arial" w:cs="Arial" w:eastAsia="Arial" w:hAnsi="Arial"/>
          <w:sz w:val="18"/>
          <w:szCs w:val="18"/>
          <w:color w:val="auto"/>
        </w:rPr>
      </w:pPr>
    </w:p>
    <w:p>
      <w:pPr>
        <w:ind w:left="980" w:right="120" w:hanging="324"/>
        <w:spacing w:after="0" w:line="308" w:lineRule="auto"/>
        <w:tabs>
          <w:tab w:leader="none" w:pos="976"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automatic conversion of all of our outstanding shares of convertible preferred stock into an aggregate of 29,026,787 shares of Class A common stock in connection with our initial public offering as if such conversion had occurred on September 30, 2020;</w:t>
      </w:r>
    </w:p>
    <w:p>
      <w:pPr>
        <w:spacing w:after="0" w:line="92" w:lineRule="exact"/>
        <w:rPr>
          <w:rFonts w:ascii="Arial" w:cs="Arial" w:eastAsia="Arial" w:hAnsi="Arial"/>
          <w:sz w:val="17"/>
          <w:szCs w:val="17"/>
          <w:color w:val="auto"/>
        </w:rPr>
      </w:pPr>
    </w:p>
    <w:p>
      <w:pPr>
        <w:ind w:left="980" w:right="100" w:hanging="324"/>
        <w:spacing w:after="0" w:line="263" w:lineRule="auto"/>
        <w:tabs>
          <w:tab w:leader="none" w:pos="9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stock-based compensation of approximately $0.2 million associated with RSUs subject to service-based and performance-based vesting conditions that we recognized in connection with our initial public offering and is reflected as an increase to additional paid-in capital and accumulated deficit;</w:t>
      </w:r>
    </w:p>
    <w:p>
      <w:pPr>
        <w:spacing w:after="0" w:line="129" w:lineRule="exact"/>
        <w:rPr>
          <w:rFonts w:ascii="Arial" w:cs="Arial" w:eastAsia="Arial" w:hAnsi="Arial"/>
          <w:sz w:val="18"/>
          <w:szCs w:val="18"/>
          <w:color w:val="auto"/>
        </w:rPr>
      </w:pPr>
    </w:p>
    <w:p>
      <w:pPr>
        <w:ind w:left="980" w:right="220" w:hanging="324"/>
        <w:spacing w:after="0" w:line="286" w:lineRule="auto"/>
        <w:tabs>
          <w:tab w:leader="none" w:pos="976"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sale and issuance of 10,592,106 shares of Class A common stock by us in our initial public offering and 7,105,262 shares of Class A common stock by us in a concurrent private placement, based upon the public offering price of $19.00 per share, after deducting the underwriting discounts and commissions and estimated offering expenses payable by us; and</w:t>
      </w:r>
    </w:p>
    <w:p>
      <w:pPr>
        <w:spacing w:after="0" w:line="111" w:lineRule="exact"/>
        <w:rPr>
          <w:rFonts w:ascii="Arial" w:cs="Arial" w:eastAsia="Arial" w:hAnsi="Arial"/>
          <w:sz w:val="17"/>
          <w:szCs w:val="17"/>
          <w:color w:val="auto"/>
        </w:rPr>
      </w:pPr>
    </w:p>
    <w:p>
      <w:pPr>
        <w:jc w:val="both"/>
        <w:ind w:left="980" w:right="100" w:hanging="324"/>
        <w:spacing w:after="0" w:line="286" w:lineRule="auto"/>
        <w:tabs>
          <w:tab w:leader="none" w:pos="976"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voluntary conversion of 2,803,737 shares of Class B common stock by OCF 2014 Trust, an entity affiliated with Dr. Farokhzad, to an equal amount of Class A common stock at the time of the initial public offering and the conversion of 150,000 shares of Class B common stock by Dynamics Group, LLC, an entity affiliated with Dr. Farokhzad, in connection with a charitable gift; and</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pro forma adjustments set forth above, and</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sale and issuance of 1,650,000 shares of our Class A common stock by us in this offering, at a public offering price of $67.00 per share, after deducting underwriting discounts and commissions and estimated offering expenses payable by us.</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320" w:top="121" w:right="579" w:bottom="1440" w:gutter="0" w:footer="0" w:header="0"/>
        </w:sectPr>
      </w:pPr>
    </w:p>
    <w:bookmarkStart w:id="67" w:name="page68"/>
    <w:bookmarkEnd w:id="6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September 30 , 2020</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Actual</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Pro Forma as Adjusted</w:t>
            </w: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80" w:type="dxa"/>
            <w:vAlign w:val="bottom"/>
            <w:gridSpan w:val="6"/>
          </w:tcPr>
          <w:p>
            <w:pPr>
              <w:jc w:val="center"/>
              <w:ind w:left="413"/>
              <w:spacing w:after="0"/>
              <w:rPr>
                <w:sz w:val="20"/>
                <w:szCs w:val="20"/>
                <w:color w:val="auto"/>
              </w:rPr>
            </w:pPr>
            <w:r>
              <w:rPr>
                <w:rFonts w:ascii="Arial" w:cs="Arial" w:eastAsia="Arial" w:hAnsi="Arial"/>
                <w:sz w:val="14"/>
                <w:szCs w:val="14"/>
                <w:i w:val="1"/>
                <w:iCs w:val="1"/>
                <w:color w:val="auto"/>
                <w:w w:val="91"/>
              </w:rPr>
              <w:t>(in thousands, except share and per share data)</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435,965</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539,057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par value $0.00001 per share: 29,026,827 shares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authorized, 29,026,787 issued and outstanding, actual; no shares authorized, issued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 pro forma and pro forma as adjusted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162,849</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8"/>
              </w:rPr>
              <w:t>Preferred stock, par value $0.00001 per share: no shares authorized, issued and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outstanding, actual; 5,000,000 shares authorized and no shares issued and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 common stock, par value $0.00001 per share: 56,074,766 shares authorized,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3,296,556 issued and outstanding, actual; 94,000,000 shares authorized, 53,500,763</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shares issued and outstanding, pro forma; and 94,000,000 shares authorized,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55,926,673 shares issued and outstanding, pro forma as adjusted</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4"/>
              </w:rPr>
              <w:t>Class B common stock, par value $0.00001 per share: 9,345,794 shares authorized,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9,345,784 issued and outstanding, actual; 6,000,000 shares authorized,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5,865,732 shares issued and outstanding, pro forma; and 6,000,000 shares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authorized, 5,089,822 shares issued and outstanding,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482,377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585,469</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439,921</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543,012</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439,921</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as adjusted column in the table above is based on 53,500,763 shares of our Class A common stock on a pro forma basis and 5,865,732 shares of our Class B common stock outstanding as of September 30, 2020 on a pro forma basis, and excludes the following:</w:t>
      </w:r>
    </w:p>
    <w:p>
      <w:pPr>
        <w:spacing w:after="0" w:line="116" w:lineRule="exact"/>
        <w:rPr>
          <w:sz w:val="20"/>
          <w:szCs w:val="20"/>
          <w:color w:val="auto"/>
        </w:rPr>
      </w:pPr>
    </w:p>
    <w:p>
      <w:pPr>
        <w:ind w:left="660" w:right="4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2,678,942 shares of our Class A common stock issuable upon the exercise of options to purchase shares of our Class A common stock granted after September 30, 2020, with a weighted-average exercise price of $16.86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335,194 shares of our Class A common stock issuable upon the vesting of RSUs outstanding as of September 30,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173,982 shares of our Class A common stock issuable upon the vesting of RSUs granted after September 30,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1" w:right="339" w:bottom="1440" w:gutter="0" w:footer="0" w:header="0"/>
        </w:sectPr>
      </w:pPr>
    </w:p>
    <w:bookmarkStart w:id="68" w:name="page69"/>
    <w:bookmarkEnd w:id="68"/>
    <w:p>
      <w:pPr>
        <w:ind w:left="8"/>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7,797,109 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648" w:hanging="324"/>
        <w:spacing w:after="0" w:line="342" w:lineRule="auto"/>
        <w:tabs>
          <w:tab w:leader="none" w:pos="644" w:val="left"/>
        </w:tabs>
        <w:numPr>
          <w:ilvl w:val="1"/>
          <w:numId w:val="41"/>
        </w:numPr>
        <w:rPr>
          <w:rFonts w:ascii="Arial" w:cs="Arial" w:eastAsia="Arial" w:hAnsi="Arial"/>
          <w:sz w:val="16"/>
          <w:szCs w:val="16"/>
          <w:color w:val="auto"/>
        </w:rPr>
      </w:pPr>
      <w:r>
        <w:rPr>
          <w:rFonts w:ascii="Arial" w:cs="Arial" w:eastAsia="Arial" w:hAnsi="Arial"/>
          <w:sz w:val="16"/>
          <w:szCs w:val="16"/>
          <w:color w:val="auto"/>
        </w:rPr>
        <w:t>6,601,782 shares of our Class A common stock to be reserved for future issuance under our 2020 Plan, and any additional shares that become available under our 2020 Plan pursuant to provisions thereof that automatically increase the share reserve under the plan each year; and</w:t>
      </w:r>
    </w:p>
    <w:p>
      <w:pPr>
        <w:spacing w:after="0" w:line="69" w:lineRule="exact"/>
        <w:rPr>
          <w:rFonts w:ascii="Arial" w:cs="Arial" w:eastAsia="Arial" w:hAnsi="Arial"/>
          <w:sz w:val="16"/>
          <w:szCs w:val="16"/>
          <w:color w:val="auto"/>
        </w:rPr>
      </w:pPr>
    </w:p>
    <w:p>
      <w:pPr>
        <w:ind w:left="648" w:right="200" w:hanging="324"/>
        <w:spacing w:after="0" w:line="308" w:lineRule="auto"/>
        <w:tabs>
          <w:tab w:leader="none" w:pos="644" w:val="left"/>
        </w:tabs>
        <w:numPr>
          <w:ilvl w:val="1"/>
          <w:numId w:val="41"/>
        </w:numPr>
        <w:rPr>
          <w:rFonts w:ascii="Arial" w:cs="Arial" w:eastAsia="Arial" w:hAnsi="Arial"/>
          <w:sz w:val="17"/>
          <w:szCs w:val="17"/>
          <w:color w:val="auto"/>
        </w:rPr>
      </w:pPr>
      <w:r>
        <w:rPr>
          <w:rFonts w:ascii="Arial" w:cs="Arial" w:eastAsia="Arial" w:hAnsi="Arial"/>
          <w:sz w:val="17"/>
          <w:szCs w:val="17"/>
          <w:color w:val="auto"/>
        </w:rPr>
        <w:t>1,195,327 shares of common stock reserved for future issuance under our ESPP, and any additional shares that become available under our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28"/>
          </w:cols>
          <w:pgMar w:left="652" w:top="121" w:right="419" w:bottom="1440" w:gutter="0" w:footer="0" w:header="0"/>
        </w:sectPr>
      </w:pPr>
    </w:p>
    <w:bookmarkStart w:id="69" w:name="page70"/>
    <w:bookmarkEnd w:id="6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immediately to the extent of the difference between the initial public offering price per share of our Class A common stock and the pro forma as adjusted net tangible book value per share of our common stock immediately after this offering.</w:t>
      </w:r>
    </w:p>
    <w:p>
      <w:pPr>
        <w:spacing w:after="0" w:line="130" w:lineRule="exact"/>
        <w:rPr>
          <w:sz w:val="20"/>
          <w:szCs w:val="20"/>
          <w:color w:val="auto"/>
        </w:rPr>
      </w:pPr>
    </w:p>
    <w:p>
      <w:pPr>
        <w:jc w:val="both"/>
        <w:ind w:right="240" w:firstLine="324"/>
        <w:spacing w:after="0" w:line="279" w:lineRule="auto"/>
        <w:rPr>
          <w:sz w:val="20"/>
          <w:szCs w:val="20"/>
          <w:color w:val="auto"/>
        </w:rPr>
      </w:pPr>
      <w:r>
        <w:rPr>
          <w:rFonts w:ascii="Arial" w:cs="Arial" w:eastAsia="Arial" w:hAnsi="Arial"/>
          <w:sz w:val="17"/>
          <w:szCs w:val="17"/>
          <w:color w:val="auto"/>
        </w:rPr>
        <w:t>Our historical net tangible book value as of September 30, 2020 was $124.4 million, or $9.84 per share. Our historical net tangible book value is the amount of our total tangible assets less our total liabilities. Historical net tangible book value per share represents the amount of our total tangible assets less our total liabilities. Historical net tangible book value per share represents historical net tangible book value divided by the number of shares of our Class A common stock and Class B common stock outstanding as of September 30, 2020.</w:t>
      </w:r>
    </w:p>
    <w:p>
      <w:pPr>
        <w:spacing w:after="0" w:line="11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pro forma net tangible book value as of September 30, 2020 was $439.9 million, or $7.41 per share. Pro forma net tangible book value per share represents pro forma net tangible book value divided by the total number of shares of our Class A common stock and Class B common stock outstanding as of September 30, 2020, after giving effect to the conversion of all outstanding shares of our convertible preferred stock into an aggregate of 29,026,787 shares of our Class A common stock immediately prior to our initial public offering and the sale and issuance of 10,592,106 shares of Class A common stock by us in our initial public offering and 7,105,262 shares of Class A common stock by us in a concurrent private placement, based upon the public offering price of $19.00 per share, after deducting the underwriting discounts and commissions and estimated offering expenses payable by us.</w:t>
      </w:r>
    </w:p>
    <w:p>
      <w:pPr>
        <w:spacing w:after="0" w:line="11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After giving further effect to our sale of 1,650,000 shares of Class A common stock in this offering at the public offering price of $67.00 per share, and after deducting the underwriting discounts and commissions and estimated offering expenses payable by us, our pro forma as adjusted net tangible book value as of September 30, 2020 would have been approximately $543.0 million, or approximately $8.90 per share. This represents an immediate increase in pro forma as adjusted net tangible book value of $1.49 per share to our existing stockholders and an immediate dilution in pro forma as adjusted net tangible book value of approximately $58.10 per share to new investors purchasing Class A common stock in this offering. Dilution per share to new investors purchasing Class A common stock in this offering is determined by subtracting pro forma as adjusted net tangible book value per share after this offering from the public offering price per share paid by new investors. The following table illustrates this dilution on a per share basis: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 price per share</w:t>
            </w:r>
          </w:p>
        </w:tc>
        <w:tc>
          <w:tcPr>
            <w:tcW w:w="6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Historical net tangible book value per share as of September 30, 2020</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 decrease in net tangible book value per share as of September 30, 2020</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Increase in pro forma net tangible book value per share attributable to new investors purchasing shares of</w:t>
            </w: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 in this offering</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6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following table summarizes, on a pro forma as adjusted basis, as of September 30, 2020, the difference between the number of shares of common stock purchased from us (on an as converted to Class A common stock basis), the total consideration paid, and the weighted-average price per share paid, by existing stockholders and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1" w:right="339" w:bottom="1440" w:gutter="0" w:footer="0" w:header="0"/>
        </w:sectPr>
      </w:pPr>
    </w:p>
    <w:bookmarkStart w:id="70" w:name="page71"/>
    <w:bookmarkEnd w:id="7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new investors in this offering, and before deducting underwriting discounts and commissions and estimated offering expenses payable by us.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1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88"/>
              </w:rPr>
              <w:t>Shares Purchased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Total Consideration</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Average Price Per</w:t>
            </w:r>
          </w:p>
        </w:tc>
      </w:tr>
      <w:tr>
        <w:trPr>
          <w:trHeight w:val="201"/>
        </w:trPr>
        <w:tc>
          <w:tcPr>
            <w:tcW w:w="3320" w:type="dxa"/>
            <w:vAlign w:val="bottom"/>
          </w:tcPr>
          <w:p>
            <w:pPr>
              <w:spacing w:after="0"/>
              <w:rPr>
                <w:sz w:val="17"/>
                <w:szCs w:val="17"/>
                <w:color w:val="auto"/>
              </w:rPr>
            </w:pPr>
          </w:p>
        </w:tc>
        <w:tc>
          <w:tcPr>
            <w:tcW w:w="21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Number</w:t>
            </w: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85"/>
              </w:rPr>
              <w:t>Percent</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Share</w:t>
            </w:r>
          </w:p>
        </w:tc>
      </w:tr>
      <w:tr>
        <w:trPr>
          <w:trHeight w:val="180"/>
        </w:trPr>
        <w:tc>
          <w:tcPr>
            <w:tcW w:w="3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80" w:type="dxa"/>
            <w:vAlign w:val="bottom"/>
            <w:gridSpan w:val="5"/>
          </w:tcPr>
          <w:p>
            <w:pPr>
              <w:ind w:left="40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59,366,495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365,921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76.8 %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110,550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5"/>
              </w:rPr>
              <w:t>23.2</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67.00</w:t>
            </w:r>
          </w:p>
        </w:tc>
      </w:tr>
      <w:tr>
        <w:trPr>
          <w:trHeight w:val="248"/>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61,016,495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476,471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foregoing tables and calculations (other than the historical net tangible book value per share calculation) are based on 53,500,763 shares of our Class A common stock on a pro forma basis and 5,865,732 shares of our Class B common stock outstanding as of September 30, 2020 on a pro forma basis, and excludes the following:</w:t>
      </w:r>
    </w:p>
    <w:p>
      <w:pPr>
        <w:spacing w:after="0" w:line="130" w:lineRule="exact"/>
        <w:rPr>
          <w:sz w:val="20"/>
          <w:szCs w:val="20"/>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2,678,942 shares of our Class A common stock issuable upon the exercise of options to purchase shares of our Class A common stock granted after September 30, 2020, with an exercise price of $16.86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335,194 shares of our Class A common stock issuable upon the vesting of RSUs outstanding as of September 30,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173,982 shares of our Class A common stock issuable upon the vesting of RSUs granted after September 30, 2020;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7,797,109 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980" w:hanging="324"/>
        <w:spacing w:after="0" w:line="342" w:lineRule="auto"/>
        <w:tabs>
          <w:tab w:leader="none" w:pos="976" w:val="left"/>
        </w:tabs>
        <w:numPr>
          <w:ilvl w:val="1"/>
          <w:numId w:val="42"/>
        </w:numPr>
        <w:rPr>
          <w:rFonts w:ascii="Arial" w:cs="Arial" w:eastAsia="Arial" w:hAnsi="Arial"/>
          <w:sz w:val="16"/>
          <w:szCs w:val="16"/>
          <w:color w:val="auto"/>
        </w:rPr>
      </w:pPr>
      <w:r>
        <w:rPr>
          <w:rFonts w:ascii="Arial" w:cs="Arial" w:eastAsia="Arial" w:hAnsi="Arial"/>
          <w:sz w:val="16"/>
          <w:szCs w:val="16"/>
          <w:color w:val="auto"/>
        </w:rPr>
        <w:t>6,601,782 shares of our Class A common stock to be reserved for future issuance under our 2020 Plan, and any additional shares that become available under our 2020 Plan pursuant to provisions thereof that automatically increase the share reserve under the plan each year; and</w:t>
      </w:r>
    </w:p>
    <w:p>
      <w:pPr>
        <w:spacing w:after="0" w:line="69" w:lineRule="exact"/>
        <w:rPr>
          <w:rFonts w:ascii="Arial" w:cs="Arial" w:eastAsia="Arial" w:hAnsi="Arial"/>
          <w:sz w:val="16"/>
          <w:szCs w:val="16"/>
          <w:color w:val="auto"/>
        </w:rPr>
      </w:pPr>
    </w:p>
    <w:p>
      <w:pPr>
        <w:ind w:left="980" w:right="240" w:hanging="324"/>
        <w:spacing w:after="0" w:line="308" w:lineRule="auto"/>
        <w:tabs>
          <w:tab w:leader="none" w:pos="976" w:val="left"/>
        </w:tabs>
        <w:numPr>
          <w:ilvl w:val="1"/>
          <w:numId w:val="42"/>
        </w:numPr>
        <w:rPr>
          <w:rFonts w:ascii="Arial" w:cs="Arial" w:eastAsia="Arial" w:hAnsi="Arial"/>
          <w:sz w:val="17"/>
          <w:szCs w:val="17"/>
          <w:color w:val="auto"/>
        </w:rPr>
      </w:pPr>
      <w:r>
        <w:rPr>
          <w:rFonts w:ascii="Arial" w:cs="Arial" w:eastAsia="Arial" w:hAnsi="Arial"/>
          <w:sz w:val="17"/>
          <w:szCs w:val="17"/>
          <w:color w:val="auto"/>
        </w:rPr>
        <w:t>1,195,327 shares of common stock reserved for future issuance under our ESPP, and any additional shares that become available under our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121" w:right="379" w:bottom="1440" w:gutter="0" w:footer="0" w:header="0"/>
        </w:sectPr>
      </w:pPr>
    </w:p>
    <w:bookmarkStart w:id="71" w:name="page72"/>
    <w:bookmarkEnd w:id="7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following selected statement of operations data for the years ended December 31, 2018 and 2019, and the balance sheet data as of December 31, 2018 and 2019, have been derived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You should read the following selected financial and other data below in conjunction with the section titled “Management’s Discussion and Analysis of Financial Condition and Results of Operations” and our financial statements and related notes included elsewhere in this prospectus.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jc w:val="right"/>
              <w:ind w:right="375"/>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7"/>
          </w:tcPr>
          <w:p>
            <w:pPr>
              <w:jc w:val="right"/>
              <w:spacing w:after="0"/>
              <w:rPr>
                <w:sz w:val="20"/>
                <w:szCs w:val="20"/>
                <w:color w:val="auto"/>
              </w:rPr>
            </w:pPr>
            <w:r>
              <w:rPr>
                <w:rFonts w:ascii="Arial" w:cs="Arial" w:eastAsia="Arial" w:hAnsi="Arial"/>
                <w:sz w:val="13"/>
                <w:szCs w:val="13"/>
                <w:i w:val="1"/>
                <w:iCs w:val="1"/>
                <w:color w:val="auto"/>
                <w:w w:val="92"/>
              </w:rPr>
              <w:t>(in thousands, except share and per share data)</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3"/>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4,606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16,999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70"/>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(16,883)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gridSpan w:val="3"/>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451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850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597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4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gridSpan w:val="3"/>
          </w:tcPr>
          <w:p>
            <w:pPr>
              <w:ind w:left="2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451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845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593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4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44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and diluted</w:t>
            </w:r>
            <w:r>
              <w:rPr>
                <w:rFonts w:ascii="Arial" w:cs="Arial" w:eastAsia="Arial" w:hAnsi="Arial"/>
                <w:sz w:val="23"/>
                <w:szCs w:val="23"/>
                <w:color w:val="auto"/>
                <w:vertAlign w:val="superscript"/>
              </w:rPr>
              <w:t>(2)</w:t>
            </w:r>
          </w:p>
        </w:tc>
        <w:tc>
          <w:tcPr>
            <w:tcW w:w="460" w:type="dxa"/>
            <w:vAlign w:val="bottom"/>
            <w:gridSpan w:val="2"/>
            <w:vMerge w:val="continue"/>
            <w:shd w:val="clear" w:color="auto" w:fill="CCEEFF"/>
          </w:tcPr>
          <w:p>
            <w:pPr>
              <w:spacing w:after="0"/>
              <w:rPr>
                <w:sz w:val="19"/>
                <w:szCs w:val="19"/>
                <w:color w:val="auto"/>
              </w:rPr>
            </w:pPr>
          </w:p>
        </w:tc>
        <w:tc>
          <w:tcPr>
            <w:tcW w:w="132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40" w:type="dxa"/>
            <w:vAlign w:val="bottom"/>
            <w:gridSpan w:val="4"/>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4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w w:val="95"/>
              </w:rPr>
              <w:t>Weighted-average common shares outstanding, basic and</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3"/>
        </w:trPr>
        <w:tc>
          <w:tcPr>
            <w:tcW w:w="4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tcBorders>
              <w:bottom w:val="single" w:sz="8" w:color="CCEEFF"/>
            </w:tcBorders>
            <w:gridSpan w:val="3"/>
            <w:shd w:val="clear" w:color="auto" w:fill="CCEEFF"/>
          </w:tcPr>
          <w:p>
            <w:pPr>
              <w:ind w:left="20"/>
              <w:spacing w:after="0" w:line="197" w:lineRule="exact"/>
              <w:rPr>
                <w:sz w:val="20"/>
                <w:szCs w:val="20"/>
                <w:color w:val="auto"/>
              </w:rPr>
            </w:pPr>
            <w:r>
              <w:rPr>
                <w:rFonts w:ascii="Arial" w:cs="Arial" w:eastAsia="Arial" w:hAnsi="Arial"/>
                <w:sz w:val="17"/>
                <w:szCs w:val="17"/>
                <w:color w:val="auto"/>
              </w:rPr>
              <w:t>Pro forma net loss per common share, basic and diluted</w:t>
            </w:r>
            <w:r>
              <w:rPr>
                <w:rFonts w:ascii="Arial" w:cs="Arial" w:eastAsia="Arial" w:hAnsi="Arial"/>
                <w:sz w:val="22"/>
                <w:szCs w:val="22"/>
                <w:color w:val="auto"/>
                <w:vertAlign w:val="superscript"/>
              </w:rPr>
              <w:t>(2)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w w:val="89"/>
              </w:rPr>
              <w:t>Pro forma weighted-average common shares used to compute</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21,454,787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03"/>
        </w:trPr>
        <w:tc>
          <w:tcPr>
            <w:tcW w:w="4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basic and diluted net loss per common share</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__________________</w:t>
            </w: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446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480" w:type="dxa"/>
            <w:vAlign w:val="bottom"/>
            <w:gridSpan w:val="3"/>
          </w:tcPr>
          <w:p>
            <w:pPr>
              <w:spacing w:after="0"/>
              <w:rPr>
                <w:sz w:val="20"/>
                <w:szCs w:val="20"/>
                <w:color w:val="auto"/>
              </w:rPr>
            </w:pPr>
            <w:r>
              <w:rPr>
                <w:rFonts w:ascii="Arial" w:cs="Arial" w:eastAsia="Arial" w:hAnsi="Arial"/>
                <w:sz w:val="14"/>
                <w:szCs w:val="14"/>
                <w:color w:val="auto"/>
              </w:rPr>
              <w:t>(1)  Operating expenses include stock-based compensation as follows: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7"/>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7"/>
          </w:tcPr>
          <w:p>
            <w:pPr>
              <w:jc w:val="right"/>
              <w:ind w:right="81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6"/>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1" w:right="339" w:bottom="1440" w:gutter="0" w:footer="0" w:header="0"/>
        </w:sectPr>
      </w:pPr>
    </w:p>
    <w:bookmarkStart w:id="72" w:name="page73"/>
    <w:bookmarkEnd w:id="7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240" w:hanging="332"/>
        <w:spacing w:after="0" w:line="273"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60" w:type="dxa"/>
            <w:vAlign w:val="bottom"/>
            <w:gridSpan w:val="4"/>
          </w:tcPr>
          <w:p>
            <w:pPr>
              <w:ind w:left="6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6"/>
                <w:szCs w:val="16"/>
                <w:color w:val="auto"/>
              </w:rPr>
            </w:pP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As of September 30,</w:t>
            </w: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30,953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960" w:type="dxa"/>
            <w:vAlign w:val="bottom"/>
          </w:tcPr>
          <w:p>
            <w:pPr>
              <w:spacing w:after="0"/>
              <w:rPr>
                <w:sz w:val="23"/>
                <w:szCs w:val="23"/>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90"/>
              </w:rPr>
              <w:t>27,521</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82,991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117,451</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33,696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3,721</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8,354</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(6,548)</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9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90"/>
              </w:rPr>
              <w:t>29,975</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125,536</w:t>
            </w:r>
          </w:p>
        </w:tc>
      </w:tr>
      <w:tr>
        <w:trPr>
          <w:trHeight w:val="182"/>
        </w:trPr>
        <w:tc>
          <w:tcPr>
            <w:tcW w:w="6360" w:type="dxa"/>
            <w:vAlign w:val="bottom"/>
          </w:tcPr>
          <w:p>
            <w:pPr>
              <w:spacing w:after="0"/>
              <w:rPr>
                <w:sz w:val="20"/>
                <w:szCs w:val="20"/>
                <w:color w:val="auto"/>
              </w:rPr>
            </w:pPr>
            <w:r>
              <w:rPr>
                <w:rFonts w:ascii="Arial" w:cs="Arial" w:eastAsia="Arial" w:hAnsi="Arial"/>
                <w:sz w:val="14"/>
                <w:szCs w:val="14"/>
                <w:color w:val="auto"/>
              </w:rPr>
              <w:t>_______________</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ind w:left="340" w:right="360" w:hanging="332"/>
        <w:spacing w:after="0" w:line="255"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1" w:right="339" w:bottom="1440" w:gutter="0" w:footer="0" w:header="0"/>
        </w:sectPr>
      </w:pPr>
    </w:p>
    <w:bookmarkStart w:id="73" w:name="page74"/>
    <w:bookmarkEnd w:id="7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titled “Selected Financial Data” and our financial statements and related notes included elsewhere in this prospectus.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revenue to date has been nominal and generated from research collaborations and activities. Our initial product, the Proteograph Product Suite, has not yet been commercialized, and we have not generated any revenue from product sales to date. Our ability to generate product revenue sufficient to achieve profitability, if ever, will depend on the successful commercialization of our Proteograph Product Suite.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w:t>
      </w:r>
    </w:p>
    <w:p>
      <w:pPr>
        <w:spacing w:after="0" w:line="13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intend to commercialize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does not have a large capital expenditure component and our Proteograph automation instrument integrates with most existing proteomics laboratories’ workflows and also complements large-scale genomics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1" w:right="339" w:bottom="1440" w:gutter="0" w:footer="0" w:header="0"/>
        </w:sectPr>
      </w:pPr>
    </w:p>
    <w:bookmarkStart w:id="74" w:name="page75"/>
    <w:bookmarkEnd w:id="7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intend to commercialize our Proteograph through a direct sales channel in the United States, and through both direct and distributor sales channels in regions outside the United States. Given our stage of development, we currently have limited marketing and no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3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 Product Suite.</w:t>
      </w:r>
    </w:p>
    <w:p>
      <w:pPr>
        <w:spacing w:after="0" w:line="14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have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Pricing for the supply of our Proteograph automation instrument is on a fixed schedule during the initial term of the agreement, with tiered pricing dependent upon the number of units purchased in a twelve-month period.</w:t>
      </w:r>
    </w:p>
    <w:p>
      <w:pPr>
        <w:spacing w:after="0" w:line="10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Since our incorporation, we have incurred significant losses and negative cash flows from operations. During the year ended December 31, 2019, we incurred a net loss of $16.0 million and used $13.1 million of cash in operations. During nine months ended September 30, 2020, we incurred a net loss of $19.8 million and used $15.3 million of cash in operations. As of September 30, 2020, we had an accumulated deficit of $42.4 million. We expect to continue to incur significant and increasing losses and do not expect positive cash flows from operations for the foreseeable future, and our net losses may fluctuate significantly from period to period, depending on the timing of and expenditures on our planned commercialization and research and development activities.</w:t>
      </w:r>
    </w:p>
    <w:p>
      <w:pPr>
        <w:spacing w:after="0" w:line="138"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To date, we have financed our operations primarily through private placements of convertible preferred stock. From the date of our incorporation through September 30, 2020, we have raised aggregate net proceeds of approximately $162.8 million from the issuance of convertible preferred stock, net of issuance costs. As of September 30, 2020, we had unrestricted cash and cash equivalents of $17.7 million and investments of $103.8 million.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to develop and commercialize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sales, marketing, service, support and distribution infrastructure in advance of commercialization;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build-out and expand our in-house NP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to engage in research and development of other products and enhancements to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21" w:right="359" w:bottom="1440" w:gutter="0" w:footer="0" w:header="0"/>
        </w:sectPr>
      </w:pPr>
    </w:p>
    <w:bookmarkStart w:id="75" w:name="page76"/>
    <w:bookmarkEnd w:id="7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build the infrastructure to operate as a public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3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We believe PrognomIQ’s use of proteomics and the potential for other similar companies which use proteomics in their research and products will help us drive the adoption of our Proteograph Product Suite in these applications.</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134"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result of the COVID-19 pandemic, we could experience disruptions that could severely impact our business. For example, we have experienced longer lead times from Hamilton for orders of our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1" w:right="339" w:bottom="1440" w:gutter="0" w:footer="0" w:header="0"/>
        </w:sectPr>
      </w:pPr>
    </w:p>
    <w:bookmarkStart w:id="76" w:name="page77"/>
    <w:bookmarkEnd w:id="7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have not generated any revenue from product sales and may not do so in the near future. Our revenue to date has been generated from research collaborations and activities.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increase our investment in our R&amp;D efforts related to our Proteograph Product Suite, our product development pipeline and our proprietary engineered NP technology.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General and administrative expenses consist primarily of employee compensation, including stock-based compensation, and related benefits for executive management, finance, administration and human resources, allocated overhead, professional service fees and other general overhead costs to support our operations.</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expect to incur additional general and administrative expenses as we continue to invest in our personnel as we grow and with the additional costs incurred as a result of operating as a public company, including accounting, human resources, legal, insurance and investor relations costs. As a result, we expect general and administrative expenses to increase in absolute dollars in future periods.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cash, cash equivalents and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Interest expense consists of interest related to certain convertible promissory notes that were issued in May 2019. These notes were converted to convertible preferred stock in November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Other expense consists of our share of losses from our equity method investment made in August 2020, the carrying amount of which was reduced to zero during the period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21" w:right="359" w:bottom="1440" w:gutter="0" w:footer="0" w:header="0"/>
        </w:sectPr>
      </w:pPr>
    </w:p>
    <w:bookmarkStart w:id="77" w:name="page78"/>
    <w:bookmarkEnd w:id="7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Nine Months Ended September 30, 2019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4,445</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9600" w:hanging="8"/>
        <w:spacing w:after="0" w:line="514" w:lineRule="auto"/>
        <w:tabs>
          <w:tab w:leader="none" w:pos="475" w:val="left"/>
        </w:tabs>
        <w:numPr>
          <w:ilvl w:val="0"/>
          <w:numId w:val="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81"/>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(dollars in thousands)</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262</w:t>
            </w:r>
          </w:p>
        </w:tc>
        <w:tc>
          <w:tcPr>
            <w:tcW w:w="11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452%</w:t>
            </w:r>
          </w:p>
        </w:tc>
      </w:tr>
    </w:tbl>
    <w:p>
      <w:pPr>
        <w:spacing w:after="0" w:line="148"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Revenue increased by $0.3 million, or 452%, from $58 thousand in the nine months ended September 30, 2019 to $0.3 million in the nine months ended September 30, 2020, due to a Small Business Innovation Research grant awarded in the third quarter of 2019 and continued through 2020.</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10"/>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8,580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4,940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121" w:right="339" w:bottom="1440" w:gutter="0" w:footer="0" w:header="0"/>
          <w:type w:val="continuous"/>
        </w:sectPr>
      </w:pPr>
    </w:p>
    <w:bookmarkStart w:id="78" w:name="page79"/>
    <w:bookmarkEnd w:id="7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R&amp;D expenses increased by $4.9 million, or 58%, from $8.6 million in the nine months ended September 30, 2019 to $13.5 million in the nine months ended September 30, 2020. The increase was primarily due to an increase in product development efforts related to our Proteograph Product Suite including $2.6 million in employee compensation costs, stock-based compensation and other related costs due to growth in research and development personnel, $1.0 million related to the expansion of facilities and maintenance and depreciation of laboratory equipment, $1.2 million in laboratory materials and prototypes, supplies and reagents used for in-house research and $0.8 million in professional and consulting fees. This was offset by a decrease in clinical study fees of $0.6 million related to the costs associated with the ramp down of site enrollment for clinical studies related to the collection of biological samples for research use. These clinical studies are related to the assets transferred to PrognomIQ.</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09"/>
        </w:trPr>
        <w:tc>
          <w:tcPr>
            <w:tcW w:w="5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2,963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4,445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bl>
    <w:p>
      <w:pPr>
        <w:spacing w:after="0" w:line="148"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General and administrative expenses increased by $4.4 million, or 150%, from $3.0 million in the nine months ended September 30, 2019 to $7.4 million in the nine months ended September 30, 2020, primarily due to a $2.4 million increase in employee compensation, including stock-based compensation and other related expenses, as a result of both converting consultants to full-time employees and an increase in personnel. Other increases include $0.6 million in professional and consulting fees related to non-deferred accounting and audit services related to our initial public offering, $1.0 million in corporate legal matters primarily related to the PrognomIQ transaction and patent activities, $0.2 million in public relation costs, and $0.1 million related to expansion of information technology services and support.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10"/>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593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181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14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Total other income increased by $0.2 million, or 30%, from $0.6 million in the nine months ended September 30, 2019 to $0.8 million in the nine months ended September 30, 2020. The increase was attributable to an increase in interest income, which in turn was attributable to higher amounts of cash invested in money market funds and U.S. Treasury securities in the first nine months of 2020 as a result of $55.0 million raised in convertible preferred stock financings in the fourth quarter of 2019 and $55.0 million raised in convertible preferred stock financings in the second quarter of 2020, compared to $17.1 million raised in convertible preferred stock financings during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1" w:right="339" w:bottom="1440" w:gutter="0" w:footer="0" w:header="0"/>
        </w:sectPr>
      </w:pPr>
    </w:p>
    <w:bookmarkStart w:id="79" w:name="page80"/>
    <w:bookmarkEnd w:id="7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Years Ended December 31, 2018 and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4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190"/>
        </w:trPr>
        <w:tc>
          <w:tcPr>
            <w:tcW w:w="51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rPr>
                <w:sz w:val="20"/>
                <w:szCs w:val="20"/>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1,624</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other income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1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8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340" w:right="9600" w:hanging="8"/>
        <w:spacing w:after="0" w:line="514" w:lineRule="auto"/>
        <w:tabs>
          <w:tab w:leader="none" w:pos="475" w:val="left"/>
        </w:tabs>
        <w:numPr>
          <w:ilvl w:val="0"/>
          <w:numId w:val="4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81"/>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116</w:t>
            </w:r>
          </w:p>
        </w:tc>
        <w:tc>
          <w:tcPr>
            <w:tcW w:w="102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increased by $0.1 million from $0 in 2018 due to approximately $58,000 received under a Small Business Innovation Research grant awarded in the third quarter of 2019, as well as approximately $58,000 earned for research collaboration.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1"/>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6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7"/>
              </w:rPr>
              <w:t>(dollars in thousands)</w:t>
            </w: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3,776</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8,617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bl>
    <w:p>
      <w:pPr>
        <w:spacing w:after="0" w:line="14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R&amp;D expenses increased by $8.6 million, or 228%, from $3.8 million in 2018 to $12.4 million in 2019. The increase was primarily due to an increase in product development efforts related to our Proteograph Product Suite including $3.7 million in employee compensation costs, stock-based compensation and other related costs due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40"/>
          </w:cols>
          <w:pgMar w:left="320" w:top="121" w:right="339" w:bottom="1440" w:gutter="0" w:footer="0" w:header="0"/>
          <w:type w:val="continuous"/>
        </w:sectPr>
      </w:pPr>
    </w:p>
    <w:bookmarkStart w:id="80" w:name="page81"/>
    <w:bookmarkEnd w:id="8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growth in research and development personnel, $1.4 million related to the expansion of facilities and maintenance and depreciation of laboratory equipment, $1.5 million in laboratory materials, supplies and reagents used for in-house research and $0.4 million in professional and consulting fees. It also reflects an increase in clinical study fees of $1.5 million related to the costs associated with clinical studies for the collection of biological samples for research use, which relate to the assets transferred to PrognomIQ.</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0"/>
        </w:trPr>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4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5"/>
              </w:rPr>
              <w:t>(dollars in thousands)</w:t>
            </w:r>
          </w:p>
        </w:tc>
        <w:tc>
          <w:tcPr>
            <w:tcW w:w="1080" w:type="dxa"/>
            <w:vAlign w:val="bottom"/>
          </w:tcPr>
          <w:p>
            <w:pPr>
              <w:spacing w:after="0"/>
              <w:rPr>
                <w:sz w:val="15"/>
                <w:szCs w:val="15"/>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2,982</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1,624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14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General and administrative expenses increased by $1.6 million, or 54%, from $3.0 million in 2018 to $4.6 million in 2019, primarily due to a $1.0 million increase in employee compensation, including stock-based compensation and other related expenses, as a result of both converting consultants to full-time employees and an increase in personnel. Other increases include $0.4 million in professional and consulting fees related to accounting and audit services and corporate legal matters, and an increase of $0.1 million related to business license fees and taxes.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1"/>
        </w:trPr>
        <w:tc>
          <w:tcPr>
            <w:tcW w:w="5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w w:val="95"/>
              </w:rPr>
              <w:t>(dollars in thousands)</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394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bl>
    <w:p>
      <w:pPr>
        <w:spacing w:after="0" w:line="14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Total other income increased by $0.4 million, or 87%, from $0.5 million in 2018 to $0.8 million in 2019. The increase in interest income was attributable to higher amounts of excess cash invested in money market funds and U.S. Treasury securities as a result of $71.7 million raised in convertible preferred stock financings during 2019, compared to $29.9 million raised in convertible preferred stock financings during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the date of our incorporation, we have not generated any revenue from product sales and have incurred significant operating losses and negative cash flows from operations. Our operations have been funded primarily through the sale and issuance of convertible preferred stock since inception. We anticipate that we will continue to incur net losses and do not expect positive cash flows from operations for the foreseeable future. As of September 30, 2020, we had an accumulated deficit of $42.4 million. As of September 30, 2020, we had unrestricted cash and cash equivalents of $17.7 million and investments of $103.8 million.</w:t>
      </w:r>
    </w:p>
    <w:p>
      <w:pPr>
        <w:spacing w:after="0" w:line="134"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Based upon our current operating plan, we believe our existing cash, cash equivalents and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(i) delays in execution of or a significant expansion of our commercialization plans; (ii) changes we may make to the business that affect ongoing operating expenses; (iii) changes we may make in our business or commercialization strategy; (iv) changes we may make in our research and development spending plans; (v) the impact of the COVID-19 pandemic; and (vi) other items affecting our forecasted level of expenditures and use of cash resources including potential acquisitions.</w:t>
      </w:r>
    </w:p>
    <w:p>
      <w:pPr>
        <w:spacing w:after="0" w:line="1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be unable to raise additional funds or to enter into financing agreements or arrangements on favorable terms, or at all. Our failure to obtain sufficient funds on acceptable terms when needed could have a material adverse effect on our business, results of operations and financial condition, and could force us to delay future commercialization efforts. We cannot assure you that we will ever be profitable or generate positive cash flow from operating activities or that, if we achieve profitability, we will be able to sustain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1" w:right="339" w:bottom="1440" w:gutter="0" w:footer="0" w:header="0"/>
        </w:sectPr>
      </w:pPr>
    </w:p>
    <w:bookmarkStart w:id="81" w:name="page82"/>
    <w:bookmarkEnd w:id="8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ectPr>
          <w:pgSz w:w="11900" w:h="16838" w:orient="portrait"/>
          <w:cols w:equalWidth="0" w:num="1">
            <w:col w:w="11240"/>
          </w:cols>
          <w:pgMar w:left="320" w:top="121" w:right="339" w:bottom="1440" w:gutter="0" w:footer="0" w:header="0"/>
        </w:sectPr>
      </w:pPr>
    </w:p>
    <w:p>
      <w:pPr>
        <w:spacing w:after="0" w:line="226"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56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38100</wp:posOffset>
            </wp:positionV>
            <wp:extent cx="20485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5"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47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(13,073)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2"/>
              </w:rPr>
              <w:t>(72,383)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(39,831)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72,331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55,395</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6" w:lineRule="exact"/>
              <w:rPr>
                <w:sz w:val="20"/>
                <w:szCs w:val="20"/>
                <w:color w:val="auto"/>
              </w:rPr>
            </w:pPr>
            <w:r>
              <w:rPr>
                <w:rFonts w:ascii="Arial" w:cs="Arial" w:eastAsia="Arial" w:hAnsi="Arial"/>
                <w:sz w:val="18"/>
                <w:szCs w:val="18"/>
                <w:color w:val="auto"/>
                <w:w w:val="90"/>
              </w:rPr>
              <w:t>Net increase (decrease) in cash, cash equivalents and restricted</w:t>
            </w: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25,126</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center"/>
              <w:ind w:left="170"/>
              <w:spacing w:after="0"/>
              <w:rPr>
                <w:sz w:val="20"/>
                <w:szCs w:val="20"/>
                <w:color w:val="auto"/>
              </w:rPr>
            </w:pPr>
            <w:r>
              <w:rPr>
                <w:rFonts w:ascii="Arial" w:cs="Arial" w:eastAsia="Arial" w:hAnsi="Arial"/>
                <w:sz w:val="18"/>
                <w:szCs w:val="18"/>
                <w:color w:val="auto"/>
                <w:w w:val="92"/>
              </w:rPr>
              <w:t>(13,125)</w:t>
            </w:r>
          </w:p>
        </w:tc>
        <w:tc>
          <w:tcPr>
            <w:tcW w:w="100" w:type="dxa"/>
            <w:vAlign w:val="bottom"/>
          </w:tcPr>
          <w:p>
            <w:pPr>
              <w:spacing w:after="0"/>
              <w:rPr>
                <w:sz w:val="13"/>
                <w:szCs w:val="13"/>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(20,453)</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cash</w:t>
            </w:r>
          </w:p>
        </w:tc>
        <w:tc>
          <w:tcPr>
            <w:tcW w:w="5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nine months ended September 30, 2020, cash used in operating activities was $15.3 million, attributable to a net loss of $19.8 million, partially offset by a net change in our net operating assets and liabilities of $0.6 million and non-cash charges of $3.9 million. Non-cash charges primarily consisted of $2.6 million in stock-based compensation, $1.1 million of depreciation and amortization and $0.2 million of net amortization of premiums on available-for-sales securities. The change in our net operating assets and liabilities was primarily due to increased accrued liabilities related to professional, consulting and legal fees of $0.5 million.</w:t>
      </w:r>
    </w:p>
    <w:p>
      <w:pPr>
        <w:spacing w:after="0" w:line="13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nine months ended September 30, 2019, cash used in operating activities was $9.7 million, attributable to a net loss of $10.9 million, partially offset by a net change in our net operating assets and liabilities of $0.2 million, and by non-cash charges of $1.4 million. Non-cash charges primarily consisted of $1.2 million in stock-based compensation and $0.5 million of depreciation and amortization, offset by $0.2 million of net accretion of discounts on available-for-sales securities. The change in our net operating assets and liabilities was primarily due to increased accrued liabilities related to clinical study fees of $0.4 million, offset by deposits related to a lease agreement of $0.5 million.</w:t>
      </w:r>
    </w:p>
    <w:p>
      <w:pPr>
        <w:spacing w:after="0" w:line="12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2019, cash used in operating activities was $13.1 million, attributable to a net loss of $16.0 million, partially offset by a net change in our net operating assets and liabilities of $1.0 million, and by non-cash charges of $2.0 million. Non-cash charges primarily consisted of $1.6 million in stock-based compensation and $0.7 million of depreciation and amortization, offset by $0.3 million of net accretion of discounts on available-for-sales securities. The change in our net operating assets and liabilities was primarily due to increased accrued liabilities related to clinical study fees of $0.4 million, tenant improvements of $0.3 million, professional services and consulting costs of $0.4 million, and $0.2 million in other general business expenses, offset by deposits related to a lease agreement of $0.3 million.</w:t>
      </w:r>
    </w:p>
    <w:p>
      <w:pPr>
        <w:spacing w:after="0" w:line="13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2018, cash used in operating activities was $4.7 million, attributable to a net loss of $6.3 million, partially offset by a net change in our net operating assets and liabilities of $1.0 million, and by non-cash charges of $0.7 million, which primarily consisted of stock-based compensation. The change in our net operating assets and liabilities was due to increased account payables and accrued liabilities of $1.3 million which was primarily driven by laboratory equipment purchases, offset by increases in prepaid expenses and other assets that was primarily driven by multi-year maintenance contracts purchased on the laboratory equipment.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the nine months ended September 30, 2020, cash used in investing activities was $39.8 million, which related to purchases of available-for-sale securities, net of proceeds from maturities of $35.4 million, in addition to $4.4 million in payments primarily for laboratory equipment.</w:t>
      </w:r>
    </w:p>
    <w:p>
      <w:pPr>
        <w:spacing w:after="0" w:line="92"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the nine months ended September 30, 2019, cash used in investing activities was $28.6 million, which related to purchases of available-for-sale securities, net of proceeds from maturities of $24.8 million, in addition to $3.8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1" w:right="339" w:bottom="1440" w:gutter="0" w:footer="0" w:header="0"/>
          <w:type w:val="continuous"/>
        </w:sectPr>
      </w:pPr>
    </w:p>
    <w:bookmarkStart w:id="82" w:name="page83"/>
    <w:bookmarkEnd w:id="8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2019, cash used in investing activities was $72.4 million, which related to purchases of available-for-sale securities, net of proceeds from maturities of $68.3 million, in addition to $4.1 million in payments primarily for laboratory equipment.</w:t>
      </w:r>
    </w:p>
    <w:p>
      <w:pPr>
        <w:spacing w:after="0" w:line="116" w:lineRule="exact"/>
        <w:rPr>
          <w:sz w:val="20"/>
          <w:szCs w:val="20"/>
          <w:color w:val="auto"/>
        </w:rPr>
      </w:pPr>
    </w:p>
    <w:p>
      <w:pPr>
        <w:ind w:left="340" w:right="40"/>
        <w:spacing w:after="0" w:line="438" w:lineRule="auto"/>
        <w:rPr>
          <w:sz w:val="20"/>
          <w:szCs w:val="20"/>
          <w:color w:val="auto"/>
        </w:rPr>
      </w:pPr>
      <w:r>
        <w:rPr>
          <w:rFonts w:ascii="Arial" w:cs="Arial" w:eastAsia="Arial" w:hAnsi="Arial"/>
          <w:sz w:val="18"/>
          <w:szCs w:val="18"/>
          <w:color w:val="auto"/>
        </w:rPr>
        <w:t xml:space="preserve">In 2018, cash used in investing activities was $0.2 million, which related to payments for property and equipment used for general business operations. </w:t>
      </w:r>
      <w:r>
        <w:rPr>
          <w:rFonts w:ascii="Arial" w:cs="Arial" w:eastAsia="Arial" w:hAnsi="Arial"/>
          <w:sz w:val="18"/>
          <w:szCs w:val="18"/>
          <w:b w:val="1"/>
          <w:bCs w:val="1"/>
          <w:i w:val="1"/>
          <w:iCs w:val="1"/>
          <w:color w:val="auto"/>
        </w:rPr>
        <w:t>Financing Activities</w:t>
      </w:r>
    </w:p>
    <w:p>
      <w:pPr>
        <w:spacing w:after="0" w:line="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In the nine months ended September 30, 2020, cash provided by financing activities was $55.4 million. This was attributable to the net proceeds of $54.9 million from the issuance of Series D-1 convertible preferred stock, net of issuance costs and $0.6 million from the exercise of stock options.</w:t>
      </w:r>
    </w:p>
    <w:p>
      <w:pPr>
        <w:spacing w:after="0" w:line="7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In the nine months ended September 30, 2019, cash provided by financing activities was $17.7 million. This was attributable to the net proceeds of $17.3 million from the issuance of Series C convertible preferred stock, net of issuance costs and $0.4 million from the issuance of convertible notes payable.</w:t>
      </w:r>
    </w:p>
    <w:p>
      <w:pPr>
        <w:spacing w:after="0" w:line="13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2019, cash provided by financing activities was $72.3 million. This was attributable to the net proceeds of $17.3 million from the issuance of Series C convertible preferred stock, net of issuance costs and $54.6 million from the issuance of Series D convertible preferred stock, net of issuance costs.</w:t>
      </w:r>
    </w:p>
    <w:p>
      <w:pPr>
        <w:spacing w:after="0" w:line="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2018, cash provided by financing activities was $29.9 million which was attributable to the net proceeds from the issuance of Series B convertible preferred stock, net of issuance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1"/>
                <w:szCs w:val="11"/>
                <w:color w:val="auto"/>
              </w:rPr>
            </w:pPr>
          </w:p>
        </w:tc>
        <w:tc>
          <w:tcPr>
            <w:tcW w:w="10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1"/>
                <w:szCs w:val="11"/>
                <w:color w:val="auto"/>
              </w:rPr>
            </w:pPr>
          </w:p>
        </w:tc>
        <w:tc>
          <w:tcPr>
            <w:tcW w:w="124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1"/>
                <w:szCs w:val="11"/>
                <w:color w:val="auto"/>
              </w:rPr>
            </w:pPr>
          </w:p>
        </w:tc>
        <w:tc>
          <w:tcPr>
            <w:tcW w:w="10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3-5 years</w:t>
            </w:r>
          </w:p>
        </w:tc>
        <w:tc>
          <w:tcPr>
            <w:tcW w:w="300" w:type="dxa"/>
            <w:vAlign w:val="bottom"/>
          </w:tcPr>
          <w:p>
            <w:pPr>
              <w:spacing w:after="0"/>
              <w:rPr>
                <w:sz w:val="11"/>
                <w:szCs w:val="11"/>
                <w:color w:val="auto"/>
              </w:rPr>
            </w:pPr>
          </w:p>
        </w:tc>
        <w:tc>
          <w:tcPr>
            <w:tcW w:w="110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8"/>
              </w:rPr>
              <w:t>1 year</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8,788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9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second half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the date of our incorporation, we have not engaged in any off-balance sheet arrangements, as such term is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7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liabilities, and the disclosure of contingent assets and liabilities at the date of the financial statements, as well as revenue and expenses incurred during the reporting periods. Our estimates are based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1" w:right="339" w:bottom="1440" w:gutter="0" w:footer="0" w:header="0"/>
        </w:sectPr>
      </w:pPr>
    </w:p>
    <w:bookmarkStart w:id="83" w:name="page84"/>
    <w:bookmarkEnd w:id="8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7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record accrued liabilities for estimated costs of research and development activities conducted by third-party service providers, which include expenses associated with clinical studies for the collection of biological samples for research use. These costs are a significant component of our research and development expenses. We accrue for these costs based on factors such as estimates of the work completed and in accordance with agreements established with its third-party service providers under the service agreements. We include these costs in accrued research and development in the balance sheets and within research and development expenses in the statements of operations and comprehensive loss. We make significant judgments and estimates such as when services are performed and the level of effort expended in each period to determine the accrued liabilities balance in each reporting period. As actual costs become known, we adjust our accrued liabilities. We have not experienced any material differences between accrued costs and actual costs incurred. However, the status and timing of actual services performed, number of patients enrolled and the rate of patient enrollments may vary from our estimates, resulting in adjustments to expense in future periods. As these accrued expenses are associated with clinical studies for the collection of biological samples for research use, which relate to the assets transferred to PrognomIQ, we do not anticipate similar accrued expenses going forward.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24"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95" w:lineRule="exact"/>
        <w:rPr>
          <w:sz w:val="20"/>
          <w:szCs w:val="20"/>
          <w:color w:val="auto"/>
        </w:rPr>
      </w:pPr>
    </w:p>
    <w:p>
      <w:pPr>
        <w:ind w:left="660" w:right="1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Fair value of Class A common stock—Historically, as there has been no public market for our Class A common stock, the fair value of our Class A common stock was determined by our board of directors based in part on valuations of our Class A common stock prepared by a third-party valuation specialist. See the subsection titled “Fair Value of Class A Common Stock” below.</w:t>
      </w:r>
    </w:p>
    <w:p>
      <w:pPr>
        <w:spacing w:after="0" w:line="12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1" w:right="339" w:bottom="1440" w:gutter="0" w:footer="0" w:header="0"/>
        </w:sectPr>
      </w:pPr>
    </w:p>
    <w:bookmarkStart w:id="84" w:name="page85"/>
    <w:bookmarkEnd w:id="8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line="25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Expected volatility—Since we were previously a privately-held company and did not have any trading history for our common stock,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33"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the options.</w:t>
      </w:r>
    </w:p>
    <w:p>
      <w:pPr>
        <w:spacing w:after="0" w:line="116"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Expected dividend yield—We have never paid dividends on our common stock and have no plans to pay dividends on our common stock. Therefore, we used an expected dividend yield of zero.</w:t>
      </w:r>
    </w:p>
    <w:p>
      <w:pPr>
        <w:spacing w:after="0" w:line="11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For options granted to non-employee consultants, the fair value of these options is also measured using the Black-Scholes option-pricing model reflecting the same assumptions as applied to employee options in each of the reported periods, other than the expected term which is assumed to be the remaining contractual life of the option.</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We expect to incur stock-based compensation of approximately $11.0 million to $12.7 million over the next three to four years as a result of all compensatory equity issuances made in fiscal year 2020.</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expect to incur stock-based compensation of approximately $5.1 million to $6.7 million in fiscal year 2021 as a result of all compensatory equity issuances outstanding as of September 30,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Class A Common Stock</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Historically, for all periods prior to our initial public offering, the fair values of the shares of our Class A common stock underlying our share-based awards were determined on each grant date by our board of directors with input from management and the assistance of an independent third-party valuation specialist. Given the previous absence of a public trading market of our Class A common stock, and in accordance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or the Practice Aid, our board of directors exercised reasonable judgment and considered numerous objective and subjective factors to determine the best estimate of the fair value of our Class A common stock at each grant date, including:</w:t>
      </w:r>
    </w:p>
    <w:p>
      <w:pPr>
        <w:spacing w:after="0" w:line="138"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technology industry and trends within the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operating results and financial performance,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and business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U.S. market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320" w:top="121" w:right="379" w:bottom="1440" w:gutter="0" w:footer="0" w:header="0"/>
        </w:sectPr>
      </w:pPr>
    </w:p>
    <w:bookmarkStart w:id="85" w:name="page86"/>
    <w:bookmarkEnd w:id="8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lack of marketability of our Class A common stock.</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valuing our Class A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involves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12"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70" w:lineRule="exact"/>
        <w:rPr>
          <w:sz w:val="20"/>
          <w:szCs w:val="20"/>
          <w:color w:val="auto"/>
        </w:rPr>
      </w:pPr>
    </w:p>
    <w:p>
      <w:pPr>
        <w:ind w:left="660" w:right="20" w:hanging="328"/>
        <w:spacing w:after="0" w:line="259"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 Pricing Method (OPM).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difficult to predict and thus creates highly speculative forecasts.</w:t>
      </w:r>
    </w:p>
    <w:p>
      <w:pPr>
        <w:spacing w:after="0" w:line="132"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3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Based on our early stage of development and other relevant factors, we determined that an OPM was the most appropriate method for allocating our enterprise value to determine the estimated fair value of our Class A common stock for valuations during 2018 and 2019.</w:t>
      </w:r>
    </w:p>
    <w:p>
      <w:pPr>
        <w:spacing w:after="0" w:line="11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Starting in 2020, we used a hybrid method to determine the estimated fair value of our common stock, which included both the OPM and PWERM models.</w:t>
      </w:r>
    </w:p>
    <w:p>
      <w:pPr>
        <w:spacing w:after="0" w:line="116"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1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Following our initial public offering, the fair value of each share of underlying Class A common stock is determined based on the closing price as reported on the date of grant on the Nasdaq Global Select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121" w:right="379" w:bottom="1440" w:gutter="0" w:footer="0" w:header="0"/>
        </w:sectPr>
      </w:pPr>
    </w:p>
    <w:bookmarkStart w:id="86" w:name="page87"/>
    <w:bookmarkEnd w:id="8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2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our initial public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As a result of becoming a public company, we will be required, pursuant to Section 404 of the Sarbanes-Oxley Act of 2002, as amended, to furnish a report by our management on, among other things, the effectiveness of our internal control over financial reporting for first fiscal year 2021 or the date we are no longer an EGC as defined in the JOBS Act, if we take advantage (as we expect to do) of the exemptions for EGCs contained in the JOBS Act. This assessment will need to include disclosures of any material weaknesses identified by our management in our internal control over financial reporting.</w:t>
      </w:r>
    </w:p>
    <w:p>
      <w:pPr>
        <w:spacing w:after="0" w:line="14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the audits of our financial statements included elsewhere in this prospectus, we and our independent registered public accounting firm identified material weaknesses related to:</w:t>
      </w:r>
    </w:p>
    <w:p>
      <w:pPr>
        <w:spacing w:after="0" w:line="116" w:lineRule="exact"/>
        <w:rPr>
          <w:sz w:val="20"/>
          <w:szCs w:val="20"/>
          <w:color w:val="auto"/>
        </w:rPr>
      </w:pPr>
    </w:p>
    <w:p>
      <w:pPr>
        <w:ind w:left="660" w:right="16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being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not being formalized processes or controls for account reconciliations, including independent review of such reconciliations, or related financial statement analysis prepared in conformity with U.S. GAAP;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there not being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are working to remediate the material weaknesses and are taking steps to strengthen our internal control over financial reporting through the hiring of additional finance and accounting personnel. With the additional personnel, we intend to take appropriate and reasonable steps to remediate these material weaknesses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320" w:top="121" w:right="399" w:bottom="1440" w:gutter="0" w:footer="0" w:header="0"/>
        </w:sectPr>
      </w:pPr>
    </w:p>
    <w:bookmarkStart w:id="87" w:name="page88"/>
    <w:bookmarkEnd w:id="8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weaknesses described above. As of December 31, 2019, the material weaknesses have not been remediated.</w:t>
      </w:r>
    </w:p>
    <w:p>
      <w:pPr>
        <w:spacing w:after="0" w:line="130"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financial statements may be materially misstated.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cash, cash equivalents and investments as of December 31, 2019 and September 30, 2020 consisted of $86.0 million and $121.5 million, respectively, in money market funds and U.S. Treasury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121" w:right="479" w:bottom="1440" w:gutter="0" w:footer="0" w:header="0"/>
        </w:sectPr>
      </w:pPr>
    </w:p>
    <w:bookmarkStart w:id="88" w:name="page89"/>
    <w:bookmarkEnd w:id="8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8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6"/>
          <w:szCs w:val="16"/>
          <w:i w:val="1"/>
          <w:iCs w:val="1"/>
          <w:color w:val="auto"/>
        </w:rPr>
        <w:t>de novo</w:t>
      </w:r>
      <w:r>
        <w:rPr>
          <w:rFonts w:ascii="Arial" w:cs="Arial" w:eastAsia="Arial" w:hAnsi="Arial"/>
          <w:sz w:val="16"/>
          <w:szCs w:val="16"/>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1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Much like NGS enabled large-scale access to the genome and transformed science and medicine, we believe that widespread access to unbiased and deep proteomics will lead to novel biological insights, deepen understanding of health and disease, and aid functional characterization of genomic variants. We believe these capabilities appeal to a broad range of researchers and can lead to the creation of substantial end-market opportunities that may extend well beyond human health. We are initially focused on driving adoption of our Proteograph with customers in proteomics and genomics markets, who see the value of large-scale, unbiased, deep proteomics. Allied Market Research estimates the proteomics market was $32 billion in 2019. We believe that our Proteograph’s unique capabilities will enable researchers to undertake studies not possible today, particularly those of larger scale. We also believe that our Proteograph will complement genomics technologies by adding critical missing information that can provide functional context to genomic variation. According to the dbSNP database, approximately 695 million individual genetic variants have been identified to date; however, fewer than 0.2% of those variants have been cataloged in the ClinVar database with a reported relationship between variation and phenotype. We believe unbiased, deep and large-scale proteomics can help researchers map biological function of genomic variants, identify the most impactful disease and response-specific risk factors, and accelerate discovery of molecular mechanisms of health and disease. We believe these capabilities will broadly appeal to researchers and entities undertaking large-scale genomics studies. Therefore, we believe we will attract spending from the genomics market, estimated by Technavio to be $21 billion in 2019. In addition to the markets and applications that apply to current proteomics and genomics researchers, we believe our Proteograph is likely to lead to entirely new applications and market opportunities, much like NGS has done in genomics over the last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21" w:right="359" w:bottom="1440" w:gutter="0" w:footer="0" w:header="0"/>
        </w:sectPr>
      </w:pPr>
    </w:p>
    <w:bookmarkStart w:id="89" w:name="page90"/>
    <w:bookmarkEnd w:id="8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delivered a second Proteograph to a collaborator in December 2020.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Importance of Proteomics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Proteomics has been a key area of focus for researchers given the utility of the detailed and complex information to understanding biology that resides at the protein level. Virtually every function within a living organism occurs by the action of a protein or a group of proteins interacting with each other and working in concert. For example, enzymes catalyze chemical and biochemical reactions, hormones regulate cellular processes, receptors facilitate signal detection, antibodies provide immunity, and proteins also function in cellular and sub-cellular structure, storage, motility, and transport processes. Proteins are dynamic indicators of status and can be used to track a person’s health, disease progression and therapeutic response. By contrast, DNA is effectively a blueprint of what a person’s physiology could be, not an indicator of current physiological state. In short, DNA represents risk and proteins represent status.</w:t>
      </w:r>
    </w:p>
    <w:p>
      <w:pPr>
        <w:spacing w:after="0" w:line="1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Despite the impact that proteins have on biology and physiology, the human proteome is relatively unexplored compared to the human genome. While the understanding of biology and disease mechanisms has advanced significantly over the past decade through large-scale data collection technologies, we believe these advances have mainly been in genomics. The widespread adoption of molecular profiling techniques, including NGS, has led to the identification of approximately 695 million genetic variations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to couple with large bodies of genomic data, they will be better positioned to understand the relationship between variation and function and its impact on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21" w:right="359" w:bottom="1440" w:gutter="0" w:footer="0" w:header="0"/>
        </w:sectPr>
      </w:pPr>
    </w:p>
    <w:bookmarkStart w:id="90" w:name="page91"/>
    <w:bookmarkEnd w:id="9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031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117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Image from Isabell Bludau et al. Proteomic and interactomic insights into the molecular basis of cell functional diversity. </w:t>
      </w:r>
      <w:r>
        <w:rPr>
          <w:rFonts w:ascii="Arial" w:cs="Arial" w:eastAsia="Arial" w:hAnsi="Arial"/>
          <w:sz w:val="14"/>
          <w:szCs w:val="14"/>
          <w:i w:val="1"/>
          <w:iCs w:val="1"/>
          <w:color w:val="auto"/>
        </w:rPr>
        <w:t>Nature Reviews Molecular Cell Biology</w:t>
      </w:r>
      <w:r>
        <w:rPr>
          <w:rFonts w:ascii="Arial" w:cs="Arial" w:eastAsia="Arial" w:hAnsi="Arial"/>
          <w:sz w:val="14"/>
          <w:szCs w:val="14"/>
          <w:color w:val="auto"/>
        </w:rPr>
        <w:t xml:space="preserv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21" w:right="359" w:bottom="1440" w:gutter="0" w:footer="0" w:header="0"/>
        </w:sectPr>
      </w:pPr>
    </w:p>
    <w:bookmarkStart w:id="91" w:name="page92"/>
    <w:bookmarkEnd w:id="9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Biased Approaches to Proteomics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Unlike DNA, proteins’ structures, chemistries and concentrations in any given sample are widely variable. Proteins also lack a direct amplification mechanism which creates technological challenges for identifying proteins at low concentration. This is different than DNA, which has an inherent and direct amplification mechanism for its replication, a mechanism that researchers have exploited with technologies such as polymerase chain reaction (PCR) for detection of DNA at low concentrations.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biased approach is limited in that ASRs do not have the capability to interrogate the entirety of the protein structure that they bind to and may not detect the presence of important protein variants. The average length of a human protein is approximately 470 amino acids, whereas the average binding site of an ASR is an epitope with a length of five to eight amino acids. ASRs cannot recognize differences between proteins outside of this small epitope binding site and therefore may not differentiate among protein variants. While a large number of ASRs can be designed to detect a large number of different proteins, because this approach is limited in its ability to measure protein variation, we believe that ASRs and other biased approaches are not optimal for discovery given the inherent protein complexity. This limitation of biased approaches is illustrated in the figure below where an antibody is unable to differentiate between two distinct variants of the same protein. If such variants are differentially related to health and disease, such approach may fail to discover important insights. Biased approaches, in general, are useful when the scientist or clinician knows what he or she is specifically analyzing. This is analogous to the role of PCR in genomics, which amplifies a specific DNA fragment in a targeted or biased manner to confirm the presence of a specific mutation, whereas NGS employs an unbiased approach to interrogate the breadth of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88900</wp:posOffset>
            </wp:positionV>
            <wp:extent cx="4500245" cy="213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002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Current Unbiased Approaches to Proteomics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Rather than interrogating proteins at the amino acid level, there are unbiased approaches that interrogate proteins at the peptide level, providing amino-acid level resolution to protein variants. However, current unbiased approaches are limited by lack of scalability due to the vastly different concentrations of different proteins in samples. The concentration of proteins in plasma, for example, can span ten orders of magnitude from the most abundant protein, which is albumin, to some of the least abundant proteins, such as cytokines. The top 22 most abundant proteins account for approximately 99% of the total protein mass in the plasma, yet the many thousands of less abundant proteins comprising the other one percent of the total proteins by mass have significant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1" w:right="339" w:bottom="1440" w:gutter="0" w:footer="0" w:header="0"/>
        </w:sectPr>
      </w:pPr>
    </w:p>
    <w:bookmarkStart w:id="92" w:name="page93"/>
    <w:bookmarkEnd w:id="9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biology. Therefore, it is critical to be able to broadly and deeply detect proteins across the proteome, including those proteins that appear in low concentrations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82550</wp:posOffset>
            </wp:positionV>
            <wp:extent cx="4286250" cy="2657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 xml:space="preserve">Mass spectrometry (MS) can be used as an unbiased or biased detection technology, and has been used for detection of proteins and their variants for unbiased discovery, biased research and clinical applications. Given the varying dynamic range of protein concentrations in plasma and other biological samples, current MS methods for proteomic detection require complex sample preparation workflows that involve depletion of abundant proteins and grouping of the remaining proteins into smaller units through fractionation in order to measure deeper into the proteome. We believe current unbiased approaches are not widely adopted by researchers because the workflows, protocols and unit operations are extremely complex, the process is expensive and the time required to complete such analysis is significant. As one example of these complex methods, in a paper from </w:t>
      </w:r>
      <w:r>
        <w:rPr>
          <w:rFonts w:ascii="Arial" w:cs="Arial" w:eastAsia="Arial" w:hAnsi="Arial"/>
          <w:sz w:val="17"/>
          <w:szCs w:val="17"/>
          <w:i w:val="1"/>
          <w:iCs w:val="1"/>
          <w:color w:val="auto"/>
        </w:rPr>
        <w:t>Keshishian, H. et al.</w:t>
      </w:r>
      <w:r>
        <w:rPr>
          <w:rFonts w:ascii="Arial" w:cs="Arial" w:eastAsia="Arial" w:hAnsi="Arial"/>
          <w:sz w:val="17"/>
          <w:szCs w:val="17"/>
          <w:color w:val="auto"/>
        </w:rPr>
        <w:t>, the researchers first depleted the most abundant proteins with immuno-affinity columns and then separated the remaining proteins by many subsequent and complex chromatographic steps and mass spectrometer injections. This approach identified 4,500 different proteins, but only across 16 samples. The study took multiple months to complete.</w:t>
      </w:r>
    </w:p>
    <w:p>
      <w:pPr>
        <w:spacing w:after="0" w:line="12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critical unmet needs in proteomic analysis remain how to collect unbiased proteomic data on thousands of proteins in a sample spanning more than ten orders of dynamic range in concentration and how to do so in thousands of samples at a reasonable cost and in a reasonable amount of time. Genomics faced a similar unmet need before the advent of NGS, which allowed for massively parallel sampling.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Background of Massively Parallel Sampling</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3" w:name="page94"/>
    <w:bookmarkEnd w:id="9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Engineered Nanoparticle Technology</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3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98425</wp:posOffset>
            </wp:positionV>
            <wp:extent cx="5349240" cy="2065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1" w:right="339" w:bottom="1440" w:gutter="0" w:footer="0" w:header="0"/>
        </w:sectPr>
      </w:pPr>
    </w:p>
    <w:bookmarkStart w:id="94" w:name="page95"/>
    <w:bookmarkEnd w:id="9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91440</wp:posOffset>
            </wp:positionV>
            <wp:extent cx="5349240" cy="2143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use machine learning to design, synthesize and select different NPs and NP panels to create multiple products and applications; and</w:t>
      </w:r>
    </w:p>
    <w:p>
      <w:pPr>
        <w:spacing w:after="0" w:line="182"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We have validated our NP technology and the principle of protein corona formation as a robust and reproducible method to deeply and broadly profile the proteome in a high-throughput manner. In our recent publication in </w:t>
      </w:r>
      <w:r>
        <w:rPr>
          <w:rFonts w:ascii="Arial" w:cs="Arial" w:eastAsia="Arial" w:hAnsi="Arial"/>
          <w:sz w:val="18"/>
          <w:szCs w:val="18"/>
          <w:i w:val="1"/>
          <w:iCs w:val="1"/>
          <w:color w:val="auto"/>
        </w:rPr>
        <w:t>Nature Communications</w:t>
      </w:r>
      <w:r>
        <w:rPr>
          <w:rFonts w:ascii="Arial" w:cs="Arial" w:eastAsia="Arial" w:hAnsi="Arial"/>
          <w:sz w:val="18"/>
          <w:szCs w:val="18"/>
          <w:color w:val="auto"/>
        </w:rPr>
        <w:t xml:space="preserve"> (Blume et al.), we demonstrated a rapid, deep and precise profiling of the plasma proteome with our proprietary engineered NP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13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Proteograph consumables consist of our NP panel and all other consumables necessary to assay samples on our 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 The Proteograph Product Suite is detector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121" w:right="379" w:bottom="1440" w:gutter="0" w:footer="0" w:header="0"/>
        </w:sectPr>
      </w:pPr>
    </w:p>
    <w:bookmarkStart w:id="95" w:name="page96"/>
    <w:bookmarkEnd w:id="9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Finally, we provide a data analytics software suite to analyze the output from the system that helps researchers interpret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93980</wp:posOffset>
            </wp:positionV>
            <wp:extent cx="5349240" cy="2254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our first Proteograph assay, we will employ a panel of five NPs. Our Proteograph consumables also include buffers and reagents for protein lysis and digestion, peptide purification and peptide quantification.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 Eighty wells are arrayed in two groups of columns with eight samples and five particles in each column. The remaining 16 wells are for integrated quality control samples for gathering assay metrics and aid in troubleshooting. We include these quality controls because they greatly facilitate comparison of results across different assays, and also help to differentiate between anomalous versus accurate results in an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80645</wp:posOffset>
            </wp:positionV>
            <wp:extent cx="2057400" cy="2237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0" cy="223710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80"/>
          </w:cols>
          <w:pgMar w:left="320" w:top="121" w:right="399" w:bottom="1440" w:gutter="0" w:footer="0" w:header="0"/>
          <w:type w:val="continuous"/>
        </w:sectPr>
      </w:pPr>
    </w:p>
    <w:bookmarkStart w:id="96" w:name="page97"/>
    <w:bookmarkEnd w:id="9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ready availability of the non-particle reagents combined with our ability to efficiently and quickly design different NPs with different properties, greatly simplifies the development and production of future iterations or additional versions of our Proteograph assays to address potential customer needs, such as expanded coverage or specialized assays. Additionally, we can introduce new assays that include a different number of NPs and process different sample numbers. Our customers also can easily process the new assay using their existing Proteograph automation instrument, which allows for a greater number of samples to be analyzed in parallel, or additional NPs to analyze the proteome at greater depth.</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designed our NPs for robust performance in assays run on our Proteograph automation instrument, which is a custom-configured industry-standard liquid handling workstation. Our Proteograph instrument is designed to be robust and reproducible in its ability to consistently run experiments at the scale of hundreds to thousands of samples. Our instrument allows for rapid highly parallel proteomic sampling of multiple biosamples using multiple NPs on a 96-well plate. The assay protocol is fully automated after approximately thirty minutes of set-up time. The flexibility of our instrument, coupled with the inherent diversity of our NP technology, provides for many potential applications and study workflows that can suit particular experimental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77470</wp:posOffset>
            </wp:positionV>
            <wp:extent cx="3000375" cy="2400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0037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Proteograph automation instrument has been configured to process one full 96-well plate at a time. For our first Proteograph assay this translates into processing 16 samples in parallel for each 96-well plate run. Our Proteograph Instrument Control Software (PICS) for the Proteograph is fixed and tailored to our specified workflow. Each new Proteograph assay will be able to run on our same Proteograph automation instrument with a new NP panel and an accompanying software update. After an initial 30 minute set-up process, our first Proteograph assay runs for approximately six and one-half hours on our automation instrument. The output of our Proteograph assay and instrument is peptides that are quantified, dried, and reconstituted when ready to inject into a mass spectrometer for quantitative detection, either on an MS provided by the user or sent out for MS analysis to a third-party provider.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Proteograph software was designed for ease-of-use and was developed to help users arrive at insights quickly and efficiently following peptide detection by an MS instrument. To accommodate varying customer needs, we have designed our Proteograph software to be deployed as cloud-based and, in the future, on-premise. Both deployment options will provide a predefined workflow for data management and analysis that leverages publicly available MS data analysis tools. Without our software, the use of these tools requires expert knowledge and scalable high-performance computer infrastructure to run efficiently. We believe that our software could accelerate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121" w:right="379" w:bottom="1440" w:gutter="0" w:footer="0" w:header="0"/>
        </w:sectPr>
      </w:pPr>
    </w:p>
    <w:bookmarkStart w:id="97" w:name="page98"/>
    <w:bookmarkEnd w:id="9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adoption among non-proteomic experts by providing an intuitive user interface that automates and simplifies data handling, processing and analysis, and which provides access to a scalable infrastructure.</w:t>
      </w:r>
    </w:p>
    <w:p>
      <w:pPr>
        <w:spacing w:after="0" w:line="11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Another potential roadblock for researchers is understanding and evaluating the quality of their results. Our Proteograph assay incorporates a series of controls for monitoring quality of the assay. Our software provides an integrated view of the results of these control runs. Using the software, the customer can evaluate trends over time and implement performance boundaries around the expected values that flag unexpected outcomes in the data. Providing a simple, consistent interface for customers to evaluate the control data and generate a quality control (QC) report will help them understand our approach to QC in our Proteograph and simplify support. Eventually, user communities might provide an avenue for customers to share their experiences against the backdrop of a common environment and understanding.</w:t>
      </w:r>
    </w:p>
    <w:p>
      <w:pPr>
        <w:spacing w:after="0" w:line="12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that our Proteograph will enable generation of large volumes of proteomic data, and we have developed our Proteograph software to ensure that handling, management and analysis of data does not create new bottlenecks for researchers. Our Proteograph software offers ease of implementation and addresses key customer needs, which include analysis of raw MS data with pre-configured parameters, integrated QC reporting, the ability to visualize and download the primary data analysis, and statistical analysis tools. Our software is highly scalable and is designed to accommodate multi-instrument settings, rapidly expanding data volumes and emerging data analysis tools. Finally, as we continue to improve and extend our product portfolio, we expect to expand our Proteograph software suite to include advanced data analysis tools, including PPI analysis, mapping of PTMs, genetic polymorphisms, multi-omics integration, and systems biology framework analysis.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From Sample to Data Using our Proteograph Product Suite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Proteomic analysis using our Proteograph Product Suite has five primary steps:</w:t>
      </w:r>
    </w:p>
    <w:p>
      <w:pPr>
        <w:spacing w:after="0" w:line="171" w:lineRule="exact"/>
        <w:rPr>
          <w:sz w:val="20"/>
          <w:szCs w:val="20"/>
          <w:color w:val="auto"/>
        </w:rPr>
      </w:pPr>
    </w:p>
    <w:p>
      <w:pPr>
        <w:ind w:left="660" w:right="100" w:hanging="328"/>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Particle-Matrix Association</w:t>
      </w:r>
      <w:r>
        <w:rPr>
          <w:rFonts w:ascii="Arial" w:cs="Arial" w:eastAsia="Arial" w:hAnsi="Arial"/>
          <w:sz w:val="18"/>
          <w:szCs w:val="18"/>
          <w:color w:val="auto"/>
        </w:rPr>
        <w:t>. NPs can be mixed with a wide variety of soluble biological sample types (matrices), including cell or tissue</w:t>
      </w:r>
      <w:r>
        <w:rPr>
          <w:rFonts w:ascii="Arial" w:cs="Arial" w:eastAsia="Arial" w:hAnsi="Arial"/>
          <w:sz w:val="18"/>
          <w:szCs w:val="18"/>
          <w:i w:val="1"/>
          <w:iCs w:val="1"/>
          <w:color w:val="auto"/>
        </w:rPr>
        <w:t xml:space="preserve"> </w:t>
      </w:r>
      <w:r>
        <w:rPr>
          <w:rFonts w:ascii="Arial" w:cs="Arial" w:eastAsia="Arial" w:hAnsi="Arial"/>
          <w:sz w:val="18"/>
          <w:szCs w:val="18"/>
          <w:color w:val="auto"/>
        </w:rPr>
        <w:t>homogenates, blood or blood 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13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Particle Wash</w:t>
      </w:r>
      <w:r>
        <w:rPr>
          <w:rFonts w:ascii="Arial" w:cs="Arial" w:eastAsia="Arial" w:hAnsi="Arial"/>
          <w:sz w:val="18"/>
          <w:szCs w:val="18"/>
          <w:color w:val="auto"/>
        </w:rPr>
        <w:t>. NPs are then captured by a magnetic field, after which they undergo repeated cycles of wash with buffer to remove unbound, or</w:t>
      </w:r>
      <w:r>
        <w:rPr>
          <w:rFonts w:ascii="Arial" w:cs="Arial" w:eastAsia="Arial" w:hAnsi="Arial"/>
          <w:sz w:val="18"/>
          <w:szCs w:val="18"/>
          <w:i w:val="1"/>
          <w:iCs w:val="1"/>
          <w:color w:val="auto"/>
        </w:rPr>
        <w:t xml:space="preserve"> </w:t>
      </w:r>
      <w:r>
        <w:rPr>
          <w:rFonts w:ascii="Arial" w:cs="Arial" w:eastAsia="Arial" w:hAnsi="Arial"/>
          <w:sz w:val="18"/>
          <w:szCs w:val="18"/>
          <w:color w:val="auto"/>
        </w:rPr>
        <w:t>loosely bound, proteins.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In-plate Digestion</w:t>
      </w:r>
      <w:r>
        <w:rPr>
          <w:rFonts w:ascii="Arial" w:cs="Arial" w:eastAsia="Arial" w:hAnsi="Arial"/>
          <w:sz w:val="18"/>
          <w:szCs w:val="18"/>
          <w:color w:val="auto"/>
        </w:rPr>
        <w:t>. Washed NPs are subject to enzymatic digestion to generate peptides, which are collected, quantified, dried and ready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MS analysis.</w:t>
      </w:r>
    </w:p>
    <w:p>
      <w:pPr>
        <w:spacing w:after="0" w:line="11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Mass Spectrometry</w:t>
      </w:r>
      <w:r>
        <w:rPr>
          <w:rFonts w:ascii="Arial" w:cs="Arial" w:eastAsia="Arial" w:hAnsi="Arial"/>
          <w:sz w:val="18"/>
          <w:szCs w:val="18"/>
          <w:color w:val="auto"/>
        </w:rPr>
        <w:t>. The researcher prepares the digested peptides for measurement by dissolution in appropriate peptide reconstitution buffer</w:t>
      </w:r>
      <w:r>
        <w:rPr>
          <w:rFonts w:ascii="Arial" w:cs="Arial" w:eastAsia="Arial" w:hAnsi="Arial"/>
          <w:sz w:val="18"/>
          <w:szCs w:val="18"/>
          <w:i w:val="1"/>
          <w:iCs w:val="1"/>
          <w:color w:val="auto"/>
        </w:rPr>
        <w:t xml:space="preserve"> </w:t>
      </w:r>
      <w:r>
        <w:rPr>
          <w:rFonts w:ascii="Arial" w:cs="Arial" w:eastAsia="Arial" w:hAnsi="Arial"/>
          <w:sz w:val="18"/>
          <w:szCs w:val="18"/>
          <w:color w:val="auto"/>
        </w:rPr>
        <w:t>suitable for MS injection, at a volume and concentration that meets the researcher’s MS instrument and liquid chromatography gradient requirements.</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Data analysis. </w:t>
      </w:r>
      <w:r>
        <w:rPr>
          <w:rFonts w:ascii="Arial" w:cs="Arial" w:eastAsia="Arial" w:hAnsi="Arial"/>
          <w:sz w:val="18"/>
          <w:szCs w:val="18"/>
          <w:color w:val="auto"/>
        </w:rPr>
        <w:t>After data acquisition, typical MS analysis methods are employed within our Proteograph software to identify and quantify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and proteins in the sample. Quality control metrics are reported for the MS sample data, sample data summaries and output files are created, and initial cross-sample analyses are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121" w:right="359" w:bottom="1440" w:gutter="0" w:footer="0" w:header="0"/>
        </w:sectPr>
      </w:pPr>
    </w:p>
    <w:bookmarkStart w:id="98" w:name="page99"/>
    <w:bookmarkEnd w:id="9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805815</wp:posOffset>
            </wp:positionV>
            <wp:extent cx="4928870" cy="2048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88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Given the seven-hour run time per plate for our initial five-NP panel, our Proteograph Product Suite could process 48 samples in a 24-hour period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143500" cy="2194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Performance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 As described below, we discuss the performance of our first Proteograph assay relative to existing unbiased proteomics methods across the technical attributes of breadth, depth, accuracy and precision of measurement and the operational aspect of throughput.</w:t>
      </w:r>
    </w:p>
    <w:p>
      <w:pPr>
        <w:spacing w:after="0" w:line="138" w:lineRule="exact"/>
        <w:rPr>
          <w:sz w:val="20"/>
          <w:szCs w:val="20"/>
          <w:color w:val="auto"/>
        </w:rPr>
      </w:pPr>
    </w:p>
    <w:p>
      <w:pPr>
        <w:ind w:left="660" w:right="60" w:hanging="328"/>
        <w:spacing w:after="0" w:line="25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Breadth of protein sampling refers to our Proteograph Product Suite’s ability to conduct unbiased, highly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60"/>
          </w:cols>
          <w:pgMar w:left="320" w:top="121" w:right="419" w:bottom="1440" w:gutter="0" w:footer="0" w:header="0"/>
          <w:type w:val="continuous"/>
        </w:sectPr>
      </w:pPr>
    </w:p>
    <w:bookmarkStart w:id="99" w:name="page100"/>
    <w:bookmarkEnd w:id="9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leverages a panel of unique NPs to capture significantly more proteins and protein variants than current methods of unbiased proteomic analysis, as shown in the figure below. This advantage of our Proteograph Product Suite is particularly strong in complex biofluids such as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53340</wp:posOffset>
            </wp:positionV>
            <wp:extent cx="1285875" cy="3197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58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illustrated above, we compared our Proteograph Product Suite with other unbiased proteomics methods in a head-to-head experiment using the same biological sample. Neat plasma represents the simplest form of unbiased proteomic analysis, requiring minimal processing time, and resulted in a breadth of coverage of 312 proteins. By adding processing steps such as depletion of high abundance proteins and separation of the remaining proteins into multiple fractions (a process called fractionation), the breadth of protein sampling increased to 670 proteins. However, with our Proteograph, we detected 1,656 proteins in plasma, which represents a major expansion in breadth of protein coverage.</w:t>
      </w:r>
    </w:p>
    <w:p>
      <w:pPr>
        <w:spacing w:after="0" w:line="122" w:lineRule="exact"/>
        <w:rPr>
          <w:sz w:val="20"/>
          <w:szCs w:val="20"/>
          <w:color w:val="auto"/>
        </w:rPr>
      </w:pPr>
    </w:p>
    <w:p>
      <w:pPr>
        <w:ind w:left="660" w:hanging="328"/>
        <w:spacing w:after="0" w:line="270"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Depth of coverage. </w:t>
      </w:r>
      <w:r>
        <w:rPr>
          <w:rFonts w:ascii="Arial" w:cs="Arial" w:eastAsia="Arial" w:hAnsi="Arial"/>
          <w:sz w:val="17"/>
          <w:szCs w:val="17"/>
          <w:color w:val="auto"/>
        </w:rPr>
        <w:t>Depth of coverage refers to our Proteograph’s ability to evaluate the proteome across the wide dynamic range of abundance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 We compared the depth of coverage of our Proteograph with other unbiased proteomic methods in a head-to-head experiment, shown in the figure below. Our Proteograph samples proteins across the entire dynamic range of the plasma proteome, as defined in the Human Plasma Proteome Project database (Schwenk et al.), with the 75th percentile point of depth of coverage shown with the orange bar. The depth of coverage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121" w:right="399" w:bottom="1440" w:gutter="0" w:footer="0" w:header="0"/>
        </w:sectPr>
      </w:pPr>
    </w:p>
    <w:bookmarkStart w:id="100" w:name="page101"/>
    <w:bookmarkEnd w:id="100"/>
    <w:p>
      <w:pPr>
        <w:ind w:left="8"/>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Proteograph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117475</wp:posOffset>
            </wp:positionV>
            <wp:extent cx="4286250" cy="3111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62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8" w:hanging="328"/>
        <w:spacing w:after="0" w:line="271" w:lineRule="auto"/>
        <w:tabs>
          <w:tab w:leader="none" w:pos="323"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 sample. Accuracy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 abundance measurement can be demonstrated by MS signal intensity of the proteins sampled with our Proteograph, and comparing these values with measurements obtained directly by immuno-assay (ELISA). In the below experiment, purified C-Reactive Protein (CRP) was added or “spiked” in to plasma at levels of 2x, 5x, 10x, and 100x of the baseline measured levels for CRP in the plasma. These samples with known concentrations of CRP were then interrogated with our Proteograph Product Suite and ELISA. The figure shows the linearity of measurement of our Proteograph, as determined by MS signal intensity of four peptides within CRP when compared to the ELISA measurement of CRP. Our Proteograph assay can distinguish changes in protein abundance with significant accuracy, as demonstrated by a slope response approximately equal to one and an r-squared value greater than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888"/>
          </w:cols>
          <w:pgMar w:left="652" w:top="121" w:right="359" w:bottom="1440" w:gutter="0" w:footer="0" w:header="0"/>
        </w:sectPr>
      </w:pPr>
    </w:p>
    <w:bookmarkStart w:id="101" w:name="page102"/>
    <w:bookmarkEnd w:id="101"/>
    <w:p>
      <w:pPr>
        <w:ind w:left="8"/>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805815</wp:posOffset>
            </wp:positionV>
            <wp:extent cx="2571750" cy="2143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8" w:hanging="328"/>
        <w:spacing w:after="0" w:line="287" w:lineRule="auto"/>
        <w:tabs>
          <w:tab w:leader="none" w:pos="323"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Precision of measurement. </w:t>
      </w:r>
      <w:r>
        <w:rPr>
          <w:rFonts w:ascii="Arial" w:cs="Arial" w:eastAsia="Arial" w:hAnsi="Arial"/>
          <w:sz w:val="16"/>
          <w:szCs w:val="16"/>
          <w:color w:val="auto"/>
        </w:rPr>
        <w:t>Precision refers to how close several measurements of protein abundance in the same sample are to each other.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We compared the precision of our Proteograph with that of depletion, fractionation, and neat, by evaluating the same sample three times and calculating the CV% for the detected peptides and proteins. On average across the peptides, the median precision was 16.9 CV%. At this level of performance, our Proteograph has 80% statistical power to detect a 50% change in a peptide levels with only ten samples per sample group. Our Proteograph analysis shows lower CV%s than fractionation and depletion methods, which is notable since we achieve lower CV%s while concurrently sampling significantly more proteins, as shown in the figure below. In general, in unbiased assays, CV%s are expected to increase as the number of analytes detected increases. However, our Proteograph can increase the number of analytes that it detects while achieving comparatively better CV%s. Although neat plasma has a lower CV%, it is limited in the breadth of protein coverage to 312 proteins compared to 1,652 proteins sampled by our Proteograph.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83820</wp:posOffset>
            </wp:positionV>
            <wp:extent cx="1714500" cy="2640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848"/>
          </w:cols>
          <w:pgMar w:left="652" w:top="121" w:right="399" w:bottom="1440" w:gutter="0" w:footer="0" w:header="0"/>
        </w:sectPr>
      </w:pPr>
    </w:p>
    <w:bookmarkStart w:id="102" w:name="page103"/>
    <w:bookmarkEnd w:id="10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 w:hanging="328"/>
        <w:spacing w:after="0" w:line="269" w:lineRule="auto"/>
        <w:tabs>
          <w:tab w:leader="none" w:pos="655"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Rapid and large-scale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Proteograph enables rapid and large-scale proteomic sample processing in a seven-hour workflow, compared to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unbiased solutions that can take days to weeks. We recently reviewed major published plasma and serum proteomics studies from 2016 to 2019 to compare protein coverage, throughput and sample size. We have compared the results of 14 published unbiased, deep proteomics studies with the results from our recent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paper (Blume et al.). While unbiased proteomics studies are vastly different in terms of their workflows, they may be considered more comparable in the quantifiable outputs of protein coverage, the amount of MS time required for the study and number of samples in the study. We only utilize the published MS time and did not account for up-front sample processing time. We examined these three outputs from the literature review against our published study. While we do not consider this to be a head-to-head comparison, it does provide general guidance to understand the comparative performance of our assay. We observed an average protein coverage of 1,960, with an average throughput of 1.5 proteins per minute, and average study size of 15 samples. This compares to our protein coverage of 2,094, a throughput of 14.2 proteins per minute, and study size of 141 samples. This advantage in throughput reflects only the MS time and does not include the additional throughput advantages of our Proteograph automation instrument, which enables simpler and faster sample processing, which is otherwise also a lengthy part of unbiased studies.</w:t>
      </w:r>
    </w:p>
    <w:p>
      <w:pPr>
        <w:spacing w:after="0" w:line="12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believe that our studies demonstrate that our Proteograph Product Suite has a unique combination of attributes spanning breadth, depth, accuracy and precision of measurement and throughput necessary for large-scale proteomics studies. We believe our Proteograph will broadly appeal to researchers seeking an easy to use, scalable approach for such studies.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4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21" w:right="359" w:bottom="1440" w:gutter="0" w:footer="0" w:header="0"/>
        </w:sectPr>
      </w:pPr>
    </w:p>
    <w:bookmarkStart w:id="103" w:name="page104"/>
    <w:bookmarkEnd w:id="10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805815</wp:posOffset>
            </wp:positionV>
            <wp:extent cx="5143500" cy="2837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Allied Market Research estimates the global proteomics market was $32 billion in 2019, and is expected to grow to $64 billion in 2024, representing a 15% compound annual growth rate. According to Allied Market Research, 60% of the proteomics market is focused on life sciences research, 35% for clinical applications and 5%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our Proteograph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our Proteograph can address all these applications over time.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Genomics</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Technavio estimates the global genomics market was $21 billion in 2019 and is expected to grow to $38 billion by 2024, representing a 13% compound annual growth rate. Over the last fifteen years, application of large-scale genomics across the population has led to discovery of approximately 695 million individual human variants and it is expected the total number of such variants will only expand as more exomes and genomes are sequenced. However, despite this impressive rate of variant discovery, fewer than 0.2% of those variants have been cataloged in the ClinVar database with a reported relationship between genetic variation and phenotype. We believe that large-scale deep, unbiased proteomics studies, such as those our Proteograph could enable, will provide important missing biological information to improve functional characterization of genomic variants. In genomics markets, complementing large-scale genomics analysis with large-scale proteomic analysis has the potential to enhance and accelerate our understanding of biology, human health and ultimately the treatment of disease. Therefore, we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21" w:right="359" w:bottom="1440" w:gutter="0" w:footer="0" w:header="0"/>
        </w:sectPr>
      </w:pPr>
    </w:p>
    <w:bookmarkStart w:id="104" w:name="page105"/>
    <w:bookmarkEnd w:id="10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Proteograph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Markets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also believe that our Proteograph Product Suite will enable novel applications and insights leading to new end-markets, similar to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recently spun out a new entity, PrognomIQ, Inc. (PrognomIQ), which aims to develop and commercialize novel diagnostic tests that leverage our Proteograph, in combination with genomics and metabolomics information, and will be a participant in the existing ecosystem of early disease detection. More broadly, we believe our Proteograph has the potential to further stimulate growth of new applications and end-markets in additional ecosystems.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Proteograph Product Suite and its underlying NP technology have the following advantages:</w:t>
      </w:r>
    </w:p>
    <w:p>
      <w:pPr>
        <w:spacing w:after="0" w:line="171" w:lineRule="exact"/>
        <w:rPr>
          <w:sz w:val="20"/>
          <w:szCs w:val="20"/>
          <w:color w:val="auto"/>
        </w:rPr>
      </w:pPr>
    </w:p>
    <w:p>
      <w:pPr>
        <w:ind w:left="340" w:right="60" w:hanging="332"/>
        <w:spacing w:after="0" w:line="255"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Proteograph Product Suite is expected to be the first commercially available solution to provide the combination of unbiased, deep, rapid and large-scale access to the proteome. </w:t>
      </w:r>
      <w:r>
        <w:rPr>
          <w:rFonts w:ascii="Arial" w:cs="Arial" w:eastAsia="Arial" w:hAnsi="Arial"/>
          <w:sz w:val="18"/>
          <w:szCs w:val="18"/>
          <w:color w:val="auto"/>
        </w:rPr>
        <w:t>While other proteomics technologies exist today, we believe that our Proteograph is the first and only product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combination of these four attributes in a single integrated solution with an easy-to-use workflow. We believe these capabilities fill a gap that to date has been one of the rate-limiting steps in unlocking the complexity of biology. This creates a unique opportunity for us to drive widespread adoption of our Proteograph, transform proteomics and biological research, and establish our Proteograph as the industry standard for generating deep, unbiased proteomic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108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right="60" w:hanging="332"/>
        <w:spacing w:after="0" w:line="272" w:lineRule="auto"/>
        <w:tabs>
          <w:tab w:leader="none" w:pos="335"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provides insight into protein variation and PPIs at a depth and scale that we believe sets a new standard for unbiased and deep proteomics, and is unattainable with other existing approaches. </w:t>
      </w:r>
      <w:r>
        <w:rPr>
          <w:rFonts w:ascii="Arial" w:cs="Arial" w:eastAsia="Arial" w:hAnsi="Arial"/>
          <w:sz w:val="17"/>
          <w:szCs w:val="17"/>
          <w:color w:val="auto"/>
        </w:rPr>
        <w:t>The ability to observe the myriad of possible protein variations,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go beyond simple total protein abundance, with the accuracy and precision necessary to extract useful insights across large numbers of subjects, is a key differentiating attribute of our Proteograph. Furthermore, capturing these variations at scale enables synergistic insights when combined with genomic variations, finally enabling the development of informative, individualized models of biology at population scale. As noted in the figure above, biased approaches can capture individual proteins at scale, but are not readily able to capture protein variants at scale. Current unbiased approaches are able to capture some protein variants at the peptide level and can capture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21" w:right="339" w:bottom="1440" w:gutter="0" w:footer="0" w:header="0"/>
        </w:sectPr>
      </w:pPr>
    </w:p>
    <w:bookmarkStart w:id="105" w:name="page106"/>
    <w:bookmarkEnd w:id="10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400"/>
        <w:spacing w:after="0" w:line="342" w:lineRule="auto"/>
        <w:rPr>
          <w:sz w:val="20"/>
          <w:szCs w:val="20"/>
          <w:color w:val="auto"/>
        </w:rPr>
      </w:pPr>
      <w:r>
        <w:rPr>
          <w:rFonts w:ascii="Arial" w:cs="Arial" w:eastAsia="Arial" w:hAnsi="Arial"/>
          <w:sz w:val="16"/>
          <w:szCs w:val="16"/>
          <w:color w:val="auto"/>
        </w:rPr>
        <w:t>polymorphisms and PTMs, but not at scale. Moreover, these unbiased approaches are not able to capture PPIs and protein pathway information at scale. We believe that our Proteograph is uniquely positioned to fully capture the breadth, depth and the complexity of the proteome at scale.</w:t>
      </w:r>
    </w:p>
    <w:p>
      <w:pPr>
        <w:spacing w:after="0" w:line="70" w:lineRule="exact"/>
        <w:rPr>
          <w:sz w:val="20"/>
          <w:szCs w:val="20"/>
          <w:color w:val="auto"/>
        </w:rPr>
      </w:pPr>
    </w:p>
    <w:p>
      <w:pPr>
        <w:ind w:left="340" w:right="200" w:hanging="332"/>
        <w:spacing w:after="0" w:line="271" w:lineRule="auto"/>
        <w:tabs>
          <w:tab w:leader="none" w:pos="33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was designed to enable broad adoption across a wide variety of customers in both decentralized and centralized settings. </w:t>
      </w:r>
      <w:r>
        <w:rPr>
          <w:rFonts w:ascii="Arial" w:cs="Arial" w:eastAsia="Arial" w:hAnsi="Arial"/>
          <w:sz w:val="17"/>
          <w:szCs w:val="17"/>
          <w:color w:val="auto"/>
        </w:rPr>
        <w:t>Our Proteograph is an integrated solution comprised of consumables, an automation instrument and software, and was designed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ease-of-use, efficiency, robustness and reproducibility of results and to complement existing laboratory infrastructure. Our Proteograph’s simple and integrated workflow enables the customer to use their own MS instrument or leverage a widely available installed base of MS instruments .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these characteristics will facilitate broad adoption of our Proteograph across a variety of laboratories and institutions in both decentralized and centralized settings.</w:t>
      </w:r>
    </w:p>
    <w:p>
      <w:pPr>
        <w:spacing w:after="0" w:line="124" w:lineRule="exact"/>
        <w:rPr>
          <w:rFonts w:ascii="Arial" w:cs="Arial" w:eastAsia="Arial" w:hAnsi="Arial"/>
          <w:sz w:val="17"/>
          <w:szCs w:val="17"/>
          <w:color w:val="auto"/>
        </w:rPr>
      </w:pPr>
    </w:p>
    <w:p>
      <w:pPr>
        <w:ind w:left="340" w:right="20" w:hanging="332"/>
        <w:spacing w:after="0" w:line="290"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proprietary engineered NPs are a core technology from which we can develop a range of products, applications and platforms. </w:t>
      </w:r>
      <w:r>
        <w:rPr>
          <w:rFonts w:ascii="Arial" w:cs="Arial" w:eastAsia="Arial" w:hAnsi="Arial"/>
          <w:sz w:val="16"/>
          <w:szCs w:val="16"/>
          <w:color w:val="auto"/>
        </w:rPr>
        <w:t>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evaluated over 275 different NPs with diverse sets of physicochemical properties, from which our five NPs for our first Proteograph assay were selected. From our growing and diverse NP library, we can develop new arrays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Our NPs are versatile and can be designed to work with different sample types from plasma to homogenized tissue and collect proteomic, molecular and other -omics information.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11" w:lineRule="exact"/>
        <w:rPr>
          <w:rFonts w:ascii="Arial" w:cs="Arial" w:eastAsia="Arial" w:hAnsi="Arial"/>
          <w:sz w:val="16"/>
          <w:szCs w:val="16"/>
          <w:color w:val="auto"/>
        </w:rPr>
      </w:pPr>
    </w:p>
    <w:p>
      <w:pPr>
        <w:ind w:left="340" w:hanging="332"/>
        <w:spacing w:after="0" w:line="293"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NP technology inherently provides significant operational leverage in research and development, manufacturing and commercialization. </w:t>
      </w:r>
      <w:r>
        <w:rPr>
          <w:rFonts w:ascii="Arial" w:cs="Arial" w:eastAsia="Arial" w:hAnsi="Arial"/>
          <w:sz w:val="16"/>
          <w:szCs w:val="16"/>
          <w:color w:val="auto"/>
        </w:rPr>
        <w:t>NPs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efficient to design, 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Since our core technology resides in the NP consumables, not the instrument, new products will often involve commercializing new NP assays and software that can be run on the existing instrumentation. This capital-efficient and labor-efficient model has the potential to provide significant operating leverage to our organization.</w:t>
      </w:r>
    </w:p>
    <w:p>
      <w:pPr>
        <w:spacing w:after="0" w:line="110" w:lineRule="exact"/>
        <w:rPr>
          <w:rFonts w:ascii="Arial" w:cs="Arial" w:eastAsia="Arial" w:hAnsi="Arial"/>
          <w:sz w:val="16"/>
          <w:szCs w:val="16"/>
          <w:color w:val="auto"/>
        </w:rPr>
      </w:pPr>
    </w:p>
    <w:p>
      <w:pPr>
        <w:ind w:left="340" w:right="120" w:hanging="332"/>
        <w:spacing w:after="0" w:line="291"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Proteograph Product Suite has the potential to provide sustainable differentiation. </w:t>
      </w:r>
      <w:r>
        <w:rPr>
          <w:rFonts w:ascii="Arial" w:cs="Arial" w:eastAsia="Arial" w:hAnsi="Arial"/>
          <w:sz w:val="16"/>
          <w:szCs w:val="16"/>
          <w:color w:val="auto"/>
        </w:rPr>
        <w:t>Our Proteograph is uniquely capable of generating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reproducible, deep and unbiased proteomic data, and as more of this data gets created over our time and used by more customers to generate insights, we expect to create a virtuous cycle that will fuel further adoption of our Proteograph throughout the industry. Our Proteograph was designed to fully integrate with customer workflows and provide a unique user experience, supported by our software packages, to create a sustainable solution within our customers’ organizations. Our Proteograph automation instrument and NP technology are covered by five issued patents and over 25 pending patent applications, worldwide, as of September 30, 2020, covering improvements in NPs, assay methods and ways to leverage proteomic data and information for life sciences research and clinical diagnostic and drug discovery applications.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340" w:right="920" w:hanging="332"/>
        <w:spacing w:after="0" w:line="277"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adoption of our Proteograph Product Suite to enable researchers to create large-scale unbiased proteomic datasets that generate transformative scientific insights. </w:t>
      </w:r>
      <w:r>
        <w:rPr>
          <w:rFonts w:ascii="Arial" w:cs="Arial" w:eastAsia="Arial" w:hAnsi="Arial"/>
          <w:sz w:val="18"/>
          <w:szCs w:val="18"/>
          <w:color w:val="auto"/>
        </w:rPr>
        <w:t>Our initial product, the Proteograph,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121" w:right="379" w:bottom="1440" w:gutter="0" w:footer="0" w:header="0"/>
        </w:sectPr>
      </w:pPr>
    </w:p>
    <w:bookmarkStart w:id="106" w:name="page107"/>
    <w:bookmarkEnd w:id="106"/>
    <w:p>
      <w:pPr>
        <w:ind w:left="332"/>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2" w:right="60"/>
        <w:spacing w:after="0" w:line="273" w:lineRule="auto"/>
        <w:rPr>
          <w:sz w:val="20"/>
          <w:szCs w:val="20"/>
          <w:color w:val="auto"/>
        </w:rPr>
      </w:pPr>
      <w:r>
        <w:rPr>
          <w:rFonts w:ascii="Arial" w:cs="Arial" w:eastAsia="Arial" w:hAnsi="Arial"/>
          <w:sz w:val="17"/>
          <w:szCs w:val="17"/>
          <w:color w:val="auto"/>
        </w:rPr>
        <w:t>uniquely enables researchers and clinicians to generate unbiased, deep proteomic information at speed and scale which are not possible today. The utility and potential applications of these capabilities are broad, spanning across basic research and discovery, translational research, diagnostics and applied applications. We believe our first NP assay for our Proteograph is particularly well suited to address the core needs of researchers focused on basic and translational research and diagnostics. We intend to drive adoption of our Proteograph through a three phase commercial launch plan that includes an initial collaboration phase with key opinion leaders, then an early access limited availability phase in 2021 to initiate and build momentum of customer references, and finally broad commercial availability in early 2022.</w:t>
      </w:r>
    </w:p>
    <w:p>
      <w:pPr>
        <w:spacing w:after="0" w:line="124" w:lineRule="exact"/>
        <w:rPr>
          <w:sz w:val="20"/>
          <w:szCs w:val="20"/>
          <w:color w:val="auto"/>
        </w:rPr>
      </w:pPr>
    </w:p>
    <w:p>
      <w:pPr>
        <w:ind w:left="332" w:right="20" w:hanging="332"/>
        <w:spacing w:after="0" w:line="254" w:lineRule="auto"/>
        <w:tabs>
          <w:tab w:leader="none" w:pos="327"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market development activities to increase awareness of the importance of large-scale proteomic data and the ability to access it</w:t>
      </w:r>
      <w:r>
        <w:rPr>
          <w:rFonts w:ascii="Arial" w:cs="Arial" w:eastAsia="Arial" w:hAnsi="Arial"/>
          <w:sz w:val="18"/>
          <w:szCs w:val="18"/>
          <w:color w:val="auto"/>
        </w:rPr>
        <w:t>.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and accelerate 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40" w:lineRule="exact"/>
        <w:rPr>
          <w:rFonts w:ascii="Arial" w:cs="Arial" w:eastAsia="Arial" w:hAnsi="Arial"/>
          <w:sz w:val="18"/>
          <w:szCs w:val="18"/>
          <w:color w:val="auto"/>
        </w:rPr>
      </w:pPr>
    </w:p>
    <w:p>
      <w:pPr>
        <w:ind w:left="332" w:hanging="332"/>
        <w:spacing w:after="0" w:line="255" w:lineRule="auto"/>
        <w:tabs>
          <w:tab w:leader="none" w:pos="327"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Continually innovate to develop and commercialize additional transformative products to access the proteome and accelerate our understanding of biology</w:t>
      </w:r>
      <w:r>
        <w:rPr>
          <w:rFonts w:ascii="Arial" w:cs="Arial" w:eastAsia="Arial" w:hAnsi="Arial"/>
          <w:sz w:val="18"/>
          <w:szCs w:val="18"/>
          <w:color w:val="auto"/>
        </w:rPr>
        <w:t>. We aim to continually innovate and develop new products, applications, workflows and analysis tools that simplify and accelerate researchers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38" w:lineRule="exact"/>
        <w:rPr>
          <w:rFonts w:ascii="Arial" w:cs="Arial" w:eastAsia="Arial" w:hAnsi="Arial"/>
          <w:sz w:val="18"/>
          <w:szCs w:val="18"/>
          <w:color w:val="auto"/>
        </w:rPr>
      </w:pPr>
    </w:p>
    <w:p>
      <w:pPr>
        <w:ind w:left="332" w:right="120" w:hanging="332"/>
        <w:spacing w:after="0" w:line="296" w:lineRule="auto"/>
        <w:tabs>
          <w:tab w:leader="none" w:pos="327"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build our commercial infrastructure and NP manufacturing capabilities to provide for our commercial launch in the United States and internationally. </w:t>
      </w:r>
      <w:r>
        <w:rPr>
          <w:rFonts w:ascii="Arial" w:cs="Arial" w:eastAsia="Arial" w:hAnsi="Arial"/>
          <w:sz w:val="16"/>
          <w:szCs w:val="16"/>
          <w:color w:val="auto"/>
        </w:rPr>
        <w:t>We are initially building our commercial infrastructure to sell and support our products directly in the United States, the European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Union and United Kingdom. We expect to expand access to our products in other geographies, starting with select countries in Asia Pacific through distributors, and eventually to the rest of the world. We are also scaling our NP manufacturing capabilities in our facility in Redwood City, California, and will continually evaluate and optimize our manufacturing and supply chain footprint to meet our business objectives.</w:t>
      </w:r>
    </w:p>
    <w:p>
      <w:pPr>
        <w:spacing w:after="0" w:line="107" w:lineRule="exact"/>
        <w:rPr>
          <w:rFonts w:ascii="Arial" w:cs="Arial" w:eastAsia="Arial" w:hAnsi="Arial"/>
          <w:sz w:val="16"/>
          <w:szCs w:val="16"/>
          <w:color w:val="auto"/>
        </w:rPr>
      </w:pPr>
    </w:p>
    <w:p>
      <w:pPr>
        <w:ind w:left="332" w:right="40" w:hanging="332"/>
        <w:spacing w:after="0" w:line="291" w:lineRule="auto"/>
        <w:tabs>
          <w:tab w:leader="none" w:pos="327"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creation of an ecosystem of customers, partners and collaborators whose expertise and offerings complement and enhance the power and utility of our products. </w:t>
      </w:r>
      <w:r>
        <w:rPr>
          <w:rFonts w:ascii="Arial" w:cs="Arial" w:eastAsia="Arial" w:hAnsi="Arial"/>
          <w:sz w:val="16"/>
          <w:szCs w:val="16"/>
          <w:color w:val="auto"/>
        </w:rPr>
        <w:t>We intend to seed and develop a new ecosystem of applications and organizations that can take advantage of large-scale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proteomic analysis. This ecosystem can include areas such as disease detection, large-scale population studies, agriculture, environmental monitoring and food safety. Much as we have seen large-scale genomic analysis spur new innovations in non-invasive prenatal testing, early cancer detection and recurrence monitoring, we believe large-scale proteomics will enhance these markets and spur the development of new markets and applications. To help seed the growth of this ecosystem, we recently spun-out a new company called PrognomIQ, which plans to develop and commercialize diagnostic tests for early disease detection, leveraging our Proteograph in combination with other -omics technologies.</w:t>
      </w:r>
    </w:p>
    <w:p>
      <w:pPr>
        <w:spacing w:after="0" w:line="112" w:lineRule="exact"/>
        <w:rPr>
          <w:rFonts w:ascii="Arial" w:cs="Arial" w:eastAsia="Arial" w:hAnsi="Arial"/>
          <w:sz w:val="16"/>
          <w:szCs w:val="16"/>
          <w:color w:val="auto"/>
        </w:rPr>
      </w:pPr>
    </w:p>
    <w:p>
      <w:pPr>
        <w:ind w:left="332" w:right="20" w:hanging="332"/>
        <w:spacing w:after="0" w:line="273" w:lineRule="auto"/>
        <w:tabs>
          <w:tab w:leader="none" w:pos="327"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proprietary engineered NP technology to analyze molecules beyond proteins. </w:t>
      </w:r>
      <w:r>
        <w:rPr>
          <w:rFonts w:ascii="Arial" w:cs="Arial" w:eastAsia="Arial" w:hAnsi="Arial"/>
          <w:sz w:val="17"/>
          <w:szCs w:val="17"/>
          <w:color w:val="auto"/>
        </w:rPr>
        <w:t>Given the inherent flexibility and ability to synthesize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myriad NPs, we intend to seek over the long-term to expand the scope of our propriety engineered NP technology to analyze other biomolecules such nucleic acids, metabolites and small molecules among others. As we continue to work closely with our initial and future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32"/>
          </w:cols>
          <w:pgMar w:left="328" w:top="121" w:right="339" w:bottom="1440" w:gutter="0" w:footer="0" w:header="0"/>
        </w:sectPr>
      </w:pPr>
    </w:p>
    <w:bookmarkStart w:id="107" w:name="page108"/>
    <w:bookmarkEnd w:id="10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Applications of our Proteograph Product Suite</w:t>
      </w:r>
    </w:p>
    <w:p>
      <w:pPr>
        <w:spacing w:after="0" w:line="17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We believe that researchers will use our Proteograph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Our Proteograph is designed to enable the use of unbiased proteomic data at scale, which we believe will greatly accelerate these areas of basic research and discovery.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Cataloging protein diversity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Proteograph is designed to enable researchers to broadly explore the complexity and diversity of the proteome at the peptide and amino acid levels and discover many distinct protein variants. This is analogous to how NGS enabled genomic researchers to change their experimental focus from exploring genes to exploring exons and nucleotides, revealing approximately 695 million genetic variants to date. We expect that researchers will use our Proteograph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3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 xml:space="preserve">The figure below shows the type of protein cataloging possible with our Proteograph Product Suite. Interrogating the protein data from our previously published work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(Blume et al.), we illustrate below that our Proteograph can identify a range of peptides for the proteins in plasma samples from lung cancer patients and healthy controls, which is not feasible or practical using a biased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79375</wp:posOffset>
            </wp:positionV>
            <wp:extent cx="2571750" cy="2537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1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1" w:right="339" w:bottom="1440" w:gutter="0" w:footer="0" w:header="0"/>
        </w:sectPr>
      </w:pPr>
    </w:p>
    <w:bookmarkStart w:id="108" w:name="page109"/>
    <w:bookmarkEnd w:id="10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following figure, we have analyzed the Bone Morphogenic Protein 1 (BMP1) gene, which is known to have seven variants at the RNA level from alternative splicing and four variants at the protein level. Of these four variants, two are the long form and two are the short form of the BMP1 protein. Among the peptides that our Proteograph detected in this study, six specific peptides came from various parts of BMP1. Interestingly, the short form of the BMP1 protein was expressed predominantly in cancer patients, whereas the long forms of the protein were seen more often among the healthy controls. According to Pubmed, this observation has not been previously reported in the literature and may merit further investigation for the potential role of different BMP1 protein variants in health and cancer. We believe that researchers will therefore use our Proteograph to pursue large-scale proteomics studies in order to generate data that may link disease biology to protein variants produced from alternative RNA splicing, alternative transcription and from PTMs.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96520</wp:posOffset>
            </wp:positionV>
            <wp:extent cx="4714875" cy="3437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487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cataloging protein variants, researchers can also gain valuable insights with PTMs, such as phosphorylation. These PTMs are dynamic and the resulting protein variants can be seen with different states of health and disease. The figure below shows the differences in the ratio of phosphorylated to unphosphorylated states of a specific peptide within Heparin Co-factor 2 across 14 samples taken from each group of early and late stage lung cancer patients, healthy and comorbid controls. We show that the phosphorylation state of this peptide may vary as the disease state varies. Heparin Co-factor 2 has been previously shown to play a role in cancer and is associated with over-expression in lung cancer (Liao et al.). The phosphorylation observations below may merit further investigation for their roles in lung cancer. We believe that as researchers pursue large-scale proteomics studies, the literature that links disease biology to protein variants produced from alternative RNA splicing and from PTMs will exponentially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121" w:right="439" w:bottom="1440" w:gutter="0" w:footer="0" w:header="0"/>
        </w:sectPr>
      </w:pPr>
    </w:p>
    <w:bookmarkStart w:id="109" w:name="page110"/>
    <w:bookmarkEnd w:id="10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805815</wp:posOffset>
            </wp:positionV>
            <wp:extent cx="1714500" cy="2768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Proteogenomics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Our Proteograph generates large-scale unbiased proteomic data, which will facilitate mapping protein variants to genomic variants, and therefore, the advancement of the emerging proteogenomics field. As an example, we performed individual exon-based sequencing on 29 patient samples from our previously published proteomics work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(Blume et al.) to enable proteogenomic analysis on these samples and evaluate additional protein variants that could be revealed with the addition of genomic information. As shown in the left panel of the figure below, the sequencing information from these 29 samples, coupled to matching unbiased and deep analyses of the samples’ proteomic data using our Proteograph, yielded an average of approximately 70 predicted and confirmed peptide variations per sample. The right panel of the figure shows a subject who is heterozygous at the KLKB1 gene, which codes for the prekallikrein protein. This subject has both the reference allele for KLKB1 and a minor allele with a frequency of 0.01% in the population, resulting in a glycine to arginine amino acid change in the prekallikrein. Interestingly, we identified both prekallikrein variants in the plasma sample of this subject. Given the current level of access to genomic and transcriptomic information, as researchers conduct the large-scale proteomics studies that our Proteograph enables, we expect proteogenomic content to rapidly increase, providing functional information to existing genomics and gene expression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320" w:top="121" w:right="379" w:bottom="1440" w:gutter="0" w:footer="0" w:header="0"/>
        </w:sectPr>
      </w:pPr>
    </w:p>
    <w:bookmarkStart w:id="110" w:name="page111"/>
    <w:bookmarkEnd w:id="11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657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Interactome</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2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interrogated the plasma proteome of 276 subjects across early- and late-stage non-small-cell lung carcinoma (NSCLC), co-morbid and healthy controls. These subjects are a subset of those described in our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publication (Blume et al.). Using proteins detected in these samples, we analyzed potential PPI interactions using the STRING PPI database (Szklarczyk et al.). In the figure below, we show a map of healthy versus early- and late-stage NSCLC where each protein is represented as a node and colored by its relative abundance. Green represents high abundance of proteins and red represents low abundance relative to the average abundance of the proteins across the samples. Multiple nodes can group together forming hubs with related common pathways or functions. Correlated changes in the abundance of proteins in these hubs may represent functional changes between health and disease. We highlight three hubs in the figure below with turquoise circles, and show changes depending upon health and disease state. Examination of the hubs can suggest biological hypotheses for the change in quantities. For example, the proteins in the central cluster are associated with Golgi vesicle transport, which is potentially linked to NSCLC. Access to the deep unbiased proteomic information provided by our Proteograph may enable researchers to better understand biological implications of known PPIs. Furthermore, given our highly parallel sampling of the proteome across multiple NPs and many samples, we believe researchers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21" w:right="339" w:bottom="1440" w:gutter="0" w:footer="0" w:header="0"/>
        </w:sectPr>
      </w:pPr>
    </w:p>
    <w:bookmarkStart w:id="111" w:name="page112"/>
    <w:bookmarkEnd w:id="11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Proteograph may be able to leverage machine learning methods on the resulting large data sets to derive novel 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988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Translational Research Applications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Researchers can use our Proteograph to address translational research applications, which aim to shorten the cycle time from early discovery research to clinical application. Our Proteograph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To date, most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our Proteograph can greatly enable the discovery of biomarkers through large-scale, unbiased and deep proteomics studies.</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The utility of our Proteograph for exploration of potential biomarkers is illustrated in a proof-of-principle study in lung-cancer, as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Communications </w:t>
      </w:r>
      <w:r>
        <w:rPr>
          <w:rFonts w:ascii="Arial" w:cs="Arial" w:eastAsia="Arial" w:hAnsi="Arial"/>
          <w:sz w:val="17"/>
          <w:szCs w:val="17"/>
          <w:color w:val="auto"/>
        </w:rPr>
        <w:t>(Blume et al.). In this study, approximately 2,000 proteins were quantified across 141 subjects comprising early stage lung cancer (i.e.,</w:t>
      </w:r>
      <w:r>
        <w:rPr>
          <w:rFonts w:ascii="Arial" w:cs="Arial" w:eastAsia="Arial" w:hAnsi="Arial"/>
          <w:sz w:val="17"/>
          <w:szCs w:val="17"/>
          <w:i w:val="1"/>
          <w:iCs w:val="1"/>
          <w:color w:val="auto"/>
        </w:rPr>
        <w:t xml:space="preserve"> </w:t>
      </w:r>
      <w:r>
        <w:rPr>
          <w:rFonts w:ascii="Arial" w:cs="Arial" w:eastAsia="Arial" w:hAnsi="Arial"/>
          <w:sz w:val="17"/>
          <w:szCs w:val="17"/>
          <w:color w:val="auto"/>
        </w:rPr>
        <w:t>Stages 1, 2 or 3) and age- and gender-matched non-cancer controls. Machine-learning-based classifiers were developed. Plotting the sensitivity and specificity levels of our classifiers in a receiver operating characteristic (ROC) curve, we achieved a mean Area Under the Curve (AUC) of 0.91 on a scale from 1.0 (i.e., perfect) to 0.5 (i.e., random), as shown in the left panel of the figure below. In the right panel of the figure below, we show the most important classifiers in the study, with accompanying OpenTargets scores, where a score of one represents a validated target for a drug that is on-market, and a score of zero represents a target with no known target validation data in the literature. In our study, our Proteograph identified proteins with high OpenTargets scores such as tubulin 1-alpha and syndecin 1; the former is the molecular target for paclitaxel used in first-line therapy for NSCLC, and the latter is a molecular target for an antibody-drug conjugate, indatuximab ravtansine, currently in clinical trials for different cancer types. Our Proteograph identified proteins with low OpenTargets scores, and these could represent novel biomarker candidates for therapeutics and diagnostics development. A study of this size can be completed using our Proteograph in a fraction of the time of conventional methods, thus highlighting the efficiency of our Proteograph in biomarker discovery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121" w:right="439" w:bottom="1440" w:gutter="0" w:footer="0" w:header="0"/>
        </w:sectPr>
      </w:pPr>
    </w:p>
    <w:bookmarkStart w:id="112" w:name="page113"/>
    <w:bookmarkEnd w:id="11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314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 Identification and Exploration</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Currently FDA-approved drugs are directed to 754 separate human proteins that are directly related to the mechanism of action for the drug, and there are 4,009 genes in the UniProt database that have experimental evidence for being involved in disease. We believe that large-scale access to protein variant information that map to different states of health and disease, as enabled by our Proteograph and concurrent advances in proteogenomics, has the potential to lead to the discovery of personalized drug targets that could reach the hundred thousand range. We believe that the translational application of our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 Applications</w:t>
      </w:r>
    </w:p>
    <w:p>
      <w:pPr>
        <w:spacing w:after="0" w:line="17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Clinical researchers can use our Proteograph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Proteograph may also be used to select and group patients in clinical studies based on their proteomics profiles. As our understanding of the complexity of biology increases with new data accrued from our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our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320" w:top="121" w:right="379" w:bottom="1440" w:gutter="0" w:footer="0" w:header="0"/>
        </w:sectPr>
      </w:pPr>
    </w:p>
    <w:bookmarkStart w:id="113" w:name="page114"/>
    <w:bookmarkEnd w:id="11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Diagnostic Applications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see significant opportunities for researchers to use our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our Proteograph potentially creating ecosystems, including proteomics and multi-omics based diagnostics in cancer and other complex disease areas. To help accelerate the future growth of this end-market, we recently spun-out a new company, PrognomIQ, that will leverage our Proteograph to develop multi-omics tests for health and disease. We expect that PrognomIQ will be our customer. We expect that our Proteograph will be used by other companies in the healthcare testing space, and we will support all of these customers as the ecosystem grows. We plan to enable our customers by providing our Proteograph for their basic research and translational research applications, as they develop their own diagnostic applications.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Applied Applications in Agriculture, Environmental and Food Safety</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Outside of the areas related to human health, we believe there are opportunities for our Proteograph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our Proteograph can complement and 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107"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92"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our Proteograph could complement existing biochemical approaches for tracking signals of contamination and food spoilage.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3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which we believe will help us drive the adoption of our Proteograph Product Suite in these applications.</w:t>
      </w:r>
    </w:p>
    <w:p>
      <w:pPr>
        <w:spacing w:after="0" w:line="1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320" w:top="121" w:right="379" w:bottom="1440" w:gutter="0" w:footer="0" w:header="0"/>
        </w:sectPr>
      </w:pPr>
    </w:p>
    <w:bookmarkStart w:id="114" w:name="page115"/>
    <w:bookmarkEnd w:id="11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transition services and support, including laboratory and office space to PrognomIQ during the transition period. We anticipate these services to continue through the first half of 2021.</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Proteograph Product Suite is an integrated solution comprising consumables, an automation instrument and software. We have developed our Proteograph to simplify and accelerate proteomics workflow, reduce labor and capital requirements, and deliver robust and reproducible performance. We will focus on growing the installed base of our Proteograph across a wide variety of customer types and driving applications, scale of experimentation and discoveries that lead to increasing utilization of our Proteograph by our customers.</w:t>
      </w:r>
    </w:p>
    <w:p>
      <w:pPr>
        <w:spacing w:after="0" w:line="13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our Proteograph automation instruments and associated consumables in line with typical purchases of other life science instrumentation and consumables. We intend to price our Proteograph Product Suite within the authorization range of most researchers who can directly make the buying decision, without the need for additional levels of approval, simplifying our sales process. For example, we intend to price our Proteograph automation instrument on a comparable basis to other similar automated fluid handling systems currently available. We anticipate pricing our Proteograph consumables, on a per sample basis, in a range similar to that of other life sciences consumables that provide deep and unbiased -omic information.</w:t>
      </w:r>
    </w:p>
    <w:p>
      <w:pPr>
        <w:spacing w:after="0" w:line="14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believe broad accessibility of MS instruments simplifies the adoption of our Proteograph Product Suite. We estimate that there are approximately 16,000 MS instruments with configurations typically used to perform proteomic analysis installed worldwide. We expect that many of our potential customers will have their own MS instrument, and for those who do not, will be able to outsource the MS portion of the Proteograph workflow to a third-party service provider.</w:t>
      </w:r>
    </w:p>
    <w:p>
      <w:pPr>
        <w:spacing w:after="0" w:line="133"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Proteograph technology and key applications in easy-to-access, easy-to-understand, and scientifically rigorous and credible ways. We also expect to partner with select service facilities and core labs globally and certify them as Centers of Excellence for our Proteograph. We expect these sites will become our customers and potentially provide fee-for service capabilities that allow interested parties to evaluate our Proteograph using their own samples. We expect that these Centers of Excellence will actively promote our Proteograph and its capabilities and help us further raise awareness.</w:t>
      </w:r>
    </w:p>
    <w:p>
      <w:pPr>
        <w:spacing w:after="0" w:line="1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To service our potential Proteograph customers, we will provide multiple levels of technical service for our Proteograph automation instruments, depending upon customer need. We recognize that excellent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320" w:top="121" w:right="399" w:bottom="1440" w:gutter="0" w:footer="0" w:header="0"/>
        </w:sectPr>
      </w:pPr>
    </w:p>
    <w:bookmarkStart w:id="115" w:name="page116"/>
    <w:bookmarkEnd w:id="11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can be a critical part of a customer experience, and we will invest accordingly in our technical and application support to achieve the desired levels of service.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Commercial Launch Plan</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intend to follow a three phase launch plan to commercialize our Proteograph. This approach has been successfully used to introduce transformative technologies in numerous life science sectors over many years, including in genomics with the roll-out of NGS products. We believe that this phased approach allows us to introduce the product in a measured way, demonstrate clear customer use-cases, help to ensure we are scaling and expanding in a way that delivers a positive and differentiated customer experience, and builds a prospective customer pipeline to provide visibility to future demand.</w:t>
      </w:r>
    </w:p>
    <w:p>
      <w:pPr>
        <w:spacing w:after="0" w:line="103" w:lineRule="exact"/>
        <w:rPr>
          <w:sz w:val="20"/>
          <w:szCs w:val="20"/>
          <w:color w:val="auto"/>
        </w:rPr>
      </w:pPr>
    </w:p>
    <w:p>
      <w:pPr>
        <w:ind w:left="660" w:right="40" w:hanging="328"/>
        <w:spacing w:after="0" w:line="290"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Collaboration phase: We began collaborating with two sites in the third quarter of 2020 and we expect to collaborate with additional sites as we expand and continue this phase in 2021. Our first Proteograph was delivered to one of our first collaborators in October 2020, and we delivered a second Proteograph to a collaborator in December 2020. We plan to complement these two initial collaborators with one or two additional collaborators in the genomics or multi-omics fields. We are targeting key opinion leaders who are highly-skilled at evaluating novel technologies and whose feedback can help us solidify our commercialization plans and processes. We will work with these collaborators to establish early models of impactful research and discovery that will highlight the unique capabilities and value proposition of our Proteograph. During this phase, we plan to provide our Proteograph automation instrument for a minimal fee and also provide consumables at a reduced price. The sites will be given the option to purchase the automation instrument at a reduced price following the completion of the collaboration phase.</w:t>
      </w:r>
    </w:p>
    <w:p>
      <w:pPr>
        <w:spacing w:after="0" w:line="111" w:lineRule="exact"/>
        <w:rPr>
          <w:rFonts w:ascii="Arial" w:cs="Arial" w:eastAsia="Arial" w:hAnsi="Arial"/>
          <w:sz w:val="16"/>
          <w:szCs w:val="16"/>
          <w:color w:val="auto"/>
        </w:rPr>
      </w:pPr>
    </w:p>
    <w:p>
      <w:pPr>
        <w:ind w:left="660" w:right="40" w:hanging="328"/>
        <w:spacing w:after="0" w:line="290"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Early access limited release: We expect to start the second phase of our commercial roll-out in 2021 in parallel with winding down the collaboration phase. In this second phase, we will expand to six to ten additional potential customers across our target segments, including key opinion leaders in proteomics as well those in genomics. We will primarily target customers who can scale quickly and demonstrate the power and utility of our Proteograph across a number of applications, such as discovery research, oncology, complex diseases, and proteogenomics. We believe these customers will become important reference sites and key influencers whose adoption of the technologies gives others a clear blueprint to follow. During this phase, we expect to broaden our commercial footprint to access and support an increasing number of customers and to set the foundation for the final phase of our commercial roll out. We plan to offer our Proteograph Product Suite to customers in the early access limited release phase at our proposed list price, with certain volume discounts for consumables consistent with industry standards.</w:t>
      </w:r>
    </w:p>
    <w:p>
      <w:pPr>
        <w:spacing w:after="0" w:line="111" w:lineRule="exact"/>
        <w:rPr>
          <w:rFonts w:ascii="Arial" w:cs="Arial" w:eastAsia="Arial" w:hAnsi="Arial"/>
          <w:sz w:val="16"/>
          <w:szCs w:val="16"/>
          <w:color w:val="auto"/>
        </w:rPr>
      </w:pPr>
    </w:p>
    <w:p>
      <w:pPr>
        <w:ind w:left="660" w:right="28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Broad commercial availability: We intend to build on the momentum we expect to have created through both the collaboration and early access limited release phases of our roll-out to provide for broad commercial availability in early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in the process of building out our commercial organization and we expect to have direct commercial staff in marketing, sales, customer success, and technical support functions. We will scale each function within our commercial organization in anticipation of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expect to initially target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our Proteograph does not have a large capital expenditure component, can leverage the existing installed base of MS instruments and complements large-scale genomics data ecosystems.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21" w:right="339" w:bottom="1440" w:gutter="0" w:footer="0" w:header="0"/>
        </w:sectPr>
      </w:pPr>
    </w:p>
    <w:bookmarkStart w:id="116" w:name="page117"/>
    <w:bookmarkEnd w:id="11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Manufacturing</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life sciences technology industry is characterized by rapidly advancing technologies, intense competition and a strong emphasis on intellectual property. Today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our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1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Current companies that provide proteomics products include Agilent Technologies, Bio-Rad Laboratories, Danaher, Luminex, Merck (and its subsidiary MilliporeSigma)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and SomaLogic.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1" w:right="339" w:bottom="1440" w:gutter="0" w:footer="0" w:header="0"/>
        </w:sectPr>
      </w:pPr>
    </w:p>
    <w:bookmarkStart w:id="117" w:name="page118"/>
    <w:bookmarkEnd w:id="11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320" w:top="121" w:right="399" w:bottom="1440" w:gutter="0" w:footer="0" w:header="0"/>
        </w:sectPr>
      </w:pPr>
    </w:p>
    <w:bookmarkStart w:id="118" w:name="page119"/>
    <w:bookmarkEnd w:id="11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special controls together, are sufficient to provide a reasonable assurance of the device’s safety and effectiveness. The de novo classification route is generally less burdensome than the PMA approval process.</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21" w:right="359" w:bottom="1440" w:gutter="0" w:footer="0" w:header="0"/>
        </w:sectPr>
      </w:pPr>
    </w:p>
    <w:bookmarkStart w:id="119" w:name="page120"/>
    <w:bookmarkEnd w:id="11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03"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For further discussion of the risks we face relating to regulation, see the section titled “Risk factors—Risks related to our business and industry—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Arial" w:cs="Arial" w:eastAsia="Arial" w:hAnsi="Arial"/>
          <w:sz w:val="17"/>
          <w:szCs w:val="17"/>
          <w:color w:val="auto"/>
        </w:rPr>
        <w:t>.”</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21" w:right="359" w:bottom="1440" w:gutter="0" w:footer="0" w:header="0"/>
        </w:sectPr>
      </w:pPr>
    </w:p>
    <w:bookmarkStart w:id="120" w:name="page121"/>
    <w:bookmarkEnd w:id="12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0"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342"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 xml:space="preserve">For further discussion of the risks we face relating to regulation, see the section titled “Risk factors—Risks related to our business and industry—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2020, we own approximately two issued U.S. patents, eight U.S. pending patent applications and four pending Patent Cooperation Treaty (PCT) patent applications. Our owned patents and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21" w:right="359" w:bottom="1440" w:gutter="0" w:footer="0" w:header="0"/>
        </w:sectPr>
      </w:pPr>
    </w:p>
    <w:bookmarkStart w:id="121" w:name="page122"/>
    <w:bookmarkEnd w:id="12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applications, if issued, are expected to expire between 2023 and 2041, in each case without taking into account any possible patent term adjustments or extensions and assuming payment of all appropriate maintenance, renewal, annuity, or other governmental fees.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such patent portfolio owned by us includes:</w:t>
      </w:r>
    </w:p>
    <w:p>
      <w:pPr>
        <w:spacing w:after="0" w:line="171" w:lineRule="exact"/>
        <w:rPr>
          <w:sz w:val="20"/>
          <w:szCs w:val="20"/>
          <w:color w:val="auto"/>
        </w:rPr>
      </w:pPr>
    </w:p>
    <w:p>
      <w:pPr>
        <w:ind w:left="660" w:right="8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pending U.S. and PCT patent applications that are directed to methods for sampling a proteome at specific levels of protein coverage, methods for sampling a proteome under particular assay conditions, and nanoparticle compositions for the same;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pending U.S. patent applications that are directed to methods for interrogating protein pathways and PPIs with the biosensors;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issued U.S. patent and a pending U.S. patent application directed to the classification of biological states; and</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issued U.S. patent and a pending PCT patent application directed to methods for biomarker discovery, including an algorithm-based method that uses data sampled by the biosensor platform.</w:t>
      </w:r>
    </w:p>
    <w:p>
      <w:pPr>
        <w:spacing w:after="0" w:line="11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We exclusively license from The Brigham and Women’s Hospital, Inc. (BWH), two issued U.S. patents, five U.S. pending patent applications, one issued ex-U.S. patent and eight ex-U.S. pending patent applications, as of September 30, 2020.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Arial" w:cs="Arial" w:eastAsia="Arial" w:hAnsi="Arial"/>
          <w:sz w:val="18"/>
          <w:szCs w:val="18"/>
          <w:i w:val="1"/>
          <w:iCs w:val="1"/>
          <w:color w:val="auto"/>
        </w:rPr>
        <w:t>“Business —Collaboration and License Agreements.”</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22" w:name="page123"/>
    <w:bookmarkEnd w:id="12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Arial" w:cs="Arial" w:eastAsia="Arial" w:hAnsi="Arial"/>
          <w:sz w:val="18"/>
          <w:szCs w:val="18"/>
          <w:i w:val="1"/>
          <w:iCs w:val="1"/>
          <w:color w:val="auto"/>
        </w:rPr>
        <w:t>“Risk factors—Risks Related to our Intellectual Property.”</w:t>
      </w:r>
    </w:p>
    <w:p>
      <w:pPr>
        <w:spacing w:after="0" w:line="126" w:lineRule="exact"/>
        <w:rPr>
          <w:sz w:val="20"/>
          <w:szCs w:val="20"/>
          <w:color w:val="auto"/>
        </w:rPr>
      </w:pPr>
    </w:p>
    <w:p>
      <w:pPr>
        <w:jc w:val="right"/>
        <w:ind w:right="8240"/>
        <w:spacing w:after="0"/>
        <w:rPr>
          <w:sz w:val="20"/>
          <w:szCs w:val="20"/>
          <w:color w:val="auto"/>
        </w:rPr>
      </w:pPr>
      <w:r>
        <w:rPr>
          <w:rFonts w:ascii="Arial" w:cs="Arial" w:eastAsia="Arial" w:hAnsi="Arial"/>
          <w:sz w:val="16"/>
          <w:szCs w:val="16"/>
          <w:b w:val="1"/>
          <w:bCs w:val="1"/>
          <w:color w:val="auto"/>
        </w:rPr>
        <w:t>Collaboration and License Agreements</w:t>
      </w:r>
    </w:p>
    <w:p>
      <w:pPr>
        <w:spacing w:after="0" w:line="198" w:lineRule="exact"/>
        <w:rPr>
          <w:sz w:val="20"/>
          <w:szCs w:val="20"/>
          <w:color w:val="auto"/>
        </w:rPr>
      </w:pPr>
    </w:p>
    <w:p>
      <w:pPr>
        <w:jc w:val="right"/>
        <w:ind w:right="8200"/>
        <w:spacing w:after="0"/>
        <w:rPr>
          <w:sz w:val="20"/>
          <w:szCs w:val="20"/>
          <w:color w:val="auto"/>
        </w:rPr>
      </w:pPr>
      <w:r>
        <w:rPr>
          <w:rFonts w:ascii="Arial" w:cs="Arial" w:eastAsia="Arial" w:hAnsi="Arial"/>
          <w:sz w:val="17"/>
          <w:szCs w:val="17"/>
          <w:b w:val="1"/>
          <w:bCs w:val="1"/>
          <w:i w:val="1"/>
          <w:iCs w:val="1"/>
          <w:color w:val="auto"/>
        </w:rPr>
        <w:t>The Brigham and Women’s Hospital</w:t>
      </w:r>
    </w:p>
    <w:p>
      <w:pPr>
        <w:spacing w:after="0" w:line="183"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mid 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3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1" w:right="339" w:bottom="1440" w:gutter="0" w:footer="0" w:header="0"/>
        </w:sectPr>
      </w:pPr>
    </w:p>
    <w:bookmarkStart w:id="123" w:name="page124"/>
    <w:bookmarkEnd w:id="12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sales of sublicensed products beginning with the first commercial sale of a sublicensed product during the term of the intellectual property sublicense agreement.</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3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the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Collaborators</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Oregon Health &amp; Science University (OHSU), an academic health center, and The Broad Institute of MIT and Harvard (Broad Institute), a biomedical and genomic research center, are our collaborators. Researchers at OHSU are using our product to facilitate various research efforts focused on proteomic profiling of various oncology versus control samples to determine protein signatures common between various cancer samples versus signatures found in control samples. Researchers at the Broad Institute intend to use our product to analyze protein signatures in diseased vs. non-diseased samples undergoing drug perturbations in various clinical applications including cardiovascular disease.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Mark McClellan, Ph.D., M.D., Wolfgang Parak, Ph.D., Ralph Weissleder, M.D. and Luiz Diaz, M.D.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December 31, 2020, we had 60 employees, all based in the United States, many of whom hold doctorate degrees. Of these employees, 48 were engaged in in research and development activities, and 22 were engaged in selling, general and administrative activities. None of our employees are represented by a labor union or covered under a collective bargaining agreement.</w:t>
      </w:r>
    </w:p>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21" w:right="339" w:bottom="1440" w:gutter="0" w:footer="0" w:header="0"/>
        </w:sectPr>
      </w:pPr>
    </w:p>
    <w:bookmarkStart w:id="124" w:name="page125"/>
    <w:bookmarkEnd w:id="12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corporate headquarters, research and development facilities, and manufacturing and distribution centers are located at 3800 Bridge Parkway, Redwood City, CA 94065. The facility is approximately 25,600 square feet and is compliant with all relevant state and federal requirements. Our lease on this facility runs through February 2032. We do not own any real property and believe that our current facilities are sufficient to meet our ongoing needs and that, if we require additional space, we will be able to obtain additional facilities on commercially reasonable terms.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121" w:right="499" w:bottom="1440" w:gutter="0" w:footer="0" w:header="0"/>
        </w:sectPr>
      </w:pPr>
    </w:p>
    <w:bookmarkStart w:id="125" w:name="page126"/>
    <w:bookmarkEnd w:id="12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Omid Farokhzad, M.D.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David R. Horn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Omead Ostadan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President, Chief Operating Officer and 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Elona Kogan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0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David Hallal</w:t>
            </w:r>
            <w:r>
              <w:rPr>
                <w:rFonts w:ascii="Arial" w:cs="Arial" w:eastAsia="Arial" w:hAnsi="Arial"/>
                <w:sz w:val="23"/>
                <w:szCs w:val="23"/>
                <w:color w:val="auto"/>
                <w:vertAlign w:val="superscript"/>
              </w:rPr>
              <w:t>(2)(3)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(1)(3)</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Robert Langer, Sc.D.</w:t>
            </w:r>
            <w:r>
              <w:rPr>
                <w:rFonts w:ascii="Arial" w:cs="Arial" w:eastAsia="Arial" w:hAnsi="Arial"/>
                <w:sz w:val="23"/>
                <w:szCs w:val="23"/>
                <w:color w:val="auto"/>
                <w:vertAlign w:val="superscript"/>
              </w:rPr>
              <w:t>(3)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Terrance McGuire</w:t>
            </w:r>
            <w:r>
              <w:rPr>
                <w:rFonts w:ascii="Arial" w:cs="Arial" w:eastAsia="Arial" w:hAnsi="Arial"/>
                <w:sz w:val="23"/>
                <w:szCs w:val="23"/>
                <w:color w:val="auto"/>
                <w:vertAlign w:val="superscript"/>
              </w:rPr>
              <w:t>(1)(2)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51"/>
        </w:trPr>
        <w:tc>
          <w:tcPr>
            <w:tcW w:w="4520" w:type="dxa"/>
            <w:vAlign w:val="bottom"/>
            <w:gridSpan w:val="2"/>
          </w:tcPr>
          <w:p>
            <w:pPr>
              <w:ind w:left="240"/>
              <w:spacing w:after="0" w:line="252" w:lineRule="exact"/>
              <w:rPr>
                <w:sz w:val="20"/>
                <w:szCs w:val="20"/>
                <w:color w:val="auto"/>
              </w:rPr>
            </w:pPr>
            <w:r>
              <w:rPr>
                <w:rFonts w:ascii="Arial" w:cs="Arial" w:eastAsia="Arial" w:hAnsi="Arial"/>
                <w:sz w:val="18"/>
                <w:szCs w:val="18"/>
                <w:color w:val="auto"/>
              </w:rPr>
              <w:t>David Singer</w:t>
            </w:r>
            <w:r>
              <w:rPr>
                <w:rFonts w:ascii="Arial" w:cs="Arial" w:eastAsia="Arial" w:hAnsi="Arial"/>
                <w:sz w:val="23"/>
                <w:szCs w:val="23"/>
                <w:color w:val="auto"/>
                <w:vertAlign w:val="superscript"/>
              </w:rPr>
              <w:t>(1)(2)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74"/>
        </w:trPr>
        <w:tc>
          <w:tcPr>
            <w:tcW w:w="44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spacing w:after="0"/>
              <w:rPr>
                <w:sz w:val="15"/>
                <w:szCs w:val="15"/>
                <w:color w:val="auto"/>
              </w:rPr>
            </w:pPr>
          </w:p>
        </w:tc>
      </w:tr>
    </w:tbl>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Member of the corporate governance and nominating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i w:val="1"/>
          <w:iCs w:val="1"/>
          <w:color w:val="auto"/>
        </w:rPr>
        <w:t xml:space="preserve">Omid Farokhzad, M.D. </w:t>
      </w:r>
      <w:r>
        <w:rPr>
          <w:rFonts w:ascii="Arial" w:cs="Arial" w:eastAsia="Arial" w:hAnsi="Arial"/>
          <w:sz w:val="17"/>
          <w:szCs w:val="17"/>
          <w:color w:val="auto"/>
        </w:rPr>
        <w:t>co-founded our Company and has served as our Chief Executive Officer since February 2018 and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since March 2017, serving as the Chair since September 2020.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Dr. Farokhzad holds an M.A. and M.D. from Boston University and an M.B.A. from Massachusetts Institute of Technology Sloan School of Management. 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2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 xml:space="preserve">David R. Horn </w:t>
      </w:r>
      <w:r>
        <w:rPr>
          <w:rFonts w:ascii="Arial" w:cs="Arial" w:eastAsia="Arial" w:hAnsi="Arial"/>
          <w:sz w:val="18"/>
          <w:szCs w:val="18"/>
          <w:color w:val="auto"/>
        </w:rPr>
        <w:t>has served as our Chief Financial Officer since May 2020. Prior to joining us, Mr. Horn was with Morgan Stanley, an investment bank</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3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Omead Ostadan </w:t>
      </w:r>
      <w:r>
        <w:rPr>
          <w:rFonts w:ascii="Arial" w:cs="Arial" w:eastAsia="Arial" w:hAnsi="Arial"/>
          <w:sz w:val="18"/>
          <w:szCs w:val="18"/>
          <w:color w:val="auto"/>
        </w:rPr>
        <w:t>has served as our President and Chief Operating Officer since July 2020 and as a member of our board of directors since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us, Mr. Ostadan was with Illumina, Inc., a biotechnology company, from January 2007 to June 2020 where he served in various executive roles, most recently as Senior Vice President &amp; Chief Products and Marketing Officer from July 2019 to June 2020 and Senior Vice President, Products &amp; Marketing from April 2015 to June 2019. Mr. Ostadan holds a B.Sc in Biochemistry from the University of California, Davis and an M.B.A from the Wharton School of Business. We believe Mr. Ostadan is qualified to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21" w:right="339" w:bottom="1440" w:gutter="0" w:footer="0" w:header="0"/>
        </w:sectPr>
      </w:pPr>
    </w:p>
    <w:bookmarkStart w:id="126" w:name="page127"/>
    <w:bookmarkEnd w:id="12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our board of directors because of his extensive experience in product development at life science companies, his leadership skills, as well as his strong strategic planning and product knowledge.</w:t>
      </w:r>
    </w:p>
    <w:p>
      <w:pPr>
        <w:spacing w:after="0" w:line="11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Elona Kogan </w:t>
      </w:r>
      <w:r>
        <w:rPr>
          <w:rFonts w:ascii="Arial" w:cs="Arial" w:eastAsia="Arial" w:hAnsi="Arial"/>
          <w:sz w:val="17"/>
          <w:szCs w:val="17"/>
          <w:color w:val="auto"/>
        </w:rPr>
        <w:t>has served as our General Counsel and Secretary since November 2020. Prior to joining us, Ms. Kogan served as General Counsel and</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also a member of the board of Cardax, Inc. and serves as the Chairperson of the Compensation Committee and a member of the Audit Committee. Ms. Kogan is a graduate of the SCALE program at Southwestern University School of Law. Ms. Kogan graduated cum laude from Columbia University, Barnard College, with a B.A. in Economics.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David Hallal </w:t>
      </w:r>
      <w:r>
        <w:rPr>
          <w:rFonts w:ascii="Arial" w:cs="Arial" w:eastAsia="Arial" w:hAnsi="Arial"/>
          <w:sz w:val="18"/>
          <w:szCs w:val="18"/>
          <w:color w:val="auto"/>
        </w:rPr>
        <w:t>has served as a member of our board of directors since February 2018 and as Lead Independent Director since September 2020. Mr.</w:t>
      </w:r>
      <w:r>
        <w:rPr>
          <w:rFonts w:ascii="Arial" w:cs="Arial" w:eastAsia="Arial" w:hAnsi="Arial"/>
          <w:sz w:val="18"/>
          <w:szCs w:val="18"/>
          <w:i w:val="1"/>
          <w:iCs w:val="1"/>
          <w:color w:val="auto"/>
        </w:rPr>
        <w:t xml:space="preserve"> </w:t>
      </w:r>
      <w:r>
        <w:rPr>
          <w:rFonts w:ascii="Arial" w:cs="Arial" w:eastAsia="Arial" w:hAnsi="Arial"/>
          <w:sz w:val="18"/>
          <w:szCs w:val="18"/>
          <w:color w:val="auto"/>
        </w:rPr>
        <w:t>Hallal has served as Chief 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 We believe Mr. Hallal is qualified to serve on our board of directors because of his extensive business experience and knowledge of company operations, and his experience working with companies in the life sciences industry.</w:t>
      </w:r>
    </w:p>
    <w:p>
      <w:pPr>
        <w:spacing w:after="0" w:line="13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Catherine J. Friedman </w:t>
      </w:r>
      <w:r>
        <w:rPr>
          <w:rFonts w:ascii="Arial" w:cs="Arial" w:eastAsia="Arial" w:hAnsi="Arial"/>
          <w:sz w:val="17"/>
          <w:szCs w:val="17"/>
          <w:color w:val="auto"/>
        </w:rPr>
        <w:t>has served as a member of our board of directors since September 2020. Ms. Friedman has been an independent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as Chairperson of the board at GRAIL, Inc., a cancer testing company, and on the board of directors of Altaba Inc., a closed-end management investment company (formerly Yahoo! Inc.), and Radius Health, Inc., a biopharmaceutical company. Ms. Friedman previously served on the board of directors of EnteroMedics, Inc., GSV Capital Corp., Innoviva, Inc. (formerly Theravance, Inc.), and XenoPort, Inc. She holds an A.B. in Economics from Harvard University and an M.B.A. from the University of Virginia Darden School of Business, where she serves as a member of the Darden School Foundation Board of Trustees. We believe Ms. Friedman is qualified to serve on our board of directors because of her financial expertise, 23-year tenure as an investment banker and extensive experience serving as a member on other public company boards.</w:t>
      </w:r>
    </w:p>
    <w:p>
      <w:pPr>
        <w:spacing w:after="0" w:line="1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Robert Langer, Sc.D. </w:t>
      </w:r>
      <w:r>
        <w:rPr>
          <w:rFonts w:ascii="Arial" w:cs="Arial" w:eastAsia="Arial" w:hAnsi="Arial"/>
          <w:sz w:val="18"/>
          <w:szCs w:val="18"/>
          <w:color w:val="auto"/>
        </w:rPr>
        <w:t>has served as a member of our board of directors since December 2017. Dr. Langer has served as an Institute Professor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Institute of Technology since July 2005. He currently serves on the board of directors of Abpro Bio Co. Ltd., Frequency Therapeutics, Inc., Moderna, Inc. and Puretech Health plc, and previously served on the board of directors of Alkermes, Inc., Lyra Therapeutics, Inc., Kala Pharmaceuticals, Inc., Momenta Pharmaceuticals, Inc., Millipore Corp., Rubius Therapeutics and Wyeth. Dr. Langer holds a B.S. in Chemical Engineering from Cornell University and an Sc.D. in Chemical Engineering from Massachusetts Institute of Technology. We believe Dr. Langer is qualified to serve on our board of directors because of his pioneering academic work, extensive medical and scientific knowledge, and experience serving on public company boards of directors.</w:t>
      </w:r>
    </w:p>
    <w:p>
      <w:pPr>
        <w:spacing w:after="0" w:line="14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 xml:space="preserve">Terrance McGuire </w:t>
      </w:r>
      <w:r>
        <w:rPr>
          <w:rFonts w:ascii="Arial" w:cs="Arial" w:eastAsia="Arial" w:hAnsi="Arial"/>
          <w:sz w:val="18"/>
          <w:szCs w:val="18"/>
          <w:color w:val="auto"/>
        </w:rPr>
        <w:t>has served as a member of our board of directors since December 2017. Mr. McGuire serves as a General Partner of Polaris</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a venture capital firm he co-founded in 1996. He currently serves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320" w:top="121" w:right="379" w:bottom="1440" w:gutter="0" w:footer="0" w:header="0"/>
        </w:sectPr>
      </w:pPr>
    </w:p>
    <w:bookmarkStart w:id="127" w:name="page128"/>
    <w:bookmarkEnd w:id="12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board of directors of Alector, Inc. and Cyclerion, Inc., and previously served on the board of directors of Acceleron Pharma, Inc., Arsanis, Inc., Ironwood Pharmaceuticals, Inc. and Pulmatrix, Inc. Mr. McGuire also serves as a member of the board of The David H. Koch Institute for Integrative Cancer Research at the Massachusetts Institute of Technology,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 We believe Mr. McGuire is qualified to serve on our board of directors because of his substantial corporate development and business strategy expertise gained in the venture capital industry.</w:t>
      </w:r>
    </w:p>
    <w:p>
      <w:pPr>
        <w:spacing w:after="0" w:line="14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David B. Singe</w:t>
      </w:r>
      <w:r>
        <w:rPr>
          <w:rFonts w:ascii="Arial" w:cs="Arial" w:eastAsia="Arial" w:hAnsi="Arial"/>
          <w:sz w:val="17"/>
          <w:szCs w:val="17"/>
          <w:color w:val="auto"/>
        </w:rPr>
        <w:t>r has served as a member of our board of directors since December 2017. Mr. Singer has held various positions at Maverick Ventures,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or its affiliates, since December 2004, including Managing Partner of Maverick Ventures since February 2015. Mr. Singer currently serves on the board of directors of 1Life Healthcare, Inc. (OneMedical), Castlight Health, Inc. and several privately-held companies. Previously, Mr. Singer served on the board of four other public companies, including Pacific BioSciences of California, Inc. and Affymetrix, Inc., where he was the founding CEO. He previously served as a health commissioner of San Francisco and a member of the San Francisco General Hospital Joint Conference Committee from July 2013 to January 2017. He holds a B.A. in History from Yale University and an M.B.A. from Stanford University. We believe Mr. Singer is qualified to serve on our board of directors because of his knowledge of the healthcare industry and his substantial corporate development and business strategy expertise gained in the venture capital industry.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board of directors currently consists of seven members.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1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with staggered three-year terms. Only one class of directors will be elected at each annual meeting of stockholders, with the other classes continuing for the remainder of their respective three-year terms. Our current directors are divided among the three classes as follows:</w:t>
      </w:r>
    </w:p>
    <w:p>
      <w:pPr>
        <w:spacing w:after="0" w:line="130" w:lineRule="exact"/>
        <w:rPr>
          <w:sz w:val="20"/>
          <w:szCs w:val="20"/>
          <w:color w:val="auto"/>
        </w:rPr>
      </w:pPr>
    </w:p>
    <w:p>
      <w:pPr>
        <w:ind w:left="660" w:right="22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Class I directors are Catherine Friedman and Omead Ostadan, and their terms will expire at the annual meeting of stockholders to be held in 2021;</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Class II directors are Robert Langer Sc.D. and David Singer, and their terms will expire at the annual meeting of stockholders to be held in 2022; and</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Class III directors are Omid Farokhzad, M.D., David Hallal and Terrance McGuire, and their terms will expire at the annual meeting of stockholders to be held in 2023.</w:t>
      </w:r>
    </w:p>
    <w:p>
      <w:pPr>
        <w:spacing w:after="0" w:line="116"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6"/>
          <w:szCs w:val="16"/>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03" w:lineRule="exact"/>
        <w:rPr>
          <w:sz w:val="20"/>
          <w:szCs w:val="20"/>
          <w:color w:val="auto"/>
        </w:rPr>
      </w:pPr>
    </w:p>
    <w:p>
      <w:pPr>
        <w:ind w:right="1860" w:firstLine="324"/>
        <w:spacing w:after="0" w:line="438" w:lineRule="auto"/>
        <w:rPr>
          <w:sz w:val="20"/>
          <w:szCs w:val="20"/>
          <w:color w:val="auto"/>
        </w:rPr>
      </w:pPr>
      <w:r>
        <w:rPr>
          <w:rFonts w:ascii="Arial" w:cs="Arial" w:eastAsia="Arial" w:hAnsi="Arial"/>
          <w:sz w:val="18"/>
          <w:szCs w:val="18"/>
          <w:color w:val="auto"/>
        </w:rPr>
        <w:t xml:space="preserve">This classification of our board of directors may have the effect of delaying or preventing changes in control of our company. </w:t>
      </w:r>
      <w:r>
        <w:rPr>
          <w:rFonts w:ascii="Arial" w:cs="Arial" w:eastAsia="Arial" w:hAnsi="Arial"/>
          <w:sz w:val="18"/>
          <w:szCs w:val="18"/>
          <w:b w:val="1"/>
          <w:bCs w:val="1"/>
          <w:color w:val="auto"/>
        </w:rPr>
        <w:t>Director Independence</w:t>
      </w:r>
    </w:p>
    <w:p>
      <w:pPr>
        <w:spacing w:after="0" w:line="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Under the rules of Nasdaq, independent directors must comprise a majority of a listed company’s board of directors within one year of our initial public offering. In addition, the rules of Nasdaq require that,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121" w:right="359" w:bottom="1440" w:gutter="0" w:footer="0" w:header="0"/>
        </w:sectPr>
      </w:pPr>
    </w:p>
    <w:bookmarkStart w:id="128" w:name="page129"/>
    <w:bookmarkEnd w:id="12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4"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3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Catherine Friedman, David Hallal, Terrance McGuire and David Singer, representing a majority of our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10"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21" w:right="339" w:bottom="1440" w:gutter="0" w:footer="0" w:header="0"/>
        </w:sectPr>
      </w:pPr>
    </w:p>
    <w:bookmarkStart w:id="129" w:name="page130"/>
    <w:bookmarkEnd w:id="12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members of our audit committee are Catherine Friedman, Terrance McGuire and David Singer. Catherine Friedman is the chair of our audit committee and is an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1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related-party transactions; and</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16" w:lineRule="exact"/>
        <w:rPr>
          <w:sz w:val="20"/>
          <w:szCs w:val="20"/>
          <w:color w:val="auto"/>
        </w:rPr>
      </w:pPr>
    </w:p>
    <w:p>
      <w:pPr>
        <w:ind w:left="340" w:right="960"/>
        <w:spacing w:after="0" w:line="438" w:lineRule="auto"/>
        <w:rPr>
          <w:sz w:val="20"/>
          <w:szCs w:val="20"/>
          <w:color w:val="auto"/>
        </w:rPr>
      </w:pPr>
      <w:r>
        <w:rPr>
          <w:rFonts w:ascii="Arial" w:cs="Arial" w:eastAsia="Arial" w:hAnsi="Arial"/>
          <w:sz w:val="18"/>
          <w:szCs w:val="18"/>
          <w:color w:val="auto"/>
        </w:rPr>
        <w:t xml:space="preserve">Our audit committee operates under a written charter, which satisfies the applicable rules of the SEC and the listing standards of Nasdaq. </w:t>
      </w:r>
      <w:r>
        <w:rPr>
          <w:rFonts w:ascii="Arial" w:cs="Arial" w:eastAsia="Arial" w:hAnsi="Arial"/>
          <w:sz w:val="18"/>
          <w:szCs w:val="18"/>
          <w:b w:val="1"/>
          <w:bCs w:val="1"/>
          <w:i w:val="1"/>
          <w:iCs w:val="1"/>
          <w:color w:val="auto"/>
        </w:rPr>
        <w:t>Compensation Committee</w:t>
      </w:r>
    </w:p>
    <w:p>
      <w:pPr>
        <w:spacing w:after="0" w:line="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members of our compensation committee are Terrance McGuire, David Hallal and David Singer. Terrance McGuire is the chair of our compensation committee. Our compensation committee oversees our compensation policies, plans and benefits programs. The compensation committee will also:</w:t>
      </w:r>
    </w:p>
    <w:p>
      <w:pPr>
        <w:spacing w:after="0" w:line="13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121" w:right="439" w:bottom="1440" w:gutter="0" w:footer="0" w:header="0"/>
        </w:sectPr>
      </w:pPr>
    </w:p>
    <w:bookmarkStart w:id="130" w:name="page131"/>
    <w:bookmarkEnd w:id="13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171" w:lineRule="exact"/>
        <w:rPr>
          <w:sz w:val="20"/>
          <w:szCs w:val="20"/>
          <w:color w:val="auto"/>
        </w:rPr>
      </w:pPr>
    </w:p>
    <w:p>
      <w:pPr>
        <w:ind w:left="340" w:right="420"/>
        <w:spacing w:after="0" w:line="438" w:lineRule="auto"/>
        <w:rPr>
          <w:sz w:val="20"/>
          <w:szCs w:val="20"/>
          <w:color w:val="auto"/>
        </w:rPr>
      </w:pPr>
      <w:r>
        <w:rPr>
          <w:rFonts w:ascii="Arial" w:cs="Arial" w:eastAsia="Arial" w:hAnsi="Arial"/>
          <w:sz w:val="18"/>
          <w:szCs w:val="18"/>
          <w:color w:val="auto"/>
        </w:rPr>
        <w:t xml:space="preserve">Our compensation committee operates under a written charter, which satisfies the applicable rules of the SEC and the listing standards of Nasdaq. </w:t>
      </w:r>
      <w:r>
        <w:rPr>
          <w:rFonts w:ascii="Arial" w:cs="Arial" w:eastAsia="Arial" w:hAnsi="Arial"/>
          <w:sz w:val="18"/>
          <w:szCs w:val="18"/>
          <w:b w:val="1"/>
          <w:bCs w:val="1"/>
          <w:i w:val="1"/>
          <w:iCs w:val="1"/>
          <w:color w:val="auto"/>
        </w:rPr>
        <w:t>Corporate Governance and Nominating Committee</w:t>
      </w:r>
    </w:p>
    <w:p>
      <w:pPr>
        <w:spacing w:after="0" w:line="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members of our corporate governance and nominating committee are David Hallal, Catherine Friedman and Robert Langer, Sc.D. David Hallal is the chair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95" w:lineRule="exact"/>
        <w:rPr>
          <w:sz w:val="20"/>
          <w:szCs w:val="20"/>
          <w:color w:val="auto"/>
        </w:rPr>
      </w:pPr>
    </w:p>
    <w:p>
      <w:pPr>
        <w:ind w:left="660" w:right="84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corporate governance and nominating committee operates under a written charter, which satisfies the applicable rules of the SEC and the listing standards of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 Compensation</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also reimburse each member of our scientific advisory board for all reasonable and necessary expenses in connection with the performance of his or her services. In addition, we grant each new member an option to purchase shares of our Class A common stock. In the future, we may make additional grants to our scientific advisory board members for continued service on the scientific advisory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right="440" w:firstLine="324"/>
        <w:spacing w:after="0" w:line="342" w:lineRule="auto"/>
        <w:rPr>
          <w:sz w:val="20"/>
          <w:szCs w:val="20"/>
          <w:color w:val="auto"/>
        </w:rPr>
      </w:pPr>
      <w:r>
        <w:rPr>
          <w:rFonts w:ascii="Arial" w:cs="Arial" w:eastAsia="Arial" w:hAnsi="Arial"/>
          <w:sz w:val="16"/>
          <w:szCs w:val="16"/>
          <w:color w:val="auto"/>
        </w:rPr>
        <w:t>Our employee director, Dr. Farokhzad, did not receive any compensation for his service as a director for the year ended December 31, 2020. The compensation received by Dr. Farokhzad as an employee is set forth in the section titled “Executive Compensation—Summary Compensation Table.”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the compensation of our non-employee directors for service as directors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Fees Earned or Paid in</w:t>
            </w:r>
          </w:p>
        </w:tc>
        <w:tc>
          <w:tcPr>
            <w:tcW w:w="15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Arial" w:cs="Arial" w:eastAsia="Arial" w:hAnsi="Arial"/>
                <w:sz w:val="14"/>
                <w:szCs w:val="14"/>
                <w:b w:val="1"/>
                <w:bCs w:val="1"/>
                <w:color w:val="auto"/>
              </w:rPr>
              <w:t>All Other</w:t>
            </w:r>
          </w:p>
        </w:tc>
        <w:tc>
          <w:tcPr>
            <w:tcW w:w="15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Cash($)</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738,398</w:t>
            </w:r>
          </w:p>
        </w:tc>
        <w:tc>
          <w:tcPr>
            <w:tcW w:w="1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743,465</w:t>
            </w:r>
          </w:p>
        </w:tc>
        <w:tc>
          <w:tcPr>
            <w:tcW w:w="0" w:type="dxa"/>
            <w:vAlign w:val="bottom"/>
          </w:tcPr>
          <w:p>
            <w:pPr>
              <w:spacing w:after="0"/>
              <w:rPr>
                <w:sz w:val="1"/>
                <w:szCs w:val="1"/>
                <w:color w:val="auto"/>
              </w:rPr>
            </w:pP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David Hallal</w:t>
            </w:r>
          </w:p>
        </w:tc>
        <w:tc>
          <w:tcPr>
            <w:tcW w:w="1560" w:type="dxa"/>
            <w:vAlign w:val="bottom"/>
          </w:tcPr>
          <w:p>
            <w:pPr>
              <w:jc w:val="right"/>
              <w:spacing w:after="0"/>
              <w:rPr>
                <w:sz w:val="20"/>
                <w:szCs w:val="20"/>
                <w:color w:val="auto"/>
              </w:rPr>
            </w:pPr>
            <w:r>
              <w:rPr>
                <w:rFonts w:ascii="Arial" w:cs="Arial" w:eastAsia="Arial" w:hAnsi="Arial"/>
                <w:sz w:val="18"/>
                <w:szCs w:val="18"/>
                <w:color w:val="auto"/>
              </w:rPr>
              <w:t>5,925</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617,782</w:t>
            </w:r>
          </w:p>
        </w:tc>
        <w:tc>
          <w:tcPr>
            <w:tcW w:w="100" w:type="dxa"/>
            <w:vAlign w:val="bottom"/>
          </w:tcPr>
          <w:p>
            <w:pPr>
              <w:spacing w:after="0"/>
              <w:rPr>
                <w:sz w:val="21"/>
                <w:szCs w:val="21"/>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623,707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983,707</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3"/>
              </w:rPr>
              <w:t>75,000</w:t>
            </w:r>
            <w:r>
              <w:rPr>
                <w:rFonts w:ascii="Arial" w:cs="Arial" w:eastAsia="Arial" w:hAnsi="Arial"/>
                <w:sz w:val="23"/>
                <w:szCs w:val="23"/>
                <w:color w:val="auto"/>
                <w:w w:val="83"/>
                <w:vertAlign w:val="superscript"/>
              </w:rPr>
              <w:t>(3)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1,062,215</w:t>
            </w:r>
          </w:p>
        </w:tc>
        <w:tc>
          <w:tcPr>
            <w:tcW w:w="0" w:type="dxa"/>
            <w:vAlign w:val="bottom"/>
          </w:tcPr>
          <w:p>
            <w:pPr>
              <w:spacing w:after="0"/>
              <w:rPr>
                <w:sz w:val="1"/>
                <w:szCs w:val="1"/>
                <w:color w:val="auto"/>
              </w:rPr>
            </w:pPr>
          </w:p>
        </w:tc>
      </w:tr>
      <w:tr>
        <w:trPr>
          <w:trHeight w:val="27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(4)</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219,011</w:t>
            </w:r>
          </w:p>
        </w:tc>
        <w:tc>
          <w:tcPr>
            <w:tcW w:w="100" w:type="dxa"/>
            <w:vAlign w:val="bottom"/>
          </w:tcPr>
          <w:p>
            <w:pPr>
              <w:spacing w:after="0"/>
              <w:rPr>
                <w:sz w:val="23"/>
                <w:szCs w:val="23"/>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219,011</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485,633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490,466</w:t>
            </w:r>
          </w:p>
        </w:tc>
        <w:tc>
          <w:tcPr>
            <w:tcW w:w="0" w:type="dxa"/>
            <w:vAlign w:val="bottom"/>
          </w:tcPr>
          <w:p>
            <w:pPr>
              <w:spacing w:after="0"/>
              <w:rPr>
                <w:sz w:val="1"/>
                <w:szCs w:val="1"/>
                <w:color w:val="auto"/>
              </w:rPr>
            </w:pP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David Singer</w:t>
            </w:r>
          </w:p>
        </w:tc>
        <w:tc>
          <w:tcPr>
            <w:tcW w:w="1560" w:type="dxa"/>
            <w:vAlign w:val="bottom"/>
          </w:tcPr>
          <w:p>
            <w:pPr>
              <w:jc w:val="right"/>
              <w:spacing w:after="0"/>
              <w:rPr>
                <w:sz w:val="20"/>
                <w:szCs w:val="20"/>
                <w:color w:val="auto"/>
              </w:rPr>
            </w:pPr>
            <w:r>
              <w:rPr>
                <w:rFonts w:ascii="Arial" w:cs="Arial" w:eastAsia="Arial" w:hAnsi="Arial"/>
                <w:sz w:val="18"/>
                <w:szCs w:val="18"/>
                <w:color w:val="auto"/>
              </w:rPr>
              <w:t>4,366</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410,428</w:t>
            </w:r>
          </w:p>
        </w:tc>
        <w:tc>
          <w:tcPr>
            <w:tcW w:w="100" w:type="dxa"/>
            <w:vAlign w:val="bottom"/>
          </w:tcPr>
          <w:p>
            <w:pPr>
              <w:spacing w:after="0"/>
              <w:rPr>
                <w:sz w:val="21"/>
                <w:szCs w:val="21"/>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414,794</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200" w:hanging="332"/>
        <w:spacing w:after="0" w:line="241" w:lineRule="auto"/>
        <w:tabs>
          <w:tab w:leader="none" w:pos="332"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 in this column represents the aggregate grant-date fair value of the award as computed as of the grant date of each option awarded in fiscal 2020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elsewhere in this prospectus.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Mr.Langer received consulting fees for his service on our Scientific Advisory Board.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21" w:right="339" w:bottom="1440" w:gutter="0" w:footer="0" w:header="0"/>
        </w:sectPr>
      </w:pPr>
    </w:p>
    <w:bookmarkStart w:id="131" w:name="page132"/>
    <w:bookmarkEnd w:id="13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all outstanding equity awards held by our non-employee directors as of December 31, 2020:</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Number of Securities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Underlying Unvested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 Options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Option Exercise Price</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Option Expiration</w:t>
            </w:r>
          </w:p>
        </w:tc>
      </w:tr>
      <w:tr>
        <w:trPr>
          <w:trHeight w:val="186"/>
        </w:trPr>
        <w:tc>
          <w:tcPr>
            <w:tcW w:w="22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40" w:type="dxa"/>
            <w:vAlign w:val="bottom"/>
          </w:tcPr>
          <w:p>
            <w:pPr>
              <w:ind w:left="1900"/>
              <w:spacing w:after="0"/>
              <w:rPr>
                <w:sz w:val="20"/>
                <w:szCs w:val="20"/>
                <w:color w:val="auto"/>
              </w:rPr>
            </w:pPr>
            <w:r>
              <w:rPr>
                <w:rFonts w:ascii="Arial" w:cs="Arial" w:eastAsia="Arial" w:hAnsi="Arial"/>
                <w:sz w:val="14"/>
                <w:szCs w:val="14"/>
                <w:b w:val="1"/>
                <w:bCs w:val="1"/>
                <w:color w:val="auto"/>
              </w:rPr>
              <w:t>Grant Date</w:t>
            </w:r>
          </w:p>
        </w:tc>
        <w:tc>
          <w:tcPr>
            <w:tcW w:w="1640" w:type="dxa"/>
            <w:vAlign w:val="bottom"/>
          </w:tcPr>
          <w:p>
            <w:pPr>
              <w:jc w:val="center"/>
              <w:ind w:left="88"/>
              <w:spacing w:after="0"/>
              <w:rPr>
                <w:sz w:val="20"/>
                <w:szCs w:val="20"/>
                <w:color w:val="auto"/>
              </w:rPr>
            </w:pPr>
            <w:r>
              <w:rPr>
                <w:rFonts w:ascii="Arial" w:cs="Arial" w:eastAsia="Arial" w:hAnsi="Arial"/>
                <w:sz w:val="14"/>
                <w:szCs w:val="14"/>
                <w:b w:val="1"/>
                <w:bCs w:val="1"/>
                <w:color w:val="auto"/>
                <w:w w:val="90"/>
              </w:rPr>
              <w:t>Stock Awards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Per Share ($)</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Date</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700" w:type="dxa"/>
            <w:vAlign w:val="bottom"/>
            <w:tcBorders>
              <w:top w:val="single" w:sz="8" w:color="auto"/>
            </w:tcBorders>
            <w:shd w:val="clear" w:color="auto" w:fill="CCEEFF"/>
          </w:tcPr>
          <w:p>
            <w:pPr>
              <w:ind w:left="20"/>
              <w:spacing w:after="0" w:line="242" w:lineRule="exact"/>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(1)</w:t>
            </w:r>
          </w:p>
        </w:tc>
        <w:tc>
          <w:tcPr>
            <w:tcW w:w="8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9/11/2020</w:t>
            </w:r>
          </w:p>
        </w:tc>
        <w:tc>
          <w:tcPr>
            <w:tcW w:w="100" w:type="dxa"/>
            <w:vAlign w:val="bottom"/>
          </w:tcPr>
          <w:p>
            <w:pPr>
              <w:spacing w:after="0"/>
              <w:rPr>
                <w:sz w:val="21"/>
                <w:szCs w:val="21"/>
                <w:color w:val="auto"/>
              </w:rPr>
            </w:pPr>
          </w:p>
        </w:tc>
      </w:tr>
      <w:tr>
        <w:trPr>
          <w:trHeight w:val="230"/>
        </w:trPr>
        <w:tc>
          <w:tcPr>
            <w:tcW w:w="3700" w:type="dxa"/>
            <w:vAlign w:val="bottom"/>
            <w:shd w:val="clear" w:color="auto" w:fill="CCEEFF"/>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20"/>
                <w:szCs w:val="20"/>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David Hallal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9/11/2020</w:t>
            </w: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20"/>
                <w:szCs w:val="20"/>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9/20/2017</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shd w:val="clear" w:color="auto" w:fill="CCEEFF"/>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shd w:val="clear" w:color="auto" w:fill="CCEEFF"/>
          </w:tcPr>
          <w:p>
            <w:pPr>
              <w:spacing w:after="0"/>
              <w:rPr>
                <w:sz w:val="20"/>
                <w:szCs w:val="20"/>
                <w:color w:val="auto"/>
              </w:rPr>
            </w:pPr>
          </w:p>
        </w:tc>
      </w:tr>
      <w:tr>
        <w:trPr>
          <w:trHeight w:val="229"/>
        </w:trPr>
        <w:tc>
          <w:tcPr>
            <w:tcW w:w="3700" w:type="dxa"/>
            <w:vAlign w:val="bottom"/>
          </w:tcPr>
          <w:p>
            <w:pPr>
              <w:ind w:left="20"/>
              <w:spacing w:after="0" w:line="229" w:lineRule="exact"/>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(12)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6/27/2019</w:t>
            </w: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20"/>
                <w:szCs w:val="20"/>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11/15/2017</w:t>
            </w:r>
          </w:p>
        </w:tc>
        <w:tc>
          <w:tcPr>
            <w:tcW w:w="100" w:type="dxa"/>
            <w:vAlign w:val="bottom"/>
          </w:tcPr>
          <w:p>
            <w:pPr>
              <w:spacing w:after="0"/>
              <w:rPr>
                <w:sz w:val="19"/>
                <w:szCs w:val="19"/>
                <w:color w:val="auto"/>
              </w:rPr>
            </w:pPr>
          </w:p>
        </w:tc>
      </w:tr>
      <w:tr>
        <w:trPr>
          <w:trHeight w:val="230"/>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r>
      <w:tr>
        <w:trPr>
          <w:trHeight w:val="230"/>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shd w:val="clear" w:color="auto" w:fill="CCEEFF"/>
          </w:tcPr>
          <w:p>
            <w:pPr>
              <w:spacing w:after="0"/>
              <w:rPr>
                <w:sz w:val="20"/>
                <w:szCs w:val="20"/>
                <w:color w:val="auto"/>
              </w:rPr>
            </w:pPr>
          </w:p>
        </w:tc>
      </w:tr>
      <w:tr>
        <w:trPr>
          <w:trHeight w:val="211"/>
        </w:trPr>
        <w:tc>
          <w:tcPr>
            <w:tcW w:w="3700" w:type="dxa"/>
            <w:vAlign w:val="bottom"/>
          </w:tcPr>
          <w:p>
            <w:pPr>
              <w:ind w:left="20"/>
              <w:spacing w:after="0"/>
              <w:rPr>
                <w:sz w:val="20"/>
                <w:szCs w:val="20"/>
                <w:color w:val="auto"/>
              </w:rPr>
            </w:pPr>
            <w:r>
              <w:rPr>
                <w:rFonts w:ascii="Arial" w:cs="Arial" w:eastAsia="Arial" w:hAnsi="Arial"/>
                <w:sz w:val="18"/>
                <w:szCs w:val="18"/>
                <w:color w:val="auto"/>
              </w:rPr>
              <w:t>David Singer</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18"/>
                <w:szCs w:val="18"/>
                <w:color w:val="auto"/>
              </w:rPr>
            </w:pPr>
          </w:p>
        </w:tc>
      </w:tr>
      <w:tr>
        <w:trPr>
          <w:trHeight w:val="174"/>
        </w:trPr>
        <w:tc>
          <w:tcPr>
            <w:tcW w:w="3700" w:type="dxa"/>
            <w:vAlign w:val="bottom"/>
          </w:tcPr>
          <w:p>
            <w:pPr>
              <w:spacing w:after="0"/>
              <w:rPr>
                <w:sz w:val="20"/>
                <w:szCs w:val="20"/>
                <w:color w:val="auto"/>
              </w:rPr>
            </w:pPr>
            <w:r>
              <w:rPr>
                <w:rFonts w:ascii="Arial" w:cs="Arial" w:eastAsia="Arial" w:hAnsi="Arial"/>
                <w:sz w:val="14"/>
                <w:szCs w:val="14"/>
                <w:color w:val="auto"/>
              </w:rPr>
              <w:t>__________________</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131,425</w:t>
            </w: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vMerge w:val="restart"/>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49,852</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18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32,512</w:t>
            </w:r>
          </w:p>
        </w:tc>
        <w:tc>
          <w:tcPr>
            <w:tcW w:w="460" w:type="dxa"/>
            <w:vAlign w:val="bottom"/>
          </w:tcPr>
          <w:p>
            <w:pPr>
              <w:ind w:left="60"/>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101,886</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2.70</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51,753</w:t>
            </w:r>
          </w:p>
        </w:tc>
        <w:tc>
          <w:tcPr>
            <w:tcW w:w="460" w:type="dxa"/>
            <w:vAlign w:val="bottom"/>
          </w:tcPr>
          <w:p>
            <w:pPr>
              <w:ind w:left="4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38,422</w:t>
            </w:r>
          </w:p>
        </w:tc>
        <w:tc>
          <w:tcPr>
            <w:tcW w:w="460" w:type="dxa"/>
            <w:vAlign w:val="bottom"/>
          </w:tcPr>
          <w:p>
            <w:pPr>
              <w:ind w:left="40"/>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09/10/2030</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26,789</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18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11,589</w:t>
            </w:r>
          </w:p>
        </w:tc>
        <w:tc>
          <w:tcPr>
            <w:tcW w:w="460" w:type="dxa"/>
            <w:vAlign w:val="bottom"/>
          </w:tcPr>
          <w:p>
            <w:pPr>
              <w:ind w:left="60"/>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104,048</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05/17/2028</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101,886</w:t>
            </w:r>
          </w:p>
        </w:tc>
        <w:tc>
          <w:tcPr>
            <w:tcW w:w="460" w:type="dxa"/>
            <w:vAlign w:val="bottom"/>
          </w:tcPr>
          <w:p>
            <w:pPr>
              <w:ind w:left="4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121,562</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(7)</w:t>
            </w:r>
          </w:p>
        </w:tc>
        <w:tc>
          <w:tcPr>
            <w:tcW w:w="8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0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152,768</w:t>
            </w:r>
          </w:p>
        </w:tc>
        <w:tc>
          <w:tcPr>
            <w:tcW w:w="460" w:type="dxa"/>
            <w:vAlign w:val="bottom"/>
          </w:tcPr>
          <w:p>
            <w:pPr>
              <w:ind w:left="40"/>
              <w:spacing w:after="0" w:line="94" w:lineRule="exact"/>
              <w:rPr>
                <w:sz w:val="20"/>
                <w:szCs w:val="20"/>
                <w:color w:val="auto"/>
              </w:rPr>
            </w:pPr>
            <w:r>
              <w:rPr>
                <w:rFonts w:ascii="Arial" w:cs="Arial" w:eastAsia="Arial" w:hAnsi="Arial"/>
                <w:sz w:val="9"/>
                <w:szCs w:val="9"/>
                <w:color w:val="auto"/>
              </w:rPr>
              <w:t>(13)</w:t>
            </w: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2.21</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06/26/2029</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9,349</w:t>
            </w:r>
          </w:p>
        </w:tc>
        <w:tc>
          <w:tcPr>
            <w:tcW w:w="460" w:type="dxa"/>
            <w:vAlign w:val="bottom"/>
          </w:tcPr>
          <w:p>
            <w:pPr>
              <w:ind w:left="4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31,656</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18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11,566</w:t>
            </w:r>
          </w:p>
        </w:tc>
        <w:tc>
          <w:tcPr>
            <w:tcW w:w="460" w:type="dxa"/>
            <w:vAlign w:val="bottom"/>
          </w:tcPr>
          <w:p>
            <w:pPr>
              <w:ind w:left="60"/>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104,048</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05/17/2028</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101,886</w:t>
            </w:r>
          </w:p>
        </w:tc>
        <w:tc>
          <w:tcPr>
            <w:tcW w:w="460" w:type="dxa"/>
            <w:vAlign w:val="bottom"/>
          </w:tcPr>
          <w:p>
            <w:pPr>
              <w:ind w:left="4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58,415</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(7)</w:t>
            </w:r>
          </w:p>
        </w:tc>
        <w:tc>
          <w:tcPr>
            <w:tcW w:w="8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0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37,383</w:t>
            </w:r>
          </w:p>
        </w:tc>
        <w:tc>
          <w:tcPr>
            <w:tcW w:w="460" w:type="dxa"/>
            <w:vAlign w:val="bottom"/>
          </w:tcPr>
          <w:p>
            <w:pPr>
              <w:ind w:left="40"/>
              <w:spacing w:after="0" w:line="94"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-3360420</wp:posOffset>
            </wp:positionV>
            <wp:extent cx="71323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-2185670</wp:posOffset>
            </wp:positionV>
            <wp:extent cx="7132320" cy="874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743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-1019810</wp:posOffset>
            </wp:positionV>
            <wp:extent cx="7132320" cy="874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316" w:lineRule="exact"/>
        <w:rPr>
          <w:sz w:val="20"/>
          <w:szCs w:val="20"/>
          <w:color w:val="auto"/>
        </w:rPr>
      </w:pPr>
    </w:p>
    <w:p>
      <w:pPr>
        <w:sectPr>
          <w:pgSz w:w="11900" w:h="16838" w:orient="portrait"/>
          <w:cols w:equalWidth="0" w:num="2">
            <w:col w:w="5320" w:space="0"/>
            <w:col w:w="5920"/>
          </w:cols>
          <w:pgMar w:left="320" w:top="121" w:right="339" w:bottom="1440" w:gutter="0" w:footer="0" w:header="0"/>
          <w:type w:val="continuous"/>
        </w:sectPr>
      </w:pPr>
    </w:p>
    <w:p>
      <w:pPr>
        <w:ind w:left="320" w:hanging="312"/>
        <w:spacing w:after="0"/>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shares were acquired pursuant to an early option exercise and vest in 45 equal monthly installments beginning on January 15, 2021,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subject to the option vest in 36 equal monthly installments beginning on January 3, 2021,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15 equal monthly installments beginning on January 23, 2021,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shares were acquired pursuant to an early option exercise and vest in 15 equal monthly installments beginning on January 23, 2021,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February 28, 2020,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August 28, 2020,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October 11, 2020,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11 equal monthly installments beginning on January 31, 2021, subject to continued service to the Company.</w:t>
      </w:r>
    </w:p>
    <w:p>
      <w:pPr>
        <w:spacing w:after="0" w:line="12" w:lineRule="exact"/>
        <w:rPr>
          <w:rFonts w:ascii="Arial" w:cs="Arial" w:eastAsia="Arial" w:hAnsi="Arial"/>
          <w:sz w:val="13"/>
          <w:szCs w:val="13"/>
          <w:color w:val="auto"/>
        </w:rPr>
      </w:pPr>
    </w:p>
    <w:p>
      <w:pPr>
        <w:ind w:left="340" w:right="140" w:hanging="332"/>
        <w:spacing w:after="0" w:line="260" w:lineRule="auto"/>
        <w:tabs>
          <w:tab w:leader="none" w:pos="337"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13 equal monthly installments beginning on January 31, 2021, subject to continued service to the Company. One-fourth of the shares underlying the option vested on March 6, 2020, and 1/48th of the shares vest monthly thereafter, subject to continued service to the Company.</w:t>
      </w:r>
    </w:p>
    <w:p>
      <w:pPr>
        <w:ind w:left="340" w:right="180" w:hanging="332"/>
        <w:spacing w:after="0" w:line="255" w:lineRule="auto"/>
        <w:tabs>
          <w:tab w:leader="none" w:pos="331"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21" w:right="339" w:bottom="1440" w:gutter="0" w:footer="0" w:header="0"/>
          <w:type w:val="continuous"/>
        </w:sectPr>
      </w:pPr>
    </w:p>
    <w:bookmarkStart w:id="132" w:name="page133"/>
    <w:bookmarkEnd w:id="13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w:t>
      </w:r>
    </w:p>
    <w:p>
      <w:pPr>
        <w:spacing w:after="0" w:line="13" w:lineRule="exact"/>
        <w:rPr>
          <w:rFonts w:ascii="Arial" w:cs="Arial" w:eastAsia="Arial" w:hAnsi="Arial"/>
          <w:sz w:val="14"/>
          <w:szCs w:val="14"/>
          <w:color w:val="auto"/>
        </w:rPr>
      </w:pPr>
    </w:p>
    <w:p>
      <w:pPr>
        <w:ind w:left="340" w:right="140" w:hanging="332"/>
        <w:spacing w:after="0" w:line="241" w:lineRule="auto"/>
        <w:tabs>
          <w:tab w:leader="none" w:pos="33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113,012 of the shares underlying the option vested on September 1, 2020, and 1/48th of the shares vest monthly thereafter, subject to continued service to the Company.</w:t>
      </w: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shares underlying the option were fully vested as of September 1, 2020.</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3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shares are held of record by Strong Bridge LLC (Strong Bridge) for which Mr. McGuire serves as an operating manager. The shares were acquired pursuant to a restricted stock award and vest in 13 equal monthly installments beginning on January 31, 2021, subject to Mr. McGuire’s continued service to the Company.</w:t>
      </w:r>
    </w:p>
    <w:p>
      <w:pPr>
        <w:ind w:left="340" w:right="80" w:hanging="332"/>
        <w:spacing w:after="0" w:line="241" w:lineRule="auto"/>
        <w:tabs>
          <w:tab w:leader="none" w:pos="33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shares are held of record by Strong Bridge. The shares were acquired pursuant to an early exercise provision and vest in 13 equal monthly installments beginning on January 31, 2021, subject to Mr. McGuire’s continued service to the Company.</w:t>
      </w:r>
    </w:p>
    <w:p>
      <w:pPr>
        <w:ind w:left="340" w:right="520" w:hanging="332"/>
        <w:spacing w:after="0" w:line="293" w:lineRule="auto"/>
        <w:tabs>
          <w:tab w:leader="none" w:pos="337"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Director Compensation Policy</w:t>
      </w:r>
    </w:p>
    <w:p>
      <w:pPr>
        <w:spacing w:after="0" w:line="175"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Prior to our initial public offering, we did not have a formal policy with respect to compensation payable to our non-employee directors for their service as directors. From time to time, we have granted equity awards to attract non-employee directors to join our board of directors and for their continued service on our board of directors. We also have reimbursed our directors for expenses associated with attending meetings of our board of directors and its committees.</w:t>
      </w:r>
    </w:p>
    <w:p>
      <w:pPr>
        <w:spacing w:after="0" w:line="13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2020, our compensation committee retained Radford, a third-party compensation consultant, to provide our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in connection with our initial public offering, our board of directors adopted, and our stockholders approved, an Outside Director Compensation Policy that provides for certain compensation to our non-employee directors. The below is a summary of the terms of the Outside Director Compensation Policy.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w:t>
      </w:r>
    </w:p>
    <w:p>
      <w:pPr>
        <w:spacing w:after="0" w:line="171"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$20,000 per year for service as lead independent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$10,000 per year for service as a member of 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$12,000 per year for service as chair of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$6,000 per year for service as a member of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$10,000 per year for service as chair of the corporate governance and nominating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$5,000 per year for service as a member of the corporate governance and nominating committee.</w:t>
      </w:r>
    </w:p>
    <w:p>
      <w:pPr>
        <w:spacing w:after="0" w:line="17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Each non-employee director who serves as a committee chair will receive only the cash retainer fee as the chair of the committee but not the cash retainer fee as a member of that committee, provided that the non-employee director who serves as lead independent director will receive the annual retainer fees for such role as well as the annual retainer fee for service as a non-employee director. These fees to our non-employee directors will be paid quarterly in arrears on a prorated basis. The above-listed fees for service as lead independent director, a chair or member of any committee are payable in addition to the non-employee director retainer. Under our Outside Director Compensation Policy, we also will reimburse our non-employee directors for reasonable travel expenses to attend meetings of our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121" w:right="379" w:bottom="1440" w:gutter="0" w:footer="0" w:header="0"/>
        </w:sectPr>
      </w:pPr>
    </w:p>
    <w:bookmarkStart w:id="133" w:name="page134"/>
    <w:bookmarkEnd w:id="13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our Outside Director Compensation Policy, each person who first becomes a non-employee director after the effective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policy will receive, on the first trading day on or after the date that the person first becomes a non-employee director, an initial award of stock options to purchase 37,383 shares of our common stock (the Initial Award).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1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Each non-employee director automatically will receive, on the first trading day immediately after the date of each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stockholders (an Annual Meeting) that occurs following the effective date of our Outside Director Compensation Policy, an annual award of stock options to purchase 18,691 shares of our common stock (the Annual Award), except if an individual began service as a non-employee director after the date of the Annual Meeting that occurred immediately prior to such Annual Meeting (or if there is no such prior Annual Meeting, then December 3, 2020),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IPO Awards. </w:t>
      </w:r>
      <w:r>
        <w:rPr>
          <w:rFonts w:ascii="Arial" w:cs="Arial" w:eastAsia="Arial" w:hAnsi="Arial"/>
          <w:sz w:val="17"/>
          <w:szCs w:val="17"/>
          <w:color w:val="auto"/>
        </w:rPr>
        <w:t>Effective upon our initial public offering, each non-employee director who previously was granted any stock options covering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prior to such date was granted an award of stock options to purchase 18,691 shares of our common stock (a Continuing Director IPO Award) and each non-employee director who, prior to such date, was not granted any stock options covering shares of our common stock was granted an award of stock options to purchase 37,383 shares of our common stock (a New Director IPO Award). Each New Director IPO Award is scheduled to vest in equal installments as to 1/36th of the shares of our common stock subject to the New Director IPO Award on a monthly basis following December 3, 2020, on the same day of the month as such date, subject to continued services to us through the applicable vesting dates. Each Continuing Director IPO Award will be scheduled to vest as to all of the shares of our common stock subject to such award on the earlier of (i) the one year anniversary of the date the Continuing Director IPO Award was granted or (ii) the day immediately before the date of the next Annual Meeting that occurs after December 3, 2020, subject to continued services to us through the applicable vesting date.</w:t>
      </w:r>
    </w:p>
    <w:p>
      <w:pPr>
        <w:spacing w:after="0" w:line="12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non-employee director’s then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covering shares of our common stock that were granted to him or her while a non-employee director will accelerate vesting in full, provided that he or she remains a non-employee director through the date of our change in control.</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Annual Award, Continuing Director IPO Award, and New Director IPO Award will be granted under our 2020</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3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i w:val="1"/>
          <w:iCs w:val="1"/>
          <w:color w:val="auto"/>
        </w:rPr>
        <w:t>Director Compensation Limits</w:t>
      </w:r>
      <w:r>
        <w:rPr>
          <w:rFonts w:ascii="Arial" w:cs="Arial" w:eastAsia="Arial" w:hAnsi="Arial"/>
          <w:sz w:val="16"/>
          <w:szCs w:val="16"/>
          <w:color w:val="auto"/>
        </w:rPr>
        <w:t>. Our Outside Director Compensation Policy provides that in any fiscal year, a non-employee director may be paid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granted equity awards with an aggregate value of no more than $750,000 (with the value of equity awards based on its grant date fair value determined in accordance with U.S. GAAP for purposes of this limit), with such limit increased to $1,000,000 in the fiscal year of his or her initial service as a non-employee director. Equity awards granted or other compensation provided to a non-employee director for services provided as an employee or consultant (other than a non-employee director), or provided before December 3, 2020,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121" w:right="359" w:bottom="1440" w:gutter="0" w:footer="0" w:header="0"/>
        </w:sectPr>
      </w:pPr>
    </w:p>
    <w:bookmarkStart w:id="134" w:name="page135"/>
    <w:bookmarkEnd w:id="13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adopted a written code of business conduct and ethics that will apply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public filings. Information contained on the website is not incorporated by reference into this prospectus and should not be considered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320" w:top="121" w:right="399" w:bottom="1440" w:gutter="0" w:footer="0" w:header="0"/>
        </w:sectPr>
      </w:pPr>
    </w:p>
    <w:bookmarkStart w:id="135" w:name="page136"/>
    <w:bookmarkEnd w:id="13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the year ended December 31, 2020 are:</w:t>
      </w:r>
    </w:p>
    <w:p>
      <w:pPr>
        <w:spacing w:after="0" w:line="171"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Omid Farokhzad, M.D.,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David R. Horn, our Executive Vice President and Chief Financial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Omead Ostadan, our President and Chief Operating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Summary Compensation Table</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years ended December 31, 2019 and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Non-Equity</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All Other</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Incentive Plan</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Arial" w:cs="Arial" w:eastAsia="Arial" w:hAnsi="Arial"/>
                <w:sz w:val="13"/>
                <w:szCs w:val="13"/>
                <w:b w:val="1"/>
                <w:bCs w:val="1"/>
                <w:color w:val="auto"/>
                <w:w w:val="84"/>
              </w:rPr>
              <w:t xml:space="preserve">Compensation </w:t>
            </w:r>
            <w:r>
              <w:rPr>
                <w:rFonts w:ascii="Arial" w:cs="Arial" w:eastAsia="Arial" w:hAnsi="Arial"/>
                <w:sz w:val="16"/>
                <w:szCs w:val="16"/>
                <w:b w:val="1"/>
                <w:bCs w:val="1"/>
                <w:color w:val="auto"/>
                <w:w w:val="84"/>
                <w:vertAlign w:val="superscript"/>
              </w:rPr>
              <w:t>(2)</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4"/>
                <w:szCs w:val="14"/>
                <w:color w:val="auto"/>
              </w:rPr>
            </w:pPr>
          </w:p>
        </w:tc>
        <w:tc>
          <w:tcPr>
            <w:tcW w:w="680" w:type="dxa"/>
            <w:vAlign w:val="bottom"/>
            <w:gridSpan w:val="2"/>
          </w:tcPr>
          <w:p>
            <w:pPr>
              <w:ind w:left="180"/>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Salary</w:t>
            </w:r>
          </w:p>
        </w:tc>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Bonus</w:t>
            </w: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Stock Awards</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Option Awards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Compensation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Omid Farokhzad, M.D.</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421,011</w:t>
            </w: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214,240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115,872</w:t>
            </w: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751,123</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434,448</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424,092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424,092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9,080,012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113,542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10,476,185</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2"/>
                <w:szCs w:val="12"/>
                <w:color w:val="auto"/>
              </w:rPr>
              <w:t xml:space="preserve">Philip Ma, Ph.D. </w:t>
            </w:r>
            <w:r>
              <w:rPr>
                <w:rFonts w:ascii="Arial" w:cs="Arial" w:eastAsia="Arial" w:hAnsi="Arial"/>
                <w:sz w:val="15"/>
                <w:szCs w:val="15"/>
                <w:color w:val="auto"/>
                <w:vertAlign w:val="superscript"/>
              </w:rPr>
              <w:t>(1)</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342,071</w:t>
            </w:r>
          </w:p>
        </w:tc>
        <w:tc>
          <w:tcPr>
            <w:tcW w:w="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130,000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color w:val="auto"/>
              </w:rPr>
              <w:t>15,014</w:t>
            </w:r>
          </w:p>
        </w:tc>
        <w:tc>
          <w:tcPr>
            <w:tcW w:w="8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487,085</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Chief Business Officer</w:t>
            </w: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David R. Horn</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227,269</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212,934</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534,436</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3,288,345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4,262,984</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Omead Ostadan</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215,577</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282,071</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1,092,068</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5,052,575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color w:val="auto"/>
              </w:rPr>
              <w:t>32,511</w:t>
            </w:r>
          </w:p>
        </w:tc>
        <w:tc>
          <w:tcPr>
            <w:tcW w:w="8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6,674,801</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President and Chief Operating Officer</w:t>
            </w: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Dr. Ma transitioned to PrognomIQ to serve as its full-time chief executive officer as of October 15, 2020. He will remain a consultant of the Company until April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All other compensation consists of reimbursement of commuting costs and tax gross ups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21" w:right="339" w:bottom="1440" w:gutter="0" w:footer="0" w:header="0"/>
        </w:sectPr>
      </w:pPr>
    </w:p>
    <w:bookmarkStart w:id="136" w:name="page137"/>
    <w:bookmarkEnd w:id="13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outstanding equity awards held by each of our named executive officers as of December 31, 2020:</w:t>
      </w:r>
    </w:p>
    <w:p>
      <w:pPr>
        <w:spacing w:after="0" w:line="244" w:lineRule="exact"/>
        <w:rPr>
          <w:sz w:val="20"/>
          <w:szCs w:val="20"/>
          <w:color w:val="auto"/>
        </w:rPr>
      </w:pPr>
    </w:p>
    <w:p>
      <w:pPr>
        <w:ind w:left="5320"/>
        <w:spacing w:after="0"/>
        <w:tabs>
          <w:tab w:leader="none" w:pos="9380" w:val="left"/>
        </w:tabs>
        <w:rPr>
          <w:sz w:val="20"/>
          <w:szCs w:val="20"/>
          <w:color w:val="auto"/>
        </w:rPr>
      </w:pPr>
      <w:r>
        <w:rPr>
          <w:rFonts w:ascii="Arial" w:cs="Arial" w:eastAsia="Arial" w:hAnsi="Arial"/>
          <w:sz w:val="13"/>
          <w:szCs w:val="13"/>
          <w:b w:val="1"/>
          <w:bCs w:val="1"/>
          <w:color w:val="auto"/>
        </w:rPr>
        <w:t>Option Awards</w:t>
      </w:r>
      <w:r>
        <w:rPr>
          <w:sz w:val="20"/>
          <w:szCs w:val="20"/>
          <w:color w:val="auto"/>
        </w:rPr>
        <w:tab/>
      </w:r>
      <w:r>
        <w:rPr>
          <w:rFonts w:ascii="Arial" w:cs="Arial" w:eastAsia="Arial" w:hAnsi="Arial"/>
          <w:sz w:val="10"/>
          <w:szCs w:val="10"/>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27940</wp:posOffset>
            </wp:positionV>
            <wp:extent cx="5066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60" w:type="dxa"/>
            <w:vAlign w:val="bottom"/>
            <w:vMerge w:val="restart"/>
          </w:tcPr>
          <w:p>
            <w:pPr>
              <w:ind w:left="8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9"/>
                <w:szCs w:val="19"/>
                <w:color w:val="auto"/>
              </w:rPr>
            </w:pPr>
          </w:p>
        </w:tc>
        <w:tc>
          <w:tcPr>
            <w:tcW w:w="1100" w:type="dxa"/>
            <w:vAlign w:val="bottom"/>
          </w:tcPr>
          <w:p>
            <w:pPr>
              <w:jc w:val="right"/>
              <w:ind w:right="129"/>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Omid Farokhzad, M.D.</w:t>
            </w:r>
          </w:p>
        </w:tc>
        <w:tc>
          <w:tcPr>
            <w:tcW w:w="1200" w:type="dxa"/>
            <w:vAlign w:val="bottom"/>
            <w:gridSpan w:val="2"/>
          </w:tcPr>
          <w:p>
            <w:pPr>
              <w:jc w:val="right"/>
              <w:ind w:right="429"/>
              <w:spacing w:after="0"/>
              <w:rPr>
                <w:sz w:val="20"/>
                <w:szCs w:val="20"/>
                <w:color w:val="auto"/>
              </w:rPr>
            </w:pPr>
            <w:r>
              <w:rPr>
                <w:rFonts w:ascii="Arial" w:cs="Arial" w:eastAsia="Arial" w:hAnsi="Arial"/>
                <w:sz w:val="14"/>
                <w:szCs w:val="14"/>
                <w:color w:val="auto"/>
              </w:rPr>
              <w:t>9/20/2017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tcPr>
          <w:p>
            <w:pPr>
              <w:jc w:val="right"/>
              <w:ind w:right="429"/>
              <w:spacing w:after="0"/>
              <w:rPr>
                <w:sz w:val="20"/>
                <w:szCs w:val="20"/>
                <w:color w:val="auto"/>
              </w:rPr>
            </w:pPr>
            <w:r>
              <w:rPr>
                <w:rFonts w:ascii="Arial" w:cs="Arial" w:eastAsia="Arial" w:hAnsi="Arial"/>
                <w:sz w:val="14"/>
                <w:szCs w:val="14"/>
                <w:color w:val="auto"/>
                <w:w w:val="93"/>
              </w:rPr>
              <w:t>2/19/2018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5/18/2018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w w:val="93"/>
              </w:rPr>
              <w:t>1/28/2020</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7/28/2020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12/3/2020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12/3/2020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Number of Securities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9"/>
              </w:rPr>
              <w:t>Market Value of Shares</w:t>
            </w:r>
          </w:p>
        </w:tc>
        <w:tc>
          <w:tcPr>
            <w:tcW w:w="0" w:type="dxa"/>
            <w:vAlign w:val="bottom"/>
          </w:tcPr>
          <w:p>
            <w:pPr>
              <w:spacing w:after="0"/>
              <w:rPr>
                <w:sz w:val="1"/>
                <w:szCs w:val="1"/>
                <w:color w:val="auto"/>
              </w:rPr>
            </w:pPr>
          </w:p>
        </w:tc>
      </w:tr>
      <w:tr>
        <w:trPr>
          <w:trHeight w:val="148"/>
        </w:trPr>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Number of Securities</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Underlying Unexercised</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Option</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41"/>
              <w:spacing w:after="0"/>
              <w:rPr>
                <w:sz w:val="20"/>
                <w:szCs w:val="20"/>
                <w:color w:val="auto"/>
              </w:rPr>
            </w:pPr>
            <w:r>
              <w:rPr>
                <w:rFonts w:ascii="Arial" w:cs="Arial" w:eastAsia="Arial" w:hAnsi="Arial"/>
                <w:sz w:val="13"/>
                <w:szCs w:val="13"/>
                <w:b w:val="1"/>
                <w:bCs w:val="1"/>
                <w:color w:val="auto"/>
                <w:w w:val="87"/>
              </w:rPr>
              <w:t>Number of Shares or</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8"/>
              </w:rPr>
              <w:t>or Units of Stock That</w:t>
            </w:r>
          </w:p>
        </w:tc>
        <w:tc>
          <w:tcPr>
            <w:tcW w:w="0" w:type="dxa"/>
            <w:vAlign w:val="bottom"/>
          </w:tcPr>
          <w:p>
            <w:pPr>
              <w:spacing w:after="0"/>
              <w:rPr>
                <w:sz w:val="1"/>
                <w:szCs w:val="1"/>
                <w:color w:val="auto"/>
              </w:rPr>
            </w:pPr>
          </w:p>
        </w:tc>
      </w:tr>
      <w:tr>
        <w:trPr>
          <w:trHeight w:val="162"/>
        </w:trPr>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Underlying Unexercised</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Options (#)</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Exercise Price</w:t>
            </w: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Option Expiration</w:t>
            </w:r>
          </w:p>
        </w:tc>
        <w:tc>
          <w:tcPr>
            <w:tcW w:w="1500" w:type="dxa"/>
            <w:vAlign w:val="bottom"/>
          </w:tcPr>
          <w:p>
            <w:pPr>
              <w:jc w:val="center"/>
              <w:ind w:right="41"/>
              <w:spacing w:after="0"/>
              <w:rPr>
                <w:sz w:val="20"/>
                <w:szCs w:val="20"/>
                <w:color w:val="auto"/>
              </w:rPr>
            </w:pPr>
            <w:r>
              <w:rPr>
                <w:rFonts w:ascii="Arial" w:cs="Arial" w:eastAsia="Arial" w:hAnsi="Arial"/>
                <w:sz w:val="13"/>
                <w:szCs w:val="13"/>
                <w:b w:val="1"/>
                <w:bCs w:val="1"/>
                <w:color w:val="auto"/>
                <w:w w:val="88"/>
              </w:rPr>
              <w:t>Units of Stock That Have</w:t>
            </w:r>
          </w:p>
        </w:tc>
        <w:tc>
          <w:tcPr>
            <w:tcW w:w="144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85"/>
              </w:rPr>
              <w:t>Have Not Vested ($)</w:t>
            </w:r>
            <w:r>
              <w:rPr>
                <w:rFonts w:ascii="Arial" w:cs="Arial" w:eastAsia="Arial" w:hAnsi="Arial"/>
                <w:sz w:val="16"/>
                <w:szCs w:val="16"/>
                <w:b w:val="1"/>
                <w:bCs w:val="1"/>
                <w:color w:val="auto"/>
                <w:w w:val="85"/>
                <w:vertAlign w:val="superscript"/>
              </w:rPr>
              <w:t>(2)</w:t>
            </w:r>
          </w:p>
        </w:tc>
        <w:tc>
          <w:tcPr>
            <w:tcW w:w="0" w:type="dxa"/>
            <w:vAlign w:val="bottom"/>
          </w:tcPr>
          <w:p>
            <w:pPr>
              <w:spacing w:after="0"/>
              <w:rPr>
                <w:sz w:val="1"/>
                <w:szCs w:val="1"/>
                <w:color w:val="auto"/>
              </w:rPr>
            </w:pPr>
          </w:p>
        </w:tc>
      </w:tr>
      <w:tr>
        <w:trPr>
          <w:trHeight w:val="164"/>
        </w:trPr>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Options (#) Exercisable</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Unexercisable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Date</w:t>
            </w:r>
          </w:p>
        </w:tc>
        <w:tc>
          <w:tcPr>
            <w:tcW w:w="1500" w:type="dxa"/>
            <w:vAlign w:val="bottom"/>
          </w:tcPr>
          <w:p>
            <w:pPr>
              <w:jc w:val="center"/>
              <w:ind w:right="41"/>
              <w:spacing w:after="0"/>
              <w:rPr>
                <w:sz w:val="20"/>
                <w:szCs w:val="20"/>
                <w:color w:val="auto"/>
              </w:rPr>
            </w:pPr>
            <w:r>
              <w:rPr>
                <w:rFonts w:ascii="Arial" w:cs="Arial" w:eastAsia="Arial" w:hAnsi="Arial"/>
                <w:sz w:val="13"/>
                <w:szCs w:val="13"/>
                <w:b w:val="1"/>
                <w:bCs w:val="1"/>
                <w:color w:val="auto"/>
                <w:w w:val="86"/>
              </w:rPr>
              <w:t>Not Vested (#)</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vMerge w:val="restart"/>
          </w:tcPr>
          <w:p>
            <w:pPr>
              <w:jc w:val="right"/>
              <w:ind w:right="261"/>
              <w:spacing w:after="0"/>
              <w:rPr>
                <w:sz w:val="20"/>
                <w:szCs w:val="20"/>
                <w:color w:val="auto"/>
              </w:rPr>
            </w:pPr>
            <w:r>
              <w:rPr>
                <w:rFonts w:ascii="Arial" w:cs="Arial" w:eastAsia="Arial" w:hAnsi="Arial"/>
                <w:sz w:val="9"/>
                <w:szCs w:val="9"/>
                <w:color w:val="auto"/>
              </w:rPr>
              <w:t>(3)</w:t>
            </w: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-60325</wp:posOffset>
            </wp:positionV>
            <wp:extent cx="713232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292,056</w:t>
            </w:r>
          </w:p>
        </w:tc>
        <w:tc>
          <w:tcPr>
            <w:tcW w:w="1920" w:type="dxa"/>
            <w:vAlign w:val="bottom"/>
          </w:tcPr>
          <w:p>
            <w:pPr>
              <w:jc w:val="right"/>
              <w:spacing w:after="0"/>
              <w:rPr>
                <w:sz w:val="20"/>
                <w:szCs w:val="20"/>
                <w:color w:val="auto"/>
              </w:rPr>
            </w:pPr>
            <w:r>
              <w:rPr>
                <w:rFonts w:ascii="Arial" w:cs="Arial" w:eastAsia="Arial" w:hAnsi="Arial"/>
                <w:sz w:val="14"/>
                <w:szCs w:val="14"/>
                <w:color w:val="auto"/>
              </w:rPr>
              <w:t>16,396,024</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jc w:val="right"/>
              <w:ind w:right="1694"/>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115,657</w:t>
            </w:r>
          </w:p>
        </w:tc>
        <w:tc>
          <w:tcPr>
            <w:tcW w:w="1920" w:type="dxa"/>
            <w:vAlign w:val="bottom"/>
          </w:tcPr>
          <w:p>
            <w:pPr>
              <w:jc w:val="right"/>
              <w:spacing w:after="0"/>
              <w:rPr>
                <w:sz w:val="20"/>
                <w:szCs w:val="20"/>
                <w:color w:val="auto"/>
              </w:rPr>
            </w:pPr>
            <w:r>
              <w:rPr>
                <w:rFonts w:ascii="Arial" w:cs="Arial" w:eastAsia="Arial" w:hAnsi="Arial"/>
                <w:sz w:val="14"/>
                <w:szCs w:val="14"/>
                <w:color w:val="auto"/>
              </w:rPr>
              <w:t>6,492,984</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(5)</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520,248</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0.05</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5/17/2028</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(6)</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915,524</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2.70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1600" w:type="dxa"/>
            <w:vAlign w:val="bottom"/>
            <w:vMerge w:val="restart"/>
          </w:tcPr>
          <w:p>
            <w:pPr>
              <w:ind w:left="60"/>
              <w:spacing w:after="0"/>
              <w:rPr>
                <w:sz w:val="20"/>
                <w:szCs w:val="20"/>
                <w:color w:val="auto"/>
              </w:rPr>
            </w:pPr>
            <w:r>
              <w:rPr>
                <w:rFonts w:ascii="Arial" w:cs="Arial" w:eastAsia="Arial" w:hAnsi="Arial"/>
                <w:sz w:val="9"/>
                <w:szCs w:val="9"/>
                <w:color w:val="auto"/>
              </w:rPr>
              <w:t>(7)</w:t>
            </w:r>
          </w:p>
        </w:tc>
        <w:tc>
          <w:tcPr>
            <w:tcW w:w="1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980" w:type="dxa"/>
            <w:vAlign w:val="bottom"/>
            <w:shd w:val="clear" w:color="auto" w:fill="CCEEFF"/>
          </w:tcPr>
          <w:p>
            <w:pPr>
              <w:spacing w:after="0"/>
              <w:rPr>
                <w:sz w:val="7"/>
                <w:szCs w:val="7"/>
                <w:color w:val="auto"/>
              </w:rPr>
            </w:pPr>
          </w:p>
        </w:tc>
        <w:tc>
          <w:tcPr>
            <w:tcW w:w="160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532,718</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3.47</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980" w:type="dxa"/>
            <w:vAlign w:val="bottom"/>
            <w:shd w:val="clear" w:color="auto" w:fill="CCEEFF"/>
          </w:tcPr>
          <w:p>
            <w:pPr>
              <w:spacing w:after="0"/>
              <w:rPr>
                <w:sz w:val="3"/>
                <w:szCs w:val="3"/>
                <w:color w:val="auto"/>
              </w:rPr>
            </w:pPr>
          </w:p>
        </w:tc>
        <w:tc>
          <w:tcPr>
            <w:tcW w:w="1600" w:type="dxa"/>
            <w:vAlign w:val="bottom"/>
          </w:tcPr>
          <w:p>
            <w:pPr>
              <w:spacing w:after="0"/>
              <w:rPr>
                <w:sz w:val="3"/>
                <w:szCs w:val="3"/>
                <w:color w:val="auto"/>
              </w:rPr>
            </w:pPr>
          </w:p>
        </w:tc>
        <w:tc>
          <w:tcPr>
            <w:tcW w:w="1460" w:type="dxa"/>
            <w:vAlign w:val="bottom"/>
            <w:vMerge w:val="restart"/>
          </w:tcPr>
          <w:p>
            <w:pPr>
              <w:jc w:val="right"/>
              <w:ind w:right="1131"/>
              <w:spacing w:after="0"/>
              <w:rPr>
                <w:sz w:val="20"/>
                <w:szCs w:val="20"/>
                <w:color w:val="auto"/>
              </w:rPr>
            </w:pPr>
            <w:r>
              <w:rPr>
                <w:rFonts w:ascii="Arial" w:cs="Arial" w:eastAsia="Arial" w:hAnsi="Arial"/>
                <w:sz w:val="9"/>
                <w:szCs w:val="9"/>
                <w:color w:val="auto"/>
              </w:rPr>
              <w:t>(8)</w:t>
            </w: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980" w:type="dxa"/>
            <w:vAlign w:val="bottom"/>
            <w:shd w:val="clear" w:color="auto" w:fill="CCEEFF"/>
          </w:tcPr>
          <w:p>
            <w:pPr>
              <w:spacing w:after="0"/>
              <w:rPr>
                <w:sz w:val="7"/>
                <w:szCs w:val="7"/>
                <w:color w:val="auto"/>
              </w:rPr>
            </w:pPr>
          </w:p>
        </w:tc>
        <w:tc>
          <w:tcPr>
            <w:tcW w:w="1600" w:type="dxa"/>
            <w:vAlign w:val="bottom"/>
            <w:tcBorders>
              <w:left w:val="single" w:sz="8" w:color="CCEEFF"/>
            </w:tcBorders>
          </w:tcPr>
          <w:p>
            <w:pPr>
              <w:spacing w:after="0"/>
              <w:rPr>
                <w:sz w:val="7"/>
                <w:szCs w:val="7"/>
                <w:color w:val="auto"/>
              </w:rPr>
            </w:pPr>
          </w:p>
        </w:tc>
        <w:tc>
          <w:tcPr>
            <w:tcW w:w="14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left w:val="single" w:sz="8" w:color="CCEEFF"/>
            </w:tcBorders>
          </w:tcPr>
          <w:p>
            <w:pPr>
              <w:jc w:val="right"/>
              <w:ind w:right="97"/>
              <w:spacing w:after="0"/>
              <w:rPr>
                <w:sz w:val="20"/>
                <w:szCs w:val="20"/>
                <w:color w:val="auto"/>
              </w:rPr>
            </w:pPr>
            <w:r>
              <w:rPr>
                <w:rFonts w:ascii="Arial" w:cs="Arial" w:eastAsia="Arial" w:hAnsi="Arial"/>
                <w:sz w:val="14"/>
                <w:szCs w:val="14"/>
                <w:color w:val="auto"/>
              </w:rPr>
              <w:t>584,265</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19.00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12/3/2030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980" w:type="dxa"/>
            <w:vAlign w:val="bottom"/>
            <w:shd w:val="clear" w:color="auto" w:fill="CCEEFF"/>
          </w:tcPr>
          <w:p>
            <w:pPr>
              <w:spacing w:after="0"/>
              <w:rPr>
                <w:sz w:val="10"/>
                <w:szCs w:val="10"/>
                <w:color w:val="auto"/>
              </w:rPr>
            </w:pPr>
          </w:p>
        </w:tc>
        <w:tc>
          <w:tcPr>
            <w:tcW w:w="1600" w:type="dxa"/>
            <w:vAlign w:val="bottom"/>
            <w:tcBorders>
              <w:left w:val="single" w:sz="8" w:color="CCEEFF"/>
            </w:tcBorders>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jc w:val="right"/>
              <w:ind w:right="1694"/>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22"/>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left w:val="single" w:sz="8" w:color="CCEEFF"/>
            </w:tcBorders>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22,320</w:t>
            </w:r>
          </w:p>
        </w:tc>
        <w:tc>
          <w:tcPr>
            <w:tcW w:w="1920" w:type="dxa"/>
            <w:vAlign w:val="bottom"/>
          </w:tcPr>
          <w:p>
            <w:pPr>
              <w:jc w:val="right"/>
              <w:spacing w:after="0"/>
              <w:rPr>
                <w:sz w:val="20"/>
                <w:szCs w:val="20"/>
                <w:color w:val="auto"/>
              </w:rPr>
            </w:pPr>
            <w:r>
              <w:rPr>
                <w:rFonts w:ascii="Arial" w:cs="Arial" w:eastAsia="Arial" w:hAnsi="Arial"/>
                <w:sz w:val="14"/>
                <w:szCs w:val="14"/>
                <w:color w:val="auto"/>
              </w:rPr>
              <w:t>1,253,045</w:t>
            </w:r>
          </w:p>
        </w:tc>
        <w:tc>
          <w:tcPr>
            <w:tcW w:w="0" w:type="dxa"/>
            <w:vAlign w:val="bottom"/>
          </w:tcPr>
          <w:p>
            <w:pPr>
              <w:spacing w:after="0"/>
              <w:rPr>
                <w:sz w:val="1"/>
                <w:szCs w:val="1"/>
                <w:color w:val="auto"/>
              </w:rPr>
            </w:pPr>
          </w:p>
        </w:tc>
      </w:tr>
      <w:tr>
        <w:trPr>
          <w:trHeight w:val="82"/>
        </w:trPr>
        <w:tc>
          <w:tcPr>
            <w:tcW w:w="980" w:type="dxa"/>
            <w:vAlign w:val="bottom"/>
          </w:tcPr>
          <w:p>
            <w:pPr>
              <w:spacing w:after="0"/>
              <w:rPr>
                <w:sz w:val="7"/>
                <w:szCs w:val="7"/>
                <w:color w:val="auto"/>
              </w:rPr>
            </w:pPr>
          </w:p>
        </w:tc>
        <w:tc>
          <w:tcPr>
            <w:tcW w:w="1600" w:type="dxa"/>
            <w:vAlign w:val="bottom"/>
          </w:tcPr>
          <w:p>
            <w:pPr>
              <w:ind w:left="60"/>
              <w:spacing w:after="0" w:line="82" w:lineRule="exact"/>
              <w:rPr>
                <w:sz w:val="20"/>
                <w:szCs w:val="20"/>
                <w:color w:val="auto"/>
              </w:rPr>
            </w:pPr>
            <w:r>
              <w:rPr>
                <w:rFonts w:ascii="Arial" w:cs="Arial" w:eastAsia="Arial" w:hAnsi="Arial"/>
                <w:sz w:val="9"/>
                <w:szCs w:val="9"/>
                <w:color w:val="auto"/>
              </w:rPr>
              <w:t>(10)</w:t>
            </w: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-1285875</wp:posOffset>
            </wp:positionV>
            <wp:extent cx="5888990" cy="12344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8990" cy="123444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3260" w:space="0"/>
            <w:col w:w="79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David R. 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Omead Ostadan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4/1/2020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4/1/2020</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7/28/2020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12/3/2020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12/3/2020</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3/5/2020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3/5/2020</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7/28/2020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7/28/2020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12/3/2020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12/3/2020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710,659</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2.70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3/31/2030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101,522</w:t>
            </w:r>
          </w:p>
        </w:tc>
        <w:tc>
          <w:tcPr>
            <w:tcW w:w="1920" w:type="dxa"/>
            <w:vAlign w:val="bottom"/>
          </w:tcPr>
          <w:p>
            <w:pPr>
              <w:jc w:val="right"/>
              <w:spacing w:after="0"/>
              <w:rPr>
                <w:sz w:val="20"/>
                <w:szCs w:val="20"/>
                <w:color w:val="auto"/>
              </w:rPr>
            </w:pPr>
            <w:r>
              <w:rPr>
                <w:rFonts w:ascii="Arial" w:cs="Arial" w:eastAsia="Arial" w:hAnsi="Arial"/>
                <w:sz w:val="14"/>
                <w:szCs w:val="14"/>
                <w:color w:val="auto"/>
              </w:rPr>
              <w:t>5,699,455</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(7)</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169,500</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3.47</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jc w:val="right"/>
              <w:ind w:right="1132"/>
              <w:spacing w:after="0"/>
              <w:rPr>
                <w:sz w:val="20"/>
                <w:szCs w:val="20"/>
                <w:color w:val="auto"/>
              </w:rPr>
            </w:pPr>
            <w:r>
              <w:rPr>
                <w:rFonts w:ascii="Arial" w:cs="Arial" w:eastAsia="Arial" w:hAnsi="Arial"/>
                <w:sz w:val="9"/>
                <w:szCs w:val="9"/>
                <w:color w:val="auto"/>
              </w:rPr>
              <w:t>(8)</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135,100</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19.00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12/3/2030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11,207</w:t>
            </w:r>
          </w:p>
        </w:tc>
        <w:tc>
          <w:tcPr>
            <w:tcW w:w="1920" w:type="dxa"/>
            <w:vAlign w:val="bottom"/>
          </w:tcPr>
          <w:p>
            <w:pPr>
              <w:jc w:val="right"/>
              <w:spacing w:after="0"/>
              <w:rPr>
                <w:sz w:val="20"/>
                <w:szCs w:val="20"/>
                <w:color w:val="auto"/>
              </w:rPr>
            </w:pPr>
            <w:r>
              <w:rPr>
                <w:rFonts w:ascii="Arial" w:cs="Arial" w:eastAsia="Arial" w:hAnsi="Arial"/>
                <w:sz w:val="14"/>
                <w:szCs w:val="14"/>
                <w:color w:val="auto"/>
              </w:rPr>
              <w:t>629,161</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(12)</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852,793</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2.70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3/4/2030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(13)</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365,481</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2.70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3/4/2030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233,672</w:t>
            </w:r>
          </w:p>
        </w:tc>
        <w:tc>
          <w:tcPr>
            <w:tcW w:w="1920" w:type="dxa"/>
            <w:vAlign w:val="bottom"/>
          </w:tcPr>
          <w:p>
            <w:pPr>
              <w:jc w:val="right"/>
              <w:spacing w:after="0"/>
              <w:rPr>
                <w:sz w:val="20"/>
                <w:szCs w:val="20"/>
                <w:color w:val="auto"/>
              </w:rPr>
            </w:pPr>
            <w:r>
              <w:rPr>
                <w:rFonts w:ascii="Arial" w:cs="Arial" w:eastAsia="Arial" w:hAnsi="Arial"/>
                <w:sz w:val="14"/>
                <w:szCs w:val="14"/>
                <w:color w:val="auto"/>
              </w:rPr>
              <w:t>13,118,346</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0" w:type="dxa"/>
            <w:vAlign w:val="bottom"/>
            <w:vMerge w:val="restart"/>
          </w:tcPr>
          <w:p>
            <w:pPr>
              <w:ind w:left="60"/>
              <w:spacing w:after="0"/>
              <w:rPr>
                <w:sz w:val="20"/>
                <w:szCs w:val="20"/>
                <w:color w:val="auto"/>
              </w:rPr>
            </w:pPr>
            <w:r>
              <w:rPr>
                <w:rFonts w:ascii="Arial" w:cs="Arial" w:eastAsia="Arial" w:hAnsi="Arial"/>
                <w:sz w:val="9"/>
                <w:szCs w:val="9"/>
                <w:color w:val="auto"/>
              </w:rPr>
              <w:t>(7)</w:t>
            </w:r>
          </w:p>
        </w:tc>
        <w:tc>
          <w:tcPr>
            <w:tcW w:w="1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shd w:val="clear" w:color="auto" w:fill="CCEEFF"/>
          </w:tcPr>
          <w:p>
            <w:pPr>
              <w:spacing w:after="0"/>
              <w:rPr>
                <w:sz w:val="7"/>
                <w:szCs w:val="7"/>
                <w:color w:val="auto"/>
              </w:rPr>
            </w:pPr>
          </w:p>
        </w:tc>
        <w:tc>
          <w:tcPr>
            <w:tcW w:w="9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290,572</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3.47</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100" w:type="dxa"/>
            <w:vAlign w:val="bottom"/>
            <w:shd w:val="clear" w:color="auto" w:fill="CCEEFF"/>
          </w:tcPr>
          <w:p>
            <w:pPr>
              <w:spacing w:after="0"/>
              <w:rPr>
                <w:sz w:val="3"/>
                <w:szCs w:val="3"/>
                <w:color w:val="auto"/>
              </w:rPr>
            </w:pPr>
          </w:p>
        </w:tc>
        <w:tc>
          <w:tcPr>
            <w:tcW w:w="9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60" w:type="dxa"/>
            <w:vAlign w:val="bottom"/>
            <w:vMerge w:val="restart"/>
          </w:tcPr>
          <w:p>
            <w:pPr>
              <w:jc w:val="right"/>
              <w:ind w:right="1132"/>
              <w:spacing w:after="0"/>
              <w:rPr>
                <w:sz w:val="20"/>
                <w:szCs w:val="20"/>
                <w:color w:val="auto"/>
              </w:rPr>
            </w:pPr>
            <w:r>
              <w:rPr>
                <w:rFonts w:ascii="Arial" w:cs="Arial" w:eastAsia="Arial" w:hAnsi="Arial"/>
                <w:sz w:val="9"/>
                <w:szCs w:val="9"/>
                <w:color w:val="auto"/>
              </w:rPr>
              <w:t>(8)</w:t>
            </w: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201,909</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19.00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12/3/2030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14,845</w:t>
            </w:r>
          </w:p>
        </w:tc>
        <w:tc>
          <w:tcPr>
            <w:tcW w:w="1920" w:type="dxa"/>
            <w:vAlign w:val="bottom"/>
          </w:tcPr>
          <w:p>
            <w:pPr>
              <w:jc w:val="right"/>
              <w:spacing w:after="0"/>
              <w:rPr>
                <w:sz w:val="20"/>
                <w:szCs w:val="20"/>
                <w:color w:val="auto"/>
              </w:rPr>
            </w:pPr>
            <w:r>
              <w:rPr>
                <w:rFonts w:ascii="Arial" w:cs="Arial" w:eastAsia="Arial" w:hAnsi="Arial"/>
                <w:sz w:val="14"/>
                <w:szCs w:val="14"/>
                <w:color w:val="auto"/>
              </w:rPr>
              <w:t>833,398</w:t>
            </w:r>
          </w:p>
        </w:tc>
        <w:tc>
          <w:tcPr>
            <w:tcW w:w="0" w:type="dxa"/>
            <w:vAlign w:val="bottom"/>
          </w:tcPr>
          <w:p>
            <w:pPr>
              <w:spacing w:after="0"/>
              <w:rPr>
                <w:sz w:val="1"/>
                <w:szCs w:val="1"/>
                <w:color w:val="auto"/>
              </w:rPr>
            </w:pPr>
          </w:p>
        </w:tc>
      </w:tr>
      <w:tr>
        <w:trPr>
          <w:trHeight w:val="25"/>
        </w:trPr>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-1233805</wp:posOffset>
            </wp:positionV>
            <wp:extent cx="7132320" cy="1234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3">
            <w:col w:w="1360" w:space="720"/>
            <w:col w:w="580" w:space="500"/>
            <w:col w:w="8080"/>
          </w:cols>
          <w:pgMar w:left="320" w:top="121" w:right="339" w:bottom="1440" w:gutter="0" w:footer="0" w:header="0"/>
          <w:type w:val="continuous"/>
        </w:sectPr>
      </w:pP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Each of the outstanding equity awards was granted pursuant to our 2017 Plan or 2020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amounts in this column are based upon the last reported price of our Class A common stock on the Nasdaq Global Select Market on December 31, 2020, which was $56.14.</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12 equal monthly installments beginning on January 20, 2021,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14 equal monthly installments beginning on January 31, 2021, subject to continued service to the Company.</w:t>
      </w:r>
    </w:p>
    <w:p>
      <w:pPr>
        <w:spacing w:after="0" w:line="12" w:lineRule="exact"/>
        <w:rPr>
          <w:rFonts w:ascii="Arial" w:cs="Arial" w:eastAsia="Arial" w:hAnsi="Arial"/>
          <w:sz w:val="13"/>
          <w:szCs w:val="13"/>
          <w:color w:val="auto"/>
        </w:rPr>
      </w:pPr>
    </w:p>
    <w:p>
      <w:pPr>
        <w:ind w:left="340" w:right="18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ind w:left="340" w:right="4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ind w:left="340" w:right="24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ind w:left="340" w:right="38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One-fourth of the shares underlying the option vest on December 3, 2021, and the remaining shares vest in 36 equal monthly installments thereafter, subject to continued service to the Company.</w:t>
      </w:r>
    </w:p>
    <w:p>
      <w:pPr>
        <w:ind w:left="340" w:right="60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50% of the shares underlying the RSU award vest on January 1, 2022 and 50% of the shares underlying the RSU award vest on January 1, 2023, subject to continued service to the Company.</w:t>
      </w:r>
    </w:p>
    <w:p>
      <w:pPr>
        <w:ind w:left="340" w:right="240" w:hanging="332"/>
        <w:spacing w:after="0" w:line="241" w:lineRule="auto"/>
        <w:tabs>
          <w:tab w:leader="none" w:pos="3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ind w:left="340" w:right="320" w:hanging="332"/>
        <w:spacing w:after="0" w:line="241" w:lineRule="auto"/>
        <w:tabs>
          <w:tab w:leader="none" w:pos="331" w:val="left"/>
        </w:tabs>
        <w:numPr>
          <w:ilvl w:val="0"/>
          <w:numId w:val="82"/>
        </w:numPr>
        <w:rPr>
          <w:rFonts w:ascii="Arial" w:cs="Arial" w:eastAsia="Arial" w:hAnsi="Arial"/>
          <w:sz w:val="14"/>
          <w:szCs w:val="14"/>
          <w:color w:val="auto"/>
        </w:rPr>
      </w:pPr>
      <w:r>
        <w:rPr>
          <w:rFonts w:ascii="Arial" w:cs="Arial" w:eastAsia="Arial" w:hAnsi="Arial"/>
          <w:sz w:val="14"/>
          <w:szCs w:val="14"/>
          <w:color w:val="auto"/>
        </w:rPr>
        <w:t>50% of the shares underlying the RSU award vest on December 3, 2021 and 50% of the shares underlying the RSU award vest on December 3, 2022, subject to continued service to the Company.</w:t>
      </w:r>
    </w:p>
    <w:p>
      <w:pPr>
        <w:ind w:left="340" w:right="220" w:hanging="332"/>
        <w:spacing w:after="0" w:line="241" w:lineRule="auto"/>
        <w:tabs>
          <w:tab w:leader="none" w:pos="3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June 15, 2021, and the remaining shares vest in 36 equal monthly installments thereafter, subject to continued service to the Company.</w:t>
      </w:r>
    </w:p>
    <w:p>
      <w:pPr>
        <w:ind w:left="340" w:right="220" w:hanging="332"/>
        <w:spacing w:after="0" w:line="255" w:lineRule="auto"/>
        <w:tabs>
          <w:tab w:leader="none" w:pos="3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The shares vest in 48 equal monthly installments beginning on April 6, 2020, subject to continued service to the Company.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40"/>
          </w:cols>
          <w:pgMar w:left="320" w:top="121" w:right="339" w:bottom="1440" w:gutter="0" w:footer="0" w:header="0"/>
          <w:type w:val="continuous"/>
        </w:sectPr>
      </w:pPr>
    </w:p>
    <w:bookmarkStart w:id="137" w:name="page138"/>
    <w:bookmarkEnd w:id="13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Omid Farokhzad</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have entered into a confirmatory employment letter with Dr. Farokhzad, our chief executive officer. The confirmatory employment letter has no specific term and provides that Dr. Farokhzad is an at-will employee. Dr. Farokhzad’s annual base salary was increased to $510,000 as of the day prior to our initial public offering in December 2020 and his annual target cash incentive bonus for both 2020 and 2021 was increased to 65% of his annual base salary. The employment letter provides for our reimbursement of Dr. Farokhzad’s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David Horn</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entered into a confirmatory employment letter with Mr. Horn, our executive vice president and chief financial officer. The confirmatory employment letter has no specific term and provides that Mr. Horn is an at-will employee. Mr. Horn’s annual base salary was increased to $395,000 as of the day prior to our initial public offering and his annual target cash incentive bonus for both 2020 and 2021 was increased to 40% of his annual base salary.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Omead Ostadan</w:t>
      </w:r>
    </w:p>
    <w:p>
      <w:pPr>
        <w:spacing w:after="0" w:line="17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have entered into a confirmatory employment letter with Mr. Ostadan, our president and chief operating officer. The confirmatory employment letter has no specific term and provides that Mr. Ostadan is an at-will employee. Mr. Ostadan’s annual base salary was increased to $435,000 as of the day prior to our initial public offering and his annual target cash incentive bonus for both 2020 and 2021 was increased to 45% of his annual base salary. The employment letter provides for our reimbursement of Mr. Ostadan’s reasonable travel and lodging expenses incurred by him for his work-related travel between his primary residence and our offices in Redwood City, California, until the earlier of the date on which we open an office in San Diego, California, or the date on which Mr. Ostadan relocates his primary residence to Redwood City or surrounding Bay Area in California. Such travel-related reimbursements may not exceed $50,000 annually and are subject to Mr. Ostadan’s employment with us through the date such reimbursements are paid. Additionally, the employment letter provides for additional payments sufficient to make such reimbursements tax neutral to Mr. Ostadan, subject to Mr. Ostadan’s continued employment with us through the date such reimbursements are paid.</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17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117" w:lineRule="exact"/>
        <w:rPr>
          <w:sz w:val="20"/>
          <w:szCs w:val="20"/>
          <w:color w:val="auto"/>
        </w:rPr>
      </w:pPr>
    </w:p>
    <w:p>
      <w:pPr>
        <w:ind w:left="660" w:right="40" w:hanging="328"/>
        <w:spacing w:after="0" w:line="342"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69" w:lineRule="exact"/>
        <w:rPr>
          <w:rFonts w:ascii="Arial" w:cs="Arial" w:eastAsia="Arial" w:hAnsi="Arial"/>
          <w:sz w:val="16"/>
          <w:szCs w:val="16"/>
          <w:color w:val="auto"/>
        </w:rPr>
      </w:pPr>
    </w:p>
    <w:p>
      <w:pPr>
        <w:ind w:left="660" w:right="380" w:hanging="328"/>
        <w:spacing w:after="0" w:line="263"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21" w:right="359" w:bottom="1440" w:gutter="0" w:footer="0" w:header="0"/>
        </w:sectPr>
      </w:pPr>
    </w:p>
    <w:bookmarkStart w:id="138" w:name="page139"/>
    <w:bookmarkEnd w:id="13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60" w:hanging="328"/>
        <w:spacing w:after="0" w:line="26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129"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if greater, 100% acceleration of the number of shares that are otherwise scheduled to vest if Dr. Farokhzad remained employed by the Company (or any parent or subsidiary of the Company) through the one year anniversary of his termination.</w:t>
      </w:r>
    </w:p>
    <w:p>
      <w:pPr>
        <w:spacing w:after="0" w:line="13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If, during the Change in Control Period, Dr. Farokhzad’s employment with the Company is terminated either (1) by the Company without cause and not by reason of death or disability or (2) by Dr. Farokhzad as a good reason termination, Dr. Farokhzad will receive the following benefits if he timely signs and does not revoke a separation agreement and release of claims in our favor:</w:t>
      </w:r>
    </w:p>
    <w:p>
      <w:pPr>
        <w:spacing w:after="0" w:line="130" w:lineRule="exact"/>
        <w:rPr>
          <w:sz w:val="20"/>
          <w:szCs w:val="20"/>
          <w:color w:val="auto"/>
        </w:rPr>
      </w:pPr>
    </w:p>
    <w:p>
      <w:pPr>
        <w:ind w:left="660" w:right="180" w:hanging="328"/>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129"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lump sum cash payment equal to 150% of Dr. Farokhzad’s annualized target bonus as in effect for the performance period in which such termination occurs, or, if greater, as in effect for the performance period in which the change in control occurs;</w:t>
      </w:r>
    </w:p>
    <w:p>
      <w:pPr>
        <w:spacing w:after="0" w:line="116"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Dr. Farokhzad’s outstanding time-based equity awards.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w:t>
      </w:r>
    </w:p>
    <w:p>
      <w:pPr>
        <w:spacing w:after="0" w:line="130"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spacing w:after="0" w:line="13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111"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320" w:top="121" w:right="379" w:bottom="1440" w:gutter="0" w:footer="0" w:header="0"/>
        </w:sectPr>
      </w:pPr>
    </w:p>
    <w:bookmarkStart w:id="139" w:name="page140"/>
    <w:bookmarkEnd w:id="13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greater amount of after-tax benefits to the named executive officer. The Severance Agreement does not provide for any Section 280G-related tax gross-up payments from us.</w:t>
      </w:r>
    </w:p>
    <w:p>
      <w:pPr>
        <w:spacing w:after="0" w:line="11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3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Executive Change in Control and Severance Plan</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adopted a Key Executive Change in Control and Severance Plan (the Severance Plan) in December 2020, in order to provide specified severance and change in control pay and benefits, to key executives selected by us. We have entered into participation agreements with each of Mr. Horn and Mr. Ostadan (each, a Participation Agreement) under our Severance Plan.</w:t>
      </w:r>
    </w:p>
    <w:p>
      <w:pPr>
        <w:spacing w:after="0" w:line="130" w:lineRule="exact"/>
        <w:rPr>
          <w:sz w:val="20"/>
          <w:szCs w:val="20"/>
          <w:color w:val="auto"/>
        </w:rPr>
      </w:pPr>
    </w:p>
    <w:p>
      <w:pPr>
        <w:jc w:val="center"/>
        <w:ind w:right="220"/>
        <w:spacing w:after="0" w:line="291" w:lineRule="auto"/>
        <w:rPr>
          <w:sz w:val="20"/>
          <w:szCs w:val="20"/>
          <w:color w:val="auto"/>
        </w:rPr>
      </w:pPr>
      <w:r>
        <w:rPr>
          <w:rFonts w:ascii="Arial" w:cs="Arial" w:eastAsia="Arial" w:hAnsi="Arial"/>
          <w:sz w:val="16"/>
          <w:szCs w:val="16"/>
          <w:color w:val="auto"/>
        </w:rPr>
        <w:t>The Severance Plan and related Participation Agreements provide that if Mr. Horn or Mr. Ostadan employment is terminated outside the period beginning on the date of a change in control and ending on the one-year anniversary date of such change in control (the Change in Control Period) either</w:t>
      </w:r>
    </w:p>
    <w:p>
      <w:pPr>
        <w:ind w:right="80" w:firstLine="8"/>
        <w:spacing w:after="0" w:line="255"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by the Company without “cause” and not by reason of death or disability or (2) by the named executive officer as a “good reason termination” (as such terms are defined in his or her Participation Agreement), the named executive officer will receive the following benefits if he timely signs and does not revoke a separation agreement and release of claims in our favor:</w:t>
      </w:r>
    </w:p>
    <w:p>
      <w:pPr>
        <w:spacing w:after="0" w:line="135" w:lineRule="exact"/>
        <w:rPr>
          <w:rFonts w:ascii="Arial" w:cs="Arial" w:eastAsia="Arial" w:hAnsi="Arial"/>
          <w:sz w:val="18"/>
          <w:szCs w:val="18"/>
          <w:color w:val="auto"/>
        </w:rPr>
      </w:pPr>
    </w:p>
    <w:p>
      <w:pPr>
        <w:ind w:left="660" w:right="40" w:hanging="328"/>
        <w:spacing w:after="0" w:line="263" w:lineRule="auto"/>
        <w:tabs>
          <w:tab w:leader="none" w:pos="6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129" w:lineRule="exact"/>
        <w:rPr>
          <w:rFonts w:ascii="Arial" w:cs="Arial" w:eastAsia="Arial" w:hAnsi="Arial"/>
          <w:sz w:val="18"/>
          <w:szCs w:val="18"/>
          <w:color w:val="auto"/>
        </w:rPr>
      </w:pPr>
    </w:p>
    <w:p>
      <w:pPr>
        <w:ind w:left="660" w:hanging="328"/>
        <w:spacing w:after="0" w:line="263" w:lineRule="auto"/>
        <w:tabs>
          <w:tab w:leader="none" w:pos="6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13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If, during the Change in Control Period, Mr. Horn or Mr. Ostadan’s employment with the Company is terminated either (1) by the Company without cause and not by reason of death or disability or (2) by the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21" w:right="359" w:bottom="1440" w:gutter="0" w:footer="0" w:header="0"/>
        </w:sectPr>
      </w:pPr>
    </w:p>
    <w:bookmarkStart w:id="140" w:name="page141"/>
    <w:bookmarkEnd w:id="14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executive officer as a good reason termination, the named executive officer will receive the following benefits if he timely signs and does not revoke a separation agreement and release of claims in our favor:</w:t>
      </w:r>
    </w:p>
    <w:p>
      <w:pPr>
        <w:spacing w:after="0" w:line="116" w:lineRule="exact"/>
        <w:rPr>
          <w:sz w:val="20"/>
          <w:szCs w:val="20"/>
          <w:color w:val="auto"/>
        </w:rPr>
      </w:pPr>
    </w:p>
    <w:p>
      <w:pPr>
        <w:ind w:left="660" w:right="100" w:hanging="328"/>
        <w:spacing w:after="0" w:line="286" w:lineRule="auto"/>
        <w:tabs>
          <w:tab w:leader="none" w:pos="655"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spacing w:after="0" w:line="111"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a named executive officer’s outstanding time-based equity awards.</w:t>
      </w:r>
    </w:p>
    <w:p>
      <w:pPr>
        <w:spacing w:after="0" w:line="17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 addition to signing and not revoking a separation agreement and release of claims in our favor, Mr. Horn or Mr. Ostadan’s receipt and retention of any severance benefits under his Participation Agreement is subject to his compliance with the terms of any confidentiality, information and inventions agreement or other written agreement with us under which he has a material duty or obligation to us.</w:t>
      </w:r>
    </w:p>
    <w:p>
      <w:pPr>
        <w:spacing w:after="0" w:line="11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If Mr. Horn or Mr. Ostadan begins employment or enters into a consultant relationship with a new employer during the period he is receiving severance benefits from us under the Severance Plan and a related Participation Agreement, then any cash compensation paid the named executive officer by the new employer will reduce our cash severance benefit obligations under the Severance Plan , and we will have no obligation to provide for (or provide any payments in lieu of) medical, vision and dental coverage if the new employer provides such benefits to such named executive officer.</w:t>
      </w:r>
    </w:p>
    <w:p>
      <w:pPr>
        <w:spacing w:after="0" w:line="10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addition, if, (a) during the time period beginning upon the consummation of a change in control and ending on the date immediately prior to the two year anniversary of the change in control (such two-year anniversary, the Retention Date), the employment of Mr. Horn or Mr. Ostadan with the Company (or any parent or subsidiary of the Company) is terminated either (1) by the Company without cause and not by reason of death or disability, or (2) by the named executive officer as a good reason termination, or (b) such named executive officer remains employed by the Company (or any parent or subsidiary of the Company) through the Retention Date, and if he timely signs and does not revoke a release of claims in our favor, the named executive officer will receive 100% accelerated vesting of all of his then-unvested and outstanding Company equity awards that were granted prior to our initial public offering.</w:t>
      </w:r>
    </w:p>
    <w:p>
      <w:pPr>
        <w:spacing w:after="0" w:line="11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11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each of Mr. Horn and Mr. Ostadan’s Participation Agreements, “cause” generally means a named executive officer’s: failure to significantly perform his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21" w:right="359" w:bottom="1440" w:gutter="0" w:footer="0" w:header="0"/>
        </w:sectPr>
      </w:pPr>
    </w:p>
    <w:bookmarkStart w:id="141" w:name="page142"/>
    <w:bookmarkEnd w:id="14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reputation of the Company, and failure to cure such misconduct within ten days after receiving written notice from the Company.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Under each of Mr. Horn and Mr. Ostadan’s Participation Agreements, “good reason termination” generally means that such named executive officer resigns from the Company within 60 days following the end of our cure period discussed below as a result of any of the following that occurs without his written consent: a material reduction in his base salary as compared to his base salary in effect immediately prior to such reduction; a material change in the geographic location of his primary work facility or location, provided, that a relocation that increases his commute by 50 miles or less or to his home as the executive’s primary work location will not be considered a material change in geographic location; or a material reduction of his authority, duties or responsibilities, unless he is provided with a comparable position. For a resignation to qualify as a “good reason termination,” a named executive officer also must provide written notice within 60 days following the initial existence of the good reason condition, and such action must not have been reversed, remedied or cured within 30 days following our receipt of such written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Incentive Compensation Plan</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board of directors has adopted our Executive Incentive Compensation Plan. Our Executive Incentive Compensation Plan is administered by our compensation committee. Our Executive Incentive Compensation Plan allows us to grant incentive awards, generally payable in cash, to employees selected by the administrator, including our named executive officers, based upon any performance goals that may be established by the administrator. The below is a summary of the terms of the Executive Incentive Compensation Plan.</w:t>
      </w:r>
    </w:p>
    <w:p>
      <w:pPr>
        <w:spacing w:after="0" w:line="133"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Under our Executive Incentive Compensation Plan, the administrator determines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2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3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21" w:right="359" w:bottom="1440" w:gutter="0" w:footer="0" w:header="0"/>
        </w:sectPr>
      </w:pPr>
    </w:p>
    <w:bookmarkStart w:id="142" w:name="page143"/>
    <w:bookmarkEnd w:id="14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Awards under our Executive Incentive Compensation Plan are subject to any clawback policy we are required to adopt from time to time to comply with the listing standards of any national securities exchange or association on which our securities are listed or as is otherwise required by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12"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administrator of our Executive Incentive Compensation Plan will have the authority to amend, alter, suspend or terminate our Executive Incentive Compensation Plan, provided such action does not materially alter or materially impair the existing rights or obligations of any participant with respect to any earned awards. Our Executive Incentive Compensation Plan will remain in effect until terminated in accordance with its terms.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board of directors adopted, and our stockholders approved, our 2020 Equity Incentive Plan (2020 Plan). Our 2020 Plan became effective as of the business day immediately prior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 The below is a summary of the terms of the 2020 Plan.</w:t>
      </w:r>
    </w:p>
    <w:p>
      <w:pPr>
        <w:spacing w:after="0" w:line="13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 total of 4,819,859 shares of our Class A common stock was initially reserved for issuance pursuant to our 2020 Plan. In addition, the shares reserved for issuance under our 2020 Plan will include (i) a number of shares of our Class A common stock equal to the number of shares of all classes of our common stock subject to awards granted under our 2020 RSU Equity Incentive Plan or 2017 Stock Incentive Plan (each, a Prior Plan) that, on or after the date the applicable Prior Plan was terminated, are terminated, canceled, expire or otherwise terminate without having been exercised in full, are tendered to or withheld by us for payment of an exercise price or for tax withholding obligations, or are forfeited to or repurchased by us due to failure to vest, and (ii) a number of shares of our Class A common stock equal to the number of shares of all classes of our common stock that, as of immediately prior to the termination of each Prior Plan, were reserved but not issued pursuant to awards granted under each Prior Plan and are not subject to any awards under each Prior Plan (provided that the maximum number of shares that may be added to the 2020 Plan pursuant to this sentence is 14,687,016 shares). The number of shares available for issuance under our 2020 Plan also will include an annual increase, or the evergreen feature, on the first day of each of our fiscal years, beginning with our fiscal year 2021, equal to the least of:</w:t>
      </w:r>
    </w:p>
    <w:p>
      <w:pPr>
        <w:spacing w:after="0" w:line="131"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9,037,149 shares;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number of shares equal to 5% of the outstanding shares of all classes of our common stock as of the last day of the immediately preceding fiscal year; or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number of shares as our board of directors or its designated committee may determine no later than the last day of our immediately preceding fiscal year.</w:t>
      </w:r>
    </w:p>
    <w:p>
      <w:pPr>
        <w:spacing w:after="0" w:line="11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Shares issuable under our 2020 Plan will be authorized, but unissued, or reacquired shares of our Class A common stock. If an award expires or becomes unexercisable without having been exercised in full, is surrendered pursuant to an exchange program (as described below), or, with respect to restricted stock, restricted stock units,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121" w:right="359" w:bottom="1440" w:gutter="0" w:footer="0" w:header="0"/>
        </w:sectPr>
      </w:pPr>
    </w:p>
    <w:bookmarkStart w:id="143" w:name="page144"/>
    <w:bookmarkEnd w:id="14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actually have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2020 Plan)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board of directors or one or more committees appointed by our board of directors has authority to administer our 2020 Plan. The compensation committee of our board of directors will initially administer our 2020 Plan. In addition, if we determine it is desirable to qualify transactions under our 2020 Plan as exempt under Rule 16b-3 of the Exchange Act, such transactions will be structured to satisfy the requirements for exemption under Rule 16b-</w:t>
      </w:r>
    </w:p>
    <w:p>
      <w:pPr>
        <w:spacing w:after="0" w:line="2" w:lineRule="exact"/>
        <w:rPr>
          <w:sz w:val="20"/>
          <w:szCs w:val="20"/>
          <w:color w:val="auto"/>
        </w:rPr>
      </w:pPr>
    </w:p>
    <w:p>
      <w:pPr>
        <w:ind w:right="20" w:firstLine="8"/>
        <w:spacing w:after="0" w:line="285" w:lineRule="auto"/>
        <w:tabs>
          <w:tab w:leader="none" w:pos="1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Subject to the provisions of our 2020 Plan, the administrator has the power to administer our 2020 Plan and make all determinations deemed necessary or advisable for administering the 2020 Plan, including but not limited to, the power to determine the fair market value of our Class A common stock, select the service providers to whom awards may be granted, determine the number of shares or dollar amounts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Stock options may be granted under our 2020 Plan. The exercise price of options granted under our 2020 Plan generally must be equal to at least 100% of the fair market value of a share of our Class A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Class A common stock on the grant date. The administrator determines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(provided that an option agreement may specify that in the event a participant’s service is terminated by the Company for Cause (as defined in our 2020 Plan), the option will terminate immediately).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21" w:right="339" w:bottom="1440" w:gutter="0" w:footer="0" w:header="0"/>
        </w:sectPr>
      </w:pPr>
    </w:p>
    <w:bookmarkStart w:id="144" w:name="page145"/>
    <w:bookmarkEnd w:id="14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option, however, may not be exercised later than the expiration of its term. Subject to the provisions of our 2020 Plan, the administrator determines the terms of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Appreciation Rights</w:t>
      </w:r>
    </w:p>
    <w:p>
      <w:pPr>
        <w:spacing w:after="0" w:line="17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Stock appreciation rights may be granted under our 2020 Plan. Stock appreciation rights allow the recipient to receive the appreciation in the fair market value of our Class A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Class A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Restricted stock may be granted under our 2020 Plan. Restricted stock awards (RSAs) are grants of shares of our Class A common stock that may have vesting requirements under any such terms and conditions established by the administrator. The administrator determines the number of shares of restricted stock granted to any employee, director or consultant and, subject to the provisions of our 2020 Plan, determines the terms and conditions of such awards.</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RSAs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our right of repurchase or forfeiture.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Restricted stock units (RSUs) may be granted under our 2020 Plan. Restricted stock units are bookkeeping entries representing an amount equal to the fair market value of one share of our Class A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Awards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21" w:right="359" w:bottom="1440" w:gutter="0" w:footer="0" w:header="0"/>
        </w:sectPr>
      </w:pPr>
    </w:p>
    <w:bookmarkStart w:id="145" w:name="page146"/>
    <w:bookmarkEnd w:id="14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 administrator, in its sole discretion, may accelerate the time at which any restrictions will lapse or be removed.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Directors</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All outside (non-employee) directors are eligible to receive all types of awards (except for incentive stock options) under our 2020 Plan. Our board of directors has adopted and our stockholders have approved a formal Outside Director Compensation Policy pursuant to which our outside directors are eligible to receive certain equity awards under our 2020 Plan. Our 2020 Plan provides that in any given fiscal year, no outside director may be granted awards (the value of which will be based on their grant date fair value) under our 2020 Plan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our 2020 Plan will be determined according to U.S. GAAP. Any awards or other compensation provided to an individual for his or her services as an employee or a consultant (other than an outside director), or before our initial public offering, will not count toward this limit. This maximum limit provision does not reflect the intended size of any potential grants or a commitment to make grants to our outside directors under our 2020 Plan in the future.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21" w:right="359" w:bottom="1440" w:gutter="0" w:footer="0" w:header="0"/>
        </w:sectPr>
      </w:pPr>
    </w:p>
    <w:bookmarkStart w:id="146" w:name="page147"/>
    <w:bookmarkEnd w:id="14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awards granted to an outside director while such individual was an outside director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outside director.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Awards are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all or a portion of the award and any amounts paid under the award in order to comply with any clawback policy of ours as described in the first sentence of this paragraph or with applicable laws.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administrator has the authority to amend, alter, suspend or terminate our 2020 Plan, provided such action does not materially impair the rights of any participant unless mutually agreed otherwise. Our 2020 Plan will remain in effect for a term of ten years from the date of adoption of the 2020 Plan by our board of directors unless terminated earlier pursuant to the terms of our 2020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RSU Equity Incentive Plan</w:t>
      </w:r>
    </w:p>
    <w:p>
      <w:pPr>
        <w:spacing w:after="0" w:line="171"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Our 2020 RSU Equity Incentive Plan (RSU Plan) was adopted by our board of directors in April 2020 and was most recently amended and restated in November 2020. Our stockholders last approved our 2020 Plan in November 2020. Our RSU Plan was terminated at the time of our initial public offering, and we will not grant any additional awards under our RSU Plan. However, our RSU Plan continues to govern the terms and conditions of the outstanding awards previously granted under our RSU Plan. The below is a summary of the terms of the RSU Plan.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RSU Plan allowed us to grant restricted stock units to employees, directors, officers and consultants of ours and any parent or subsidiary of ours.</w:t>
      </w:r>
    </w:p>
    <w:p>
      <w:pPr>
        <w:spacing w:after="0" w:line="19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of December 31, 2020, an aggregate of 381,922 shares of our Class A common stock were reserved for issuance under our RSU Plan. As of December 31, 2020, restricted stock unit awards covering an aggregate of 381,922 shares of our Class A common stock were outstanding under our RSU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or one or more committees appointed by our board of directors have the authority to administer our RSU Plan. Subject to the provisions of our RSU Plan, the administrator has the power to administer our RSU Plan and make all determinations deemed necessary or advisable for administering the RSU Plan, including but not limited to, the power to determine the fair market value of our Class A common stock, select the service providers to whom awards could be granted, determine the number of shares covered by each award, approve forms of award agreements for use under the RSU Plan, determine the terms and conditions of awards, construe and interpret the terms of our RSU Plan and awards granted under it, prescribe, amend and rescind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320" w:top="121" w:right="379" w:bottom="1440" w:gutter="0" w:footer="0" w:header="0"/>
        </w:sectPr>
      </w:pPr>
    </w:p>
    <w:bookmarkStart w:id="147" w:name="page148"/>
    <w:bookmarkEnd w:id="14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relating to our RSU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RSU Plan to a financial institution or other person or entity selected by the administrator, and to institute an exchange program by which outstanding awards granted under the RSU Plan may be surrendered or cancelled in exchange for awards of the same type, which may have a higher or lower exercise price and/or different terms, awards of a different type and/or cash, or by which the exercise price of an outstanding award granted under the RSU Plan is increased or reduced. The administrator’s decisions, interpretations and other actions are final and binding on all participants and will be given the maximum deference permitted by applicable law.</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Restricted stock units could be granted under our RSU Plan. Restricted stock units are bookkeeping entries representing an amount equal to the fair market value of one share of our Class A common stock. Subject to the provisions of our RSU Plan, the administrator determines the terms and conditions of restricted stock units, including any vesting criteria and the form and timing of payment. The administrator could set vesting criteria based upon the achievement of company-wide,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at any time reduce or waive any vesting criteria that must be met.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our RSU Plan generally does not allow for the transfer of awards other than by will or the laws of descent and distribution. If the administrator makes an award transferable, such award may be transferred only by will, by the laws of descent and distribution, or as permitted by Rule 701 of the Securities Act of 1933.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In the event of certain changes in our capitalization, such as a dividend (other than an ordinary dividend) or other distribution, recapitalization, stock split, reverse stock split, reorganization, merger, consolidation, split-up, spin-off, combination, repurchase or exchange of our shares or other securities or other change in our corporate structure affecting our shares, to prevent diminution or enlargement of the benefits or potential benefits available under our RSU Plan, the administrator will adjust the number and class of shares that may be delivered under our RSU Plan and/or the number, class and price of shares covered by each outstanding award. Further, the administrator will make such adjustments to awards as required by Section 25102(o) of the California Corporations Code to the extent the Company is relying upon the exemption afforded thereby with respect to such awards.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RSU Plan provides that in the event of our merger or change in control, as defined in our RSU Plan, each outstanding award will be treated as the administrator determines, without a participant’s consent, including, without limitation, that the administrator may provide that awards granted under the RSU Plan will be assumed or substituted by substantially equivalent awards, be terminated upon or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21" w:right="339" w:bottom="1440" w:gutter="0" w:footer="0" w:header="0"/>
        </w:sectPr>
      </w:pPr>
    </w:p>
    <w:bookmarkStart w:id="148" w:name="page149"/>
    <w:bookmarkEnd w:id="14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a successor corporation does not assume or substitute an equivalent award for any outstanding award (or a portion of such award), then all restrictions on such award (or its applicable portion) will lapse and all performance goals or other vesting criteria applicable to such award (or its applicable portion) will be deemed achieved at 100% of target levels and all other terms and conditions will be considered fulfilled, unless specifically provided otherwise under the applicable award agreement or other written agreement authorized by the administrator of the RSU Plan with the participant.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Awards are subject to any clawback policy of ours which we are required to adopt pursuant to comply with applicable rules or laws. The administrator also may impose such other clawback, recovery or recoupment provisions in an award agreement as the administrator determines necessary or appropriate, including but not limited to a reacquisition right regarding previously acquired Shares or other cash or property. Additionally, the administrator may specify in an award agreement that the participant’s rights, payments and benefits with respect to an award will be subject to reduction, cancellation, forfeiture or recoupment upon the occurrence of certain specified events.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Our board of directors had the authority to amend, suspend or terminate our RSU Plan, provided such action does not materially impair the rights of any participant unless mutually agreed otherwise. As noted above, our RSU Plan has been terminated and we will not grant any additional awards under our RSU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2017 Stock Incentive Plan (the 2017 Plan) originally was adopted by our board of directors in September 2017 and was most recently amended and restated in November 2020. Our stockholders last approved our 2017 Plan in May 2020. Our 2017 Plan was terminated at the time of our initial public offering, and we will not grant any additional awards under our 2017 Plan. However, our 2017 Plan continues to govern the terms and conditions of the outstanding awards previously granted under our 2017 Plan. The below is a summary of the terms of the 2017 Plan.</w:t>
      </w:r>
    </w:p>
    <w:p>
      <w:pPr>
        <w:spacing w:after="0" w:line="11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2017 Plan allowed us to provide incentive stock options, within the meaning of Section 422 of the Code, non-statutory stock options, and RSAs (each, an “award” and the recipient of such award, a “participant”) to employees, directors, officers and consultants or advisors of ours and any parent or subsidiary of ours.</w:t>
      </w:r>
    </w:p>
    <w:p>
      <w:pPr>
        <w:spacing w:after="0" w:line="13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December 31, 2020, awards outstanding under our 2017 Plan consisted of stock options to purchase an aggregate of 8,192,910 shares of our Class A common stock and no RSAs.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2017 Plan is administered by our board of directors or a committee appointed by our board of directors, or the administrator. The administrator has the authority to make all determinations necessary or advisable to our 2017 Plan, including the authority to issue restricted stock grants and stock options, authorize the issuance of shares upon exercise of stock options under the 2017 Plan, construe award agreements and the 2017 Plan, to prescribe, amend and rescind rules and regulations relating to the 2017 Plan, to determine the terms and provisions of awards, and to correct any defect or supply any omission or reconcile any inconsistency in the 2017 Plan or any award agreement. The administrator may accelerate the date or dates on which all or any particular stock option may be exercised or extend the period or periods of time during which all, or any particular, stock option or stock options may be exercised. Subject to the consent of any adversely affected participant, the administrator also has the authority to allow participants the opportunity under an exchange program to transfer outstanding awards granted under the 2017 Plan to a financial institution or other person or entity selected by the administrator, and to institute an exchange program by which outstanding awards granted under the 2017 Plan may be surrendered or cancelled in exchange for awards of the same type, which may have a higher or lower exercise price and/or different terms, awards of a different type and/or cash, or by which the exercise price of an outstanding award granted under the 2017 Plan is increased or reduced. The administrator’s construction and interpretation of the terms and provisions of our 2017 Plan is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121" w:right="359" w:bottom="1440" w:gutter="0" w:footer="0" w:header="0"/>
        </w:sectPr>
      </w:pPr>
    </w:p>
    <w:bookmarkStart w:id="149" w:name="page150"/>
    <w:bookmarkEnd w:id="14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Employees, officers, directors and consultants or advisors of ours or our parent or subsidiary companies were eligible to receive awards. Only our employees or employees of our parent or subsidiary companies are eligible to receive incentive stock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Stock options have been granted under our 2017 Plan. The administrator determines the exercise price of stock options granted under our 2017 Plan, which may not be less than the fair market value of our Class A common stock on the date of grant. The term of a stock option is stated in the applicable award agreement, but may not exceed ten years from the grant date. With respect to any employee who owns more than 10% of the total combined voting power of all classes of outstanding stock of ours or any of our parent or subsidiary companies, the exercise price of an incentive stock option must equal at least 110% of the fair market value on the grant date and the term of an incentive stock option granted to such employee may not exceed five years. The administrator determines the methods of payment of the exercise price of a stock option, which may include cash or check; delivery of shares of our Class A common stock; delivery of a personal recourse note with an interest rate not less than the lowest applicable federal rate; if the Class A common stock is registered under the Securities Exchange Act of 1934, by irrevocable instructions to a broker to deliver payment by cash or check; by reducing the number of shares otherwise issuable by a number of shares having fair market value equal to the aggregate exercise price of the option, or by any combination of the foregoing methods. The administrator determines the time after a participant’s termination of employment or provision of services during which a participant may exercise his or her option, which except as otherwise expressly provided in the applicable award agreement, generally will be 90 days (or 180 days in the case of a participant’s termination of employment or service due to death or disability). In the event a participant’s employment or provision of services to the Company is terminated by the Company for Cause (as defined in our 2017 Plan), the option will terminate immediately. A stock option may not be exercised later than the expiration of its term. The administrator, in its sole discretion, may include in stock option agreements additional provisions not inconsistent with the terms or conditions of the 2017 Plan, providing for, among other items, restrictions on transfer, rights of the Company to repurchase shares acquired upon exercise of the stock option or such other provisions determined by the administrator.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Restricted stock awards have been granted under our 2017 Plan. Such restricted stock are shares of our Class A common stock entitling the recipient to acquire, for a purchase price (if any) and subject to such restrictions and conditions as the administrator may determine at the time of grant, including continued employment and/or achievement of pre-established performance goals and objectives. The administrator determines any purchase price of restricted stock awards at the time of authorizing the issuance of such awards. The administrator, in its sole discretion, may include in restricted stock award agreements additional provisions not inconsistent with the terms or conditions of the 2017 Plan, providing for, among other items, restrictions on transfer and the right of the Company to repurchase shares of restricted stock or such other provisions determined by the administrator.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Stock Options</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Under our 2017 Plan, stock options are not assignable or transferable by the person to whom they are granted, either voluntarily or by operation of law, except by will or the laws of descent and distribution. During the life of an optionee, an option may be exercised only by the optionee.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through or as a result of any merger, consolidation, sale of all or substantially all of our assets, reorganization, recapitalization, reclassification, stock dividend, stock split, reverse stock split or other similar transaction, outstanding shares of our Class A common stock are increased, decreased or exchanged for a different number or kind of securities or other non-cash assets are distributed with respect to our stock or other securities, an appropriate and proportionate adjustment will be made in the number and kind of shares or other securities subject to any then outstanding stock options, and the price of shares covered by each outstanding stock option.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21" w:right="339" w:bottom="1440" w:gutter="0" w:footer="0" w:header="0"/>
        </w:sectPr>
      </w:pPr>
    </w:p>
    <w:bookmarkStart w:id="150" w:name="page151"/>
    <w:bookmarkEnd w:id="15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expressly provided in the 2017 Plan, any issuance by us of shares of stock of any class, or securities convertible into shares of stock of any class, for cash or property or for labor or services, either upon direct sale or exercise of rights or warrants, or upon conversion of shares or obligations of ours convertible into such shares or securities, will not affect or cause an adjustment to the number or price of shares subject to outstanding options under the 2017 Plan. The administrator’s determination regarding such adjustments will be final, binding and conclusive.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Transactions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Our 2017 Plan provides that, unless provided otherwise in an option agreement or restricted stock agreement, in the event of a Change in Control Transaction (as defined in our 2017 Plan), the administrator, or the board of directors of any corporation assuming the obligations of the Company, may, in its discretion, take any one or more of the following actions, as to some or all outstanding awards: (i) provide that stock options will be assumed or substituted for with equivalent awards, (ii) upon written notice, provide that all unexercised stock options will terminate unless exercised, to the extent exercisable, (iii) upon written notice, provide that all unvested shares of restricted stock will be repurchased at cost, (iv) make or provide for a cash payment to optionees equal to the difference between (A) the fair market value of the per share consideration the holder of a share of Class A common stock will receive upon consummation of the Change in Control Transaction (the “Per Share Transaction Price”),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shares of Class A common stock subject to outstanding vested stock options,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aggregate exercise price of such outstanding vested stock options, or (v) provide that all or any outstanding stock options will become exercisable and all or any outstanding restricted stock awards will vest in part or in full immediately prior to such event. If any stock options are exercisable at a price equal to or in excess of the Per Share Transaction Price, the administrator may provide that those stock options will terminate immediately upon the consummation of the Change in Control Transaction without payment. In the event of a business combination or other transaction including a Change in Control Transaction, any securities, cash or other property received in exchange for shares of restricted stock will continue to be governed by the provisions of any restricted stock agreement pursuant to which they were granted, including any provisions regarding vesting, and such securities, cash or other property may be held in escrow on such terms as the administrator may direct. The administrator need not take the same action with respect to all awards.</w:t>
      </w:r>
    </w:p>
    <w:p>
      <w:pPr>
        <w:spacing w:after="0" w:line="12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a successor corporation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portion of such option) is not assumed or substituted, the administrator will notify the participant that such option will be exercisable for a period of time determined by the administrator in its sole discretion and the option will terminate upon the expiration of such period.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board of directors could amend or terminate our 2017 Plan at any time. As previously noted, our 2017 Plan has been terminated and we will not grant any additional awards under our 2017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board of directors adopted, and our stockholders approved, our 2020 Employee Stock Purchase Plan (the ESPP). Our ESPP became effective as of the business day immediately prior to our initial public offering. The below is a summary of the terms of the ESPP.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total of 602,570 shares of our Class A common stock were initially available for issuance under our ESPP. In addition, our ESPP provides for annual increases in the number of shares of our Class A common stock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21" w:right="339" w:bottom="1440" w:gutter="0" w:footer="0" w:header="0"/>
        </w:sectPr>
      </w:pPr>
    </w:p>
    <w:bookmarkStart w:id="151" w:name="page152"/>
    <w:bookmarkEnd w:id="15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issuance under our ESPP on the first day of each of our fiscal years beginning with our fiscal year 2021, in an amount equal to the least of:</w:t>
      </w:r>
    </w:p>
    <w:p>
      <w:pPr>
        <w:spacing w:after="0" w:line="171"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1,807,476 shares;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number of shares equal to 1% of the outstanding shares of all classes of our common stock on the last day of our immediately preceding fiscal year; and</w:t>
      </w:r>
    </w:p>
    <w:p>
      <w:pPr>
        <w:spacing w:after="0" w:line="116" w:lineRule="exact"/>
        <w:rPr>
          <w:rFonts w:ascii="Arial" w:cs="Arial" w:eastAsia="Arial" w:hAnsi="Arial"/>
          <w:sz w:val="18"/>
          <w:szCs w:val="18"/>
          <w:color w:val="auto"/>
        </w:rPr>
      </w:pPr>
    </w:p>
    <w:p>
      <w:pPr>
        <w:ind w:left="340" w:right="420" w:hanging="8"/>
        <w:spacing w:after="0" w:line="464" w:lineRule="auto"/>
        <w:tabs>
          <w:tab w:leader="none" w:pos="659" w:val="left"/>
        </w:tabs>
        <w:numPr>
          <w:ilvl w:val="0"/>
          <w:numId w:val="90"/>
        </w:numPr>
        <w:rPr>
          <w:rFonts w:ascii="Arial" w:cs="Arial" w:eastAsia="Arial" w:hAnsi="Arial"/>
          <w:sz w:val="17"/>
          <w:szCs w:val="17"/>
          <w:color w:val="auto"/>
        </w:rPr>
      </w:pPr>
      <w:r>
        <w:rPr>
          <w:rFonts w:ascii="Arial" w:cs="Arial" w:eastAsia="Arial" w:hAnsi="Arial"/>
          <w:sz w:val="17"/>
          <w:szCs w:val="17"/>
          <w:color w:val="auto"/>
        </w:rPr>
        <w:t>such other number of shares as our board of directors may determine as of no later than the last day of our immediately preceding fiscal year. Shares issuable under the ESPP will be authorized, but unissued, or reacquired shares of our Class A common stock.</w:t>
      </w: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Our board of directors has appointed our compensation committee to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is an officer or subject to disclosure requirements under Section 16(a) of the Exchange Act, is or is not eligible to participate in an offering. However, an employee may not be granted an option to purchase stock under our ESPP if the employee (i) immediately after the grant, would own stock and/or hold outstanding options to purchase such stock possessing 5% or more of the total combined voting power or value of all classes of our (or any of our parent’s or subsidiary’s) capital stock; or (ii) holds rights to purchase stock under all of our employee stock purchase plans that accrue at a rate that exceeds $25,000 worth of stock for each calendar year.</w:t>
      </w:r>
    </w:p>
    <w:p>
      <w:pPr>
        <w:spacing w:after="0" w:line="11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71" w:lineRule="exact"/>
        <w:rPr>
          <w:sz w:val="20"/>
          <w:szCs w:val="20"/>
          <w:color w:val="auto"/>
        </w:rPr>
      </w:pPr>
    </w:p>
    <w:p>
      <w:pPr>
        <w:ind w:right="40" w:firstLine="324"/>
        <w:spacing w:after="0" w:line="219" w:lineRule="exact"/>
        <w:rPr>
          <w:sz w:val="20"/>
          <w:szCs w:val="20"/>
          <w:color w:val="auto"/>
        </w:rPr>
      </w:pPr>
      <w:r>
        <w:rPr>
          <w:rFonts w:ascii="Arial" w:cs="Arial" w:eastAsia="Arial" w:hAnsi="Arial"/>
          <w:sz w:val="18"/>
          <w:szCs w:val="18"/>
          <w:color w:val="auto"/>
        </w:rPr>
        <w:t>Our ESPP includes a component that is intended to qualify as an “employee stock purchase plan” under Code Section 423 (the 423 Component), and a component that does not comply with Code Section 423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 summary, a reference to our ESPP generally will mean the terms and operations of the 423 Component. Upon the administrator’s determination that offering periods will commence under our ESPP (the Offer Commencement Approval), our ESPP will provide for six-month offering periods, unless the administrator determines otherwise. Each offering period will have one purchase period with the same duration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21" w:right="359" w:bottom="1440" w:gutter="0" w:footer="0" w:header="0"/>
        </w:sectPr>
      </w:pPr>
    </w:p>
    <w:bookmarkStart w:id="152" w:name="page153"/>
    <w:bookmarkEnd w:id="15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offering period. The offering periods will be scheduled to begin on the first trading day on or after (a) February 15 and August 15 of each year following the date of the Offer Commencement Approval, or, (b) on May 15 and November 15 of each year following the Offer Commencement Approval if either of May 15 or November 15 occurs earlier than February 15 or August 15 in the year of the Offer Commencement Approval.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Contributions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Exercise of Purchase Right</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offering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1,168 shares during each offering period.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w:t>
      </w:r>
    </w:p>
    <w:p>
      <w:pPr>
        <w:spacing w:after="0" w:line="171"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ESPP provides that if any dividend or other distribution (whether in the form of cash, our common stock, other securities, or other property), recapitalization, stock split, reverse stock split, reorganization, merger, consolidation, split up, spin 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before such date the participant has withdrawn from the offering period or a participant’s participation has terminated due to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21" w:right="339" w:bottom="1440" w:gutter="0" w:footer="0" w:header="0"/>
        </w:sectPr>
      </w:pPr>
    </w:p>
    <w:bookmarkStart w:id="153" w:name="page154"/>
    <w:bookmarkEnd w:id="15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before the effective date of our registration statement for our initial public offering, unless we terminate it earlier.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 10b5-1 Plan Sales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the sale of any shares under such plan would be subject to the lock-up agreement that the director or executive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320" w:top="121" w:right="399" w:bottom="1440" w:gutter="0" w:footer="0" w:header="0"/>
        </w:sectPr>
      </w:pPr>
    </w:p>
    <w:bookmarkStart w:id="154" w:name="page155"/>
    <w:bookmarkEnd w:id="15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2018 and each currently proposed transaction in which:</w:t>
      </w:r>
    </w:p>
    <w:p>
      <w:pPr>
        <w:spacing w:after="0" w:line="130"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2020 Private Placement</w:t>
      </w:r>
    </w:p>
    <w:p>
      <w:pPr>
        <w:spacing w:after="0" w:line="17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On December 9, 2020, each of Fidelity Management &amp; Research Company LLC, accounts advised by T. Rowe Price Associates, Inc. and aMoon Fund purchased from us in a private placement shares of our Class A common stock at a price per share equal to the initial public offering price of $19.00 per share. Each of Fidelity Management &amp; Research Company LLC and certain funds and accounts advised by T. Rowe Price Associates, Inc. each purchased 2,105,263 shares of our Class A common stock and aMoon Fund purchased 789,473 shares of our Class A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 Transaction</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described in the section “Business—PrognomIQ,” on August 21, 2020, we consummated a transaction whereby we spun off our subsidiary PrognomIQ, Inc. through a distribution of shares of Class A common stock, Class B common stock and preferred stock of PrognomIQ to our stockholders. As a result of this transaction, those individuals who were our stockholders as of 5:00 p.m. Eastern Time on August 20, 2020, including certain of our directors and executive officers and venture capital funds that beneficially own more than 5% of our outstanding capital stock and/or are represented on our board of directors, received a distribution of shares of the relevant class of stock of PrognomIQ.</w:t>
      </w:r>
    </w:p>
    <w:p>
      <w:pPr>
        <w:spacing w:after="0" w:line="12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have non-exclusively licensed our patents and patent applications and have non-exclusively sublicensed certain patent applications we exclusively licensed from BWH, in each case, to PrognomIQ for use in the field of human diagnostics. Pursuant to our agreement with PrognomIQ, we also assigned a patent application related to lung cancer biomarkers to PrognomIQ. For further discussion of our license and sublicense arrangement with PrognomIQ, see the section titled “Business—Collaboration and License Agreements—</w:t>
      </w:r>
      <w:r>
        <w:rPr>
          <w:rFonts w:ascii="Arial" w:cs="Arial" w:eastAsia="Arial" w:hAnsi="Arial"/>
          <w:sz w:val="16"/>
          <w:szCs w:val="16"/>
          <w:i w:val="1"/>
          <w:iCs w:val="1"/>
          <w:color w:val="auto"/>
        </w:rPr>
        <w:t>PrognomIQ</w:t>
      </w:r>
      <w:r>
        <w:rPr>
          <w:rFonts w:ascii="Arial" w:cs="Arial" w:eastAsia="Arial" w:hAnsi="Arial"/>
          <w:sz w:val="16"/>
          <w:szCs w:val="16"/>
          <w:color w:val="auto"/>
        </w:rPr>
        <w:t>.” We will also be providing general transition services and support, including laboratory and office space to PrognomIQ pursuant to a transition services agreement during the transition period.</w:t>
      </w:r>
    </w:p>
    <w:p>
      <w:pPr>
        <w:spacing w:after="0" w:line="10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Philip Ma, Ph.D., our co-Founder and former Chief Business Officer, serves as the Chief Executive Officer of PrognomIQ. While Dr. Ma has transitioned to a full-time employee of PrognomIQ, he will remain a consultant of the Company until April 2021. Our Chief Executive Officer and Chair of our board of directors, Omid Farokhzad, M.D., is the Chair of PrognomIQ’s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21" w:right="339" w:bottom="1440" w:gutter="0" w:footer="0" w:header="0"/>
        </w:sectPr>
      </w:pPr>
    </w:p>
    <w:bookmarkStart w:id="155" w:name="page156"/>
    <w:bookmarkEnd w:id="15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the number of PrognomIQ shares distributed and equity awards granted in connection with the PrognomIQ transaction to our directors, executive officers and 5% stockholders.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2780" w:type="dxa"/>
            <w:vAlign w:val="bottom"/>
            <w:gridSpan w:val="2"/>
          </w:tcPr>
          <w:p>
            <w:pPr>
              <w:ind w:left="1140"/>
              <w:spacing w:after="0"/>
              <w:rPr>
                <w:sz w:val="20"/>
                <w:szCs w:val="20"/>
                <w:color w:val="auto"/>
              </w:rPr>
            </w:pPr>
            <w:r>
              <w:rPr>
                <w:rFonts w:ascii="Arial" w:cs="Arial" w:eastAsia="Arial" w:hAnsi="Arial"/>
                <w:sz w:val="14"/>
                <w:szCs w:val="14"/>
                <w:b w:val="1"/>
                <w:bCs w:val="1"/>
                <w:color w:val="auto"/>
                <w:w w:val="97"/>
              </w:rPr>
              <w:t>Class A Common Shares</w:t>
            </w: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Class B Common Shares</w:t>
            </w:r>
          </w:p>
        </w:tc>
        <w:tc>
          <w:tcPr>
            <w:tcW w:w="1560" w:type="dxa"/>
            <w:vAlign w:val="bottom"/>
          </w:tcPr>
          <w:p>
            <w:pPr>
              <w:jc w:val="right"/>
              <w:ind w:right="172"/>
              <w:spacing w:after="0"/>
              <w:rPr>
                <w:sz w:val="20"/>
                <w:szCs w:val="20"/>
                <w:color w:val="auto"/>
              </w:rPr>
            </w:pPr>
            <w:r>
              <w:rPr>
                <w:rFonts w:ascii="Arial" w:cs="Arial" w:eastAsia="Arial" w:hAnsi="Arial"/>
                <w:sz w:val="14"/>
                <w:szCs w:val="14"/>
                <w:b w:val="1"/>
                <w:bCs w:val="1"/>
                <w:color w:val="auto"/>
              </w:rPr>
              <w:t>Preferred Shares</w:t>
            </w:r>
          </w:p>
        </w:tc>
      </w:tr>
      <w:tr>
        <w:trPr>
          <w:trHeight w:val="26"/>
        </w:trPr>
        <w:tc>
          <w:tcPr>
            <w:tcW w:w="5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David Hallal</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892,776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Emerson Collective Investments, LLC</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5,326,807</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aMoon Fund</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10,772,174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Entities affiliated with Fidelity</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6,666,666</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349,999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11,396,607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5,169,230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10,808,953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Omid Farokhzad, M.D. and affiliated entities</w:t>
            </w:r>
          </w:p>
        </w:tc>
        <w:tc>
          <w:tcPr>
            <w:tcW w:w="2700" w:type="dxa"/>
            <w:vAlign w:val="bottom"/>
          </w:tcPr>
          <w:p>
            <w:pPr>
              <w:jc w:val="right"/>
              <w:spacing w:after="0"/>
              <w:rPr>
                <w:sz w:val="20"/>
                <w:szCs w:val="20"/>
                <w:color w:val="auto"/>
              </w:rPr>
            </w:pPr>
            <w:r>
              <w:rPr>
                <w:rFonts w:ascii="Arial" w:cs="Arial" w:eastAsia="Arial" w:hAnsi="Arial"/>
                <w:sz w:val="18"/>
                <w:szCs w:val="18"/>
                <w:color w:val="auto"/>
              </w:rPr>
              <w:t>5,918,990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17,545,007</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220,240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 Ma, Ph.D. and affiliated entity</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2,152,360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220,240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Robert Langer, Sc.D.</w:t>
            </w:r>
          </w:p>
        </w:tc>
        <w:tc>
          <w:tcPr>
            <w:tcW w:w="2700" w:type="dxa"/>
            <w:vAlign w:val="bottom"/>
          </w:tcPr>
          <w:p>
            <w:pPr>
              <w:jc w:val="right"/>
              <w:spacing w:after="0"/>
              <w:rPr>
                <w:sz w:val="20"/>
                <w:szCs w:val="20"/>
                <w:color w:val="auto"/>
              </w:rPr>
            </w:pPr>
            <w:r>
              <w:rPr>
                <w:rFonts w:ascii="Arial" w:cs="Arial" w:eastAsia="Arial" w:hAnsi="Arial"/>
                <w:sz w:val="18"/>
                <w:szCs w:val="18"/>
                <w:color w:val="auto"/>
              </w:rPr>
              <w:t>1,042,150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440,480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Terrance McGuire and affiliated entity</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907,031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110,120</w:t>
            </w:r>
          </w:p>
        </w:tc>
      </w:tr>
      <w:tr>
        <w:trPr>
          <w:trHeight w:val="27"/>
        </w:trPr>
        <w:tc>
          <w:tcPr>
            <w:tcW w:w="52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D-1 Convertible Preferred Stock Transaction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May 2020, we issued and sold an aggregate of 6,853,571 shares of our Series D-1 convertible preferred stock at a purchase price of $8.03 per share for an aggregate purchase price of approximately $55.0 million. Purchasers of our Series D-1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3540" w:type="dxa"/>
            <w:vAlign w:val="bottom"/>
            <w:gridSpan w:val="2"/>
          </w:tcPr>
          <w:p>
            <w:pPr>
              <w:jc w:val="center"/>
              <w:ind w:left="1695"/>
              <w:spacing w:after="0"/>
              <w:rPr>
                <w:sz w:val="20"/>
                <w:szCs w:val="20"/>
                <w:color w:val="auto"/>
              </w:rPr>
            </w:pPr>
            <w:r>
              <w:rPr>
                <w:rFonts w:ascii="Arial" w:cs="Arial" w:eastAsia="Arial" w:hAnsi="Arial"/>
                <w:sz w:val="14"/>
                <w:szCs w:val="14"/>
                <w:b w:val="1"/>
                <w:bCs w:val="1"/>
                <w:color w:val="auto"/>
                <w:w w:val="93"/>
              </w:rPr>
              <w:t>Series D-1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3540" w:type="dxa"/>
            <w:vAlign w:val="bottom"/>
            <w:gridSpan w:val="2"/>
          </w:tcPr>
          <w:p>
            <w:pPr>
              <w:jc w:val="center"/>
              <w:ind w:left="1695"/>
              <w:spacing w:after="0"/>
              <w:rPr>
                <w:sz w:val="20"/>
                <w:szCs w:val="20"/>
                <w:color w:val="auto"/>
              </w:rPr>
            </w:pPr>
            <w:r>
              <w:rPr>
                <w:rFonts w:ascii="Arial" w:cs="Arial" w:eastAsia="Arial" w:hAnsi="Arial"/>
                <w:sz w:val="14"/>
                <w:szCs w:val="14"/>
                <w:b w:val="1"/>
                <w:bCs w:val="1"/>
                <w:color w:val="auto"/>
                <w:w w:val="92"/>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Total Purchase Price</w:t>
            </w:r>
          </w:p>
        </w:tc>
      </w:tr>
      <w:tr>
        <w:trPr>
          <w:trHeight w:val="25"/>
        </w:trPr>
        <w:tc>
          <w:tcPr>
            <w:tcW w:w="61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1,399,999</w:t>
            </w: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40" w:type="dxa"/>
            <w:vAlign w:val="bottom"/>
          </w:tcPr>
          <w:p>
            <w:pPr>
              <w:jc w:val="right"/>
              <w:spacing w:after="0"/>
              <w:rPr>
                <w:sz w:val="20"/>
                <w:szCs w:val="20"/>
                <w:color w:val="auto"/>
              </w:rPr>
            </w:pPr>
            <w:r>
              <w:rPr>
                <w:rFonts w:ascii="Arial" w:cs="Arial" w:eastAsia="Arial" w:hAnsi="Arial"/>
                <w:sz w:val="18"/>
                <w:szCs w:val="18"/>
                <w:color w:val="auto"/>
              </w:rPr>
              <w:t>1,370,715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10,999,999</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Fidelity</w:t>
            </w:r>
            <w:r>
              <w:rPr>
                <w:rFonts w:ascii="Arial" w:cs="Arial" w:eastAsia="Arial" w:hAnsi="Arial"/>
                <w:sz w:val="23"/>
                <w:szCs w:val="23"/>
                <w:color w:val="auto"/>
                <w:vertAlign w:val="superscript"/>
              </w:rPr>
              <w:t>(2)</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3,115,262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24,999,998</w:t>
            </w: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(3)</w:t>
            </w:r>
          </w:p>
        </w:tc>
        <w:tc>
          <w:tcPr>
            <w:tcW w:w="3440" w:type="dxa"/>
            <w:vAlign w:val="bottom"/>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(4)</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Invus Public Equities, L.P.</w:t>
            </w:r>
          </w:p>
        </w:tc>
        <w:tc>
          <w:tcPr>
            <w:tcW w:w="3440" w:type="dxa"/>
            <w:vAlign w:val="bottom"/>
          </w:tcPr>
          <w:p>
            <w:pPr>
              <w:jc w:val="right"/>
              <w:spacing w:after="0"/>
              <w:rPr>
                <w:sz w:val="20"/>
                <w:szCs w:val="20"/>
                <w:color w:val="auto"/>
              </w:rPr>
            </w:pPr>
            <w:r>
              <w:rPr>
                <w:rFonts w:ascii="Arial" w:cs="Arial" w:eastAsia="Arial" w:hAnsi="Arial"/>
                <w:sz w:val="18"/>
                <w:szCs w:val="18"/>
                <w:color w:val="auto"/>
              </w:rPr>
              <w:t>249,221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1,999,999</w:t>
            </w:r>
          </w:p>
        </w:tc>
      </w:tr>
      <w:tr>
        <w:trPr>
          <w:trHeight w:val="182"/>
        </w:trPr>
        <w:tc>
          <w:tcPr>
            <w:tcW w:w="6140" w:type="dxa"/>
            <w:vAlign w:val="bottom"/>
          </w:tcPr>
          <w:p>
            <w:pPr>
              <w:spacing w:after="0"/>
              <w:rPr>
                <w:sz w:val="20"/>
                <w:szCs w:val="20"/>
                <w:color w:val="auto"/>
              </w:rPr>
            </w:pPr>
            <w:r>
              <w:rPr>
                <w:rFonts w:ascii="Arial" w:cs="Arial" w:eastAsia="Arial" w:hAnsi="Arial"/>
                <w:sz w:val="14"/>
                <w:szCs w:val="14"/>
                <w:color w:val="auto"/>
              </w:rPr>
              <w:t>________________</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ind w:left="340" w:hanging="332"/>
        <w:spacing w:after="0" w:line="241"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20" w:hanging="332"/>
        <w:spacing w:after="0" w:line="241"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Fidelity whose shares are aggregated for the purposes of reporting ownership information include Fidelity Growth Company Commingled Pool, Fidelity Mt. Vernon Street Trust: Fidelity Growth Company Fund, Fidelity Mt. Vernon Street Trust: Fidelity Growth Company K6 Fund, Fidelity Mt. Vernon Street Trust: Fidelity Series Growth Company Fund and Fidelity Select Portfolios Select Medical Technology and Devices Portfolio.</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 Convertible Preferred Stock Transaction</w:t>
      </w:r>
    </w:p>
    <w:p>
      <w:pPr>
        <w:spacing w:after="0" w:line="17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In November 2019 and December 2019, we issued and sold an aggregate of 7,907,968 shares of our Series D convertible preferred stock shares at a purchase price of $6.96 per share for an aggregate purchase price of approximately $55.0 million. Purchasers of our Series D convertible preferred stock included venture capital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21" w:right="339" w:bottom="1440" w:gutter="0" w:footer="0" w:header="0"/>
        </w:sectPr>
      </w:pPr>
    </w:p>
    <w:bookmarkStart w:id="156" w:name="page157"/>
    <w:bookmarkEnd w:id="15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that beneficially owned more than 5% of our outstanding share capital and/or are represented on our board of directors. The following table presents the number of shares and the total purchase price paid by these persons.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3"/>
              </w:rPr>
              <w:t>Series D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2"/>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Total Purchase Price</w:t>
            </w:r>
          </w:p>
        </w:tc>
      </w:tr>
      <w:tr>
        <w:trPr>
          <w:trHeight w:val="26"/>
        </w:trPr>
        <w:tc>
          <w:tcPr>
            <w:tcW w:w="6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3,684,652</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20" w:type="dxa"/>
            <w:vAlign w:val="bottom"/>
          </w:tcPr>
          <w:p>
            <w:pPr>
              <w:jc w:val="right"/>
              <w:spacing w:after="0"/>
              <w:rPr>
                <w:sz w:val="20"/>
                <w:szCs w:val="20"/>
                <w:color w:val="auto"/>
              </w:rPr>
            </w:pPr>
            <w:r>
              <w:rPr>
                <w:rFonts w:ascii="Arial" w:cs="Arial" w:eastAsia="Arial" w:hAnsi="Arial"/>
                <w:sz w:val="18"/>
                <w:szCs w:val="18"/>
                <w:color w:val="auto"/>
              </w:rPr>
              <w:t>3,663,008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25,476,233</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(2)</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3,515,486</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(3)</w:t>
            </w:r>
          </w:p>
        </w:tc>
        <w:tc>
          <w:tcPr>
            <w:tcW w:w="3420" w:type="dxa"/>
            <w:vAlign w:val="bottom"/>
          </w:tcPr>
          <w:p>
            <w:pPr>
              <w:jc w:val="right"/>
              <w:spacing w:after="0"/>
              <w:rPr>
                <w:sz w:val="20"/>
                <w:szCs w:val="20"/>
                <w:color w:val="auto"/>
              </w:rPr>
            </w:pPr>
            <w:r>
              <w:rPr>
                <w:rFonts w:ascii="Arial" w:cs="Arial" w:eastAsia="Arial" w:hAnsi="Arial"/>
                <w:sz w:val="18"/>
                <w:szCs w:val="18"/>
                <w:color w:val="auto"/>
              </w:rPr>
              <w:t>1,294,030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8,999,998</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3,299,998</w:t>
            </w:r>
          </w:p>
        </w:tc>
      </w:tr>
      <w:tr>
        <w:trPr>
          <w:trHeight w:val="155"/>
        </w:trPr>
        <w:tc>
          <w:tcPr>
            <w:tcW w:w="616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40" w:hanging="332"/>
        <w:spacing w:after="0" w:line="241"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540" w:hanging="332"/>
        <w:spacing w:after="0" w:line="241"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C Convertible Preferred Stock Transaction</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March and April 2019, we issued and sold an aggregate of 3,271,023 shares of our Series C convertible preferred stock at a purchase price of $5.35 per share for an aggregate purchase price of approximately $17.5 million. Purchasers of our Series C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C Convertible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Purchase Price</w:t>
      </w:r>
    </w:p>
    <w:p>
      <w:pPr>
        <w:spacing w:after="0" w:line="54" w:lineRule="exact"/>
        <w:rPr>
          <w:sz w:val="20"/>
          <w:szCs w:val="20"/>
          <w:color w:val="auto"/>
        </w:rPr>
      </w:pPr>
    </w:p>
    <w:p>
      <w:pPr>
        <w:sectPr>
          <w:pgSz w:w="11900" w:h="16838" w:orient="portrait"/>
          <w:cols w:equalWidth="0" w:num="3">
            <w:col w:w="7440" w:space="720"/>
            <w:col w:w="1280" w:space="380"/>
            <w:col w:w="1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242,990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r>
      <w:tr>
        <w:trPr>
          <w:trHeight w:val="230"/>
        </w:trPr>
        <w:tc>
          <w:tcPr>
            <w:tcW w:w="654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040" w:type="dxa"/>
            <w:vAlign w:val="bottom"/>
          </w:tcPr>
          <w:p>
            <w:pPr>
              <w:jc w:val="right"/>
              <w:spacing w:after="0"/>
              <w:rPr>
                <w:sz w:val="20"/>
                <w:szCs w:val="20"/>
                <w:color w:val="auto"/>
              </w:rPr>
            </w:pPr>
            <w:r>
              <w:rPr>
                <w:rFonts w:ascii="Arial" w:cs="Arial" w:eastAsia="Arial" w:hAnsi="Arial"/>
                <w:sz w:val="18"/>
                <w:szCs w:val="18"/>
                <w:color w:val="auto"/>
              </w:rPr>
              <w:t>411,214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2,200,000</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155"/>
        </w:trPr>
        <w:tc>
          <w:tcPr>
            <w:tcW w:w="654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ind w:left="340" w:right="540" w:hanging="332"/>
        <w:spacing w:after="0" w:line="255"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Convertible Preferred Stock Transaction</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2018, we issued and sold an aggregate of 7,906,757 shares of Series B convertible preferred stock at a purchase price of $3.80 per share for an aggregate purchase price of approximately $30.0 million. Purchasers of our Series B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21" w:right="339" w:bottom="1440" w:gutter="0" w:footer="0" w:header="0"/>
          <w:type w:val="continuous"/>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Series B Convertible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Purchase Price</w:t>
      </w:r>
    </w:p>
    <w:p>
      <w:pPr>
        <w:spacing w:after="0" w:line="54" w:lineRule="exact"/>
        <w:rPr>
          <w:sz w:val="20"/>
          <w:szCs w:val="20"/>
          <w:color w:val="auto"/>
        </w:rPr>
      </w:pPr>
    </w:p>
    <w:p>
      <w:pPr>
        <w:sectPr>
          <w:pgSz w:w="11900" w:h="16838" w:orient="portrait"/>
          <w:cols w:equalWidth="0" w:num="3">
            <w:col w:w="7440" w:space="720"/>
            <w:col w:w="1260" w:space="400"/>
            <w:col w:w="1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1,541,932</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5,850,430</w:t>
            </w:r>
          </w:p>
        </w:tc>
      </w:tr>
      <w:tr>
        <w:trPr>
          <w:trHeight w:val="270"/>
        </w:trPr>
        <w:tc>
          <w:tcPr>
            <w:tcW w:w="648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100" w:type="dxa"/>
            <w:vAlign w:val="bottom"/>
          </w:tcPr>
          <w:p>
            <w:pPr>
              <w:jc w:val="right"/>
              <w:spacing w:after="0"/>
              <w:rPr>
                <w:sz w:val="20"/>
                <w:szCs w:val="20"/>
                <w:color w:val="auto"/>
              </w:rPr>
            </w:pPr>
            <w:r>
              <w:rPr>
                <w:rFonts w:ascii="Arial" w:cs="Arial" w:eastAsia="Arial" w:hAnsi="Arial"/>
                <w:sz w:val="18"/>
                <w:szCs w:val="18"/>
                <w:color w:val="auto"/>
              </w:rPr>
              <w:t>1,976,690</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7,499,999</w:t>
            </w:r>
          </w:p>
        </w:tc>
      </w:tr>
      <w:tr>
        <w:trPr>
          <w:trHeight w:val="27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3,953,381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14,999,998</w:t>
            </w:r>
          </w:p>
        </w:tc>
      </w:tr>
      <w:tr>
        <w:trPr>
          <w:trHeight w:val="155"/>
        </w:trPr>
        <w:tc>
          <w:tcPr>
            <w:tcW w:w="648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ind w:left="340" w:right="540" w:hanging="332"/>
        <w:spacing w:after="0" w:line="255"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21" w:right="339" w:bottom="1440" w:gutter="0" w:footer="0" w:header="0"/>
          <w:type w:val="continuous"/>
        </w:sectPr>
      </w:pPr>
    </w:p>
    <w:bookmarkStart w:id="157" w:name="page158"/>
    <w:bookmarkEnd w:id="15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party to an amended and restated investors’ rights agreement, dated as of December 8, 2020 (IRA), which provides, among other things, that certain holders of our capital stock have the right to demand that we file a registration statement or request that their shares of our capital stock be covered by a registration statement that we are otherwise filing.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IRA and they will remain parties to the amended and restated IRA.</w:t>
      </w:r>
    </w:p>
    <w:p>
      <w:pPr>
        <w:spacing w:after="0" w:line="138" w:lineRule="exact"/>
        <w:rPr>
          <w:sz w:val="20"/>
          <w:szCs w:val="20"/>
          <w:color w:val="auto"/>
        </w:rPr>
      </w:pPr>
    </w:p>
    <w:p>
      <w:pPr>
        <w:ind w:right="1140" w:firstLine="324"/>
        <w:spacing w:after="0" w:line="438" w:lineRule="auto"/>
        <w:rPr>
          <w:sz w:val="20"/>
          <w:szCs w:val="20"/>
          <w:color w:val="auto"/>
        </w:rPr>
      </w:pPr>
      <w:r>
        <w:rPr>
          <w:rFonts w:ascii="Arial" w:cs="Arial" w:eastAsia="Arial" w:hAnsi="Arial"/>
          <w:sz w:val="18"/>
          <w:szCs w:val="18"/>
          <w:color w:val="auto"/>
        </w:rPr>
        <w:t xml:space="preserve">See the section titled “Description of Capital Stock—Registration Rights” for additional information regarding these registration rights. </w:t>
      </w:r>
      <w:r>
        <w:rPr>
          <w:rFonts w:ascii="Arial" w:cs="Arial" w:eastAsia="Arial" w:hAnsi="Arial"/>
          <w:sz w:val="18"/>
          <w:szCs w:val="18"/>
          <w:b w:val="1"/>
          <w:bCs w:val="1"/>
          <w:color w:val="auto"/>
        </w:rPr>
        <w:t>Other Transactions</w:t>
      </w:r>
    </w:p>
    <w:p>
      <w:pPr>
        <w:spacing w:after="0" w:line="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have granted stock options, RSAs and RSUs to our executive officers and certain of our directors. See the sections titled “Executive Compensation —Outstanding Equity Awards at Fiscal Year-End” and “Management—Director Compensation” for a description of these stock incentive awards.</w:t>
      </w:r>
    </w:p>
    <w:p>
      <w:pPr>
        <w:spacing w:after="0" w:line="70" w:lineRule="exact"/>
        <w:rPr>
          <w:sz w:val="20"/>
          <w:szCs w:val="20"/>
          <w:color w:val="auto"/>
        </w:rPr>
      </w:pPr>
    </w:p>
    <w:p>
      <w:pPr>
        <w:jc w:val="both"/>
        <w:ind w:right="320" w:firstLine="324"/>
        <w:spacing w:after="0" w:line="301" w:lineRule="auto"/>
        <w:rPr>
          <w:sz w:val="20"/>
          <w:szCs w:val="20"/>
          <w:color w:val="auto"/>
        </w:rPr>
      </w:pPr>
      <w:r>
        <w:rPr>
          <w:rFonts w:ascii="Arial" w:cs="Arial" w:eastAsia="Arial" w:hAnsi="Arial"/>
          <w:sz w:val="16"/>
          <w:szCs w:val="16"/>
          <w:color w:val="auto"/>
        </w:rPr>
        <w:t>Other than as described above under this section titled “Certain Relationships and Related Party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30"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3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our amended and restated bylaws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also provide that we must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121" w:right="359" w:bottom="1440" w:gutter="0" w:footer="0" w:header="0"/>
        </w:sectPr>
      </w:pPr>
    </w:p>
    <w:bookmarkStart w:id="158" w:name="page159"/>
    <w:bookmarkEnd w:id="15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expenses incurred by or on behalf of a director or officer in advance of the final disposition of any action or proceeding, subject to limited exceptions.</w:t>
      </w:r>
    </w:p>
    <w:p>
      <w:pPr>
        <w:spacing w:after="0" w:line="183"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0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3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21" w:right="339" w:bottom="1440" w:gutter="0" w:footer="0" w:header="0"/>
        </w:sectPr>
      </w:pPr>
    </w:p>
    <w:bookmarkStart w:id="159" w:name="page160"/>
    <w:bookmarkEnd w:id="15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AND SELLING STOCKHOLDERS</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December 31, 2020, and as adjusted to reflect the sale of our Class A common stock in this offering, for:</w:t>
      </w:r>
    </w:p>
    <w:p>
      <w:pPr>
        <w:spacing w:after="0" w:line="116"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each of our Class A common stock and Class B common stock;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selling stockholders.</w:t>
      </w:r>
    </w:p>
    <w:p>
      <w:pPr>
        <w:spacing w:after="0" w:line="17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based our calculation of the percentage of beneficial ownership prior to this offering on 53,395,319 shares of our Class A common stock and 5,865,732 shares of our Class B common stock outstanding as of December 31, 2020. We have based our calculation of the percentage of beneficial ownership after this offering on 1,650,000 shares of our Class A common stock issued by us in this offering and the sale of 2,100,000 shares by the selling stockholders, including the conversion of 775,910 shares of our Class B common stock into an equal number of shares of Class A common stock by the selling stockholders in connection with this offering. We have deemed shares of our Class A common stock subject to stock options that are currently exercisable or exercisable within 60 days of December 31, 2020, or issuable pursuant to RSAs which are subject to vesting and settlement conditions expected to occur within 60 days of December 31, 2020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127"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selling stockholders have granted the underwriters an option exercisable for 30 days after the date of this prospectus, to purchase, from time to time, in whole or in part, up to an aggregate of 562,500 shares from the selling stockholders at the public offering price less underwriting discounts and commissions.</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Seer, Inc. 3800 Bridge Parkway, Suite 102, Redwood City, California 94065.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121" w:right="439" w:bottom="1440" w:gutter="0" w:footer="0" w:header="0"/>
        </w:sectPr>
      </w:pPr>
    </w:p>
    <w:bookmarkStart w:id="160" w:name="page161"/>
    <w:bookmarkEnd w:id="16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9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Class A</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Shares Owned</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Shares Owned</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 of Voting</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 of Voting</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Shares Being</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Shares Being</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After this</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After this</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Power After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Power After</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vMerge w:val="restart"/>
          </w:tcPr>
          <w:p>
            <w:pPr>
              <w:ind w:left="580"/>
              <w:spacing w:after="0"/>
              <w:rPr>
                <w:sz w:val="20"/>
                <w:szCs w:val="20"/>
                <w:color w:val="auto"/>
              </w:rPr>
            </w:pPr>
            <w:r>
              <w:rPr>
                <w:rFonts w:ascii="Arial" w:cs="Arial" w:eastAsia="Arial" w:hAnsi="Arial"/>
                <w:sz w:val="13"/>
                <w:szCs w:val="13"/>
                <w:b w:val="1"/>
                <w:bCs w:val="1"/>
                <w:color w:val="auto"/>
                <w:w w:val="99"/>
              </w:rPr>
              <w:t>Shares Beneficially Owned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Offered</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Offered</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Offering</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Offering</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this Offering</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this Offering</w:t>
            </w:r>
          </w:p>
        </w:tc>
        <w:tc>
          <w:tcPr>
            <w:tcW w:w="0" w:type="dxa"/>
            <w:vAlign w:val="bottom"/>
          </w:tcPr>
          <w:p>
            <w:pPr>
              <w:spacing w:after="0"/>
              <w:rPr>
                <w:sz w:val="1"/>
                <w:szCs w:val="1"/>
                <w:color w:val="auto"/>
              </w:rPr>
            </w:pPr>
          </w:p>
        </w:tc>
      </w:tr>
      <w:tr>
        <w:trPr>
          <w:trHeight w:val="107"/>
        </w:trPr>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vMerge w:val="continue"/>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0"/>
              </w:rPr>
              <w:t>Assuming No</w:t>
            </w:r>
          </w:p>
        </w:tc>
        <w:tc>
          <w:tcPr>
            <w:tcW w:w="94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2"/>
              </w:rPr>
              <w:t>Assuming</w:t>
            </w:r>
          </w:p>
        </w:tc>
        <w:tc>
          <w:tcPr>
            <w:tcW w:w="96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0"/>
              </w:rPr>
              <w:t>Assuming No</w:t>
            </w:r>
          </w:p>
        </w:tc>
        <w:tc>
          <w:tcPr>
            <w:tcW w:w="96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3"/>
              </w:rPr>
              <w:t>Assuming Full</w:t>
            </w:r>
          </w:p>
        </w:tc>
        <w:tc>
          <w:tcPr>
            <w:tcW w:w="104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0"/>
              </w:rPr>
              <w:t>Assuming No</w:t>
            </w:r>
          </w:p>
        </w:tc>
        <w:tc>
          <w:tcPr>
            <w:tcW w:w="980" w:type="dxa"/>
            <w:vAlign w:val="bottom"/>
            <w:vMerge w:val="restart"/>
          </w:tcPr>
          <w:p>
            <w:pPr>
              <w:jc w:val="center"/>
              <w:spacing w:after="0" w:line="114" w:lineRule="exact"/>
              <w:rPr>
                <w:sz w:val="20"/>
                <w:szCs w:val="20"/>
                <w:color w:val="auto"/>
              </w:rPr>
            </w:pPr>
            <w:r>
              <w:rPr>
                <w:rFonts w:ascii="Arial" w:cs="Arial" w:eastAsia="Arial" w:hAnsi="Arial"/>
                <w:sz w:val="13"/>
                <w:szCs w:val="13"/>
                <w:b w:val="1"/>
                <w:bCs w:val="1"/>
                <w:color w:val="auto"/>
                <w:w w:val="93"/>
              </w:rPr>
              <w:t>Assuming Full</w:t>
            </w:r>
          </w:p>
        </w:tc>
        <w:tc>
          <w:tcPr>
            <w:tcW w:w="0" w:type="dxa"/>
            <w:vAlign w:val="bottom"/>
          </w:tcPr>
          <w:p>
            <w:pPr>
              <w:spacing w:after="0"/>
              <w:rPr>
                <w:sz w:val="1"/>
                <w:szCs w:val="1"/>
                <w:color w:val="auto"/>
              </w:rPr>
            </w:pPr>
          </w:p>
        </w:tc>
      </w:tr>
      <w:tr>
        <w:trPr>
          <w:trHeight w:val="28"/>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rPr>
              <w:t>Class B</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Exercise of</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Full Exercise</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Exercise of</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Exercise of</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Exercise of</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 of</w:t>
            </w:r>
          </w:p>
        </w:tc>
        <w:tc>
          <w:tcPr>
            <w:tcW w:w="0" w:type="dxa"/>
            <w:vAlign w:val="bottom"/>
          </w:tcPr>
          <w:p>
            <w:pPr>
              <w:spacing w:after="0"/>
              <w:rPr>
                <w:sz w:val="1"/>
                <w:szCs w:val="1"/>
                <w:color w:val="auto"/>
              </w:rPr>
            </w:pPr>
          </w:p>
        </w:tc>
      </w:tr>
      <w:tr>
        <w:trPr>
          <w:trHeight w:val="174"/>
        </w:trPr>
        <w:tc>
          <w:tcPr>
            <w:tcW w:w="266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Shares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of Option</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28"/>
        </w:trPr>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Named Executive Officers and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Directors: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Omid Farokhzad, M.D.</w:t>
            </w:r>
            <w:r>
              <w:rPr>
                <w:rFonts w:ascii="Arial" w:cs="Arial" w:eastAsia="Arial" w:hAnsi="Arial"/>
                <w:sz w:val="21"/>
                <w:szCs w:val="21"/>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2,350,628</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4,718,546</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1,089,279</w:t>
            </w:r>
          </w:p>
        </w:tc>
        <w:tc>
          <w:tcPr>
            <w:tcW w:w="8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1,444,020</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1,261,349</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906,608</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34.8 %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R. Horn</w:t>
            </w:r>
            <w:r>
              <w:rPr>
                <w:rFonts w:ascii="Arial" w:cs="Arial" w:eastAsia="Arial" w:hAnsi="Arial"/>
                <w:sz w:val="21"/>
                <w:szCs w:val="21"/>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880,159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880,159</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880,159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Omead Ostadan</w:t>
            </w:r>
            <w:r>
              <w:rPr>
                <w:rFonts w:ascii="Arial" w:cs="Arial" w:eastAsia="Arial" w:hAnsi="Arial"/>
                <w:sz w:val="21"/>
                <w:szCs w:val="21"/>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6"/>
                <w:szCs w:val="16"/>
                <w:color w:val="auto"/>
              </w:rPr>
              <w:t>1,596,527</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4,088</w:t>
            </w:r>
          </w:p>
        </w:tc>
        <w:tc>
          <w:tcPr>
            <w:tcW w:w="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1,596,527</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1,596,527</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Hallal</w:t>
            </w:r>
            <w:r>
              <w:rPr>
                <w:rFonts w:ascii="Arial" w:cs="Arial" w:eastAsia="Arial" w:hAnsi="Arial"/>
                <w:sz w:val="21"/>
                <w:szCs w:val="21"/>
                <w:color w:val="auto"/>
                <w:vertAlign w:val="superscript"/>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456,661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456,661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456,661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Catherine J. Friedman</w:t>
            </w:r>
            <w:r>
              <w:rPr>
                <w:rFonts w:ascii="Arial" w:cs="Arial" w:eastAsia="Arial" w:hAnsi="Arial"/>
                <w:sz w:val="21"/>
                <w:szCs w:val="21"/>
                <w:color w:val="auto"/>
                <w:vertAlign w:val="superscript"/>
              </w:rPr>
              <w:t>(5)</w:t>
            </w:r>
          </w:p>
        </w:tc>
        <w:tc>
          <w:tcPr>
            <w:tcW w:w="800" w:type="dxa"/>
            <w:vAlign w:val="bottom"/>
          </w:tcPr>
          <w:p>
            <w:pPr>
              <w:jc w:val="right"/>
              <w:spacing w:after="0"/>
              <w:rPr>
                <w:sz w:val="20"/>
                <w:szCs w:val="20"/>
                <w:color w:val="auto"/>
              </w:rPr>
            </w:pPr>
            <w:r>
              <w:rPr>
                <w:rFonts w:ascii="Arial" w:cs="Arial" w:eastAsia="Arial" w:hAnsi="Arial"/>
                <w:sz w:val="16"/>
                <w:szCs w:val="16"/>
                <w:color w:val="auto"/>
              </w:rPr>
              <w:t>141,224</w:t>
            </w:r>
          </w:p>
        </w:tc>
        <w:tc>
          <w:tcPr>
            <w:tcW w:w="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141,224</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141,224</w:t>
            </w:r>
          </w:p>
        </w:tc>
        <w:tc>
          <w:tcPr>
            <w:tcW w:w="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Langer, Sc.D.</w:t>
            </w:r>
            <w:r>
              <w:rPr>
                <w:rFonts w:ascii="Arial" w:cs="Arial" w:eastAsia="Arial" w:hAnsi="Arial"/>
                <w:sz w:val="21"/>
                <w:szCs w:val="21"/>
                <w:color w:val="auto"/>
                <w:vertAlign w:val="superscript"/>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693,891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327,102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693,891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693,891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Terrance McGuire</w:t>
            </w:r>
            <w:r>
              <w:rPr>
                <w:rFonts w:ascii="Arial" w:cs="Arial" w:eastAsia="Arial" w:hAnsi="Arial"/>
                <w:sz w:val="21"/>
                <w:szCs w:val="21"/>
                <w:color w:val="auto"/>
                <w:vertAlign w:val="superscript"/>
              </w:rPr>
              <w:t>(7)</w:t>
            </w:r>
          </w:p>
        </w:tc>
        <w:tc>
          <w:tcPr>
            <w:tcW w:w="800" w:type="dxa"/>
            <w:vAlign w:val="bottom"/>
          </w:tcPr>
          <w:p>
            <w:pPr>
              <w:jc w:val="right"/>
              <w:spacing w:after="0"/>
              <w:rPr>
                <w:sz w:val="20"/>
                <w:szCs w:val="20"/>
                <w:color w:val="auto"/>
              </w:rPr>
            </w:pPr>
            <w:r>
              <w:rPr>
                <w:rFonts w:ascii="Arial" w:cs="Arial" w:eastAsia="Arial" w:hAnsi="Arial"/>
                <w:sz w:val="16"/>
                <w:szCs w:val="16"/>
                <w:color w:val="auto"/>
              </w:rPr>
              <w:t>476,369</w:t>
            </w:r>
          </w:p>
        </w:tc>
        <w:tc>
          <w:tcPr>
            <w:tcW w:w="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4,088</w:t>
            </w:r>
          </w:p>
        </w:tc>
        <w:tc>
          <w:tcPr>
            <w:tcW w:w="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476,369</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476,369</w:t>
            </w:r>
          </w:p>
        </w:tc>
        <w:tc>
          <w:tcPr>
            <w:tcW w:w="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Singer</w:t>
            </w:r>
            <w:r>
              <w:rPr>
                <w:rFonts w:ascii="Arial" w:cs="Arial" w:eastAsia="Arial" w:hAnsi="Arial"/>
                <w:sz w:val="21"/>
                <w:szCs w:val="21"/>
                <w:color w:val="auto"/>
                <w:vertAlign w:val="superscript"/>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5,327,589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163,550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5,327,589</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5,327,589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06"/>
        </w:trPr>
        <w:tc>
          <w:tcPr>
            <w:tcW w:w="2660" w:type="dxa"/>
            <w:vAlign w:val="bottom"/>
            <w:gridSpan w:val="2"/>
          </w:tcPr>
          <w:p>
            <w:pPr>
              <w:ind w:left="20"/>
              <w:spacing w:after="0"/>
              <w:rPr>
                <w:sz w:val="20"/>
                <w:szCs w:val="20"/>
                <w:color w:val="auto"/>
              </w:rPr>
            </w:pPr>
            <w:r>
              <w:rPr>
                <w:rFonts w:ascii="Arial" w:cs="Arial" w:eastAsia="Arial" w:hAnsi="Arial"/>
                <w:sz w:val="16"/>
                <w:szCs w:val="16"/>
                <w:color w:val="auto"/>
                <w:w w:val="99"/>
              </w:rPr>
              <w:t>All executive officers and directors as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a group (9 persons)</w:t>
            </w:r>
            <w:r>
              <w:rPr>
                <w:rFonts w:ascii="Arial" w:cs="Arial" w:eastAsia="Arial" w:hAnsi="Arial"/>
                <w:sz w:val="21"/>
                <w:szCs w:val="21"/>
                <w:color w:val="auto"/>
                <w:vertAlign w:val="superscript"/>
              </w:rPr>
              <w:t>(9)</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11,923,048</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5,217,374</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1,089,279</w:t>
            </w:r>
          </w:p>
        </w:tc>
        <w:tc>
          <w:tcPr>
            <w:tcW w:w="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1,444,020</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w w:val="97"/>
              </w:rPr>
              <w:t>10,833,769</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w w:val="97"/>
              </w:rPr>
              <w:t>10,479,028</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47.3 %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43.9 %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5% Stockholders: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w w:val="97"/>
              </w:rPr>
              <w:t>Entities affiliated with aMoon Fund</w:t>
            </w:r>
            <w:r>
              <w:rPr>
                <w:rFonts w:ascii="Arial" w:cs="Arial" w:eastAsia="Arial" w:hAnsi="Arial"/>
                <w:sz w:val="21"/>
                <w:szCs w:val="21"/>
                <w:color w:val="auto"/>
                <w:w w:val="97"/>
                <w:vertAlign w:val="superscript"/>
              </w:rPr>
              <w:t>(10)</w:t>
            </w:r>
          </w:p>
        </w:tc>
        <w:tc>
          <w:tcPr>
            <w:tcW w:w="800" w:type="dxa"/>
            <w:vAlign w:val="bottom"/>
          </w:tcPr>
          <w:p>
            <w:pPr>
              <w:jc w:val="right"/>
              <w:spacing w:after="0"/>
              <w:rPr>
                <w:sz w:val="20"/>
                <w:szCs w:val="20"/>
                <w:color w:val="auto"/>
              </w:rPr>
            </w:pPr>
            <w:r>
              <w:rPr>
                <w:rFonts w:ascii="Arial" w:cs="Arial" w:eastAsia="Arial" w:hAnsi="Arial"/>
                <w:sz w:val="16"/>
                <w:szCs w:val="16"/>
                <w:color w:val="auto"/>
              </w:rPr>
              <w:t>5,923,196</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5,923,196</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5,923,196</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Invus Public Equities, LP </w:t>
            </w:r>
            <w:r>
              <w:rPr>
                <w:rFonts w:ascii="Arial" w:cs="Arial" w:eastAsia="Arial" w:hAnsi="Arial"/>
                <w:sz w:val="21"/>
                <w:szCs w:val="21"/>
                <w:color w:val="auto"/>
                <w:vertAlign w:val="superscript"/>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5,840,911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252,545</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252,545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5,588,366</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5,588,366</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06"/>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Entities affiliated with Maverick</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Capital Ventures, LLC</w:t>
            </w:r>
            <w:r>
              <w:rPr>
                <w:rFonts w:ascii="Arial" w:cs="Arial" w:eastAsia="Arial" w:hAnsi="Arial"/>
                <w:sz w:val="21"/>
                <w:szCs w:val="21"/>
                <w:color w:val="auto"/>
                <w:vertAlign w:val="superscript"/>
              </w:rPr>
              <w:t>(12)</w:t>
            </w:r>
          </w:p>
        </w:tc>
        <w:tc>
          <w:tcPr>
            <w:tcW w:w="800" w:type="dxa"/>
            <w:vAlign w:val="bottom"/>
          </w:tcPr>
          <w:p>
            <w:pPr>
              <w:jc w:val="right"/>
              <w:spacing w:after="0"/>
              <w:rPr>
                <w:sz w:val="20"/>
                <w:szCs w:val="20"/>
                <w:color w:val="auto"/>
              </w:rPr>
            </w:pPr>
            <w:r>
              <w:rPr>
                <w:rFonts w:ascii="Arial" w:cs="Arial" w:eastAsia="Arial" w:hAnsi="Arial"/>
                <w:sz w:val="16"/>
                <w:szCs w:val="16"/>
                <w:color w:val="auto"/>
              </w:rPr>
              <w:t>5,325,513</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163,550</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5,325,513</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5,325,513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Entities affiliated with Fidelity</w:t>
            </w:r>
            <w:r>
              <w:rPr>
                <w:rFonts w:ascii="Arial" w:cs="Arial" w:eastAsia="Arial" w:hAnsi="Arial"/>
                <w:sz w:val="21"/>
                <w:szCs w:val="21"/>
                <w:color w:val="auto"/>
                <w:vertAlign w:val="superscript"/>
              </w:rPr>
              <w:t>(13)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5,220,525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5,220,525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5,220,525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06"/>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Entities affiliated with T. Rowe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Price</w:t>
            </w:r>
            <w:r>
              <w:rPr>
                <w:rFonts w:ascii="Arial" w:cs="Arial" w:eastAsia="Arial" w:hAnsi="Arial"/>
                <w:sz w:val="21"/>
                <w:szCs w:val="21"/>
                <w:color w:val="auto"/>
                <w:vertAlign w:val="superscript"/>
              </w:rPr>
              <w:t>(14)</w:t>
            </w:r>
          </w:p>
        </w:tc>
        <w:tc>
          <w:tcPr>
            <w:tcW w:w="800" w:type="dxa"/>
            <w:vAlign w:val="bottom"/>
          </w:tcPr>
          <w:p>
            <w:pPr>
              <w:jc w:val="right"/>
              <w:spacing w:after="0"/>
              <w:rPr>
                <w:sz w:val="20"/>
                <w:szCs w:val="20"/>
                <w:color w:val="auto"/>
              </w:rPr>
            </w:pPr>
            <w:r>
              <w:rPr>
                <w:rFonts w:ascii="Arial" w:cs="Arial" w:eastAsia="Arial" w:hAnsi="Arial"/>
                <w:sz w:val="16"/>
                <w:szCs w:val="16"/>
                <w:color w:val="auto"/>
              </w:rPr>
              <w:t>4,520,787</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4,520,787</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4,520,787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Selling Stockholders: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Emerson Collective Investments,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20"/>
              <w:spacing w:after="0" w:line="226" w:lineRule="exact"/>
              <w:rPr>
                <w:sz w:val="20"/>
                <w:szCs w:val="20"/>
                <w:color w:val="auto"/>
              </w:rPr>
            </w:pPr>
            <w:r>
              <w:rPr>
                <w:rFonts w:ascii="Arial" w:cs="Arial" w:eastAsia="Arial" w:hAnsi="Arial"/>
                <w:sz w:val="26"/>
                <w:szCs w:val="26"/>
                <w:color w:val="auto"/>
                <w:vertAlign w:val="subscript"/>
              </w:rPr>
              <w:t>LLC</w:t>
            </w:r>
            <w:r>
              <w:rPr>
                <w:rFonts w:ascii="Arial" w:cs="Arial" w:eastAsia="Arial" w:hAnsi="Arial"/>
                <w:sz w:val="9"/>
                <w:szCs w:val="9"/>
                <w:color w:val="auto"/>
              </w:rPr>
              <w:t>(15)</w:t>
            </w:r>
          </w:p>
        </w:tc>
        <w:tc>
          <w:tcPr>
            <w:tcW w:w="800" w:type="dxa"/>
            <w:vAlign w:val="bottom"/>
          </w:tcPr>
          <w:p>
            <w:pPr>
              <w:jc w:val="right"/>
              <w:spacing w:after="0"/>
              <w:rPr>
                <w:sz w:val="20"/>
                <w:szCs w:val="20"/>
                <w:color w:val="auto"/>
              </w:rPr>
            </w:pPr>
            <w:r>
              <w:rPr>
                <w:rFonts w:ascii="Arial" w:cs="Arial" w:eastAsia="Arial" w:hAnsi="Arial"/>
                <w:sz w:val="16"/>
                <w:szCs w:val="16"/>
                <w:color w:val="auto"/>
              </w:rPr>
              <w:t>2,589,160</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124,458</w:t>
            </w:r>
          </w:p>
        </w:tc>
        <w:tc>
          <w:tcPr>
            <w:tcW w:w="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124,458</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2,464,702</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2,464,702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Entities affiliated with David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6"/>
                <w:szCs w:val="16"/>
                <w:color w:val="auto"/>
              </w:rPr>
              <w:t>Epstein</w:t>
            </w:r>
            <w:r>
              <w:rPr>
                <w:rFonts w:ascii="Arial" w:cs="Arial" w:eastAsia="Arial" w:hAnsi="Arial"/>
                <w:sz w:val="21"/>
                <w:szCs w:val="21"/>
                <w:color w:val="auto"/>
                <w:vertAlign w:val="superscript"/>
              </w:rPr>
              <w:t>(16)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207,711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30,397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42,143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177,314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165,568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Entities affiliated with Philip Ma</w:t>
            </w:r>
            <w:r>
              <w:rPr>
                <w:rFonts w:ascii="Arial" w:cs="Arial" w:eastAsia="Arial" w:hAnsi="Arial"/>
                <w:sz w:val="21"/>
                <w:szCs w:val="21"/>
                <w:color w:val="auto"/>
                <w:vertAlign w:val="superscript"/>
              </w:rPr>
              <w:t>(17)</w:t>
            </w:r>
          </w:p>
        </w:tc>
        <w:tc>
          <w:tcPr>
            <w:tcW w:w="800" w:type="dxa"/>
            <w:vAlign w:val="bottom"/>
          </w:tcPr>
          <w:p>
            <w:pPr>
              <w:jc w:val="right"/>
              <w:spacing w:after="0"/>
              <w:rPr>
                <w:sz w:val="20"/>
                <w:szCs w:val="20"/>
                <w:color w:val="auto"/>
              </w:rPr>
            </w:pPr>
            <w:r>
              <w:rPr>
                <w:rFonts w:ascii="Arial" w:cs="Arial" w:eastAsia="Arial" w:hAnsi="Arial"/>
                <w:sz w:val="16"/>
                <w:szCs w:val="16"/>
                <w:color w:val="auto"/>
              </w:rPr>
              <w:t>881,091</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467,288</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67,418</w:t>
            </w:r>
          </w:p>
        </w:tc>
        <w:tc>
          <w:tcPr>
            <w:tcW w:w="8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67,418</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813,673</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813,673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0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Entities affiliated with HBM</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6"/>
                <w:szCs w:val="16"/>
                <w:color w:val="auto"/>
              </w:rPr>
              <w:t>Genomics</w:t>
            </w:r>
            <w:r>
              <w:rPr>
                <w:rFonts w:ascii="Arial" w:cs="Arial" w:eastAsia="Arial" w:hAnsi="Arial"/>
                <w:sz w:val="21"/>
                <w:szCs w:val="21"/>
                <w:color w:val="auto"/>
                <w:vertAlign w:val="superscript"/>
              </w:rPr>
              <w:t>(18)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912,327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42,500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42,500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869,827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869,827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660" w:type="dxa"/>
            <w:vAlign w:val="bottom"/>
            <w:gridSpan w:val="2"/>
          </w:tcPr>
          <w:p>
            <w:pPr>
              <w:ind w:left="20"/>
              <w:spacing w:after="0" w:line="224" w:lineRule="exact"/>
              <w:rPr>
                <w:sz w:val="20"/>
                <w:szCs w:val="20"/>
                <w:color w:val="auto"/>
              </w:rPr>
            </w:pPr>
            <w:r>
              <w:rPr>
                <w:rFonts w:ascii="Arial" w:cs="Arial" w:eastAsia="Arial" w:hAnsi="Arial"/>
                <w:sz w:val="16"/>
                <w:szCs w:val="16"/>
                <w:color w:val="auto"/>
              </w:rPr>
              <w:t>OCF 2014 Trust</w:t>
            </w:r>
            <w:r>
              <w:rPr>
                <w:rFonts w:ascii="Arial" w:cs="Arial" w:eastAsia="Arial" w:hAnsi="Arial"/>
                <w:sz w:val="21"/>
                <w:szCs w:val="21"/>
                <w:color w:val="auto"/>
                <w:vertAlign w:val="superscript"/>
              </w:rPr>
              <w:t>(19)</w:t>
            </w:r>
          </w:p>
        </w:tc>
        <w:tc>
          <w:tcPr>
            <w:tcW w:w="800" w:type="dxa"/>
            <w:vAlign w:val="bottom"/>
          </w:tcPr>
          <w:p>
            <w:pPr>
              <w:jc w:val="right"/>
              <w:spacing w:after="0"/>
              <w:rPr>
                <w:sz w:val="20"/>
                <w:szCs w:val="20"/>
                <w:color w:val="auto"/>
              </w:rPr>
            </w:pPr>
            <w:r>
              <w:rPr>
                <w:rFonts w:ascii="Arial" w:cs="Arial" w:eastAsia="Arial" w:hAnsi="Arial"/>
                <w:sz w:val="16"/>
                <w:szCs w:val="16"/>
                <w:color w:val="auto"/>
              </w:rPr>
              <w:t>3,322,145</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493,403</w:t>
            </w:r>
          </w:p>
        </w:tc>
        <w:tc>
          <w:tcPr>
            <w:tcW w:w="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689,416</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2,828,742</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2,632,729</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74"/>
        </w:trPr>
        <w:tc>
          <w:tcPr>
            <w:tcW w:w="2580" w:type="dxa"/>
            <w:vAlign w:val="bottom"/>
          </w:tcPr>
          <w:p>
            <w:pPr>
              <w:spacing w:after="0"/>
              <w:rPr>
                <w:sz w:val="20"/>
                <w:szCs w:val="20"/>
                <w:color w:val="auto"/>
              </w:rPr>
            </w:pPr>
            <w:r>
              <w:rPr>
                <w:rFonts w:ascii="Arial" w:cs="Arial" w:eastAsia="Arial" w:hAnsi="Arial"/>
                <w:sz w:val="14"/>
                <w:szCs w:val="14"/>
                <w:color w:val="auto"/>
              </w:rPr>
              <w:t>_________________</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560" w:hanging="332"/>
        <w:spacing w:after="0" w:line="241" w:lineRule="auto"/>
        <w:tabs>
          <w:tab w:leader="none" w:pos="331"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Percentage total voting power represents voting power with respect to all shares of our Class A and Class B common stock, as a single class. Each holder of Class B common stock shall be</w:t>
      </w:r>
    </w:p>
    <w:p>
      <w:pPr>
        <w:spacing w:after="0" w:line="13" w:lineRule="exact"/>
        <w:rPr>
          <w:sz w:val="20"/>
          <w:szCs w:val="20"/>
          <w:color w:val="auto"/>
        </w:rPr>
      </w:pPr>
    </w:p>
    <w:p>
      <w:pPr>
        <w:ind w:left="340" w:right="100"/>
        <w:spacing w:after="0" w:line="241" w:lineRule="auto"/>
        <w:rPr>
          <w:sz w:val="20"/>
          <w:szCs w:val="20"/>
          <w:color w:val="auto"/>
        </w:rPr>
      </w:pPr>
      <w:r>
        <w:rPr>
          <w:rFonts w:ascii="Arial" w:cs="Arial" w:eastAsia="Arial" w:hAnsi="Arial"/>
          <w:sz w:val="14"/>
          <w:szCs w:val="14"/>
          <w:color w:val="auto"/>
        </w:rPr>
        <w:t>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1"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21" w:right="339" w:bottom="1440" w:gutter="0" w:footer="0" w:header="0"/>
        </w:sectPr>
      </w:pPr>
    </w:p>
    <w:bookmarkStart w:id="161" w:name="page162"/>
    <w:bookmarkEnd w:id="16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20" w:hanging="332"/>
        <w:spacing w:after="0" w:line="264" w:lineRule="auto"/>
        <w:tabs>
          <w:tab w:leader="none" w:pos="33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Includes (i) 279,223 shares of Class A common stock held of record by Dr. Farokhzad, of which 73,328 may be repurchased by us at the original exercise price; (ii) 102,915 shares of Class A common stock and 1,914,809 shares of Class B common stock held of record by Dynamics Group LLC for which Dr. Farokhzad serves as the sole member; (iii) 2,803,737 shares of Class B shares held of record by SAF-BND Trust for which Dr. Farokhzad’s spouse serves as trustee; and (iv) 1,968,490 shares of Class A common stock subject to options exercisable within 60 days of December 31, 2020, of which 357,670 are fully vested. Dr. Farokhzad disclaims beneficial ownership of the shares held by the SAF-BND Trust.</w:t>
      </w:r>
    </w:p>
    <w:p>
      <w:pPr>
        <w:spacing w:after="0" w:line="2" w:lineRule="exact"/>
        <w:rPr>
          <w:rFonts w:ascii="Arial" w:cs="Arial" w:eastAsia="Arial" w:hAnsi="Arial"/>
          <w:sz w:val="13"/>
          <w:szCs w:val="13"/>
          <w:color w:val="auto"/>
        </w:rPr>
      </w:pPr>
    </w:p>
    <w:p>
      <w:pPr>
        <w:ind w:left="340" w:right="300" w:hanging="332"/>
        <w:spacing w:after="0" w:line="241"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(i) 84,112 shares of Class A common stock, all of which may be repurchased by us at the original exercise price, held of record by Mr. Horn, and (ii) 796,047 shares of Class A common stock subject to options exercisable within 60 days of December 31, 2020, of which none are fully vested.</w:t>
      </w:r>
    </w:p>
    <w:p>
      <w:pPr>
        <w:ind w:left="340" w:hanging="332"/>
        <w:spacing w:after="0" w:line="241"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(i) 87,681 shares of Class A common stock and 4,088 shares of Class B common stock held of record by Mr. Ostadan; and (ii) 1,508,846 shares of Class A common stock subject to options exercisable within 60 days of December 31, 2020, of which 68,527 are fully vested.</w:t>
      </w:r>
    </w:p>
    <w:p>
      <w:pPr>
        <w:ind w:left="340" w:right="120" w:hanging="332"/>
        <w:spacing w:after="0" w:line="241"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(i) 263,562 shares of Class A common stock held of record by Mr. Hallal, of which 82,364 may be repurchased by us at the original exercise price and (ii) 192,061 shares of Class A common stock subject to options exercisable within 60 days of December 31, 2020, of which 32,177 are fully vested.</w:t>
      </w: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140,186 shares of Class A common stock held of record by Ms. Friedman, of which 131,425 shares may be repurchased by us at the original exercise price.</w:t>
      </w:r>
    </w:p>
    <w:p>
      <w:pPr>
        <w:spacing w:after="0" w:line="1" w:lineRule="exact"/>
        <w:rPr>
          <w:rFonts w:ascii="Arial" w:cs="Arial" w:eastAsia="Arial" w:hAnsi="Arial"/>
          <w:sz w:val="14"/>
          <w:szCs w:val="14"/>
          <w:color w:val="auto"/>
        </w:rPr>
      </w:pPr>
    </w:p>
    <w:p>
      <w:pPr>
        <w:ind w:left="340" w:right="120" w:hanging="332"/>
        <w:spacing w:after="0" w:line="260" w:lineRule="auto"/>
        <w:tabs>
          <w:tab w:leader="none" w:pos="33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Includes (i) 365,357 shares of Class A common stock, of which 38,378 may be repurchased by us at the original exercise price and 327,102 shares of Class B common stock held of record by Dr. Langer; and (ii) 327,496 shares of Class A common stock subject to options exercisable within 60 days of December 31, 2020, of which 108,580 are fully vested.</w:t>
      </w:r>
    </w:p>
    <w:p>
      <w:pPr>
        <w:ind w:left="340" w:right="40" w:hanging="332"/>
        <w:spacing w:after="0" w:line="241"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(i) 210,982 shares of Class A common stock, of which 43,222 may be repurchased by us at the original exercise price and 4,088 shares of Class B common stock held of record by Strong Bridge, LLC for which Mr. McGuire serves as an operating manager and (ii) 264,349 shares of Class A common stock subject to options exercisable within 60 days of December 31, 2020, of which 102,002 are fully vested.</w:t>
      </w:r>
    </w:p>
    <w:p>
      <w:pPr>
        <w:spacing w:after="0" w:line="1" w:lineRule="exact"/>
        <w:rPr>
          <w:rFonts w:ascii="Arial" w:cs="Arial" w:eastAsia="Arial" w:hAnsi="Arial"/>
          <w:sz w:val="14"/>
          <w:szCs w:val="14"/>
          <w:color w:val="auto"/>
        </w:rPr>
      </w:pPr>
    </w:p>
    <w:p>
      <w:pPr>
        <w:ind w:left="340" w:right="400" w:hanging="332"/>
        <w:spacing w:after="0" w:line="260" w:lineRule="auto"/>
        <w:tabs>
          <w:tab w:leader="none" w:pos="33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Includes (i) 5,325,513 shares of Class A common stock and 163,550 shares of Class B common stock disclosed in footnote (12) below that are held of record by entities affiliated with Maverick Capital Ventures, LLC; and 2,076 shares of Class A common stock subject to options exercisable within 60 days of December 31, 2020, of which none are vested.</w:t>
      </w:r>
    </w:p>
    <w:p>
      <w:pPr>
        <w:ind w:left="340" w:right="120" w:hanging="332"/>
        <w:spacing w:after="0" w:line="260" w:lineRule="auto"/>
        <w:tabs>
          <w:tab w:leader="none" w:pos="33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Includes (i) 7,377,939 shares of Class A common stock and 8,837,613 shares of Class B common stock beneficially owned by our executive officers and directors and (ii) 5,057,289 shares of Class A common stock subject to options exercisable within 60 days of December 31, 2020 and held by our executive officers and directors, of which 631,056 are fully vested.</w:t>
      </w:r>
    </w:p>
    <w:p>
      <w:pPr>
        <w:ind w:left="340" w:hanging="332"/>
        <w:spacing w:after="0" w:line="241" w:lineRule="auto"/>
        <w:tabs>
          <w:tab w:leader="none" w:pos="33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(i) 4,121,064 shares of Class A common stock held of record by aMoon 2 Fund, Limited Partnership (aMoon 2 Fund) and (ii) 912,659 shares of Class A common stock held of record by aMoon Co-Investment SPV I, L.P. (aMoon Co-Investment). aMoon 2 Fund G.P. Limited Partnership (aMoon 2 Fund G.P.) is the sole General Partner of aMoon 2 Fund and aMoon Co-Investment and aMoon General Partner Ltd. (aMoon General Partner) is the sole General Partner of aMoon 2 Fund G.P. Dr. Yair Schindel is the sole shareholder of aMoon General Partner. By virtue of such relationships, aMoon 2 Fund G.P., aMoon General Partner and Dr. Schindel may be deemed to have shared voting and investment power with respect to the capital stock held by aMoon 2 Fund and aMoon Co-Investment. Each of aMoon 2 Fund G.P., aMoon General Partner and Dr. Schindel disclaims beneficial ownership of the shares held by aMoon 2 Fund and aMoon General Partner, except to the extent of its or his pecuniary interest therein, if any. The address for these entities is 34 Yerushalaim Road, Beit Gamla, 6th Floor, Ra-anana, 4350110, Israel.</w:t>
      </w:r>
    </w:p>
    <w:p>
      <w:pPr>
        <w:spacing w:after="0" w:line="2" w:lineRule="exact"/>
        <w:rPr>
          <w:rFonts w:ascii="Arial" w:cs="Arial" w:eastAsia="Arial" w:hAnsi="Arial"/>
          <w:sz w:val="14"/>
          <w:szCs w:val="14"/>
          <w:color w:val="auto"/>
        </w:rPr>
      </w:pPr>
    </w:p>
    <w:p>
      <w:pPr>
        <w:ind w:left="340" w:hanging="332"/>
        <w:spacing w:after="0" w:line="260" w:lineRule="auto"/>
        <w:tabs>
          <w:tab w:leader="none" w:pos="331"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Includes 5,050,911 shares of Class A common stock held of record by Invus Public Equities, L.P. Invus Public Equities Advisors, LLC, as the general partner of Invus Public Equities, L.P., controls Invus Public Equities, L.P. and, accordingly, may be deemed to beneficially own the shares held by Invus Public Equities, L.P. Artal Treasury Ltd., as the managing member of Invus Public Equities Advisors, LLC, controls Invus Public Equities Advisors, LLC and, accordingly, may be deemed to beneficially own the shares held by Invus Public Equities, L.P. The Geneva branch of Artal International S.C.A. is the sole stockholder of Artal Treasury Ltd. and, accordingly, may be deemed to beneficially own the shares held by Invus Public Equities, L.P. Artal International Management S.A., as the managing partner of Artal International S.C.A., controls Artal International S.C.A. and, accordingly, may be deemed to beneficially own the shares held by Invus Public Equities, L.P. Artal Group, S.A., as the parent company of Artal International Management, S.A., controls Artal International Management S.A. and, accordingly, may be deemed to beneficially own the shares held by Invus Public Equities, L.P. Westend, S.A., as the parent company of Artal Group S.A. controls Artal Group S.A., and, accordingly, may be deemed to beneficially own the shares held by Invus Public Equities, L.P. Stichting Administratiekantoor Westend, as the parent company of Westend S.A., controls Westend S.A. and, accordingly, may be deemed to beneficially own the shares held by Invus Public Equities, L.P. Mr. Amaury Wittouck, as the sole member of the board of Stichting Administratiekantoor Westend, controls Stichting Administratiekantoor Westend and, accordingly, may be deemed to beneficially own the shares held by Invus Public Equities, L.P. The address for Invus Public Equities, L.P. is 750 Lexington Avenue, 30th Floor, New York, NY 10022.</w:t>
      </w:r>
    </w:p>
    <w:p>
      <w:pPr>
        <w:ind w:left="340" w:right="40" w:hanging="332"/>
        <w:spacing w:after="0" w:line="241" w:lineRule="auto"/>
        <w:tabs>
          <w:tab w:leader="none" w:pos="33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(i) 3,390,559 shares of Class A common stock and 101,761 shares of Class B common stock held of record by Maverick Ventures Investment Fund, L.P. (Maverick Ventures Fund) and (ii) 1,934,954 shares of Class A common stock and 61,789 shares of Class B common stock held of record by Maverick Advisors Fund, L.P. (Maverick Advisors). Maverick Capital Ventures, LLC (Maverick Ventures) is the general partner of Maverick Ventures Fund and Maverick Advisors. As the Managing Partners of Maverick Ventures, Lee S. Ainslie III and David B. Singer, one of our directors, share voting and dispositive power with respect to the shares held by Maverick Ventures Fund and Maverick Advisors. The address for these entities is c/o Maverick Capital, 1900 N. Pearl Street, 20th Floor, Dallas, Texas 75201.</w:t>
      </w:r>
    </w:p>
    <w:p>
      <w:pPr>
        <w:spacing w:after="0" w:line="1" w:lineRule="exact"/>
        <w:rPr>
          <w:rFonts w:ascii="Arial" w:cs="Arial" w:eastAsia="Arial" w:hAnsi="Arial"/>
          <w:sz w:val="14"/>
          <w:szCs w:val="14"/>
          <w:color w:val="auto"/>
        </w:rPr>
      </w:pPr>
    </w:p>
    <w:p>
      <w:pPr>
        <w:ind w:left="340" w:right="40" w:hanging="332"/>
        <w:spacing w:after="0" w:line="243" w:lineRule="auto"/>
        <w:tabs>
          <w:tab w:leader="none" w:pos="33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3,115,262 shares of Class A common stock held of record by four accounts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21" w:right="339" w:bottom="1440" w:gutter="0" w:footer="0" w:header="0"/>
        </w:sectPr>
      </w:pPr>
    </w:p>
    <w:bookmarkStart w:id="162" w:name="page163"/>
    <w:bookmarkEnd w:id="162"/>
    <w:p>
      <w:pPr>
        <w:ind w:left="332"/>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32"/>
        <w:spacing w:after="0" w:line="247" w:lineRule="auto"/>
        <w:rPr>
          <w:sz w:val="20"/>
          <w:szCs w:val="20"/>
          <w:color w:val="auto"/>
        </w:rPr>
      </w:pPr>
      <w:r>
        <w:rPr>
          <w:rFonts w:ascii="Arial" w:cs="Arial" w:eastAsia="Arial" w:hAnsi="Arial"/>
          <w:sz w:val="14"/>
          <w:szCs w:val="14"/>
          <w:color w:val="auto"/>
        </w:rPr>
        <w:t>under the Investment Company Act of 1940 (the Fidelity Funds), advised by Fidelity Management &amp; Research Company, a wholly owned subsidiary of FMR LLC, which power resides in the Fidelity Funds’ Boards of Trustees. Fidelity Management &amp; Research Company carries out the voting of the shares under written guidelines established by the Fidelity Funds’ Boards of Trustees. The address for FMR LLC is 200 Seaport Boulevard V12E, Boston, Massachusetts 02210.</w:t>
      </w:r>
    </w:p>
    <w:p>
      <w:pPr>
        <w:spacing w:after="0" w:line="1" w:lineRule="exact"/>
        <w:rPr>
          <w:sz w:val="20"/>
          <w:szCs w:val="20"/>
          <w:color w:val="auto"/>
        </w:rPr>
      </w:pPr>
    </w:p>
    <w:p>
      <w:pPr>
        <w:ind w:left="332" w:right="20" w:hanging="332"/>
        <w:spacing w:after="0" w:line="260" w:lineRule="auto"/>
        <w:tabs>
          <w:tab w:leader="none" w:pos="32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(i) 2,069,790 shares of Class A common stock held of record by T. Rowe Price Health Sciences Fund, Inc.; (ii) 93,838 shares of Class A common stock held of record by T. Rowe Price Health Sciences Portfolio; (iii) 128,272 shares of Class A common stock held of record by TD Mutual Funds - TD Health Sciences Fund and (iv) 123,624 shares of Class A common stock held of record by VALIC Company I - Health Sciences Fund. The foregoing accounts are advised or sub-advised by T. Rowe Price Associates, Inc. (T. Rowe Price) a registered investment adviser. T. Rowe Price serves as investment adviser or subadviser, as applicable, with power to direct investments and/or sole power to vote the securities owned by the accounts (with the exception of one subadvisory fund that retains its own voting authority). Although T. Rowe Price may be deemed to be the beneficial owner of all the shares listed, T. Rowe Price expressly disclaims beneficial ownership of such securities. T. Rowe Price Investment Services, Inc., or TRPIS, a registered broker-dealer (and FINRA member), is a subsidiary of T. Rowe Price Associates, Inc., the investment adviser or subadviser, as applicable, to the accounts listed above. TRPIS was formed primarily for the limited purpose of acting as the principal underwriter and distributor of shares of the funds in the T. Rowe Price mutual fund family. TRPIS does not engage in underwriting or market-making activities involving individual securities. T. Rowe Price Associates, Inc. is the wholly owned subsidiary of T. Rowe Price Group, Inc., which is a publicly traded financial services holding company. The address for these entities is c/o T. Rowe Price Associates, Inc. 100 East Pratt Street, Baltimore, Maryland 21202, attention Andrew Baek, Vice President.</w:t>
      </w:r>
    </w:p>
    <w:p>
      <w:pPr>
        <w:ind w:left="332" w:right="100" w:hanging="332"/>
        <w:spacing w:after="0" w:line="241" w:lineRule="auto"/>
        <w:tabs>
          <w:tab w:leader="none" w:pos="32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2,589,160 shares of Class A common stock held of record by Emerson Collective Investments, LLC. The address for Emerson Collective Investments, LLC is P.O. Box 61239, Palo Alto, California 94306.</w:t>
      </w:r>
    </w:p>
    <w:p>
      <w:pPr>
        <w:ind w:left="332" w:right="20" w:hanging="332"/>
        <w:spacing w:after="0" w:line="241" w:lineRule="auto"/>
        <w:tabs>
          <w:tab w:leader="none" w:pos="32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(i) 197,932 shares of Class A common stock held of record by David Epstein and (ii) 20,000 shares of Class A common stock held of record by Three Opinions Foundation Inc., of which Mr. Epstein serves as Treasurer.</w:t>
      </w:r>
    </w:p>
    <w:p>
      <w:pPr>
        <w:ind w:left="332" w:right="120" w:hanging="332"/>
        <w:spacing w:after="0" w:line="241" w:lineRule="auto"/>
        <w:tabs>
          <w:tab w:leader="none" w:pos="32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(i) 155,522 shares of Class A common stock and 428,348 shares of Class B common stock held of record by the 2003 Ma Family Living Trust, (ii) 342,736 shares of Class A common stock and 38,940 shares of Class B common stock held of record by Philip Ma and (iii) 382,833 shares of Class A common stock subject to options exercisable within 60 days of December 31, 2020, of which 331,894 are fully vested.</w:t>
      </w:r>
    </w:p>
    <w:p>
      <w:pPr>
        <w:spacing w:after="0" w:line="1" w:lineRule="exact"/>
        <w:rPr>
          <w:rFonts w:ascii="Arial" w:cs="Arial" w:eastAsia="Arial" w:hAnsi="Arial"/>
          <w:sz w:val="14"/>
          <w:szCs w:val="14"/>
          <w:color w:val="auto"/>
        </w:rPr>
      </w:pPr>
    </w:p>
    <w:p>
      <w:pPr>
        <w:ind w:left="332" w:right="60" w:hanging="332"/>
        <w:spacing w:after="0" w:line="241" w:lineRule="auto"/>
        <w:tabs>
          <w:tab w:leader="none" w:pos="32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(i) 565,649 shares of Class A common stock and 14,310 shares of Class B common stock held of record by HBM Genomics Ltd. and (ii) 342,678 shares of Class A common stock held of record by HBM Healthcare Investments (Cayman) Ltd. The address for these entities is Governors Square, Suite #4-212-2, 23 Lime Tree Bay Avenue Grand Cayman, Cayman Islands KY1-1204 OCF 2014: 500 Stanton Christiana Road, Newark, DE 19713.</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3,322,145 shares of Class A common stock held by OCF Trust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92"/>
          </w:cols>
          <w:pgMar w:left="328" w:top="121" w:right="379" w:bottom="1440" w:gutter="0" w:footer="0" w:header="0"/>
        </w:sectPr>
      </w:pPr>
    </w:p>
    <w:bookmarkStart w:id="163" w:name="page164"/>
    <w:bookmarkEnd w:id="16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following description summarizes certain important terms of our capital stock.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Our authorized capital stock consists of 105,000,000 shares of capital stock, $0.00001 par value per share, of which:</w:t>
      </w:r>
    </w:p>
    <w:p>
      <w:pPr>
        <w:spacing w:after="0" w:line="122"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94,000,000 shares are designated as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6,000,000 shares are designated as Class B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5,000,000 shares are designated as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there were 53,395,319 shares of our Class A common stock outstanding, held by 87 stockholders of record,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5,865,732 shares of our Class B common stock outstanding, held by 14 stockholders of record and no shares of our preferred stock outstanding. Pursuant to our amended and restated certificate of incorporation, our board of directors has the authority, without stockholder approval except as required by the listing standards of Nasdaq, to issue additional shares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7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Holders of Class A common stock are entitled to one vote for each share held on all matters submitted to a vote of stockholders and holders of our Class B common stock are entitled to ten votes for each share held, except as otherwise required by law. The holders of our Class A common stock and Class B common stock vote together as a single class, unless otherwise required by law.</w:t>
      </w:r>
    </w:p>
    <w:p>
      <w:pPr>
        <w:spacing w:after="0" w:line="13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Delaware law could require either holders of our Class A common stock and our Class B common stock to vote separately as a single class in the following circumstances:</w:t>
      </w:r>
    </w:p>
    <w:p>
      <w:pPr>
        <w:spacing w:after="0" w:line="116" w:lineRule="exact"/>
        <w:rPr>
          <w:sz w:val="20"/>
          <w:szCs w:val="20"/>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the directors in one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21" w:right="339" w:bottom="1440" w:gutter="0" w:footer="0" w:header="0"/>
        </w:sectPr>
      </w:pPr>
    </w:p>
    <w:bookmarkStart w:id="164" w:name="page165"/>
    <w:bookmarkEnd w:id="16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will be subject to election by a plurality of the votes cast at each annual meeting of stockholders, with the directors in the other classes continuing for the remainder of their respective three-year terms.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7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in this offering will be fully paid and non-assessable.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No shares of our preferred stock are outstanding. Pursuant to our amended and restated certificate of incorporation, 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2020, we had outstanding options to purchase an aggregate of 9,576,902 shares of our Class A common stock, with a weighted-average exercise price of approximately $5.54 per share, under our equity compensation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2020, we had 491,318 shares of our Class A common stock outstanding, subject to RSUs issued under our equity compensation plans, which will vest upon the satisfaction of a performance-based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21" w:right="359" w:bottom="1440" w:gutter="0" w:footer="0" w:header="0"/>
        </w:sectPr>
      </w:pPr>
    </w:p>
    <w:bookmarkStart w:id="165" w:name="page166"/>
    <w:bookmarkEnd w:id="16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Certain holders of our Class A common stock are entitled to rights with respect to the registration of their shares under the Securities Act. These registration rights are contained in our amended and restated investor rights agreement (IRA). We and certain holders of our preferred stock are parties to the IRA. The registration rights set forth in the IRA will expire three years following the completion of our initial public offering, or, with respect to any particular stockholder, when such stockholder is able to sell all of its shares pursuant to Rule 144 of the Securities Act during any three-month period or ceases to hold registrable shares.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Our stockholders have waived their rights under the IRA (i) to receive notice of this offering and (ii) to include their registrable shares in this offering. In addition, in connection with our initial public offering, each stockholder that has registration rights agreed not to sell or otherwise dispose of any securities without the prior written consent of us and the underwriters for a period ending June 2, 2021, subject to certain terms and conditions. See the section titled “Shares Eligible for Future Sale—Lock-Up and Market Standoff Agreements” for additional information regarding such restrictions.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holders of 35,676,836 shares of our Class A common stock are entitled to certain demand registration rights. At any time after the earlier of five years after the date of the IRA or 180 days after the effective date of our initial public offering, the holders of at least 40% of registrable shares then outstanding may make a written request that we register the offer and sale of their shares. If we determine that it would be seriously detrimental to us and our stockholders to effect such a demand registration, we have the right to defer such registration, not more than twice in any 12-month period, for a period of up to 90 days.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we propose to register the offer and sale of our Class A common stock under the Securities Act, in connection with the public offering of such Class A common stock the holders of 35,676,836 shares of our Class A common stock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related to the sale of securities to our employees pursuant to any employee benefit plan, (ii) a registration relating to a corporate reorganization or other transaction covered by Rule 145 promulgated under the Securities Act, (iii) a registration on any registration form that does not include substantially the same information as would be required to be included in a registration statement covering the public offering of our Class A common stock or (iv) a registration in which the only Class A common stock being registered is Class A common stock issuable upon conversion of debt securities that are also being registered, the holders of these shares are entitled to notice of the registration and have the right, subject to certain limitations, to include their shares in the registration.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holders of up to 35,676,836 shares of our Class A common stock are entitled to certain Form S-3 registration rights. The holders of at least 30% of registrable shares then outstanding may make a written request that we register the offer and sale of their shares on a registration statement on Form S-3 if we are eligible to file a registration statement on Form S-3, so long as the request covers securities the anticipated aggregate offering price of which, net of underwriting discounts and commissions and other selling expenses, is at least $5,000,000.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twice in any 12-month period, for a period of up to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121" w:right="379" w:bottom="1440" w:gutter="0" w:footer="0" w:header="0"/>
        </w:sectPr>
      </w:pPr>
    </w:p>
    <w:bookmarkStart w:id="166" w:name="page167"/>
    <w:bookmarkEnd w:id="16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30"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171" w:lineRule="exact"/>
        <w:rPr>
          <w:rFonts w:ascii="Arial" w:cs="Arial" w:eastAsia="Arial" w:hAnsi="Arial"/>
          <w:sz w:val="18"/>
          <w:szCs w:val="18"/>
          <w:color w:val="auto"/>
        </w:rPr>
      </w:pPr>
    </w:p>
    <w:p>
      <w:pPr>
        <w:ind w:left="660" w:right="100" w:hanging="328"/>
        <w:spacing w:after="0" w:line="279" w:lineRule="auto"/>
        <w:tabs>
          <w:tab w:leader="none" w:pos="65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17" w:lineRule="exact"/>
        <w:rPr>
          <w:rFonts w:ascii="Arial" w:cs="Arial" w:eastAsia="Arial" w:hAnsi="Arial"/>
          <w:sz w:val="17"/>
          <w:szCs w:val="17"/>
          <w:color w:val="auto"/>
        </w:rPr>
      </w:pPr>
    </w:p>
    <w:p>
      <w:pPr>
        <w:ind w:left="660" w:right="80" w:hanging="328"/>
        <w:spacing w:after="0" w:line="26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30"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7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9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 only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 created seats. In addition, the number of directors constituting our board of directors are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121" w:right="359" w:bottom="1440" w:gutter="0" w:footer="0" w:header="0"/>
        </w:sectPr>
      </w:pPr>
    </w:p>
    <w:bookmarkStart w:id="167" w:name="page168"/>
    <w:bookmarkEnd w:id="16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Stockholder Action; Special Meeting of Stockholders. </w:t>
      </w:r>
      <w:r>
        <w:rPr>
          <w:rFonts w:ascii="Arial" w:cs="Arial" w:eastAsia="Arial" w:hAnsi="Arial"/>
          <w:sz w:val="17"/>
          <w:szCs w:val="17"/>
          <w:color w:val="auto"/>
        </w:rPr>
        <w:t>Our amended and restated certificate of incorporation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4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does not provide for cumulative voting.</w:t>
      </w:r>
    </w:p>
    <w:p>
      <w:pPr>
        <w:spacing w:after="0" w:line="13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amended and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a two thirds majority of our then outstanding capital stock.</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has the authority, without further action by our stockholders, to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5,000,000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3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Exclusive Forum. </w:t>
      </w:r>
      <w:r>
        <w:rPr>
          <w:rFonts w:ascii="Arial" w:cs="Arial" w:eastAsia="Arial" w:hAnsi="Arial"/>
          <w:sz w:val="17"/>
          <w:szCs w:val="17"/>
          <w:color w:val="auto"/>
        </w:rPr>
        <w:t>Our amended and restated bylaws provide that, unless we consent to the selection of an alternative forum, the Court of Chancery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 of Delaware 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governed by the internal affairs doctrine, except, in each case,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or liability created by the Exchange Act or the rules and regulations thereunder. As a result, the exclusive forum provision will not apply to actions arising under the Exchange Act or the rules and regulations thereunder. Although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121" w:right="359" w:bottom="1440" w:gutter="0" w:footer="0" w:header="0"/>
        </w:sectPr>
      </w:pPr>
    </w:p>
    <w:bookmarkStart w:id="168" w:name="page169"/>
    <w:bookmarkEnd w:id="16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amended and restated bylaws contain the exclusive forum provision described above, to the extent the exclusive forum provision restricts the courts in which claims arising under the Securities Act may be brought, there is uncertainty as to whether a court would enforce such a provision, and the enforceability of similar choice of forum provisions in other companies’ charter documents has been challenged in legal proceedings. We note that investors cannot waive compliance with the federal securities laws and the rules and regulations thereunder.</w:t>
      </w:r>
    </w:p>
    <w:p>
      <w:pPr>
        <w:spacing w:after="0" w:line="11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transfer agent and registrar for our Class A common stock is Computershare Trust Company, N.A. The transfer agent and registrar’s address is 250 Royal Street, Canton, Massachusetts 02021.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of Officers and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the Nasdaq Global Select Market under the symbol “SEER.”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21" w:right="339" w:bottom="1440" w:gutter="0" w:footer="0" w:header="0"/>
        </w:sectPr>
      </w:pPr>
    </w:p>
    <w:bookmarkStart w:id="169" w:name="page170"/>
    <w:bookmarkEnd w:id="16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Future sales of our Class A common stock in the public market, or the availability of such shares for sale in the public market, could adversely affect market prices prevailing from time to time. As described below, only a limited number of shares of our Class A common stock are currently available for sale due to contractual and legal restrictions on resale. Nevertheless, sales of our Class A common stock in the public market after such restrictions lapse, or the perception that those sales may occur, could adversely affect the prevailing market price at such time and could impair our ability to raise equity capital in the future.</w:t>
      </w:r>
    </w:p>
    <w:p>
      <w:pPr>
        <w:spacing w:after="0" w:line="13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Based on the number of shares of our capital stock outstanding as of December 31, 2020, we will have a total of 56,895,319 shares of our Class A common stock outstanding and 5,865,732 shares of our Class B common stock outstanding after this offering. Of these outstanding shares, all of the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03"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remaining outstanding shares of our Class A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pacing w:after="0" w:line="107" w:lineRule="exact"/>
        <w:rPr>
          <w:sz w:val="20"/>
          <w:szCs w:val="20"/>
          <w:color w:val="auto"/>
        </w:rPr>
      </w:pPr>
    </w:p>
    <w:p>
      <w:pPr>
        <w:ind w:left="660" w:right="10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beginning on the date of this prospectus, all shares of our Class A common stock sold in this offering will be immediately available for sale in the public market;</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beginning June 2, 2021, 33,181,615 additional shares will become eligible for sale in the public market upon the expiration of lock-up agreements entered into in connection with our initial public offering, of which 15,275,233 shares are held by affiliates and subject to the volume and other restrictions of Rule 144, as described below;</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8,915,018 additional shares will be eligible for sale in the public market 180 days from the date of this prospectus upon the expiration of lock-up agreements entered into in connection with this offering;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7,336,995 additional shares will be eligible for sale in the public market 365 days from the date of this prospectus upon the expiration of lock-up agreements entered into in connection with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will agree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capital stock or securities convertible into or exchangeable or exercisable for any shares of our capital stock, or publicly disclose the intention to make any offer, sale, pledge, disposition or filing, or (ii) enter into any swap or other arrangement that transfers all or a portion of the economic consequences associated with the ownership of any shares of capital stock or any such other securities (regardless of whether any of these transactions are to be settled by the delivery of shares of capital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hereunder and certain other exceptions.</w:t>
      </w:r>
    </w:p>
    <w:p>
      <w:pPr>
        <w:spacing w:after="0" w:line="11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directors, our executive officers and holders of substantially all of our capital stock and securities convertible into our capital stock have entered into lock-up agreements with the underwriters in connection with our initial public offering pursuant to which each of these persons or entities, with limited exceptions, for a lock-up period ending June 2, 2021 (the IPO lock-ups), may not, without the prior written consent of J.P. Morgan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21" w:right="339" w:bottom="1440" w:gutter="0" w:footer="0" w:header="0"/>
        </w:sectPr>
      </w:pPr>
    </w:p>
    <w:bookmarkStart w:id="170" w:name="page171"/>
    <w:bookmarkEnd w:id="17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LLC, Morgan Stanley &amp; Co. LLC and BofA Securities, Inc., (1) offer, pledge, announce the intention to sell, sell, contract to sell, sell any option or contract to purchase, purchase any option or contract to sell, grant any option, right or warrant to purchase, or otherwise transfer or dispose of, directly or indirectly, any shares of our capital stock or any securities convertible into or exercisable or exchangeable for our capital stock (including, without limitation, Class A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capital stock or such other securities, whether any such transaction described in clause (1) or (2) above is to be settled by delivery of capital stock or such other securities, in cash or otherwise, or (3) make any demand for or exercise any right with respect to the registration of any shares of our capital stock or any security convertible into or exercisable or exchangeable for our capital stock. Upon the expiration of the lock-up period, substantially all of the shares subject to such lock-up restrictions will become eligible for sale, subject to the limitations discussed below. For more information, see the section titled “Underwriting.”</w:t>
      </w:r>
    </w:p>
    <w:p>
      <w:pPr>
        <w:spacing w:after="0" w:line="11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In connection with this offering, the selling stockholders who are selling up to 5% of their existing holdings have entered into lock-up agreements in connection with this offering, on substantially similar terms as the IPO lock-ups, which expire 180 days from the date of this prospectus, and the selling stockholders who are selling greater than 5% and up to 20.8% of their existing holdings have entered into lock-up agreements in connection with this offering, on substantially similar terms as the IPO lock-ups, which expire 365 days from the date of this prospectus.</w:t>
      </w:r>
    </w:p>
    <w:p>
      <w:pPr>
        <w:spacing w:after="0" w:line="10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to the selling stockholders, other stockholders subject to IPO lock-ups were given the opportunity to have a portion of the shares subject to such IPO lock-ups released from the IPO lock-up provisions. Any such stockholder who requested up to 5% of their existing holdings to be released from the IPO lock-ups was required to enter a new lock-up agreement with respect to such stockholder’s remaining shares, which expire 180 days from the date of this prospectus, and any such stockholder who requested greater than 5%, and up to 20.8%, of their existing holdings to be released from the IPO lock-ups, was required to enter a new lock-up agreement with respect to such stockholder’s remaining shares, which expire 365 days from the date of this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4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pacing w:after="0" w:line="130" w:lineRule="exact"/>
        <w:rPr>
          <w:sz w:val="20"/>
          <w:szCs w:val="20"/>
          <w:color w:val="auto"/>
        </w:rPr>
      </w:pPr>
    </w:p>
    <w:p>
      <w:pPr>
        <w:ind w:left="660" w:right="12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558,212 shares immediately after the completion of this offering; or</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16"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Sales of our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21" w:right="339" w:bottom="1440" w:gutter="0" w:footer="0" w:header="0"/>
        </w:sectPr>
      </w:pPr>
    </w:p>
    <w:bookmarkStart w:id="171" w:name="page172"/>
    <w:bookmarkEnd w:id="17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Pursuant to our IRA, after the completion of this offering, the holders of up to 35,676,836 shares of our Class A common stock, or certain transferees, are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60"/>
          </w:cols>
          <w:pgMar w:left="320" w:top="121" w:right="419" w:bottom="1440" w:gutter="0" w:footer="0" w:header="0"/>
        </w:sectPr>
      </w:pPr>
    </w:p>
    <w:bookmarkStart w:id="172" w:name="page173"/>
    <w:bookmarkEnd w:id="17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4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95"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94" w:lineRule="exact"/>
        <w:rPr>
          <w:rFonts w:ascii="Arial" w:cs="Arial" w:eastAsia="Arial" w:hAnsi="Arial"/>
          <w:sz w:val="16"/>
          <w:szCs w:val="16"/>
          <w:color w:val="auto"/>
        </w:rPr>
      </w:pPr>
    </w:p>
    <w:p>
      <w:pPr>
        <w:ind w:left="660" w:right="66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 or other pass through entities such as subchapter S corporations (or investors in such entities or arrangements);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option or otherwise as compensation;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 (generally, property held for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that own, or are deemed to own, our Class B common stock.</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21" w:right="339" w:bottom="1440" w:gutter="0" w:footer="0" w:header="0"/>
        </w:sectPr>
      </w:pPr>
    </w:p>
    <w:bookmarkStart w:id="173" w:name="page174"/>
    <w:bookmarkEnd w:id="17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Class A common stock should consult his, her or its own tax advisor regarding the tax considerations of the purchase, ownership and disposition of our common stock through a partnership.</w:t>
      </w:r>
    </w:p>
    <w:p>
      <w:pPr>
        <w:spacing w:after="0" w:line="112" w:lineRule="exact"/>
        <w:rPr>
          <w:sz w:val="20"/>
          <w:szCs w:val="20"/>
          <w:color w:val="auto"/>
        </w:rPr>
      </w:pPr>
    </w:p>
    <w:p>
      <w:pPr>
        <w:ind w:right="20" w:firstLine="324"/>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state, local, non-U.S. or other taxing jurisdiction or under any applicable tax treaty.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neither a partnership nor:</w:t>
      </w:r>
    </w:p>
    <w:p>
      <w:pPr>
        <w:spacing w:after="0" w:line="116"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Class A common stock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21" w:right="339" w:bottom="1440" w:gutter="0" w:footer="0" w:header="0"/>
        </w:sectPr>
      </w:pPr>
    </w:p>
    <w:bookmarkStart w:id="174" w:name="page175"/>
    <w:bookmarkEnd w:id="17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116" w:lineRule="exact"/>
        <w:rPr>
          <w:sz w:val="20"/>
          <w:szCs w:val="20"/>
          <w:color w:val="auto"/>
        </w:rPr>
      </w:pPr>
    </w:p>
    <w:p>
      <w:pPr>
        <w:ind w:left="660" w:right="40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16"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Class A common stock.</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such regularly traded Class A common stock at any time during the shorter of the five-year period preceding your disposition of, or your holding period for, our Class A common stock.</w:t>
      </w:r>
    </w:p>
    <w:p>
      <w:pPr>
        <w:spacing w:after="0" w:line="12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Payments of dividends on or of proceeds from the disposition of our Class A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121" w:right="359" w:bottom="1440" w:gutter="0" w:footer="0" w:header="0"/>
        </w:sectPr>
      </w:pPr>
    </w:p>
    <w:bookmarkStart w:id="175" w:name="page176"/>
    <w:bookmarkEnd w:id="17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reporting may apply if either we or our paying agent has actual knowledge, or reason to know, that you are a U.S. person.</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17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subject to the discussion below regarding the proposed regulations,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3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Class A common stock.</w:t>
      </w:r>
    </w:p>
    <w:p>
      <w:pPr>
        <w:spacing w:after="0" w:line="12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Class A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121" w:right="359" w:bottom="1440" w:gutter="0" w:footer="0" w:header="0"/>
        </w:sectPr>
      </w:pPr>
    </w:p>
    <w:bookmarkStart w:id="176" w:name="page177"/>
    <w:bookmarkEnd w:id="17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ind w:right="200" w:firstLine="324"/>
        <w:spacing w:after="0" w:line="218" w:lineRule="exact"/>
        <w:rPr>
          <w:sz w:val="20"/>
          <w:szCs w:val="20"/>
          <w:color w:val="auto"/>
        </w:rPr>
      </w:pPr>
      <w:r>
        <w:rPr>
          <w:rFonts w:ascii="Arial" w:cs="Arial" w:eastAsia="Arial" w:hAnsi="Arial"/>
          <w:sz w:val="17"/>
          <w:szCs w:val="17"/>
          <w:color w:val="auto"/>
        </w:rPr>
        <w:t>We and the selling stockholders are offering the shares of Class A common stock described in this prospectus through a number of underwriters. J.P. Morgan Securities LLC, Morgan Stanley &amp; Co. LLC, BofA Securities, Inc. and Cowen and Company, LLC are acting as joint book</w:t>
      </w:r>
      <w:r>
        <w:rPr>
          <w:rFonts w:ascii="MS PGothic" w:cs="MS PGothic" w:eastAsia="MS PGothic" w:hAnsi="MS PGothic"/>
          <w:sz w:val="17"/>
          <w:szCs w:val="17"/>
          <w:color w:val="auto"/>
        </w:rPr>
        <w:t>‑</w:t>
      </w:r>
      <w:r>
        <w:rPr>
          <w:rFonts w:ascii="Arial" w:cs="Arial" w:eastAsia="Arial" w:hAnsi="Arial"/>
          <w:sz w:val="17"/>
          <w:szCs w:val="17"/>
          <w:color w:val="auto"/>
        </w:rPr>
        <w:t>running managers of the offering and J.P. Morgan Securities LLC, Morgan Stanley &amp; Co. LLC and BofA Securities, Inc. are acting as representatives of the underwriters. We and the selling stockholders have entered into an underwriting agreement with the underwriters.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right"/>
              <w:ind w:right="133"/>
              <w:spacing w:after="0"/>
              <w:rPr>
                <w:sz w:val="20"/>
                <w:szCs w:val="20"/>
                <w:color w:val="auto"/>
              </w:rPr>
            </w:pPr>
            <w:r>
              <w:rPr>
                <w:rFonts w:ascii="Arial" w:cs="Arial" w:eastAsia="Arial" w:hAnsi="Arial"/>
                <w:sz w:val="14"/>
                <w:szCs w:val="14"/>
                <w:b w:val="1"/>
                <w:bCs w:val="1"/>
                <w:color w:val="auto"/>
              </w:rPr>
              <w:t>Number of Shares</w:t>
            </w:r>
          </w:p>
        </w:tc>
      </w:tr>
      <w:tr>
        <w:trPr>
          <w:trHeight w:val="26"/>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J.P. Morgan Securities LLC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1,425,000</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Morgan Stanley &amp; Co. LLC</w:t>
            </w:r>
          </w:p>
        </w:tc>
        <w:tc>
          <w:tcPr>
            <w:tcW w:w="1560" w:type="dxa"/>
            <w:vAlign w:val="bottom"/>
          </w:tcPr>
          <w:p>
            <w:pPr>
              <w:jc w:val="right"/>
              <w:spacing w:after="0"/>
              <w:rPr>
                <w:sz w:val="20"/>
                <w:szCs w:val="20"/>
                <w:color w:val="auto"/>
              </w:rPr>
            </w:pPr>
            <w:r>
              <w:rPr>
                <w:rFonts w:ascii="Arial" w:cs="Arial" w:eastAsia="Arial" w:hAnsi="Arial"/>
                <w:sz w:val="18"/>
                <w:szCs w:val="18"/>
                <w:color w:val="auto"/>
              </w:rPr>
              <w:t>1,200,000</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BofA Securities, Inc.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675,000</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Cowen and Company, LLC</w:t>
            </w:r>
          </w:p>
        </w:tc>
        <w:tc>
          <w:tcPr>
            <w:tcW w:w="1560" w:type="dxa"/>
            <w:vAlign w:val="bottom"/>
          </w:tcPr>
          <w:p>
            <w:pPr>
              <w:jc w:val="right"/>
              <w:spacing w:after="0"/>
              <w:rPr>
                <w:sz w:val="20"/>
                <w:szCs w:val="20"/>
                <w:color w:val="auto"/>
              </w:rPr>
            </w:pPr>
            <w:r>
              <w:rPr>
                <w:rFonts w:ascii="Arial" w:cs="Arial" w:eastAsia="Arial" w:hAnsi="Arial"/>
                <w:sz w:val="18"/>
                <w:szCs w:val="18"/>
                <w:color w:val="auto"/>
              </w:rPr>
              <w:t>450,000</w:t>
            </w:r>
          </w:p>
        </w:tc>
      </w:tr>
      <w:tr>
        <w:trPr>
          <w:trHeight w:val="27"/>
        </w:trPr>
        <w:tc>
          <w:tcPr>
            <w:tcW w:w="9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underwriters are committed to purchase all the Class A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3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underwriters propose to offer the common stock directly to the public at the offering price set forth on the cover page of this prospectus and to certain dealers at that price less a concession not in excess of $1.9778 per share. After the initial offering of the shares to the public, if all of the shares of Class A common stock are not sold at the offering price, the underwriters may change the offering price and the other selling terms. Sales of any shares made outside of the United States may be made by affiliates of the underwriters.</w:t>
      </w:r>
    </w:p>
    <w:p>
      <w:pPr>
        <w:spacing w:after="0" w:line="13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underwriters have an option to buy up to 562,500 additional shares of Class A common stock from the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2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underwriting fee is equal to the public offering price per share of Class A common stock less the amount paid by the underwriters to us per share of Class A common stock. The underwriting fee paid by us is $4.02 per share and the underwriting fee paid by the selling stockholders is $2.847 per share. The following table shows the per share and total underwriting discounts and commissions to be paid to the underwriters assuming both no exercise and full exercise of the underwriters’ option to purchase additional shares from the selling stockholders.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Paid by selling</w:t>
            </w:r>
          </w:p>
        </w:tc>
        <w:tc>
          <w:tcPr>
            <w:tcW w:w="100" w:type="dxa"/>
            <w:vAlign w:val="bottom"/>
          </w:tcPr>
          <w:p>
            <w:pPr>
              <w:spacing w:after="0"/>
              <w:rPr>
                <w:sz w:val="14"/>
                <w:szCs w:val="14"/>
                <w:color w:val="auto"/>
              </w:rPr>
            </w:pPr>
          </w:p>
        </w:tc>
        <w:tc>
          <w:tcPr>
            <w:tcW w:w="1460" w:type="dxa"/>
            <w:vAlign w:val="bottom"/>
          </w:tcPr>
          <w:p>
            <w:pPr>
              <w:jc w:val="center"/>
              <w:ind w:right="43"/>
              <w:spacing w:after="0"/>
              <w:rPr>
                <w:sz w:val="20"/>
                <w:szCs w:val="20"/>
                <w:color w:val="auto"/>
              </w:rPr>
            </w:pPr>
            <w:r>
              <w:rPr>
                <w:rFonts w:ascii="Arial" w:cs="Arial" w:eastAsia="Arial" w:hAnsi="Arial"/>
                <w:sz w:val="14"/>
                <w:szCs w:val="14"/>
                <w:b w:val="1"/>
                <w:bCs w:val="1"/>
                <w:color w:val="auto"/>
                <w:w w:val="91"/>
              </w:rPr>
              <w:t>Paid by selling</w:t>
            </w:r>
          </w:p>
        </w:tc>
      </w:tr>
      <w:tr>
        <w:trPr>
          <w:trHeight w:val="162"/>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 without</w:t>
            </w:r>
          </w:p>
        </w:tc>
        <w:tc>
          <w:tcPr>
            <w:tcW w:w="100" w:type="dxa"/>
            <w:vAlign w:val="bottom"/>
          </w:tcPr>
          <w:p>
            <w:pPr>
              <w:spacing w:after="0"/>
              <w:rPr>
                <w:sz w:val="14"/>
                <w:szCs w:val="14"/>
                <w:color w:val="auto"/>
              </w:rPr>
            </w:pPr>
          </w:p>
        </w:tc>
        <w:tc>
          <w:tcPr>
            <w:tcW w:w="1460" w:type="dxa"/>
            <w:vAlign w:val="bottom"/>
          </w:tcPr>
          <w:p>
            <w:pPr>
              <w:jc w:val="center"/>
              <w:ind w:right="23"/>
              <w:spacing w:after="0"/>
              <w:rPr>
                <w:sz w:val="20"/>
                <w:szCs w:val="20"/>
                <w:color w:val="auto"/>
              </w:rPr>
            </w:pPr>
            <w:r>
              <w:rPr>
                <w:rFonts w:ascii="Arial" w:cs="Arial" w:eastAsia="Arial" w:hAnsi="Arial"/>
                <w:sz w:val="14"/>
                <w:szCs w:val="14"/>
                <w:b w:val="1"/>
                <w:bCs w:val="1"/>
                <w:color w:val="auto"/>
                <w:w w:val="91"/>
              </w:rPr>
              <w:t>stockholders with full</w:t>
            </w:r>
          </w:p>
        </w:tc>
      </w:tr>
      <w:tr>
        <w:trPr>
          <w:trHeight w:val="162"/>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 to purchase</w:t>
            </w:r>
          </w:p>
        </w:tc>
        <w:tc>
          <w:tcPr>
            <w:tcW w:w="100" w:type="dxa"/>
            <w:vAlign w:val="bottom"/>
          </w:tcPr>
          <w:p>
            <w:pPr>
              <w:spacing w:after="0"/>
              <w:rPr>
                <w:sz w:val="14"/>
                <w:szCs w:val="14"/>
                <w:color w:val="auto"/>
              </w:rPr>
            </w:pPr>
          </w:p>
        </w:tc>
        <w:tc>
          <w:tcPr>
            <w:tcW w:w="1460" w:type="dxa"/>
            <w:vAlign w:val="bottom"/>
          </w:tcPr>
          <w:p>
            <w:pPr>
              <w:jc w:val="center"/>
              <w:ind w:right="43"/>
              <w:spacing w:after="0"/>
              <w:rPr>
                <w:sz w:val="20"/>
                <w:szCs w:val="20"/>
                <w:color w:val="auto"/>
              </w:rPr>
            </w:pPr>
            <w:r>
              <w:rPr>
                <w:rFonts w:ascii="Arial" w:cs="Arial" w:eastAsia="Arial" w:hAnsi="Arial"/>
                <w:sz w:val="14"/>
                <w:szCs w:val="14"/>
                <w:b w:val="1"/>
                <w:bCs w:val="1"/>
                <w:color w:val="auto"/>
                <w:w w:val="90"/>
              </w:rPr>
              <w:t>option to purchase</w:t>
            </w:r>
          </w:p>
        </w:tc>
      </w:tr>
      <w:tr>
        <w:trPr>
          <w:trHeight w:val="162"/>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additional shares</w:t>
            </w:r>
          </w:p>
        </w:tc>
        <w:tc>
          <w:tcPr>
            <w:tcW w:w="100" w:type="dxa"/>
            <w:vAlign w:val="bottom"/>
          </w:tcPr>
          <w:p>
            <w:pPr>
              <w:spacing w:after="0"/>
              <w:rPr>
                <w:sz w:val="14"/>
                <w:szCs w:val="14"/>
                <w:color w:val="auto"/>
              </w:rPr>
            </w:pPr>
          </w:p>
        </w:tc>
        <w:tc>
          <w:tcPr>
            <w:tcW w:w="1460" w:type="dxa"/>
            <w:vAlign w:val="bottom"/>
          </w:tcPr>
          <w:p>
            <w:pPr>
              <w:jc w:val="center"/>
              <w:ind w:right="23"/>
              <w:spacing w:after="0"/>
              <w:rPr>
                <w:sz w:val="20"/>
                <w:szCs w:val="20"/>
                <w:color w:val="auto"/>
              </w:rPr>
            </w:pPr>
            <w:r>
              <w:rPr>
                <w:rFonts w:ascii="Arial" w:cs="Arial" w:eastAsia="Arial" w:hAnsi="Arial"/>
                <w:sz w:val="14"/>
                <w:szCs w:val="14"/>
                <w:b w:val="1"/>
                <w:bCs w:val="1"/>
                <w:color w:val="auto"/>
                <w:w w:val="90"/>
              </w:rPr>
              <w:t>additional shares</w:t>
            </w:r>
          </w:p>
        </w:tc>
      </w:tr>
      <w:tr>
        <w:trPr>
          <w:trHeight w:val="186"/>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 by the Company</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exercised</w:t>
            </w:r>
          </w:p>
        </w:tc>
        <w:tc>
          <w:tcPr>
            <w:tcW w:w="100" w:type="dxa"/>
            <w:vAlign w:val="bottom"/>
          </w:tcPr>
          <w:p>
            <w:pPr>
              <w:spacing w:after="0"/>
              <w:rPr>
                <w:sz w:val="16"/>
                <w:szCs w:val="16"/>
                <w:color w:val="auto"/>
              </w:rPr>
            </w:pPr>
          </w:p>
        </w:tc>
        <w:tc>
          <w:tcPr>
            <w:tcW w:w="1460" w:type="dxa"/>
            <w:vAlign w:val="bottom"/>
          </w:tcPr>
          <w:p>
            <w:pPr>
              <w:jc w:val="center"/>
              <w:ind w:right="23"/>
              <w:spacing w:after="0"/>
              <w:rPr>
                <w:sz w:val="20"/>
                <w:szCs w:val="20"/>
                <w:color w:val="auto"/>
              </w:rPr>
            </w:pPr>
            <w:r>
              <w:rPr>
                <w:rFonts w:ascii="Arial" w:cs="Arial" w:eastAsia="Arial" w:hAnsi="Arial"/>
                <w:sz w:val="14"/>
                <w:szCs w:val="14"/>
                <w:b w:val="1"/>
                <w:bCs w:val="1"/>
                <w:color w:val="auto"/>
                <w:w w:val="86"/>
              </w:rPr>
              <w:t>exercised</w:t>
            </w:r>
          </w:p>
        </w:tc>
      </w:tr>
      <w:tr>
        <w:trPr>
          <w:trHeight w:val="25"/>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2.847</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6,633,000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
              <w:spacing w:after="0"/>
              <w:rPr>
                <w:sz w:val="20"/>
                <w:szCs w:val="20"/>
                <w:color w:val="auto"/>
              </w:rPr>
            </w:pPr>
            <w:r>
              <w:rPr>
                <w:rFonts w:ascii="Arial" w:cs="Arial" w:eastAsia="Arial" w:hAnsi="Arial"/>
                <w:sz w:val="18"/>
                <w:szCs w:val="18"/>
                <w:color w:val="auto"/>
              </w:rPr>
              <w:t>5,978,700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
              <w:spacing w:after="0"/>
              <w:rPr>
                <w:sz w:val="20"/>
                <w:szCs w:val="20"/>
                <w:color w:val="auto"/>
              </w:rPr>
            </w:pPr>
            <w:r>
              <w:rPr>
                <w:rFonts w:ascii="Arial" w:cs="Arial" w:eastAsia="Arial" w:hAnsi="Arial"/>
                <w:sz w:val="18"/>
                <w:szCs w:val="18"/>
                <w:color w:val="auto"/>
              </w:rPr>
              <w:t>7,580,138</w:t>
            </w:r>
          </w:p>
        </w:tc>
      </w:tr>
    </w:tbl>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$0.8 million. We have agreed to pay the expenses of the selling stockholders,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21" w:right="339" w:bottom="1440" w:gutter="0" w:footer="0" w:header="0"/>
        </w:sectPr>
      </w:pPr>
    </w:p>
    <w:bookmarkStart w:id="177" w:name="page178"/>
    <w:bookmarkEnd w:id="177"/>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underwriting fees owed by the selling stockholders. We have also agreed to reimburse the underwriters for reasonable fees and expenses of counsel related to the review by the Financial Industry Regulatory Authority of the terms of sale of the shares of Class A common stock offered hereby in an amount not to exceed $35,000.</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in this offering, subject to certain exceptions, including in connection with the issuance of up to 10% of the shares of Class A common stock outstanding immediately following the closing of this offering in acquisitions or other similar strategic transactions.</w:t>
      </w:r>
    </w:p>
    <w:p>
      <w:pPr>
        <w:spacing w:after="0" w:line="114" w:lineRule="exact"/>
        <w:rPr>
          <w:sz w:val="20"/>
          <w:szCs w:val="20"/>
          <w:color w:val="auto"/>
        </w:rPr>
      </w:pPr>
    </w:p>
    <w:p>
      <w:pPr>
        <w:ind w:right="80" w:firstLine="324"/>
        <w:spacing w:after="0" w:line="217" w:lineRule="exact"/>
        <w:rPr>
          <w:sz w:val="20"/>
          <w:szCs w:val="20"/>
          <w:color w:val="auto"/>
        </w:rPr>
      </w:pPr>
      <w:r>
        <w:rPr>
          <w:rFonts w:ascii="Arial" w:cs="Arial" w:eastAsia="Arial" w:hAnsi="Arial"/>
          <w:sz w:val="16"/>
          <w:szCs w:val="16"/>
          <w:color w:val="auto"/>
        </w:rPr>
        <w:t>The selling stockholders (such persons, the “lock-up parties”) have entered into lock</w:t>
      </w:r>
      <w:r>
        <w:rPr>
          <w:rFonts w:ascii="MS PGothic" w:cs="MS PGothic" w:eastAsia="MS PGothic" w:hAnsi="MS PGothic"/>
          <w:sz w:val="16"/>
          <w:szCs w:val="16"/>
          <w:color w:val="auto"/>
        </w:rPr>
        <w:t>‑</w:t>
      </w:r>
      <w:r>
        <w:rPr>
          <w:rFonts w:ascii="Arial" w:cs="Arial" w:eastAsia="Arial" w:hAnsi="Arial"/>
          <w:sz w:val="16"/>
          <w:szCs w:val="16"/>
          <w:color w:val="auto"/>
        </w:rPr>
        <w:t>up agreements with the underwriters prior to the commencement of this offering pursuant to which each lock-up party, with limited exceptions, for a period of 180 days after the date of this prospectus (for those selling stockholders selling up to 5% of their existing holdings) and 365 days after the date of this prospectus (for those selling stockholders selling greater than 5% and up to 20.8% of their existing holdings) (such period, the “restricted period”), may not (and may not cause any of their direct or indirect affiliates to), without the prior written consent of J.P. Morgan Securities LLC, Morgan Stanley &amp; Co. LLC and BofA Securities, Inc., (1)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which may be issued upon exercise of a stock option or warrant (collectively with the Class A common stock, the “lock-up securities”)), (2) enter into any hedging, swap or other agreement or transaction that transfers, in whole or in part, any of the economic consequences of ownership of the lock-up securities, whether any such transaction described in clause</w:t>
      </w:r>
    </w:p>
    <w:p>
      <w:pPr>
        <w:spacing w:after="0" w:line="4" w:lineRule="exact"/>
        <w:rPr>
          <w:sz w:val="20"/>
          <w:szCs w:val="20"/>
          <w:color w:val="auto"/>
        </w:rPr>
      </w:pPr>
    </w:p>
    <w:p>
      <w:pPr>
        <w:ind w:right="80" w:firstLine="8"/>
        <w:spacing w:after="0" w:line="251" w:lineRule="auto"/>
        <w:tabs>
          <w:tab w:leader="none" w:pos="2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44"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The restrictions described in the immediately preceding paragraphs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member of the lock-up party’s immediate family or any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320" w:top="121" w:right="379" w:bottom="1440" w:gutter="0" w:footer="0" w:header="0"/>
        </w:sectPr>
      </w:pPr>
    </w:p>
    <w:bookmarkStart w:id="178" w:name="page179"/>
    <w:bookmarkEnd w:id="178"/>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 the direct or indirect benefit of the lock-up party or the immediate family of the lock-up party, (iv) to a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disposition, transfer or distribution to members, limited partners or shareholders of the lock-up party, (vii) by operation of law, such as pursuant to a qualified domestic order, divorce settlement, divorce decree or separation agreement or similar court order, (viii) to us in connection with any contractual arrangement that provides for the repurchase of lock-up securities by us upon death, disability or termination of service, in each case, of such service provider, (ix) acquired from the underwriters in this offering or in open market transactions after the closing date of this offering, (x)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stockholders involving a change of control, provided that if such transaction is not completed, all such lock-up securities would remain subject to the restrictions in the immediately preceding paragraph; (b) the exercise of the options, settlement of RSUs or other equity awards, or the exercise of warrants granted pursuant to plans or agreements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Class A common stock or warrants to acquire shares of our Class A common stock; provided that any Class A common stock or warrant received upon such conversion shall be subject to restrictions similar to those in the immediately preceding paragraph; and (d) the establishment by lock-up parties of trading plans under Rule 10b5-1 under the Exchange Act for the transfer of shares of lock-up securities; provided that such plan does not provide for the transfer of lock-up securities during the restricted period. Substantially similar lock-up agreements were also entered into in connection with our initial public offering, which expire on June 2, 2021; however, for the purposes of this offering, J.P. Morgan Securities LLC, Morgan Stanley &amp; Co. LLC and BofA Securities have released the restrictions under the lock-up agreements entered into in connection with our initial public offering applicable to the selling stockholders solely to the extent required to sell the shares being offered and sold in this offering and as described in the following paragraph.</w:t>
      </w:r>
    </w:p>
    <w:p>
      <w:pPr>
        <w:spacing w:after="0" w:line="12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to the selling stockholders, in connection with this offering, other stockholders subject to lock-up agreements entered into in connection with our initial public offering were given the opportunity to have a portion of the shares subject to such lock-ups released from the transfer restrictions contained in such agreements, and stockholders holding 29,443 shares of our Class A common stock agreed to the terms of the release. Any such stockholder who requested up to 5% of their existing holdings to be released from the lock-ups was required to enter a new lock-up agreement with respect to such stockholder’s remaining shares, which expire 180 days from the date of this prospectus, and as a result 120,311 shares became subject to these new lock-up agreements. Any such stockholder who requested greater than 5%, and up to 20.8%, of their existing holdings to be released from the lock-ups was required to enter a new lock-up agreement with respect to such stockholder’s remaining shares, which expire 365 days from the date of this prospectus, and as a result 153,046 shares became subject to these new lock-up agreements.</w:t>
      </w:r>
    </w:p>
    <w:p>
      <w:pPr>
        <w:spacing w:after="0" w:line="124"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As a result of the restriction releases discussed above, 33,181,615 shares will continue to be subject to lock-up agreements entered into with the underwriters of our initial public offering, which agreements expire on June 2, 2021, unless earlier released by the underwriters at their discretion.</w:t>
      </w:r>
    </w:p>
    <w:p>
      <w:pPr>
        <w:spacing w:after="0" w:line="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J.P. Morgan Securities LLC, Morgan Stanley &amp; Co. LLC and BofA Securities, Inc., in their sole discretion, may release the securities subject to any of the lock-up agreements with the underwriters described above, in whole or in part at any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21" w:right="339" w:bottom="1440" w:gutter="0" w:footer="0" w:header="0"/>
        </w:sectPr>
      </w:pPr>
    </w:p>
    <w:bookmarkStart w:id="179" w:name="page180"/>
    <w:bookmarkEnd w:id="179"/>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from the selling stockholders referred to above, or may be “naked” shorts, which are short positions in excess of that amount. The underwriters may close out any covered short position either by exercising their option to purchase additional shares from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the selling stockholders.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3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17" w:lineRule="exact"/>
        <w:rPr>
          <w:sz w:val="20"/>
          <w:szCs w:val="20"/>
          <w:color w:val="auto"/>
        </w:rPr>
      </w:pPr>
    </w:p>
    <w:p>
      <w:pPr>
        <w:ind w:right="60" w:firstLine="324"/>
        <w:spacing w:after="0" w:line="220" w:lineRule="exact"/>
        <w:rPr>
          <w:sz w:val="20"/>
          <w:szCs w:val="20"/>
          <w:color w:val="auto"/>
        </w:rPr>
      </w:pPr>
      <w:r>
        <w:rPr>
          <w:rFonts w:ascii="Arial" w:cs="Arial" w:eastAsia="Arial" w:hAnsi="Arial"/>
          <w:sz w:val="18"/>
          <w:szCs w:val="18"/>
          <w:color w:val="auto"/>
        </w:rPr>
        <w:t>These activities may have the effect of raising or maintaining the market price of the Class A common stock or preventing or retarding a decline in the market price of the Class A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121" w:right="359" w:bottom="1440" w:gutter="0" w:footer="0" w:header="0"/>
        </w:sectPr>
      </w:pPr>
    </w:p>
    <w:bookmarkStart w:id="180" w:name="page181"/>
    <w:bookmarkEnd w:id="180"/>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United Kingdom</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(Relevant States),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34" w:lineRule="exact"/>
        <w:rPr>
          <w:sz w:val="20"/>
          <w:szCs w:val="20"/>
          <w:color w:val="auto"/>
        </w:rPr>
      </w:pPr>
    </w:p>
    <w:p>
      <w:pPr>
        <w:ind w:left="640" w:hanging="308"/>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shall require us or any underwriter to publish a prospectus pursuant to Article 3 of the Prospectus Regulation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11"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21" w:right="339" w:bottom="1440" w:gutter="0" w:footer="0" w:header="0"/>
        </w:sectPr>
      </w:pPr>
    </w:p>
    <w:bookmarkStart w:id="181" w:name="page182"/>
    <w:bookmarkEnd w:id="181"/>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3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7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(Corporations Act);</w:t>
      </w:r>
    </w:p>
    <w:p>
      <w:pPr>
        <w:spacing w:after="0" w:line="182" w:lineRule="exact"/>
        <w:rPr>
          <w:rFonts w:ascii="Arial" w:cs="Arial" w:eastAsia="Arial" w:hAnsi="Arial"/>
          <w:sz w:val="17"/>
          <w:szCs w:val="17"/>
          <w:color w:val="auto"/>
        </w:rPr>
      </w:pPr>
    </w:p>
    <w:p>
      <w:pPr>
        <w:jc w:val="both"/>
        <w:ind w:left="660" w:right="58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121" w:right="359" w:bottom="1440" w:gutter="0" w:footer="0" w:header="0"/>
        </w:sectPr>
      </w:pPr>
    </w:p>
    <w:bookmarkStart w:id="182" w:name="page183"/>
    <w:bookmarkEnd w:id="182"/>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except in circumstances where disclosure to investors is not required under Chapter 6D.2 of the Corporations Act or where a compliant disclosure document is prepared and lodged with ASIC.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71"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3"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07" w:lineRule="exact"/>
        <w:rPr>
          <w:sz w:val="20"/>
          <w:szCs w:val="20"/>
          <w:color w:val="auto"/>
        </w:rPr>
      </w:pPr>
    </w:p>
    <w:p>
      <w:pPr>
        <w:ind w:left="660" w:right="180" w:hanging="328"/>
        <w:spacing w:after="0" w:line="277" w:lineRule="auto"/>
        <w:tabs>
          <w:tab w:leader="none" w:pos="6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(SFA)) pursuant to Section 274 of the SFA;</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and in accordance with the conditions specified in Section 275 of the SFA;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121" w:right="359" w:bottom="1440" w:gutter="0" w:footer="0" w:header="0"/>
        </w:sectPr>
      </w:pPr>
    </w:p>
    <w:bookmarkStart w:id="183" w:name="page184"/>
    <w:bookmarkEnd w:id="183"/>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80" w:hanging="328"/>
        <w:spacing w:after="0" w:line="277" w:lineRule="auto"/>
        <w:tabs>
          <w:tab w:leader="none" w:pos="65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7" w:lineRule="exact"/>
        <w:rPr>
          <w:rFonts w:ascii="Arial" w:cs="Arial" w:eastAsia="Arial" w:hAnsi="Arial"/>
          <w:sz w:val="17"/>
          <w:szCs w:val="17"/>
          <w:color w:val="auto"/>
        </w:rPr>
      </w:pPr>
    </w:p>
    <w:p>
      <w:pPr>
        <w:ind w:left="640" w:hanging="308"/>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276(4)(i)(B) of the SFA;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121" w:right="359" w:bottom="1440" w:gutter="0" w:footer="0" w:header="0"/>
        </w:sectPr>
      </w:pPr>
    </w:p>
    <w:bookmarkStart w:id="184" w:name="page185"/>
    <w:bookmarkEnd w:id="184"/>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1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71"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Due to restrictions under the securities laws of South Africa, no “offer to the public” (as such term is defined in the South African Companies Act, No. 71 of 2008 (as amended or re-enacted) (South African Companies Act))is being made in connection with the issue of the shares in South Africa. Accordingly, this document does not, nor is it intended to, constitute a “registered prospectus” (as that term is defined in the South African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21" w:right="339" w:bottom="1440" w:gutter="0" w:footer="0" w:header="0"/>
        </w:sectPr>
      </w:pPr>
    </w:p>
    <w:bookmarkStart w:id="185" w:name="page186"/>
    <w:bookmarkEnd w:id="185"/>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87"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23" w:lineRule="exact"/>
        <w:rPr>
          <w:sz w:val="20"/>
          <w:szCs w:val="20"/>
          <w:color w:val="auto"/>
        </w:rPr>
      </w:pPr>
    </w:p>
    <w:p>
      <w:pPr>
        <w:ind w:left="2380" w:hanging="221"/>
        <w:spacing w:after="0"/>
        <w:tabs>
          <w:tab w:leader="none" w:pos="23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spacing w:after="0" w:line="20" w:lineRule="exact"/>
        <w:rPr>
          <w:rFonts w:ascii="Arial" w:cs="Arial" w:eastAsia="Arial" w:hAnsi="Arial"/>
          <w:sz w:val="17"/>
          <w:szCs w:val="17"/>
          <w:color w:val="auto"/>
        </w:rPr>
      </w:pPr>
    </w:p>
    <w:p>
      <w:pPr>
        <w:ind w:left="2420" w:hanging="261"/>
        <w:spacing w:after="0"/>
        <w:tabs>
          <w:tab w:leader="none" w:pos="2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9" w:lineRule="exact"/>
        <w:rPr>
          <w:rFonts w:ascii="Arial" w:cs="Arial" w:eastAsia="Arial" w:hAnsi="Arial"/>
          <w:sz w:val="18"/>
          <w:szCs w:val="18"/>
          <w:color w:val="auto"/>
        </w:rPr>
      </w:pPr>
    </w:p>
    <w:p>
      <w:pPr>
        <w:ind w:left="2480" w:hanging="321"/>
        <w:spacing w:after="0"/>
        <w:tabs>
          <w:tab w:leader="none" w:pos="2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9" w:lineRule="exact"/>
        <w:rPr>
          <w:rFonts w:ascii="Arial" w:cs="Arial" w:eastAsia="Arial" w:hAnsi="Arial"/>
          <w:sz w:val="18"/>
          <w:szCs w:val="18"/>
          <w:color w:val="auto"/>
        </w:rPr>
      </w:pPr>
    </w:p>
    <w:p>
      <w:pPr>
        <w:ind w:left="2460" w:hanging="301"/>
        <w:spacing w:after="0"/>
        <w:tabs>
          <w:tab w:leader="none" w:pos="2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9" w:lineRule="exact"/>
        <w:rPr>
          <w:rFonts w:ascii="Arial" w:cs="Arial" w:eastAsia="Arial" w:hAnsi="Arial"/>
          <w:sz w:val="18"/>
          <w:szCs w:val="18"/>
          <w:color w:val="auto"/>
        </w:rPr>
      </w:pPr>
    </w:p>
    <w:p>
      <w:pPr>
        <w:ind w:left="2420" w:hanging="261"/>
        <w:spacing w:after="0"/>
        <w:tabs>
          <w:tab w:leader="none" w:pos="2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9" w:lineRule="exact"/>
        <w:rPr>
          <w:rFonts w:ascii="Arial" w:cs="Arial" w:eastAsia="Arial" w:hAnsi="Arial"/>
          <w:sz w:val="18"/>
          <w:szCs w:val="18"/>
          <w:color w:val="auto"/>
        </w:rPr>
      </w:pPr>
    </w:p>
    <w:p>
      <w:pPr>
        <w:ind w:left="2160" w:right="420" w:hanging="1"/>
        <w:spacing w:after="0" w:line="250" w:lineRule="auto"/>
        <w:tabs>
          <w:tab w:leader="none" w:pos="24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8"/>
          <w:szCs w:val="18"/>
          <w:color w:val="auto"/>
        </w:rPr>
      </w:pPr>
    </w:p>
    <w:p>
      <w:pPr>
        <w:ind w:left="2520" w:hanging="361"/>
        <w:spacing w:after="0"/>
        <w:tabs>
          <w:tab w:leader="none" w:pos="2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ectPr>
          <w:pgSz w:w="11900" w:h="16838" w:orient="portrait"/>
          <w:cols w:equalWidth="0" w:num="1">
            <w:col w:w="11240"/>
          </w:cols>
          <w:pgMar w:left="320" w:top="121" w:right="339" w:bottom="1440" w:gutter="0" w:footer="0" w:header="0"/>
        </w:sectPr>
      </w:pPr>
    </w:p>
    <w:p>
      <w:pPr>
        <w:spacing w:after="0" w:line="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96 (1)(b)</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57" w:lineRule="exact"/>
        <w:rPr>
          <w:sz w:val="20"/>
          <w:szCs w:val="20"/>
          <w:color w:val="auto"/>
        </w:rPr>
      </w:pPr>
    </w:p>
    <w:p>
      <w:pPr>
        <w:sectPr>
          <w:pgSz w:w="11900" w:h="16838" w:orient="portrait"/>
          <w:cols w:equalWidth="0" w:num="2">
            <w:col w:w="1580" w:space="580"/>
            <w:col w:w="9080"/>
          </w:cols>
          <w:pgMar w:left="320" w:top="121" w:right="339" w:bottom="1440" w:gutter="0" w:footer="0" w:header="0"/>
          <w:type w:val="continuous"/>
        </w:sectPr>
      </w:pPr>
    </w:p>
    <w:p>
      <w:pPr>
        <w:ind w:right="880" w:firstLine="324"/>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21" w:right="339" w:bottom="1440" w:gutter="0" w:footer="0" w:header="0"/>
          <w:type w:val="continuous"/>
        </w:sectPr>
      </w:pPr>
    </w:p>
    <w:bookmarkStart w:id="186" w:name="page187"/>
    <w:bookmarkEnd w:id="186"/>
    <w:p>
      <w:pPr>
        <w:ind w:left="34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Wilson Sonsini Goodrich &amp; Rosati, Professional Corporation, Palo Alto, California. Davis Polk &amp; Wardwell LLP, Menlo Park, California, is representing the underwriters in connection with this offering. Wilson Sonsini Goodrich &amp; Rosati, P.C. and certain of its members are associated with WS Investment Company, LLC (2017A) and WS Investment Company, LLC (2018A). WS Investment Company (2017A) and WS Investment Company (2018A) directly or indirectly own less than 0.1% of the outstanding shares of our common stock.</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The financial statements of Seer, Inc. as of December 31, 2018 and 2019, and for each of the two years in the period ended December 31, 2019, included in this Prospectus have been audited by Deloitte &amp; Touche LLP, an independent registered public accounting firm, as stated in their report appearing elsewhere herein. Such financial statements are included in reliance upon the report of such firm given upon their authority as experts in accounting and auditing.</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8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subject to the information reporting requirements of the Exchange Act, and we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80"/>
          </w:cols>
          <w:pgMar w:left="320" w:top="121" w:right="399" w:bottom="1440" w:gutter="0" w:footer="0" w:header="0"/>
        </w:sectPr>
      </w:pPr>
    </w:p>
    <w:bookmarkStart w:id="187" w:name="page188"/>
    <w:bookmarkEnd w:id="187"/>
    <w:p>
      <w:pPr>
        <w:jc w:val="center"/>
        <w:ind w:right="-9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760" w:type="dxa"/>
            <w:vAlign w:val="bottom"/>
          </w:tcPr>
          <w:p>
            <w:pPr>
              <w:spacing w:after="0"/>
              <w:rPr>
                <w:sz w:val="16"/>
                <w:szCs w:val="16"/>
                <w:color w:val="auto"/>
              </w:rPr>
            </w:pPr>
          </w:p>
        </w:tc>
        <w:tc>
          <w:tcPr>
            <w:tcW w:w="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01"/>
        </w:trPr>
        <w:tc>
          <w:tcPr>
            <w:tcW w:w="10760" w:type="dxa"/>
            <w:vAlign w:val="bottom"/>
          </w:tcPr>
          <w:p>
            <w:pPr>
              <w:spacing w:after="0" w:line="201" w:lineRule="exact"/>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Report of Independent Registered Public Accounting Firm</w:t>
              </w:r>
            </w:hyperlink>
          </w:p>
        </w:tc>
        <w:tc>
          <w:tcPr>
            <w:tcW w:w="40" w:type="dxa"/>
            <w:vAlign w:val="bottom"/>
          </w:tcPr>
          <w:p>
            <w:pPr>
              <w:spacing w:after="0"/>
              <w:rPr>
                <w:sz w:val="17"/>
                <w:szCs w:val="17"/>
                <w:color w:val="auto"/>
              </w:rPr>
            </w:pPr>
          </w:p>
        </w:tc>
        <w:tc>
          <w:tcPr>
            <w:tcW w:w="300" w:type="dxa"/>
            <w:vAlign w:val="bottom"/>
            <w:gridSpan w:val="2"/>
          </w:tcPr>
          <w:p>
            <w:pPr>
              <w:jc w:val="center"/>
              <w:ind w:right="60"/>
              <w:spacing w:after="0" w:line="201" w:lineRule="exact"/>
              <w:rPr>
                <w:rFonts w:ascii="Arial" w:cs="Arial" w:eastAsia="Arial" w:hAnsi="Arial"/>
                <w:sz w:val="18"/>
                <w:szCs w:val="18"/>
                <w:color w:val="0000FF"/>
                <w:w w:val="88"/>
              </w:rPr>
            </w:pPr>
            <w:hyperlink w:anchor="page188">
              <w:r>
                <w:rPr>
                  <w:rFonts w:ascii="Arial" w:cs="Arial" w:eastAsia="Arial" w:hAnsi="Arial"/>
                  <w:sz w:val="18"/>
                  <w:szCs w:val="18"/>
                  <w:color w:val="0000FF"/>
                  <w:w w:val="88"/>
                </w:rPr>
                <w:t>F-2</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Balance Sheets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89">
              <w:r>
                <w:rPr>
                  <w:rFonts w:ascii="Arial" w:cs="Arial" w:eastAsia="Arial" w:hAnsi="Arial"/>
                  <w:sz w:val="18"/>
                  <w:szCs w:val="18"/>
                  <w:color w:val="0000FF"/>
                  <w:w w:val="88"/>
                </w:rPr>
                <w:t>F-3</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Statements of Operations and Comprehensive Loss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1">
              <w:r>
                <w:rPr>
                  <w:rFonts w:ascii="Arial" w:cs="Arial" w:eastAsia="Arial" w:hAnsi="Arial"/>
                  <w:sz w:val="18"/>
                  <w:szCs w:val="18"/>
                  <w:color w:val="0000FF"/>
                  <w:w w:val="88"/>
                </w:rPr>
                <w:t>F-5</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60" w:type="dxa"/>
            <w:vAlign w:val="bottom"/>
          </w:tcPr>
          <w:p>
            <w:pPr>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Statements of Changes in Stockholders’ Equity</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2">
              <w:r>
                <w:rPr>
                  <w:rFonts w:ascii="Arial" w:cs="Arial" w:eastAsia="Arial" w:hAnsi="Arial"/>
                  <w:sz w:val="18"/>
                  <w:szCs w:val="18"/>
                  <w:color w:val="0000FF"/>
                  <w:w w:val="88"/>
                </w:rPr>
                <w:t>F-6</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Statements of Cash Flows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4">
              <w:r>
                <w:rPr>
                  <w:rFonts w:ascii="Arial" w:cs="Arial" w:eastAsia="Arial" w:hAnsi="Arial"/>
                  <w:sz w:val="18"/>
                  <w:szCs w:val="18"/>
                  <w:color w:val="0000FF"/>
                  <w:w w:val="88"/>
                </w:rPr>
                <w:t>F-8</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Notes to Financial Statements</w:t>
              </w:r>
            </w:hyperlink>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196">
              <w:r>
                <w:rPr>
                  <w:rFonts w:ascii="Arial" w:cs="Arial" w:eastAsia="Arial" w:hAnsi="Arial"/>
                  <w:sz w:val="18"/>
                  <w:szCs w:val="18"/>
                  <w:color w:val="0000FF"/>
                  <w:w w:val="91"/>
                </w:rPr>
                <w:t>F-10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00"/>
          </w:cols>
          <w:pgMar w:left="340" w:top="121" w:right="459" w:bottom="1440" w:gutter="0" w:footer="0" w:header="0"/>
        </w:sectPr>
      </w:pPr>
    </w:p>
    <w:bookmarkStart w:id="188" w:name="page189"/>
    <w:bookmarkEnd w:id="188"/>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Seer,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audited the accompanying balance sheets of Seer, Inc. (the “Company”) as of December 31, 2018 and 2019, the related statements of operations and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2018 and 2019, and the results of its operations and its cash flows for each of the two years in the period ended December 31, 2019,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2020 (November 30, 2020 as to the effects of the reverse stock split as described in Note 2 and Note 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center"/>
              <w:ind w:right="244"/>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ind w:left="1020"/>
              <w:spacing w:after="0"/>
              <w:rPr>
                <w:sz w:val="20"/>
                <w:szCs w:val="20"/>
                <w:color w:val="auto"/>
              </w:rPr>
            </w:pPr>
            <w:r>
              <w:rPr>
                <w:rFonts w:ascii="Arial" w:cs="Arial" w:eastAsia="Arial" w:hAnsi="Arial"/>
                <w:sz w:val="14"/>
                <w:szCs w:val="14"/>
                <w:b w:val="1"/>
                <w:bCs w:val="1"/>
                <w:color w:val="auto"/>
                <w:w w:val="94"/>
              </w:rPr>
              <w:t>(unaudited)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Other receivables, related parties</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rent, current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Commitments (Note 10)</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Arial" w:cs="Arial" w:eastAsia="Arial" w:hAnsi="Arial"/>
                <w:sz w:val="18"/>
                <w:szCs w:val="18"/>
                <w:color w:val="auto"/>
                <w:w w:val="91"/>
              </w:rPr>
              <w:t>Convertible preferred stock, $0.00001 par value; 10,994,238,</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22,173,245, and 29,026,827 shares authorized as of</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5"/>
              </w:rPr>
              <w:t>December 31, 2018 and 2019, and September 30, 2020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8"/>
              </w:rPr>
              <w:t>(unaudited), respectively; 10,994,225, 22,173,216,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0"/>
              </w:rPr>
              <w:t>29,026,787 shares issued and outstanding as of December</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3"/>
              </w:rPr>
              <w:t>31, 2018 and 2019, and September 30, 2020 (unaudited),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3"/>
              </w:rPr>
              <w:t>respectively; aggregate liquidation preference of $36,000,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7"/>
              </w:rPr>
              <w:t>$108,500, and $163,500 as of December 31, 2018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2019, and September 30, 2020 (unaudited), respectively;</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0"/>
              <w:spacing w:after="0"/>
              <w:rPr>
                <w:sz w:val="20"/>
                <w:szCs w:val="20"/>
                <w:color w:val="auto"/>
              </w:rPr>
            </w:pPr>
            <w:r>
              <w:rPr>
                <w:rFonts w:ascii="Arial" w:cs="Arial" w:eastAsia="Arial" w:hAnsi="Arial"/>
                <w:sz w:val="18"/>
                <w:szCs w:val="18"/>
                <w:color w:val="auto"/>
                <w:w w:val="94"/>
              </w:rPr>
              <w:t>no shares issued and outstanding, pro forma (unaudited)</w:t>
            </w:r>
          </w:p>
        </w:tc>
        <w:tc>
          <w:tcPr>
            <w:tcW w:w="38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162,849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vMerge w:val="restart"/>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1"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Class A common stock, $0.00001 par value; 28,037,383,</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42,757,009, and 56,074,766 shares authorized as of</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5"/>
              </w:rPr>
              <w:t>December 31, 2018 and 2019, and September 30, 2020</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(unaudited), respectively; 2,858,902, 2,847,893, and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2"/>
              </w:rPr>
              <w:t>3,296,556 shares issued and outstanding as of December</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3"/>
              </w:rPr>
              <w:t>31, 2018 and 2019, and September 30, 2020 (unaudited),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respectively; 32,323,343 shares issued and outstanding as</w:t>
            </w:r>
          </w:p>
        </w:tc>
        <w:tc>
          <w:tcPr>
            <w:tcW w:w="5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September 30, 2020, pro forma (unaudited)</w:t>
            </w:r>
          </w:p>
        </w:tc>
        <w:tc>
          <w:tcPr>
            <w:tcW w:w="5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Arial" w:cs="Arial" w:eastAsia="Arial" w:hAnsi="Arial"/>
                <w:sz w:val="18"/>
                <w:szCs w:val="18"/>
                <w:color w:val="auto"/>
                <w:w w:val="89"/>
              </w:rPr>
              <w:t>Class B common stock, $0.00001 par value; 9,345,794 shares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authorized as of December 31, 2018 and 2019, and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September 30, 2020 (unaudited), respectively; 9,345,784</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shares issued and outstanding as of December 31, 2018</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and 2019, and September 30, 2020 (unaudited),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89"/>
              </w:rPr>
              <w:t>respectively; 9,345,784 shares issued and outstanding as of</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0"/>
              <w:spacing w:after="0"/>
              <w:rPr>
                <w:sz w:val="20"/>
                <w:szCs w:val="20"/>
                <w:color w:val="auto"/>
              </w:rPr>
            </w:pPr>
            <w:r>
              <w:rPr>
                <w:rFonts w:ascii="Arial" w:cs="Arial" w:eastAsia="Arial" w:hAnsi="Arial"/>
                <w:sz w:val="18"/>
                <w:szCs w:val="18"/>
                <w:color w:val="auto"/>
              </w:rPr>
              <w:t>September 30, 2020, pro forma (unaudited)</w:t>
            </w:r>
          </w:p>
        </w:tc>
        <w:tc>
          <w:tcPr>
            <w:tcW w:w="560" w:type="dxa"/>
            <w:vAlign w:val="bottom"/>
          </w:tcPr>
          <w:p>
            <w:pPr>
              <w:spacing w:after="0"/>
              <w:rPr>
                <w:sz w:val="20"/>
                <w:szCs w:val="2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167,993</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5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29,975</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0" w:type="dxa"/>
            <w:vAlign w:val="bottom"/>
          </w:tcPr>
          <w:p>
            <w:pPr>
              <w:spacing w:after="0"/>
              <w:rPr>
                <w:sz w:val="1"/>
                <w:szCs w:val="1"/>
                <w:color w:val="auto"/>
              </w:rPr>
            </w:pPr>
          </w:p>
        </w:tc>
      </w:tr>
      <w:tr>
        <w:trPr>
          <w:trHeight w:val="45"/>
        </w:trPr>
        <w:tc>
          <w:tcPr>
            <w:tcW w:w="47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top w:val="single" w:sz="8" w:color="CCEEFF"/>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1"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Statements of Operations and Comprehensive Loss</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15"/>
          <w:szCs w:val="15"/>
          <w:b w:val="1"/>
          <w:bCs w:val="1"/>
          <w:i w:val="1"/>
          <w:iCs w:val="1"/>
          <w:color w:val="auto"/>
        </w:rPr>
        <w:t>(in thousands, except share and per share amounts)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38100</wp:posOffset>
            </wp:positionV>
            <wp:extent cx="20485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63"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w:t>
            </w: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4"/>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40" w:type="dxa"/>
            <w:vAlign w:val="bottom"/>
            <w:gridSpan w:val="2"/>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44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basic and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Pro forma net loss per common share, basic and diluted</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Pro forma weighted-average common shares used to compute</w:t>
            </w: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w w:val="99"/>
              </w:rPr>
              <w:t>basic and diluted net loss per common share (unaudited)</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21,454,787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1" w:right="339" w:bottom="1440" w:gutter="0" w:footer="0" w:header="0"/>
          <w:type w:val="continuous"/>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10,461,439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845,710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restricted Class A common</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897,537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B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7,906,757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$106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tcPr>
          <w:p>
            <w:pPr>
              <w:jc w:val="right"/>
              <w:spacing w:after="0"/>
              <w:rPr>
                <w:sz w:val="20"/>
                <w:szCs w:val="20"/>
                <w:color w:val="auto"/>
              </w:rPr>
            </w:pPr>
            <w:r>
              <w:rPr>
                <w:rFonts w:ascii="Arial" w:cs="Arial" w:eastAsia="Arial" w:hAnsi="Arial"/>
                <w:sz w:val="16"/>
                <w:szCs w:val="16"/>
                <w:color w:val="auto"/>
              </w:rPr>
              <w:t>10,994,225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35,812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12,204,686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133,850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(144,859)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Series C convertible preferred</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3,271,023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stock, net of issuance costs of $153</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D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7,849,737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$206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Series D convertible preferred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Arial" w:cs="Arial" w:eastAsia="Arial" w:hAnsi="Arial"/>
                <w:sz w:val="16"/>
                <w:szCs w:val="16"/>
                <w:color w:val="auto"/>
                <w:w w:val="93"/>
              </w:rPr>
              <w:t>stock upon extinguishment of convertible</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58,231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notes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(22,586)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10,994,225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35,812</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12,204,686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126,560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(144,859)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C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stock, net of issuance costs of $153</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3,271,023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Stock-based compensation (unaudited)</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Other comprehensive income (unaudited)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0"/>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 (unaudited)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(10,892)</w:t>
            </w:r>
          </w:p>
        </w:tc>
        <w:tc>
          <w:tcPr>
            <w:tcW w:w="0" w:type="dxa"/>
            <w:vAlign w:val="bottom"/>
          </w:tcPr>
          <w:p>
            <w:pPr>
              <w:spacing w:after="0"/>
              <w:rPr>
                <w:sz w:val="1"/>
                <w:szCs w:val="1"/>
                <w:color w:val="auto"/>
              </w:rPr>
            </w:pPr>
          </w:p>
        </w:tc>
      </w:tr>
      <w:tr>
        <w:trPr>
          <w:trHeight w:val="25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Balance at September 30, 2019 (unaudited)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14,265,248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53,159</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12,186,387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663,908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(215,245)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Issuance of Series D-1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stock, net of issuance costs of $104</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6,853,571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Distribution of PrognomIQ shares</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9"/>
        </w:trPr>
        <w:tc>
          <w:tcPr>
            <w:tcW w:w="3020" w:type="dxa"/>
            <w:vAlign w:val="bottom"/>
          </w:tcPr>
          <w:p>
            <w:pPr>
              <w:ind w:left="14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(unaudited)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w w:val="97"/>
              </w:rPr>
              <w:t>Other comprehensive income (unaudited)</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(unaudited)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color w:val="auto"/>
                <w:w w:val="95"/>
              </w:rPr>
              <w:t>Balance at September 30, 2020 (unaudited)</w:t>
            </w:r>
          </w:p>
        </w:tc>
        <w:tc>
          <w:tcPr>
            <w:tcW w:w="960" w:type="dxa"/>
            <w:vAlign w:val="bottom"/>
          </w:tcPr>
          <w:p>
            <w:pPr>
              <w:jc w:val="right"/>
              <w:spacing w:after="0"/>
              <w:rPr>
                <w:sz w:val="20"/>
                <w:szCs w:val="20"/>
                <w:color w:val="auto"/>
              </w:rPr>
            </w:pPr>
            <w:r>
              <w:rPr>
                <w:rFonts w:ascii="Arial" w:cs="Arial" w:eastAsia="Arial" w:hAnsi="Arial"/>
                <w:sz w:val="16"/>
                <w:szCs w:val="16"/>
                <w:color w:val="auto"/>
              </w:rPr>
              <w:t>29,026,787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162,849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12,642,340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4,969</w:t>
            </w:r>
          </w:p>
        </w:tc>
        <w:tc>
          <w:tcPr>
            <w:tcW w:w="8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(42,425)</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125,536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1"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Statements of Cash Flows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32385</wp:posOffset>
            </wp:positionV>
            <wp:extent cx="2040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39370</wp:posOffset>
            </wp:positionV>
            <wp:extent cx="20485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5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(16,038)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(10,892)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(19,839)</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190"/>
        </w:trPr>
        <w:tc>
          <w:tcPr>
            <w:tcW w:w="470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Net amortization of premium (accretion of discount) on available-for-sale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securities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90"/>
        </w:trPr>
        <w:tc>
          <w:tcPr>
            <w:tcW w:w="4700" w:type="dxa"/>
            <w:vAlign w:val="bottom"/>
          </w:tcPr>
          <w:p>
            <w:pPr>
              <w:ind w:left="240"/>
              <w:spacing w:after="0"/>
              <w:rPr>
                <w:sz w:val="20"/>
                <w:szCs w:val="20"/>
                <w:color w:val="auto"/>
              </w:rPr>
            </w:pPr>
            <w:r>
              <w:rPr>
                <w:rFonts w:ascii="Arial" w:cs="Arial" w:eastAsia="Arial" w:hAnsi="Arial"/>
                <w:sz w:val="14"/>
                <w:szCs w:val="14"/>
                <w:color w:val="auto"/>
              </w:rPr>
              <w:t>Non-cash interest expense and other adjustments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Other receivables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Other assets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Deferred revenue</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rent</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Accrued expenses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noncurrent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4"/>
        </w:trPr>
        <w:tc>
          <w:tcPr>
            <w:tcW w:w="4700" w:type="dxa"/>
            <w:vAlign w:val="bottom"/>
          </w:tcPr>
          <w:p>
            <w:pPr>
              <w:ind w:left="680"/>
              <w:spacing w:after="0"/>
              <w:rPr>
                <w:sz w:val="20"/>
                <w:szCs w:val="20"/>
                <w:color w:val="auto"/>
              </w:rPr>
            </w:pPr>
            <w:r>
              <w:rPr>
                <w:rFonts w:ascii="Arial" w:cs="Arial" w:eastAsia="Arial" w:hAnsi="Arial"/>
                <w:sz w:val="14"/>
                <w:szCs w:val="14"/>
                <w:color w:val="auto"/>
              </w:rPr>
              <w:t>Net cash used in operating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(4,651)</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(13,073)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(15,343)</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(4,407)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available-for-sale securities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(92,002)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(42,265)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(75,624)</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23,750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40,250</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equity method investee</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4"/>
        </w:trPr>
        <w:tc>
          <w:tcPr>
            <w:tcW w:w="4700" w:type="dxa"/>
            <w:vAlign w:val="bottom"/>
          </w:tcPr>
          <w:p>
            <w:pPr>
              <w:ind w:left="680"/>
              <w:spacing w:after="0"/>
              <w:rPr>
                <w:sz w:val="20"/>
                <w:szCs w:val="20"/>
                <w:color w:val="auto"/>
              </w:rPr>
            </w:pPr>
            <w:r>
              <w:rPr>
                <w:rFonts w:ascii="Arial" w:cs="Arial" w:eastAsia="Arial" w:hAnsi="Arial"/>
                <w:sz w:val="14"/>
                <w:szCs w:val="14"/>
                <w:color w:val="auto"/>
              </w:rPr>
              <w:t>Net cash used in investing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(72,383)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(39,831)</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issuance of restricted stock</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Class A common stock</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Arial" w:cs="Arial" w:eastAsia="Arial" w:hAnsi="Arial"/>
                <w:sz w:val="14"/>
                <w:szCs w:val="14"/>
                <w:color w:val="auto"/>
              </w:rPr>
              <w:t>Proceeds from exercise of Class A common stock options including early</w:t>
            </w:r>
          </w:p>
        </w:tc>
        <w:tc>
          <w:tcPr>
            <w:tcW w:w="6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6"/>
        </w:trPr>
        <w:tc>
          <w:tcPr>
            <w:tcW w:w="4700" w:type="dxa"/>
            <w:vAlign w:val="bottom"/>
          </w:tcPr>
          <w:p>
            <w:pPr>
              <w:ind w:left="180"/>
              <w:spacing w:after="0"/>
              <w:rPr>
                <w:sz w:val="20"/>
                <w:szCs w:val="20"/>
                <w:color w:val="auto"/>
              </w:rPr>
            </w:pPr>
            <w:r>
              <w:rPr>
                <w:rFonts w:ascii="Arial" w:cs="Arial" w:eastAsia="Arial" w:hAnsi="Arial"/>
                <w:sz w:val="14"/>
                <w:szCs w:val="14"/>
                <w:color w:val="auto"/>
              </w:rPr>
              <w:t>exercised options</w:t>
            </w:r>
          </w:p>
        </w:tc>
        <w:tc>
          <w:tcPr>
            <w:tcW w:w="6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Proceeds from issuance of Series B convertible preferred stock, net of issuance</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29,894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Arial" w:cs="Arial" w:eastAsia="Arial" w:hAnsi="Arial"/>
                <w:sz w:val="14"/>
                <w:szCs w:val="14"/>
                <w:color w:val="auto"/>
                <w:w w:val="94"/>
              </w:rPr>
              <w:t>Proceeds from issuance of Series C convertible preferred stock, net of issuance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Proceeds from issuance of Series D convertible preferred stock, net of issuance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54,584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issuance of Series D-1 convertible preferred stock, net of</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80"/>
              <w:spacing w:after="0"/>
              <w:rPr>
                <w:sz w:val="20"/>
                <w:szCs w:val="20"/>
                <w:color w:val="auto"/>
              </w:rPr>
            </w:pPr>
            <w:r>
              <w:rPr>
                <w:rFonts w:ascii="Arial" w:cs="Arial" w:eastAsia="Arial" w:hAnsi="Arial"/>
                <w:sz w:val="14"/>
                <w:szCs w:val="14"/>
                <w:color w:val="auto"/>
              </w:rPr>
              <w:t>issuance costs</w:t>
            </w:r>
          </w:p>
        </w:tc>
        <w:tc>
          <w:tcPr>
            <w:tcW w:w="6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54,896</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convertible notes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Payments of deferred offering costs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29,945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72,331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55,395</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25,126</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(13,125)</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(20,453)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17,828</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17,828</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10,500</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18,049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7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21" w:right="339" w:bottom="1440"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SUPPLEMENTAL DISCLOSURE OF NON-CASH INVESTING AND</w:t>
      </w:r>
    </w:p>
    <w:tbl>
      <w:tblPr>
        <w:tblLayout w:type="fixed"/>
        <w:tblInd w:w="0" w:type="dxa"/>
        <w:tblCellMar>
          <w:top w:w="0" w:type="dxa"/>
          <w:left w:w="0" w:type="dxa"/>
          <w:bottom w:w="0" w:type="dxa"/>
          <w:right w:w="0" w:type="dxa"/>
        </w:tblCellMar>
      </w:tblPr>
      <w:tr>
        <w:trPr>
          <w:trHeight w:val="182"/>
        </w:trPr>
        <w:tc>
          <w:tcPr>
            <w:tcW w:w="4700" w:type="dxa"/>
            <w:vAlign w:val="bottom"/>
          </w:tcPr>
          <w:p>
            <w:pPr>
              <w:ind w:left="180"/>
              <w:spacing w:after="0"/>
              <w:rPr>
                <w:sz w:val="20"/>
                <w:szCs w:val="20"/>
                <w:color w:val="auto"/>
              </w:rPr>
            </w:pPr>
            <w:r>
              <w:rPr>
                <w:rFonts w:ascii="Arial" w:cs="Arial" w:eastAsia="Arial" w:hAnsi="Arial"/>
                <w:sz w:val="14"/>
                <w:szCs w:val="14"/>
                <w:b w:val="1"/>
                <w:bCs w:val="1"/>
                <w:color w:val="auto"/>
              </w:rPr>
              <w:t>FINANCING ACTIVITIES</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accounts payable</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Property and equipment purchases included in accrued expenses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Issuance of Series D convertible preferred stock upon extinguishment of</w:t>
            </w:r>
          </w:p>
        </w:tc>
        <w:tc>
          <w:tcPr>
            <w:tcW w:w="64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convertible notes</w:t>
            </w: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Convertible preferred stock issuance costs included in accrued expenses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Tenant improvements paid by landlord</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Deferred offering costs in accounts payable</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offering costs in accrued expenses</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21" w:right="3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Seer, Inc. (the Company) was incorporated in Delaware on March 16, 2017, and is based in Redwood City, California.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raising additional capital, development and commercialization of its products, development by its competitors of new technological innovations, protection of its intellectual property, and market acceptance of its products.</w:t>
      </w:r>
    </w:p>
    <w:p>
      <w:pPr>
        <w:spacing w:after="0" w:line="13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liabilities and commitments in the normal course of business. In the course of its development activities, the Company has incurred significant losses since inception, including a net loss of approximately $6.3 million and $16.0 million for the years ended December 31, 2018 and 2019, respectively, and a net loss of approximately $10.9 million and $19.8 million during the nine months ended September 30, 2019 and 2020 (unaudited), respectively, and expects net losses to continue for the foreseeable future. As of December 31, 2018 and 2019, and September 30, 2020 (unaudited), the Company’s accumulated deficit was approximately $6.5 million, $22.6 million, and $42.4 millions, respectively. To date, the Company has funded its operations primarily through issuances of convertible preferred stock. Management believes that currently available resources will provide sufficient funds to enable the Company to meet its obligations for at least one year past the issuance date of these financial statements. Future capital requirements will depend on many factors, including the timing and extent of spending on research and development and the market acceptance of the Company’s products.</w:t>
      </w:r>
    </w:p>
    <w:p>
      <w:pPr>
        <w:spacing w:after="0" w:line="11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Company’s ability to fund its operations will require additional capital to be raised, which may be through a combination of public equity or private offerings, debt financings, collaborations, strategic alliances, licensing arrangements, and other marketing distribution arrangements.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and on the Company’s future financial results, financial position, and cash flows.</w:t>
      </w:r>
    </w:p>
    <w:p>
      <w:pPr>
        <w:spacing w:after="0" w:line="134"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(the “Reverse Stock Split”)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21" w:right="35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3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Balance Sheet</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unaudited pro forma balance sheet information as of September 30, 2020, assumes all shares of convertible preferred stock had automatically converted into an aggregate of 29,026,787 shares of the Company’s Class A common stock upon the completion of a qualifying initial public offering (IPO). The unaudited pro forma balance sheet does not include the shares of Class A common stock expected to be sold in, and the related proceeds to be received from, the IPO.</w:t>
      </w:r>
    </w:p>
    <w:p>
      <w:pPr>
        <w:spacing w:after="0" w:line="133"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Company granted certain employees RSUs, which vest upon satisfaction of both a service condition and a performance condition that is satisfied upon the closing of the IPO. Assuming the IPO occurred on September 30, 2020, the unaudited pro forma balance sheet assumes the recognition of stock-based compensation of $0.2 million associated with such RSUs as an increase to additional paid-in capital and accumulated deficit. No RSUs have been included in the unaudited pro forma balance sheet disclosure of shares outstanding as the awards do not begin vesting until the closing of the IPO.</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Pro forma basic and diluted net loss per common share has been computed to give effect to the conversion of all outstanding convertible preferred stock into shares of Class A common stock as if the conversion had occurred on the later of the beginning of the period or the issuance date of the convertible preferred stock. The unaudited pro forma net loss per common share does not include the shares of Class A common stock expected to be sold in, and related proceeds to be received from, the IPO.</w:t>
      </w:r>
    </w:p>
    <w:p>
      <w:pPr>
        <w:spacing w:after="0" w:line="1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numerator in the pro forma basic and diluted net loss per common share calculation has not been adjusted for stock-based compensation associated with the RSUs, which would have been $0.2 million had the IPO occurred on September 30, 2020. There is no adjustment to the denominator for the RSUs as no awards would have vested as of September 30, 2020 had the IPO occurred on the later of the beginning of the period or the issuance date of the RSUs.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accompanying interim balance sheet as of September 30, 2020, the interim statements of operations and comprehensive loss, statements of changes in stockholders’ equity and statements of cash flows for the nine months ended September 30, 2019 and 2020 and the related footnote disclosures are unaudited. The unaudited interim financial statements have been prepared on the same basis as the annual financial statements and include, in the opinion of management, all adjustments, consisting of normal recurring adjustments, that are necessary for the fair presentation of the Company’s financial position as of September 30, 2020 and results of operations and cash flows for the nine months ended September 30, 2019 and 2020. The results as of and for the nine months ended September 30, 2020 are not necessarily indicative of the results to be expected for the year ending December 31, 2020 or any other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1" w:right="3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available-for-sale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balance sheets.</w:t>
      </w:r>
    </w:p>
    <w:p>
      <w:pPr>
        <w:spacing w:after="0" w:line="13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the need to obtain adequate additional funding, its reliance on third parties to obtain its clinical samples, competitors developing new technological innovations, the need to successfully commercialize and gain market acceptance of the Company’s products, protection of its proprietary technology, and the need to secure and maintain adequate manufacturing arrangements with third parties. If the Company does not successfully commercialize or partner any of its products, it will be unable to generate product revenue or achieve profitability.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have been similarly impacted by COVID-19, which may limit the Company’s ability to achieve its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23"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consolidates those entities in which it has direct, or indirect controlling financial interest based on either the Variable Interest Entity (VIE) model or the Voting Interest Entity (VOE) model.</w:t>
      </w:r>
    </w:p>
    <w:p>
      <w:pPr>
        <w:spacing w:after="0" w:line="11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12"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21" w:right="3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decisions affecting the VIE (management and representation on the board of directors) and have the right to unilaterally remove those decision-makers are deemed to have the power to direct the activities of a VIE.</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8"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38" w:lineRule="exact"/>
        <w:rPr>
          <w:sz w:val="20"/>
          <w:szCs w:val="20"/>
          <w:color w:val="auto"/>
        </w:rPr>
      </w:pPr>
    </w:p>
    <w:p>
      <w:pPr>
        <w:ind w:left="340" w:right="360"/>
        <w:spacing w:after="0" w:line="438" w:lineRule="auto"/>
        <w:rPr>
          <w:sz w:val="20"/>
          <w:szCs w:val="20"/>
          <w:color w:val="auto"/>
        </w:rPr>
      </w:pPr>
      <w:r>
        <w:rPr>
          <w:rFonts w:ascii="Arial" w:cs="Arial" w:eastAsia="Arial" w:hAnsi="Arial"/>
          <w:sz w:val="18"/>
          <w:szCs w:val="18"/>
          <w:color w:val="auto"/>
        </w:rPr>
        <w:t xml:space="preserve">As of September 30, 2020 (unaudited), the Company has an equity method investment in PrognomIQ. Refer to Note 11 for additional information. </w:t>
      </w:r>
      <w:r>
        <w:rPr>
          <w:rFonts w:ascii="Arial" w:cs="Arial" w:eastAsia="Arial" w:hAnsi="Arial"/>
          <w:sz w:val="18"/>
          <w:szCs w:val="18"/>
          <w:b w:val="1"/>
          <w:bCs w:val="1"/>
          <w:i w:val="1"/>
          <w:iCs w:val="1"/>
          <w:color w:val="auto"/>
        </w:rPr>
        <w:t>Cash, Cash Equivalents and Restricted Cash</w:t>
      </w:r>
    </w:p>
    <w:p>
      <w:pPr>
        <w:spacing w:after="0" w:line="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As of December 31, 2018, 2019 and September 30, 2020 (unaudited), all amounts recorded as cash and cash equivalents consist of money market funds and are stated at fair value.</w:t>
      </w:r>
    </w:p>
    <w:p>
      <w:pPr>
        <w:spacing w:after="0" w:line="13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Restricted cash as of December 31, 2019 and September 30, 2020 (unaudited) represents cash held by a financial institution as security for a letter of credit issued to the lessor for one of the Company’s operating leases and is classified as non-current based on the term of the underlying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21"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amounts shown in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September 30,</w:t>
            </w: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(unaudited)</w:t>
            </w: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has designated all investments, which includes U.S. Treasury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statements of operations and comprehensive loss. Realized gains and losses and interest income on available-for-sale securities are also included in other income (expense). The cost of securities sold is based on the specific identification method. The Company includes all of its available-for-sale securities in current assets. The Company determines the appropriate classification of its investments in debt securities at the time of purchase and reevaluates such designation at each balance sheet date. Available-for-sale securities with original maturities beyond three months at the date of purchase are classified as current based on their availability for use in current operations.</w:t>
      </w:r>
    </w:p>
    <w:p>
      <w:pPr>
        <w:spacing w:after="0" w:line="11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years ended December 31, 2018 and 2019 the Company did not recognize any impairment charges on its investments.</w:t>
      </w:r>
    </w:p>
    <w:p>
      <w:pPr>
        <w:spacing w:after="0" w:line="12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Effective January 1, 2020, any unrealized losses on available-for-sale debt securities that are attributed to credit risk are recorded to the statements of operations and comprehensive loss through an allowance for credit losses. During the nine months ended September 30, 2020 (unaudited), the Company did not recognize any such impairment charges on its investments.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balance sheet and any resulting gain or loss is included as a part of income (loss) from operations within the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1" w:right="3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stated at cost and are not depreciated. Once the assets are placed into service, assets are reclassified to the appropriate asset class on their nature and depreciated in accordance with the useful lives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may enter into lease agreements that are classified as either operating or capital leases. The Company enters into lease agreements for its administrative and laboratory facilities, which are classified as operating leases. When lease agreements include rent abatement and rent escalation clauses, the Company records a deferred rent liability. The Company records rent expense on a straight-line basis over the term of the lease from the date that it obtains the legal right to use and control the leased space and records the difference between cash rent payments and the recognition of rent expense as a deferred rent liability.</w:t>
      </w:r>
    </w:p>
    <w:p>
      <w:pPr>
        <w:spacing w:after="0" w:line="13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Lease agreements may also include tenant improvement allowances from landlords. The Company recognizes these allowances as a leasehold incentive obligation included in deferred rent on the balance sheets and amortizes it on a straight-line basis over the life of the lease. Building improvements made with lease incentives or tenant allowances are capitalized as leasehold improvements and included in property and equipment on the balance sheets.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Revenue</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 recognizes revenue when control of the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2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w:t>
      </w:r>
    </w:p>
    <w:p>
      <w:pPr>
        <w:spacing w:after="0" w:line="1"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Advance payments for goods or services for future research and development activities are deferred as prepaid expenses and expensed as the goods are delivered or the related services are performed. Subsequent to the issuance of the December 31, 2019 financial statements, the Company identified $0.3 million and $0.5 million of legal expenses incurred during the years ended December 31, 2018 and 2019, respectively, associated with patents were classified as research and development expenses rather than general and administrative expenses. These classifications have been corrected in the accompanying statements of operations and comprehensive loss and management has concluded that this correction is not material.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Goods or services for research and development activities that have not yet been invoiced are recorded as liabilities within accrued research and development on the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2019 and September 30, 2020 (unaudited), there have been no material differences from the Company’s estimated accrued research and development expenses to actual expenses.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General and administrative expenses include employee compensation, including stock-based compensation, and related benefits for executive management, finance administration and human resources, allocated costs, including rent, depreciation, information technology, utilities, professional service fees, and other general overhead costs to support the Company’s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for our RSAs is their intrinsic value, which is the difference between the fair value of the underlying stock at the measurement date and the purchase price. The fair value of our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21" w:right="339" w:bottom="1440" w:gutter="0" w:footer="0" w:header="0"/>
        </w:sectPr>
      </w:pPr>
    </w:p>
    <w:bookmarkStart w:id="203" w:name="page204"/>
    <w:bookmarkEnd w:id="203"/>
    <w:p>
      <w:pPr>
        <w:jc w:val="center"/>
        <w:ind w:right="-9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Common Stock</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grant-date fair market value of the shares of common stock underlying stock options has historically been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Volatility</w:t>
      </w:r>
    </w:p>
    <w:p>
      <w:pPr>
        <w:spacing w:after="0" w:line="17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As there is no trading history for the Company’s common stock, the Company has used the historical volatility of the stock price of similar publicly traded peer companies. The historical volatility is calculated based on a period of time commensurate with the expected term assumptions.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Term</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stock options granted to employees and directors, the expected term is calculated using the simplified method for “plain vanilla” stock option awards.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risk-free interest rate is based on the yield available on U.S. Treasury zero-coupon issues similar in duration to the expected term of the equity-settled award.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Dividends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expected dividend yield is assumed to be zero as the Company has never paid dividends and has no current plans to pay dividends on its common stock.</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Stock-based compensation related to awards to non-employees is recognized based on the then-current fair value at each measurement date when earned over the requisite service period of the award, which is generally the vesting term.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Deferred offering costs, consisting of legal, accounting and filing fees relating to the IPO, are capitalized. The deferred offering costs will be offset against offering proceeds upon the completion of the offering. In the event the offering is terminated or delayed, deferred offering costs will be expensed. As of December 31, 2018 and 2019, there were no capitalized deferred offering costs in the balance sheets. As of September 30, 2020 (unaudited), the Company recorded deferred offering costs of $1.2 million as other assets on the balance sheet.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320" w:top="121" w:right="41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2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2018 and 2019, there were no interest and penalties.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0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34" w:lineRule="exact"/>
        <w:rPr>
          <w:sz w:val="20"/>
          <w:szCs w:val="20"/>
          <w:color w:val="auto"/>
        </w:rPr>
      </w:pPr>
    </w:p>
    <w:p>
      <w:pPr>
        <w:jc w:val="both"/>
        <w:ind w:right="660" w:firstLine="324"/>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Comprehensive loss is comprised of net loss and changes in accumulated other comprehensive income on the Company’s available-for-sale investments related to unrealized gains and losses.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320" w:top="121" w:right="379" w:bottom="1440" w:gutter="0" w:footer="0" w:header="0"/>
        </w:sectPr>
      </w:pPr>
    </w:p>
    <w:bookmarkStart w:id="205" w:name="page206"/>
    <w:bookmarkEnd w:id="205"/>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71" w:lineRule="exact"/>
        <w:rPr>
          <w:sz w:val="20"/>
          <w:szCs w:val="20"/>
          <w:color w:val="auto"/>
        </w:rPr>
      </w:pPr>
    </w:p>
    <w:p>
      <w:pPr>
        <w:ind w:left="1380" w:right="240" w:hanging="728"/>
        <w:spacing w:after="0" w:line="263"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carrying amount of the Company’s other receivables, prepaid expenses, other current assets, accounts payable, and accrued expenses approximate fair value due to their short maturities.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This ASU simplifies several aspects of the accounting for share-based payment award transactions, including, the income tax consequences, classification of awards as either equity or liabilities, and classification on the statement of cash flows. Under ASU No. 2016-09, entities are permitted to make an accounting policy election to either estimate forfeiture on share-based payment awards, as previously required, or to recognize forfeitures as they occur. The Company made an accounting policy election to account for forfeitures as they occur. The Company adopted this standard as of January 1, 2018, using the modified retrospective approach, which did not have a material impact on its financial statements as of the adoption date.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further updated through ASU No. 2016-</w:t>
      </w:r>
    </w:p>
    <w:p>
      <w:pPr>
        <w:spacing w:after="0" w:line="46" w:lineRule="exact"/>
        <w:rPr>
          <w:sz w:val="20"/>
          <w:szCs w:val="20"/>
          <w:color w:val="auto"/>
        </w:rPr>
      </w:pPr>
    </w:p>
    <w:p>
      <w:pPr>
        <w:ind w:right="120" w:firstLine="8"/>
        <w:spacing w:after="0" w:line="292" w:lineRule="auto"/>
        <w:tabs>
          <w:tab w:leader="none" w:pos="27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This standard is based on the principle that revenue is recognized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revenue and cash flows arising from customer contracts, including significant judgments and changes in judgments and assets recognized from costs incurred to obtain or fulfill a contract. The Company adopted this standard as of January 1, 2019, using the modified retrospective approach, which did not have a material impact on its financial statements as of the adoption date.</w:t>
      </w:r>
    </w:p>
    <w:p>
      <w:pPr>
        <w:spacing w:after="0" w:line="108"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requires restricted cash and restricted cash equivalents to be included with cash and cash equivalents in the statements of cash flows. The Company adopted this standard as of January 1, 2019, and has applied the standard on a retrospective basis to all periods presented, which did not have a material impact on its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adopted the following accounting standards during the nine months ended September 30, 2020 (unaudited).</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requires that financial assets measured at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121" w:right="35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cost be presented at the net amount expected to be collected. Unrealized losses on available-for-sale debt securities that are attributed to credit risk are recorded through earnings rather than to other comprehensive income. Credit losses relating to available-for-sale debt securities are now recorded through an allowance for credit losses. The Company adopted this standard as of January 1, 2020, and the adoption of this standard did not result in a cumulative effect adjustment as of the date of the adoption.</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Accounting Standards Codification 820, Fair Value Measurement. This standard modifies the disclosure requirements for fair value measurements by removing, modifying, or adding certain disclosures. The Company adopted this standard as of January 1, 2020, which did not have a material impact on its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2020, and interim periods within fiscal years beginning after December 15, 2021. While the Company has not yet quantified the impact, these adjustments will increase total assets and total liabilities relative to such amounts reported prior to adoption.</w:t>
      </w:r>
    </w:p>
    <w:p>
      <w:pPr>
        <w:spacing w:after="0" w:line="13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that financial assets measured at amortized cost be presented at the net amount expected to be collected. The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losses is based on historical experience, current conditions, and reasonable and supportable forecasts that affect collectability. This standard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standard is effective for fiscal years beginning after December 15, 2022, and interim periods within those fiscal years. Early adoption is permitted. The Company is currently assessing the impact of this standard on its financial statements and related disclosures.</w:t>
      </w:r>
    </w:p>
    <w:p>
      <w:pPr>
        <w:spacing w:after="0" w:line="12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On June 20, 2018, the FASB issued ASU No.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to reduce cost and complexity and to improve financial reporting for share-based payments issued to non-employees. The standard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fiscal years beginning after December 15, 2019, and interim periods within fiscal years beginning after December 15, 2020, with early adoption permitted, but no earlier than the adoption of Topic 606. The Company is currently evaluating the impact this standard will have on the Company’s financial statements.</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Accounting Standards Codification 820, Fair Value Measurement. This standard modifies the disclosure requirements for fair value measurements by removing, modifying, or adding certain disclosures. The effective date is the first quarter of fiscal year 2020, with early adoption permitted for the removed disclosures and delayed adoption until fiscal year 2020 permitted for the new disclosures. The removed and modified disclosures will be adopted on a retrospective basis and the new disclosures will be adopted on a prospective basis. The Company is currently assessing the impact of this standard on its financial statements and related disclosures.</w:t>
      </w:r>
    </w:p>
    <w:p>
      <w:pPr>
        <w:spacing w:after="0" w:line="13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the accounting for income taxes. The standard removes certain exceptions to the general principles in Topic 740 and also clarifies and amends existing standards to improve consistent application. The amendments in this ASU are effective for fiscal years, and interim periods within those fiscal years, beginning after December 15, 2020. Early adoption of the amendments is permitted, including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320" w:top="121" w:right="35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any interim period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assessing the impact of this standard on its financial statements and related disclosures.</w:t>
      </w:r>
    </w:p>
    <w:p>
      <w:pPr>
        <w:spacing w:after="0" w:line="129"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FAIR VALUE OF FINANCIAL INSTRUMENTS</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that were measured at fair value on a recurring basis by level within the fair value hierarchy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U.S. Treasury securities</w:t>
      </w:r>
      <w:r>
        <w:rPr>
          <w:sz w:val="20"/>
          <w:szCs w:val="20"/>
          <w:color w:val="auto"/>
        </w:rPr>
        <w:tab/>
      </w:r>
      <w:r>
        <w:rPr>
          <w:rFonts w:ascii="Arial" w:cs="Arial" w:eastAsia="Arial" w:hAnsi="Arial"/>
          <w:sz w:val="15"/>
          <w:szCs w:val="15"/>
          <w:color w:val="auto"/>
        </w:rPr>
        <w:t>Investments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U.S. Treasury securities</w:t>
      </w:r>
      <w:r>
        <w:rPr>
          <w:sz w:val="20"/>
          <w:szCs w:val="20"/>
          <w:color w:val="auto"/>
        </w:rPr>
        <w:tab/>
      </w:r>
      <w:r>
        <w:rPr>
          <w:rFonts w:ascii="Arial" w:cs="Arial" w:eastAsia="Arial" w:hAnsi="Arial"/>
          <w:sz w:val="15"/>
          <w:szCs w:val="15"/>
          <w:color w:val="auto"/>
        </w:rPr>
        <w:t>Investments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135255</wp:posOffset>
            </wp:positionV>
            <wp:extent cx="32486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68,535</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68,535</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68,535</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86,020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6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September 30, 2020 (unaudited)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5"/>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17,706</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103,800</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103,800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103,800</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121,506</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380" w:space="720"/>
            <w:col w:w="5140"/>
          </w:cols>
          <w:pgMar w:left="320" w:top="121" w:right="339" w:bottom="1440" w:gutter="0" w:footer="0" w:header="0"/>
          <w:type w:val="continuous"/>
        </w:sectPr>
      </w:pPr>
    </w:p>
    <w:p>
      <w:pPr>
        <w:ind w:right="140" w:firstLine="324"/>
        <w:spacing w:after="0" w:line="301" w:lineRule="auto"/>
        <w:rPr>
          <w:sz w:val="20"/>
          <w:szCs w:val="20"/>
          <w:color w:val="auto"/>
        </w:rPr>
      </w:pPr>
      <w:r>
        <w:rPr>
          <w:rFonts w:ascii="Arial" w:cs="Arial" w:eastAsia="Arial" w:hAnsi="Arial"/>
          <w:sz w:val="16"/>
          <w:szCs w:val="16"/>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Levels 1, 2, or 3 for the periods presented.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Company’s cash equivalents and investments and the gross unrealized holding gains and losses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86,020</w:t>
            </w:r>
          </w:p>
        </w:tc>
      </w:tr>
      <w:tr>
        <w:trPr>
          <w:trHeight w:val="21"/>
        </w:trPr>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40"/>
          </w:cols>
          <w:pgMar w:left="320" w:top="121" w:right="339" w:bottom="1440" w:gutter="0" w:footer="0" w:header="0"/>
          <w:type w:val="continuous"/>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 2020 (unaudited)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17,706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103,800</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121,506</w:t>
            </w:r>
          </w:p>
        </w:tc>
      </w:tr>
      <w:tr>
        <w:trPr>
          <w:trHeight w:val="21"/>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of December 31, 2019,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2018 and 2019, the weighted-average remaining maturity of the Company’s investment portfolio was less than one year.</w:t>
      </w:r>
    </w:p>
    <w:p>
      <w:pPr>
        <w:spacing w:after="0" w:line="103"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During the nine months ended September 30, 2020 (unaudited), the Company has not recorded any impairment charges on marketable securities related to other-than-temporary declines in market value or deterioration in credit risk. As of September 30, 2020 (unaudited), the weighted-average remaining maturity of the Company’s investment portfolio was less than one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6120" w:type="dxa"/>
            <w:vAlign w:val="bottom"/>
          </w:tcPr>
          <w:p>
            <w:pPr>
              <w:ind w:left="420"/>
              <w:spacing w:after="0"/>
              <w:rPr>
                <w:sz w:val="20"/>
                <w:szCs w:val="20"/>
                <w:color w:val="auto"/>
              </w:rPr>
            </w:pPr>
            <w:r>
              <w:rPr>
                <w:rFonts w:ascii="Arial" w:cs="Arial" w:eastAsia="Arial" w:hAnsi="Arial"/>
                <w:sz w:val="18"/>
                <w:szCs w:val="18"/>
                <w:b w:val="1"/>
                <w:bCs w:val="1"/>
                <w:color w:val="auto"/>
              </w:rPr>
              <w:t>OTHER FINANCIAL STATEMENT INFORMATION</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Other 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Other receivables consist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receivable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17</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receivables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1,028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Depreciation and amortization expense related to property and equipment was less than $0.1 million and $0.7 million for the years ended December 31, 2018 and 2019, respectively, and $0.5 million and $1.1 million for the nine months ended September 30, 2019 and 2020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liability, current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DEFERRED REVENUE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December 31, 2019 and September 30, 2020 (unaudited), the Company recorded $0.2 million and $0.4 million of deferred revenue related to the following agreements.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Agreements</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year ended December 31, 2019 and nine months ended September 30, 2020 (unaudited), the Company recognized research revenue of $0.1 million and nil with respect to the research agreement.</w:t>
      </w:r>
    </w:p>
    <w:p>
      <w:pPr>
        <w:spacing w:after="0" w:line="11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payable of $0.5 million, of which $0.3 million was received and recorded as deferred revenue as of September 30, 2020 (unaudited). During the nine months ended September 30, 2020 (unaudited), the Company did not recognize any research revenue with respect to the research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NIH Grant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August 2019, the Company received a notice of award from the National Institutes of Health, which will provide funding of approximately</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$1.1 million to the Company for its development of research applications. In June 2020, the Company received a notice that additional grant consideration of $0.9 million will be awarded. During the year ended December 31, 2019 and nine months ended September 30, 2020 (unaudited), the Company recognized grant revenue of $0.1 million and $0.3 million with respect to the award.</w:t>
      </w:r>
    </w:p>
    <w:p>
      <w:pPr>
        <w:spacing w:after="0" w:line="132"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May 2019, the Company issued an aggregate of $0.4 million in convertible promissory notes (Notes) that accrue interest at a rate of 2.37% per annum and mature 10 years from the date of issuance. Upon the closing of the Company’s Series D convertible preferred stock offering in November 2019, the Notes were redeemed whereby all of the outstanding principal and accrued interest were converted into 58,231 shares of Series D convertible preferred stock at a conversion price of $6.96 per share, which was the issuance price of the Series D convertible preferred stock. The redemption of the Notes was accounted for as a debt extinguishment, and there was no gain or loss on extinguishment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21"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STOCKHOLDERS’ EQUITY</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December 31, 2019, the Company is authorized to issue 74,276,048 shares of capital stock consisting of 42,757,009 shares of Class A common stock, 9,345,794 shares of Class B common stock, and 22,173,245 shares of convertible preferred stock.</w:t>
      </w:r>
    </w:p>
    <w:p>
      <w:pPr>
        <w:spacing w:after="0" w:line="116"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As of September 30, 2020 (unaudited), the Company is authorized to issue 94,447,387 shares of capital stock consisting of 56,074,766 shares of Class A common stock, 9,345,794 shares of Class B common stock, and 29,026,827 shares of convertible preferred stock.</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Convertible preferred stock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10,994,238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10,994,225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22,173,245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22,173,216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September 30, 2020 (unaudited)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8.03</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6,853,582</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6,853,571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29,026,827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8"/>
                <w:szCs w:val="18"/>
                <w:color w:val="auto"/>
              </w:rPr>
              <w:t>29,026,787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and April 2019, the Company issued 3,271,023 shares of its Series C convertible preferred stock at a price per share of $5.35 for net proceeds of $17.3 million.</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November and December 2019, the Company issued 7,849,737 shares of its Series D convertible preferred stock at a price per share of $6.96 for net proceeds of $54.4 million, with such amounts not including the redemption of the Notes (see Note 6).</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nine months ended September 30, 2020 (unaudited), the Company issued 6,853,571 shares of its Series D-1 convertible preferred stock in May 2020 at a price per share of $8.03 for net proceeds of $54.9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1" w:right="3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convertible preferred stock have various rights and preferences, including the following: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event of any liquidation event, either voluntary or involuntary, the holders of convertible preferred stock shall be entitled to receive, out of the assets of the Company, the applicable liquidation preference specified for each share of convertible preferred stock then held by them before any payment shall be made or any assets distributed to the holders of common stock. Liquidation preference is $1.95 per share for Series A convertible preferred stock, $3.80 per share for Series B convertible preferred stock, $5.35 per share of Series C convertible preferred stock, $6.96 per share of Series D convertible preferred stock, and $8.03 per share of Series D-1 convertible preferred stock, each adjusted for any stock splits, combinations, and reorganizations, plus all declared and unpaid dividends on each such share.</w:t>
      </w:r>
    </w:p>
    <w:p>
      <w:pPr>
        <w:spacing w:after="0" w:line="13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If upon the liquidation event, the assets to be distributed among the holders of the convertible preferred stock are insufficient to permit the payment to such holders of the full liquidation preference for their shares, then the holders of shares of convertible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After the payment to the holders of convertible preferred stock of the full preferential amount specified above, any remaining assets of the Company shall be distributed pro rata among the holders of common stock.</w:t>
      </w:r>
    </w:p>
    <w:p>
      <w:pPr>
        <w:spacing w:after="0" w:line="116" w:lineRule="exact"/>
        <w:rPr>
          <w:sz w:val="20"/>
          <w:szCs w:val="20"/>
          <w:color w:val="auto"/>
        </w:rPr>
      </w:pPr>
    </w:p>
    <w:p>
      <w:pPr>
        <w:ind w:left="340" w:right="1560"/>
        <w:spacing w:after="0" w:line="438" w:lineRule="auto"/>
        <w:rPr>
          <w:sz w:val="20"/>
          <w:szCs w:val="20"/>
          <w:color w:val="auto"/>
        </w:rPr>
      </w:pPr>
      <w:r>
        <w:rPr>
          <w:rFonts w:ascii="Arial" w:cs="Arial" w:eastAsia="Arial" w:hAnsi="Arial"/>
          <w:sz w:val="18"/>
          <w:szCs w:val="18"/>
          <w:color w:val="auto"/>
        </w:rPr>
        <w:t xml:space="preserve">A liquidation event requires approval by the holders of at least a majority of the outstanding shares of convertible preferred stock. </w:t>
      </w:r>
      <w:r>
        <w:rPr>
          <w:rFonts w:ascii="Arial" w:cs="Arial" w:eastAsia="Arial" w:hAnsi="Arial"/>
          <w:sz w:val="18"/>
          <w:szCs w:val="18"/>
          <w:b w:val="1"/>
          <w:bCs w:val="1"/>
          <w:i w:val="1"/>
          <w:iCs w:val="1"/>
          <w:color w:val="auto"/>
        </w:rPr>
        <w:t>Optional Conversion Rights</w:t>
      </w:r>
    </w:p>
    <w:p>
      <w:pPr>
        <w:spacing w:after="0" w:line="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Shares of any series of convertible preferred stock shall be convertible, at the option of the holder thereof and without payment, at any time after the date of issuance of such share into that number of fully-paid and nonassessable shares of Class A common stock that is equal to the original issue price for such series divided by the conversion price for such series, as adjusted for any stock splits, combinations, reorganizations and applicable dilutive issuances, in effect on the date of the conversion. In addition, the conversion price for each series of convertible preferred stock will be reduced upon certain issuances by the Company of common stock for consideration per share that is less than the conversion price applicable to such series. The Company’s convertible preferred stock is convertible into the Company’s shares of Class A common stock on a one-for-one basis.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Automatic Conversion Rights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share of convertible preferred stock shall automatically be converted into shares of Class A common stock at the then effective conversion price for such share immediately upon (i) the affirmative vote or written consent of the holders of at least a majority of the outstanding shares of convertible preferred stock, voting together as a single class, or (ii) the closing of a firmly underwritten initial public offering with gross proceeds to the Company of at least $50,000,000.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holders of shares of Series A convertible preferred stock, Series B convertible preferred stock, Series C convertible preferred stock, Series D convertible preferred stock, and Series D-1 convertible preferred stock shall be entitled to receive dividends of $0.1167, $0.2277, $0.3210, $0.4173, and $0.4815 respectively, per annum on each outstanding share of Series A convertible preferred stock, Series B convertible preferred stock, Series C convertible preferred stock, Series D convertible preferred stock, and Series D-1 convertible preferred stock, payable in cash at the election of the Board of Directors, out of any assets at the time legally available therefor, when, as and if declared by the Board of Directors, on an equal basis according to the number of shares of convertible preferred stock held by such holders, prior and in preference to the common stock and shall be noncumulative.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1"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Each holder of convertible preferred stock shall be entitled to the number of votes equal to the number of shares of common stock into which such shares of convertible preferred stock held by such holder could then be converted as of the record date.</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holders of convertible preferred stock, voting as a single class, have the right to elect one director to the Company’s Board of Directors. The holders of common stock, as a separate class, have the right to elect three directors to the Board of Directors. The holders of convertible preferred stock and common stock, voting as a single class, have the right to elect one director to the Company’s Board of Directors. Any remaining directors, of which there were two as of December 31, 2019 and September 30, 2020 (unaudited), are elected by the holders of common stock and of any other class or series of voting stock, including convertible preferred stock, as a single class.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are no redemption rights afforded to the holders of convertible preferred stock. Upon certain change in control events, including liquidation, sale, or transfer of control of the Company, the convertible preferred stock is contingently redeemable.</w:t>
      </w:r>
    </w:p>
    <w:p>
      <w:pPr>
        <w:sectPr>
          <w:pgSz w:w="11900" w:h="16838" w:orient="portrait"/>
          <w:cols w:equalWidth="0" w:num="1">
            <w:col w:w="11240"/>
          </w:cols>
          <w:pgMar w:left="320" w:top="121" w:right="339" w:bottom="1440" w:gutter="0" w:footer="0" w:header="0"/>
        </w:sectPr>
      </w:pP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 issued and outstanding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common stock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16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1560" w:type="dxa"/>
            <w:vAlign w:val="bottom"/>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0"/>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r>
      <w:tr>
        <w:trPr>
          <w:trHeight w:val="231"/>
        </w:trPr>
        <w:tc>
          <w:tcPr>
            <w:tcW w:w="1560" w:type="dxa"/>
            <w:vAlign w:val="bottom"/>
          </w:tcPr>
          <w:p>
            <w:pPr>
              <w:jc w:val="right"/>
              <w:spacing w:after="0"/>
              <w:rPr>
                <w:sz w:val="20"/>
                <w:szCs w:val="20"/>
                <w:color w:val="auto"/>
              </w:rPr>
            </w:pPr>
            <w:r>
              <w:rPr>
                <w:rFonts w:ascii="Arial" w:cs="Arial" w:eastAsia="Arial" w:hAnsi="Arial"/>
                <w:sz w:val="18"/>
                <w:szCs w:val="18"/>
                <w:color w:val="auto"/>
              </w:rPr>
              <w:t>2,858,902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2,847,893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3,296,556</w:t>
            </w:r>
          </w:p>
        </w:tc>
      </w:tr>
      <w:tr>
        <w:trPr>
          <w:trHeight w:val="230"/>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9,345,784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9,345,784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9,345,784</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12,204,686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12,193,677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12,642,340</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-479425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-187960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640" w:space="720"/>
            <w:col w:w="4880"/>
          </w:cols>
          <w:pgMar w:left="320" w:top="121" w:right="339" w:bottom="1440" w:gutter="0" w:footer="0" w:header="0"/>
          <w:type w:val="continuous"/>
        </w:sectPr>
      </w:pPr>
    </w:p>
    <w:p>
      <w:pPr>
        <w:jc w:val="both"/>
        <w:ind w:right="260" w:firstLine="324"/>
        <w:spacing w:after="0" w:line="301" w:lineRule="auto"/>
        <w:rPr>
          <w:sz w:val="20"/>
          <w:szCs w:val="20"/>
          <w:color w:val="auto"/>
        </w:rPr>
      </w:pPr>
      <w:r>
        <w:rPr>
          <w:rFonts w:ascii="Arial" w:cs="Arial" w:eastAsia="Arial" w:hAnsi="Arial"/>
          <w:sz w:val="16"/>
          <w:szCs w:val="16"/>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99"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During the nine months ended September 30, 2020 (unaudited), the Company adopted the 2020 RSU Equity Incentive Plan (2020 RSU Plan), which provided for the granting of RSUs to certain employees of the Company.</w:t>
      </w:r>
    </w:p>
    <w:p>
      <w:pPr>
        <w:spacing w:after="0" w:line="13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ISO cannot be less than the fair market value of the Class A common stock on the grant date. Stock options granted under the 2017 Plan generally vest over four years and expire no later than 10 years from the date of grant. As of December 31, 2019, and September 30, 2020 (unaudited), the Company has reserved 9,085,139 and 11,814,650 shares of Class A common stock for issuance under the 2017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21" w:right="339" w:bottom="1440" w:gutter="0" w:footer="0" w:header="0"/>
          <w:type w:val="continuous"/>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under the 2017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6"/>
                <w:szCs w:val="16"/>
                <w:color w:val="auto"/>
              </w:rPr>
            </w:pPr>
          </w:p>
        </w:tc>
        <w:tc>
          <w:tcPr>
            <w:tcW w:w="144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 Term (Years)</w:t>
            </w:r>
          </w:p>
        </w:tc>
        <w:tc>
          <w:tcPr>
            <w:tcW w:w="12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2017</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123,296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0.00002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2,266,576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(845,710)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(68,476)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1,475,686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3,005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834,959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(133,862)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2,176,102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4,051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 (unaudited)</w:t>
            </w:r>
          </w:p>
        </w:tc>
        <w:tc>
          <w:tcPr>
            <w:tcW w:w="1560" w:type="dxa"/>
            <w:vAlign w:val="bottom"/>
          </w:tcPr>
          <w:p>
            <w:pPr>
              <w:jc w:val="right"/>
              <w:spacing w:after="0"/>
              <w:rPr>
                <w:sz w:val="20"/>
                <w:szCs w:val="20"/>
                <w:color w:val="auto"/>
              </w:rPr>
            </w:pPr>
            <w:r>
              <w:rPr>
                <w:rFonts w:ascii="Arial" w:cs="Arial" w:eastAsia="Arial" w:hAnsi="Arial"/>
                <w:sz w:val="18"/>
                <w:szCs w:val="18"/>
                <w:color w:val="231F20"/>
              </w:rPr>
              <w:t>6,428,732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 (unaudited)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(663,908)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 (unaudited)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(387,426)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7,553,500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41,230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Vested and exercisable, December 31, 2019</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677,070</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231F20"/>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231F20"/>
              </w:rPr>
              <w:t>0.33</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231F20"/>
              </w:rPr>
              <w:t>8.55</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231F20"/>
                <w:w w:val="79"/>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231F20"/>
              </w:rPr>
              <w:t>1,600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993,485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6,863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weighted-average grant-date fair value of stock options granted to employees during the years ended December 31, 2018 and 2019, was $1.65 and $1.61 per share, respectively, and was $1.61 and $1.89 per share for the nine months ended September 30, 2019 and 2020 (unaudited), respectively. The total intrinsic value of stock options exercised during the years ended December 31, 2018 and 2019, was nil and $0.2 million, respectively, and was $0.2 million and $1.2 million during the nine months ended September 30, 2019 and 2020 (unaudited), respectively.</w:t>
      </w:r>
    </w:p>
    <w:p>
      <w:pPr>
        <w:spacing w:after="0" w:line="11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connection with the PrognomIQ transaction (see Note 11) and pursuant to the anti-dilution provisions included in the 2017 Plan, certain adjustments were made to the number and exercise price of the outstanding awards granted to the Company’s employees and directors to maintain the aggregate intrinsic value of the awards at the date of the transaction, which were accounted for as a modification of the awards. Except for the number of the adjusted awards, the material terms of the awards remained unchanged, and the awards continue to vest over their original vesting period. The impact of these adjustments did not have a material impact on the Company’s financial statements during the nine months ended September 30, 2020 (unaudited).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fair value of stock options granted to employees and directors is calculated using the Black-Scholes option pricing model using the following assumptions: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2177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38100</wp:posOffset>
            </wp:positionV>
            <wp:extent cx="21774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31115</wp:posOffset>
            </wp:positionV>
            <wp:extent cx="21856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3" w:lineRule="exact"/>
        <w:rPr>
          <w:sz w:val="20"/>
          <w:szCs w:val="20"/>
          <w:color w:val="auto"/>
        </w:rPr>
      </w:pPr>
    </w:p>
    <w:p>
      <w:pPr>
        <w:ind w:left="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1856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0.3%-1.5%</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80" w:type="dxa"/>
            <w:vAlign w:val="bottom"/>
          </w:tcPr>
          <w:p>
            <w:pPr>
              <w:jc w:val="right"/>
              <w:spacing w:after="0"/>
              <w:rPr>
                <w:sz w:val="20"/>
                <w:szCs w:val="20"/>
                <w:color w:val="auto"/>
              </w:rPr>
            </w:pPr>
            <w:r>
              <w:rPr>
                <w:rFonts w:ascii="Arial" w:cs="Arial" w:eastAsia="Arial" w:hAnsi="Arial"/>
                <w:sz w:val="18"/>
                <w:szCs w:val="18"/>
                <w:color w:val="auto"/>
              </w:rPr>
              <w:t>77.6%</w:t>
            </w:r>
          </w:p>
        </w:tc>
        <w:tc>
          <w:tcPr>
            <w:tcW w:w="920" w:type="dxa"/>
            <w:vAlign w:val="bottom"/>
          </w:tcPr>
          <w:p>
            <w:pPr>
              <w:ind w:left="20"/>
              <w:spacing w:after="0"/>
              <w:rPr>
                <w:sz w:val="20"/>
                <w:szCs w:val="20"/>
                <w:color w:val="auto"/>
              </w:rPr>
            </w:pPr>
            <w:r>
              <w:rPr>
                <w:rFonts w:ascii="Arial" w:cs="Arial" w:eastAsia="Arial" w:hAnsi="Arial"/>
                <w:sz w:val="18"/>
                <w:szCs w:val="18"/>
                <w:color w:val="auto"/>
              </w:rPr>
              <w:t>- 77.9%</w:t>
            </w:r>
          </w:p>
        </w:tc>
        <w:tc>
          <w:tcPr>
            <w:tcW w:w="840" w:type="dxa"/>
            <w:vAlign w:val="bottom"/>
          </w:tcPr>
          <w:p>
            <w:pPr>
              <w:jc w:val="right"/>
              <w:spacing w:after="0"/>
              <w:rPr>
                <w:sz w:val="20"/>
                <w:szCs w:val="20"/>
                <w:color w:val="auto"/>
              </w:rPr>
            </w:pPr>
            <w:r>
              <w:rPr>
                <w:rFonts w:ascii="Arial" w:cs="Arial" w:eastAsia="Arial" w:hAnsi="Arial"/>
                <w:sz w:val="18"/>
                <w:szCs w:val="18"/>
                <w:color w:val="auto"/>
              </w:rPr>
              <w:t>74.7%</w:t>
            </w:r>
          </w:p>
        </w:tc>
        <w:tc>
          <w:tcPr>
            <w:tcW w:w="940" w:type="dxa"/>
            <w:vAlign w:val="bottom"/>
          </w:tcPr>
          <w:p>
            <w:pPr>
              <w:ind w:left="20"/>
              <w:spacing w:after="0"/>
              <w:rPr>
                <w:sz w:val="20"/>
                <w:szCs w:val="20"/>
                <w:color w:val="auto"/>
              </w:rPr>
            </w:pPr>
            <w:r>
              <w:rPr>
                <w:rFonts w:ascii="Arial" w:cs="Arial" w:eastAsia="Arial" w:hAnsi="Arial"/>
                <w:sz w:val="18"/>
                <w:szCs w:val="18"/>
                <w:color w:val="auto"/>
              </w:rPr>
              <w:t>- 77.5%</w:t>
            </w:r>
          </w:p>
        </w:tc>
        <w:tc>
          <w:tcPr>
            <w:tcW w:w="820" w:type="dxa"/>
            <w:vAlign w:val="bottom"/>
          </w:tcPr>
          <w:p>
            <w:pPr>
              <w:jc w:val="right"/>
              <w:spacing w:after="0"/>
              <w:rPr>
                <w:sz w:val="20"/>
                <w:szCs w:val="20"/>
                <w:color w:val="auto"/>
              </w:rPr>
            </w:pPr>
            <w:r>
              <w:rPr>
                <w:rFonts w:ascii="Arial" w:cs="Arial" w:eastAsia="Arial" w:hAnsi="Arial"/>
                <w:sz w:val="18"/>
                <w:szCs w:val="18"/>
                <w:color w:val="auto"/>
              </w:rPr>
              <w:t>74.7%</w:t>
            </w:r>
          </w:p>
        </w:tc>
        <w:tc>
          <w:tcPr>
            <w:tcW w:w="960" w:type="dxa"/>
            <w:vAlign w:val="bottom"/>
          </w:tcPr>
          <w:p>
            <w:pPr>
              <w:ind w:left="20"/>
              <w:spacing w:after="0"/>
              <w:rPr>
                <w:sz w:val="20"/>
                <w:szCs w:val="20"/>
                <w:color w:val="auto"/>
              </w:rPr>
            </w:pPr>
            <w:r>
              <w:rPr>
                <w:rFonts w:ascii="Arial" w:cs="Arial" w:eastAsia="Arial" w:hAnsi="Arial"/>
                <w:sz w:val="18"/>
                <w:szCs w:val="18"/>
                <w:color w:val="auto"/>
              </w:rPr>
              <w:t>- 77.5%</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62.2%-69.2%</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8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6.08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5.21-6.22</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800" w:type="dxa"/>
            <w:vAlign w:val="bottom"/>
            <w:gridSpan w:val="2"/>
          </w:tcPr>
          <w:p>
            <w:pPr>
              <w:jc w:val="center"/>
              <w:ind w:left="97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1" w:right="339" w:bottom="1440" w:gutter="0" w:footer="0" w:header="0"/>
          <w:type w:val="continuous"/>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fair value of the stock options granted to non-employees is calculated at each reporting date using the Black-Scholes option pricing model using the following assumptions: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21774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38100</wp:posOffset>
            </wp:positionV>
            <wp:extent cx="21774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31115</wp:posOffset>
            </wp:positionV>
            <wp:extent cx="21856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3" w:lineRule="exact"/>
        <w:rPr>
          <w:sz w:val="20"/>
          <w:szCs w:val="20"/>
          <w:color w:val="auto"/>
        </w:rPr>
      </w:pPr>
    </w:p>
    <w:p>
      <w:pPr>
        <w:ind w:left="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1856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2"/>
              </w:rPr>
              <w:t>2.7%</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 - 1.9%</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1.5%-1.9%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0.5%-0.7%</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0"/>
              </w:rPr>
              <w:t>77.5%</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77.7%</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73.7%</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68.8%</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72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8"/>
              </w:rPr>
              <w:t>8.73 – 9.88</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7.73 – 9.49</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8.39-9.82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7.38-9.87</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balance sheets and reclassified to stockholders’ equity as the shares vest.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of restricted shares of Class A common stock under the 2017 Plan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19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2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1,691,190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December 31, 2018</w:t>
            </w:r>
          </w:p>
        </w:tc>
        <w:tc>
          <w:tcPr>
            <w:tcW w:w="1940" w:type="dxa"/>
            <w:vAlign w:val="bottom"/>
          </w:tcPr>
          <w:p>
            <w:pPr>
              <w:jc w:val="right"/>
              <w:spacing w:after="0"/>
              <w:rPr>
                <w:sz w:val="20"/>
                <w:szCs w:val="20"/>
                <w:color w:val="auto"/>
              </w:rPr>
            </w:pPr>
            <w:r>
              <w:rPr>
                <w:rFonts w:ascii="Arial" w:cs="Arial" w:eastAsia="Arial" w:hAnsi="Arial"/>
                <w:sz w:val="18"/>
                <w:szCs w:val="18"/>
                <w:color w:val="auto"/>
              </w:rPr>
              <w:t>2,395,346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Repurchased</w:t>
            </w:r>
          </w:p>
        </w:tc>
        <w:tc>
          <w:tcPr>
            <w:tcW w:w="1940" w:type="dxa"/>
            <w:vAlign w:val="bottom"/>
          </w:tcPr>
          <w:p>
            <w:pPr>
              <w:jc w:val="right"/>
              <w:spacing w:after="0"/>
              <w:rPr>
                <w:sz w:val="20"/>
                <w:szCs w:val="20"/>
                <w:color w:val="auto"/>
              </w:rPr>
            </w:pPr>
            <w:r>
              <w:rPr>
                <w:rFonts w:ascii="Arial" w:cs="Arial" w:eastAsia="Arial" w:hAnsi="Arial"/>
                <w:sz w:val="18"/>
                <w:szCs w:val="18"/>
                <w:color w:val="auto"/>
              </w:rPr>
              <w:t>(144,859)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December 31, 2019</w:t>
            </w:r>
          </w:p>
        </w:tc>
        <w:tc>
          <w:tcPr>
            <w:tcW w:w="1940" w:type="dxa"/>
            <w:vAlign w:val="bottom"/>
          </w:tcPr>
          <w:p>
            <w:pPr>
              <w:jc w:val="right"/>
              <w:spacing w:after="0"/>
              <w:rPr>
                <w:sz w:val="20"/>
                <w:szCs w:val="20"/>
                <w:color w:val="auto"/>
              </w:rPr>
            </w:pPr>
            <w:r>
              <w:rPr>
                <w:rFonts w:ascii="Arial" w:cs="Arial" w:eastAsia="Arial" w:hAnsi="Arial"/>
                <w:sz w:val="18"/>
                <w:szCs w:val="18"/>
                <w:color w:val="auto"/>
              </w:rPr>
              <w:t>1,499,715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(unaudited)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Repurchased (unaudited)</w:t>
            </w:r>
          </w:p>
        </w:tc>
        <w:tc>
          <w:tcPr>
            <w:tcW w:w="1940" w:type="dxa"/>
            <w:vAlign w:val="bottom"/>
          </w:tcPr>
          <w:p>
            <w:pPr>
              <w:jc w:val="right"/>
              <w:spacing w:after="0"/>
              <w:rPr>
                <w:sz w:val="20"/>
                <w:szCs w:val="20"/>
                <w:color w:val="auto"/>
              </w:rPr>
            </w:pPr>
            <w:r>
              <w:rPr>
                <w:rFonts w:ascii="Arial" w:cs="Arial" w:eastAsia="Arial" w:hAnsi="Arial"/>
                <w:sz w:val="18"/>
                <w:szCs w:val="18"/>
                <w:color w:val="auto"/>
              </w:rPr>
              <w:t>(215,240)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(unaudited)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September 30, 2020 (unaudited)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fair value of the restricted shares of Class A common stock that vested during the years ended December 31, 2018 and 2019, was $0.2 million and $0.3 million, respectively, and was $0.4 million for nine months ended September 30, 2020 (unaudited).</w:t>
      </w:r>
    </w:p>
    <w:p>
      <w:pPr>
        <w:spacing w:after="0" w:line="11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Amounts due from the Company’s employees, directors and consultants for the exercise of stock options and related tax withholding of $0.7 million are recorded as other receivables, related parties on the balance sheet as of September 30, 2020 (unaudited), all of which were received by the Company in October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During the nine months ended September 30, 2020 (unaudited), the Company granted certain employees 335,194 RSUs under the 2020 RSU Plan that entitle the holder to receive shares of Class A common stock upon vesting. The Company has not recognized any stock-based compensation for these RSUs, which vest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21" w:right="339" w:bottom="144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satisfaction of both a service condition and a performance condition that is satisfied upon the closing of the IPO and is not considered probable until such event occurs. Stock-based compensation will be recognized using the accelerated attribution method from the grant date upon achievement of the performance condition. 50% of the RSUs vest upon the one-year anniversary of the IPO and the remaining 50% vest upon the two-year anniversary of the IPO. The weighted-average grant date fair value of the RSUs was $3.39 per share.</w:t>
      </w:r>
    </w:p>
    <w:p>
      <w:pPr>
        <w:spacing w:after="0" w:line="133"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If the performance condition had been achieved as of September 30, 2020, the Company would have recognized $0.2 million in additional stock-based compensation related to the RSUs for the service period rendered from the date of grant through September 30, 2020.</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40" w:type="dxa"/>
            <w:vAlign w:val="bottom"/>
          </w:tcPr>
          <w:p>
            <w:pPr>
              <w:spacing w:after="0"/>
              <w:rPr>
                <w:sz w:val="17"/>
                <w:szCs w:val="17"/>
                <w:color w:val="auto"/>
              </w:rPr>
            </w:pPr>
          </w:p>
        </w:tc>
        <w:tc>
          <w:tcPr>
            <w:tcW w:w="26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840" w:type="dxa"/>
            <w:vAlign w:val="bottom"/>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187"/>
        </w:trPr>
        <w:tc>
          <w:tcPr>
            <w:tcW w:w="4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r>
      <w:tr>
        <w:trPr>
          <w:trHeight w:val="231"/>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granted to employees and directors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Stock options granted to non-employees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231F20"/>
              </w:rPr>
              <w:t>194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 of Class A common stock</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242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r>
      <w:tr>
        <w:trPr>
          <w:trHeight w:val="21"/>
        </w:trPr>
        <w:tc>
          <w:tcPr>
            <w:tcW w:w="4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recognized in the Company’s statements of operations and comprehensive loss (in thousands):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32385</wp:posOffset>
            </wp:positionV>
            <wp:extent cx="21856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9" w:lineRule="exact"/>
        <w:rPr>
          <w:sz w:val="20"/>
          <w:szCs w:val="20"/>
          <w:color w:val="auto"/>
        </w:rPr>
      </w:pPr>
    </w:p>
    <w:p>
      <w:pPr>
        <w:ind w:left="5100"/>
        <w:spacing w:after="0"/>
        <w:tabs>
          <w:tab w:leader="none" w:pos="68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46990</wp:posOffset>
            </wp:positionV>
            <wp:extent cx="21856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December 31, 2019 and September 30, 2020 (unaudited), the total unrecognized stock-based compensation related to unvested stock options and restricted stock awards was $3.8 million and $14.7 million, which the Company expects to recognize over a remaining weighted-average period of 2.71 years and 1.71 years, respectively.</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granted 59,577 shares of performance-based stock options in February 2018 through June 2019, of which 3,504 shares have vested or been determined to be probable to vest as of December 31, 2019. There is $0.1 million in unrecognized stock-based compensation associated with options not determined to be probable of vesting as of December 31, 2019.</w:t>
      </w:r>
    </w:p>
    <w:p>
      <w:pPr>
        <w:spacing w:after="0" w:line="126"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2018 and 2019 or during the nine months ended September 30, 2020 (unaudited).</w:t>
      </w:r>
    </w:p>
    <w:p>
      <w:pPr>
        <w:spacing w:after="0" w:line="126"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Facility Lease Agreement</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March 1, 2018, the Company entered into an 18-month sublease agreement for its facility in South San Francisco, California. In March 2019, the Company extended the lease term until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type w:val="continuous"/>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On January 4, 2019, the Company entered into a new lease agreement for office and laboratory space in Redwood City, California. The lease term commenced in November 2019 and ends on September 30, 2029. As of December 31, 2019, the Company has moved into this facility and no longer occupies the facility in South San Francisco. In connection with the lease, the Company maintains a letter of credit issued to the lessor in the amount of $0.3 million, which is secured by restricted cash that is classified as non-current based on the term of the underlying lease.</w:t>
      </w:r>
    </w:p>
    <w:p>
      <w:pPr>
        <w:spacing w:after="0" w:line="10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During the nine months ended September 30, 2020 (unaudited), the Company entered into an amendment to the lease agreement with respect to its facility in Redwood City, California in June 2020. The amendment is accounted for as a new operating lease.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July 1, 2021.</w:t>
      </w:r>
    </w:p>
    <w:p>
      <w:pPr>
        <w:spacing w:after="0" w:line="117"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3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30"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Rent expense was $0.4 million and $0.6 million for the years ended December 31, 2018 and 2019, respectively, and was $0.4 million and $0.5 million for the nine months ended September 30, 2019 and 2020 (unaudited). The Company is required to pay property taxes, insurance, and normal maintenance costs for the facility and will be required to pay any increases over the base year of these expenses.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future minimum commitments under the Company’s non-cancelable facility operating lease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2020 (unaudited), future minimum commitments under the Company’s non-cancelable facility operating lease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(three months remaining)</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2018 and 2019, and September 30, 2020 (unaudited), the Company does not have any material indemnification claims that were probable or reasonably possible and consequently has not recorded related liabilities.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The Company is not currently a party to any material legal proceedings.</w:t>
      </w:r>
    </w:p>
    <w:p>
      <w:pPr>
        <w:spacing w:after="0" w:line="112" w:lineRule="exact"/>
        <w:rPr>
          <w:sz w:val="20"/>
          <w:szCs w:val="20"/>
          <w:color w:val="auto"/>
        </w:rPr>
      </w:pPr>
    </w:p>
    <w:p>
      <w:pPr>
        <w:ind w:left="640" w:hanging="632"/>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PROGNOMIQ, INC. (UNAUDITED)</w:t>
      </w:r>
    </w:p>
    <w:p>
      <w:pPr>
        <w:spacing w:after="0" w:line="17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As discussed in Note 14, 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Following the distribution in August 2020, and a subsequent $55.0 million equity financing of PrognomIQ by outside investors, the Company retained a non-controlling equity interest consisting of all the outstanding shares of PrognomIQ’s common stock and representing approximately 19% of total equity interests of PrognomIQ as of September 30, 2020. The Company has accounted for the transfer of certain assets to PrognomIQ as a common control transaction based on the carrying value of the net assets transferred and therefore there was no gain or loss recorded. The carrying value of the net assets transferred to PrognomIQ was nil, except for a cash contribution of $0.1 million.</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concluded that as of the time of the transaction and as of the $55.0 million equity financing of PrognomIQ by outside investors, which was determined to be a VIE reconsideration event,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In performing this analysis, the Company considered its explicit and implicit arrangements with PrognomIQ, a related party, and determined its maximum financial statement exposure related to the investment was its initial investment of $0.1 million.</w:t>
      </w:r>
    </w:p>
    <w:p>
      <w:pPr>
        <w:spacing w:after="0" w:line="13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has determined that it has the ability to exercise significant influence over PrognomIQ and therefore has accounted for its investment in PrognomIQ using the equity method. During the nine months ended September 30, 2020, the carrying value of the Company’s investment in PrognomIQ was reduced to nil after recognizing net losses based on its percentage of ownership in PrognomIQ.</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connection with the transaction, Omid Farokhzad, the Company’s Chief Executive Officer and Chairman of the Board, was appointed as the chair of PrognomIQ’s board of directors. Additionally, Philip Ma resigned from his position as the Company’s Chief Business Officer and transitioned to the full-time Chief Executive Officer of PrognomIQ, effective October 15, 2020.</w:t>
      </w:r>
    </w:p>
    <w:p>
      <w:pPr>
        <w:spacing w:after="0" w:line="13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PrognomIQ constitutes a related party and as of September 30, 2020, the Company recorded $0.2 million in other receivables, related parties on the balance sheet representing amounts due for general transition services and support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pro-rata distribution to its stockholders of most of the shares of capital stock of PrognomIQ resulted in a taxable gain of $6.4 million in August 2020. Due to the net loss incurred during the nine months ended September 30, 2020, the Company's net operating loss carryforwards, and the full valuation allowance recorded against the Company's net deferred tax assets, there is no income tax expense reflected on the statement of operations and comprehensive loss for the nine months ended September 30, 2020 related to this distribution.</w:t>
      </w:r>
    </w:p>
    <w:p>
      <w:pPr>
        <w:spacing w:after="0" w:line="129"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computation of basic and diluted net loss per share (in thousands, except share and per share data):</w:t>
      </w:r>
    </w:p>
    <w:p>
      <w:pPr>
        <w:sectPr>
          <w:pgSz w:w="11900" w:h="16838" w:orient="portrait"/>
          <w:cols w:equalWidth="0" w:num="1">
            <w:col w:w="11240"/>
          </w:cols>
          <w:pgMar w:left="320" w:top="121" w:right="339" w:bottom="1440" w:gutter="0" w:footer="0" w:header="0"/>
        </w:sectPr>
      </w:pPr>
    </w:p>
    <w:p>
      <w:pPr>
        <w:spacing w:after="0" w:line="20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38100</wp:posOffset>
            </wp:positionV>
            <wp:extent cx="20485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w w:val="93"/>
              </w:rPr>
              <w:t>Weighted-average common shares used in computing net loss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w w:val="98"/>
              </w:rPr>
              <w:t>per share attributable to common stockholders, basic and</w:t>
            </w: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and diluted</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1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957"/>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2"/>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jc w:val="center"/>
              <w:ind w:left="957"/>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10,994,225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22,173,216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14,265,248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29,026,787</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Class A common 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1,475,686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2,176,102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2,184,118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7,553,500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3,552,409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4,293,434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1,573,436</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335,194</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20,742,800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38,488,917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1" w:right="339" w:bottom="1440" w:gutter="0" w:footer="0" w:header="0"/>
          <w:type w:val="continuous"/>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40" w:type="dxa"/>
            <w:vAlign w:val="bottom"/>
          </w:tcPr>
          <w:p>
            <w:pPr>
              <w:spacing w:after="0"/>
              <w:rPr>
                <w:sz w:val="14"/>
                <w:szCs w:val="14"/>
                <w:color w:val="auto"/>
              </w:rPr>
            </w:pP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4"/>
          </w:tcPr>
          <w:p>
            <w:pPr>
              <w:jc w:val="right"/>
              <w:ind w:right="1175"/>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 forma net loss attributable to common stockholders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rPr>
              <w:t>Weighted-average common shares used in computing net loss per share attributable to common</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29"/>
        </w:trPr>
        <w:tc>
          <w:tcPr>
            <w:tcW w:w="8020" w:type="dxa"/>
            <w:vAlign w:val="bottom"/>
          </w:tcPr>
          <w:p>
            <w:pPr>
              <w:ind w:left="42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 to reflect the assumed conversion of convertible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14,502,368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25,700,054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weighted-average common shares used to compute net loss per share, basic and 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21,454,787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6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r>
      <w:tr>
        <w:trPr>
          <w:trHeight w:val="26"/>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1"/>
        </w:trPr>
        <w:tc>
          <w:tcPr>
            <w:tcW w:w="80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r>
      <w:tr>
        <w:trPr>
          <w:trHeight w:val="184"/>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benefits at statutory rate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(1,169)</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(3,347)</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(1,264)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8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 and intangibles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reserves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and intangibles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deferred tax liabilities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our incorporation in 2017. Such objective evidence limits the ability to consider other subjective evidence, such as our projections for future growth. On the basis of this evaluation, as of December 31, 2018 and 2019, a full valuation allowance has been recorded against our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As of December 31, 2018 and 2019, the Company had net deferred tax assets of $1.4 million and $6.2 million, respectively. For the years ended December 31, 2018 and 2019, the net changes in the net valuation allowance were an increase of $1.4 million and an increase of $4.8 million, respectively.</w:t>
      </w:r>
    </w:p>
    <w:p>
      <w:pPr>
        <w:spacing w:after="0" w:line="13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As of December 31, 2018 and 2019, the Company had federal net operating loss carryforwards of approximately $5.0 million and $18.4 million, respectively, which do not expire. At December 31, 2018 and 2019, the Company had state net operating loss carryforwards of approximately $0.3 million and $16.7 million, respectively, which will begin to expire in 2031 for state tax purposes.</w:t>
      </w:r>
    </w:p>
    <w:p>
      <w:pPr>
        <w:spacing w:after="0" w:line="13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As of December 31, 2018 and 2019, the Company had federal research and development credit carryforwards of approximately $0.2 million and $0.4 million, respectively, which begin to expire in 2037 and state research and development credit carryforwards of approximately $0.2 million and $0.5 million, respectively, which will carry forward indefinitely.</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analysis of its prior ownership changes to date.</w:t>
      </w:r>
    </w:p>
    <w:p>
      <w:pPr>
        <w:spacing w:after="0" w:line="13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2018 and 2019, the Company had unrecognized tax benefits of approximately $0.1 million and $0.3 million, respectively. The amount of unrecognized tax benefits is not expected to significantly change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21"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next 12 months. No amounts would impact the effective tax rate on continuing operations as any change would offset with a corresponding adjustment to the valuation allowance. The beginning and ending unrecognized tax benefits amounts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Change related to prior year provisions</w:t>
            </w: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related to current year provisions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2019.</w:t>
      </w:r>
    </w:p>
    <w:p>
      <w:pPr>
        <w:spacing w:after="0" w:line="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nine months ended September 30, 2019 and 2020 (unaudited),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3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nine months ended September 30, 2020.</w:t>
      </w:r>
    </w:p>
    <w:p>
      <w:pPr>
        <w:spacing w:after="0" w:line="107"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evaluated events subsequent from December 31, 2019 through September 25, 2020, the date at which the financial statements as of and for the years ended December 31, 2018 and 2019 were available to be issued except for the Reverse Stock Split as to which the date is as of November 30, 2020.</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of $0.5 million.</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May 2020, the Company issued 6,853,571 shares of its Series D-1 convertible preferred stock at a price per share of $8.03 for gross proceeds of $55.0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December 2019, an outbreak of a novel strain of coronavirus (COVID-19) originated in Wuhan, China, and has since spread globally. On March 11, 2020, the World Health Organization characterized COVID-19 as a pandemic and, on March 13, 2020, the United States declared a national emergency with respect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1" w:right="3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As a result of COVID-19, the Company’s operations experienced disruptions and restrictions on employees’ ability to work,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are located in the areas impacted by COVID-19, which may limit the Company’s ability to achieve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4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As of the date of the issuance of these financial statements, 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In addition, the Company temporarily suspended its recruiting and hiring activities during the second quarter of 2020 as a result of the COVID-19 pandemic. The Company continues to monitor and assess the effects of the COVID-19 pandemic on its business, financial condition, results of operations and cash flows.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Amendment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2020, the Company entered into an amendment to the lease agreement with respect to its facility in Redwood City, California. The amendment makes certain changes to the original lease, including (i) the addition of approximately 13,638 square feet of office and laboratory space in the same building (Expansion Premises) and (ii) an extension of the expiration date of the original lease to 127.5 months following the delivery date of the expansion premises, which is estimated to be July 1, 2021.</w:t>
      </w:r>
    </w:p>
    <w:p>
      <w:pPr>
        <w:spacing w:after="0" w:line="133"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The Company is required to pay property taxes, insurance, and normal maintenance costs for the Expansion Premises, on the same terms as the existing facility. Under the amendment, the Company retains its original option to renew the lease for an additional five-year term, at then-current market rates.</w:t>
      </w:r>
    </w:p>
    <w:p>
      <w:pPr>
        <w:spacing w:after="0" w:line="13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approximately 12,700 square feet of temporary space located in an adjacent building. The Company is not required to pay additional rent for the temporary space, but is required to pay property taxes, insurance and normal maintenance costs with respect to the temporary space.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 Transaction</w:t>
      </w:r>
    </w:p>
    <w:p>
      <w:pPr>
        <w:spacing w:after="0" w:line="17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August 2020, the Company transferred certain assets related to disease testing to PrognomIQ, Inc. (PrognomIQ), a new wholly-owned subsidiary, in exchange for all of its outstanding equity interests. Following the transfer, the Company completed a pro-rata distribution to its stockholders of most of the shares of capital stock of PrognomIQ. Following the distribution and a subsequent $55.0 million equity financing of PrognomIQ, the Company holds approximately 19% of the outstanding capital stock in PrognomIQ. The PrognomIQ transaction will be accounted for as a common control transaction and will, therefore, be recorded using carryover basis. The Company does not expect it to have a material impact to the financial statements.</w:t>
      </w:r>
    </w:p>
    <w:p>
      <w:pPr>
        <w:spacing w:after="0" w:line="107"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Omid Farokhzad, Chief Executive Officer, serves as the Chair of PrognomIQ’s board of directors. Philip Ma resigned from his position as the Company’s Chief Business Officer and transitioned to the full-time Chief Executive Officer of PrognomIQ, effective October 15, 2020.</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Furthermore, pursuant to the anti-dilution provisions included in the Company's stock incentive plan, certain adjustments were made to the number and exercise price of the outstanding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320" w:top="121" w:right="35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granted to the Company’s employees and directors to maintain the aggregate intrinsic value of the awards at the date of the spin-off. Except for these adjustments, the material terms of the awards remained unchanged, and the awards will continue to vest over their original vesting period. The Company is still evaluating the accounting for these adjustments and its impact on our results of operations and financial position.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103"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7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Company evaluated subsequent events through October 30, 2020, the date at which the unaudited financial statements as of September 30, 2020 and for the nine months ended September 30, 2019 and 2020 were issued; except for the purchase agreement disclosed below as to which the date is November 12, 2020 except for the Reverse Stock Split as to which the date is as of November 30, 2020.</w:t>
      </w:r>
    </w:p>
    <w:p>
      <w:pPr>
        <w:spacing w:after="0" w:line="1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November 12, 2020, the Company entered into a purchase agreement with Fidelity Management &amp; Research Company LLC, SoftBank, certain funds and accounts advised by T. Rowe Price Associates, Inc. and aMoon Fund to purchase an aggregate of $135.0 million of the Company’s Class A common stock in a private placement at a price per share equal to the initial public offering price. The purchase of the Company’s Class A shares will occur immediately subsequent to the closing of the Company’s initial public offering.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21" w:right="339" w:bottom="1440" w:gutter="0" w:footer="0" w:header="0"/>
        </w:sectPr>
      </w:pPr>
    </w:p>
    <w:bookmarkStart w:id="224" w:name="page225"/>
    <w:bookmarkEnd w:id="2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3,750,000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281305</wp:posOffset>
            </wp:positionV>
            <wp:extent cx="3000375" cy="9772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0037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auto"/>
        </w:rPr>
        <w:t>Seer, Inc.</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281305</wp:posOffset>
            </wp:positionV>
            <wp:extent cx="35744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40005</wp:posOffset>
            </wp:positionV>
            <wp:extent cx="35744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200" w:val="left"/>
          <w:tab w:leader="none" w:pos="6500" w:val="left"/>
          <w:tab w:leader="none" w:pos="1030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6"/>
          <w:szCs w:val="26"/>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lvl w:ilvl="1">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1)"/>
      <w:numFmt w:val="decimal"/>
      <w:start w:val="1"/>
    </w:lvl>
  </w:abstractNum>
  <w:abstractNum w:abstractNumId="11">
    <w:nsid w:val="6B94764"/>
    <w:multiLevelType w:val="hybridMultilevel"/>
    <w:lvl w:ilvl="0">
      <w:lvlJc w:val="left"/>
      <w:lvlText w:val="(%1)"/>
      <w:numFmt w:val="decimal"/>
      <w:start w:val="2"/>
    </w:lvl>
  </w:abstractNum>
  <w:abstractNum w:abstractNumId="12">
    <w:nsid w:val="42C296BD"/>
    <w:multiLevelType w:val="hybridMultilevel"/>
    <w:lvl w:ilvl="0">
      <w:lvlJc w:val="left"/>
      <w:lvlText w:val="(%1)"/>
      <w:numFmt w:val="decimal"/>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1."/>
      <w:numFmt w:val="decimal"/>
      <w:start w:val="1"/>
    </w:lvl>
  </w:abstractNum>
  <w:abstractNum w:abstractNumId="37">
    <w:nsid w:val="7FB7E0AA"/>
    <w:multiLevelType w:val="hybridMultilevel"/>
    <w:lvl w:ilvl="0">
      <w:lvlJc w:val="left"/>
      <w:lvlText w:val="%1."/>
      <w:numFmt w:val="decimal"/>
      <w:start w:val="1"/>
    </w:lvl>
  </w:abstractNum>
  <w:abstractNum w:abstractNumId="38">
    <w:nsid w:val="6EB5BD4"/>
    <w:multiLevelType w:val="hybridMultilevel"/>
    <w:lvl w:ilvl="0">
      <w:lvlJc w:val="left"/>
      <w:lvlText w:val="•"/>
      <w:numFmt w:val="bullet"/>
      <w:start w:val="1"/>
    </w:lvl>
    <w:lvl w:ilvl="1">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lvl w:ilvl="1">
      <w:lvlJc w:val="left"/>
      <w:lvlText w:val="◦"/>
      <w:numFmt w:val="bullet"/>
      <w:start w:val="1"/>
    </w:lvl>
  </w:abstractNum>
  <w:abstractNum w:abstractNumId="41">
    <w:nsid w:val="885E1B"/>
    <w:multiLevelType w:val="hybridMultilevel"/>
    <w:lvl w:ilvl="0">
      <w:lvlJc w:val="left"/>
      <w:lvlText w:val="•"/>
      <w:numFmt w:val="bullet"/>
      <w:start w:val="1"/>
    </w:lvl>
    <w:lvl w:ilvl="1">
      <w:lvlJc w:val="left"/>
      <w:lvlText w:val="◦"/>
      <w:numFmt w:val="bullet"/>
      <w:start w:val="1"/>
    </w:lvl>
  </w:abstractNum>
  <w:abstractNum w:abstractNumId="42">
    <w:nsid w:val="76272110"/>
    <w:multiLevelType w:val="hybridMultilevel"/>
    <w:lvl w:ilvl="0">
      <w:lvlJc w:val="left"/>
      <w:lvlText w:val="(%1)"/>
      <w:numFmt w:val="decimal"/>
      <w:start w:val="2"/>
    </w:lvl>
  </w:abstractNum>
  <w:abstractNum w:abstractNumId="43">
    <w:nsid w:val="4C04A8AF"/>
    <w:multiLevelType w:val="hybridMultilevel"/>
    <w:lvl w:ilvl="0">
      <w:lvlJc w:val="left"/>
      <w:lvlText w:val="(%1)"/>
      <w:numFmt w:val="decimal"/>
      <w:start w:val="3"/>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1."/>
      <w:numFmt w:val="decimal"/>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1)"/>
      <w:numFmt w:val="decimal"/>
      <w:start w:val="1"/>
    </w:lvl>
  </w:abstractNum>
  <w:abstractNum w:abstractNumId="69">
    <w:nsid w:val="7D5E18F8"/>
    <w:multiLevelType w:val="hybridMultilevel"/>
    <w:lvl w:ilvl="0">
      <w:lvlJc w:val="left"/>
      <w:lvlText w:val="•"/>
      <w:numFmt w:val="bullet"/>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1)"/>
      <w:numFmt w:val="decimal"/>
      <w:start w:val="1"/>
    </w:lvl>
  </w:abstractNum>
  <w:abstractNum w:abstractNumId="75">
    <w:nsid w:val="14FCE74E"/>
    <w:multiLevelType w:val="hybridMultilevel"/>
    <w:lvl w:ilvl="0">
      <w:lvlJc w:val="left"/>
      <w:lvlText w:val="(%1)"/>
      <w:numFmt w:val="decimal"/>
      <w:start w:val="1"/>
    </w:lvl>
  </w:abstractNum>
  <w:abstractNum w:abstractNumId="76">
    <w:nsid w:val="6A3DD3E8"/>
    <w:multiLevelType w:val="hybridMultilevel"/>
    <w:lvl w:ilvl="0">
      <w:lvlJc w:val="left"/>
      <w:lvlText w:val="(%1)"/>
      <w:numFmt w:val="decimal"/>
      <w:start w:val="2"/>
    </w:lvl>
  </w:abstractNum>
  <w:abstractNum w:abstractNumId="77">
    <w:nsid w:val="71C91298"/>
    <w:multiLevelType w:val="hybridMultilevel"/>
    <w:lvl w:ilvl="0">
      <w:lvlJc w:val="left"/>
      <w:lvlText w:val="(%1)"/>
      <w:numFmt w:val="decimal"/>
      <w:start w:val="12"/>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1)"/>
      <w:numFmt w:val="decimal"/>
      <w:start w:val="1"/>
    </w:lvl>
  </w:abstractNum>
  <w:abstractNum w:abstractNumId="81">
    <w:nsid w:val="5092CA79"/>
    <w:multiLevelType w:val="hybridMultilevel"/>
    <w:lvl w:ilvl="0">
      <w:lvlJc w:val="left"/>
      <w:lvlText w:val="(%1)"/>
      <w:numFmt w:val="decimal"/>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1)"/>
      <w:numFmt w:val="decimal"/>
      <w:start w:val="1"/>
    </w:lvl>
    <w:lvl w:ilvl="1">
      <w:lvlJc w:val="left"/>
      <w:lvlText w:val="•"/>
      <w:numFmt w:val="bullet"/>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1."/>
      <w:numFmt w:val="decimal"/>
      <w:start w:val="3"/>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
      <w:numFmt w:val="bullet"/>
      <w:start w:val="1"/>
    </w:lvl>
  </w:abstractNum>
  <w:abstractNum w:abstractNumId="91">
    <w:nsid w:val="415E286C"/>
    <w:multiLevelType w:val="hybridMultilevel"/>
    <w:lvl w:ilvl="0">
      <w:lvlJc w:val="left"/>
      <w:lvlText w:val="(%1)"/>
      <w:numFmt w:val="decimal"/>
      <w:start w:val="1"/>
    </w:lvl>
  </w:abstractNum>
  <w:abstractNum w:abstractNumId="92">
    <w:nsid w:val="7C58FD05"/>
    <w:multiLevelType w:val="hybridMultilevel"/>
    <w:lvl w:ilvl="0">
      <w:lvlJc w:val="left"/>
      <w:lvlText w:val="(%1)"/>
      <w:numFmt w:val="decimal"/>
      <w:start w:val="1"/>
    </w:lvl>
  </w:abstractNum>
  <w:abstractNum w:abstractNumId="93">
    <w:nsid w:val="23D86AAC"/>
    <w:multiLevelType w:val="hybridMultilevel"/>
    <w:lvl w:ilvl="0">
      <w:lvlJc w:val="left"/>
      <w:lvlText w:val="(%1)"/>
      <w:numFmt w:val="decimal"/>
      <w:start w:val="1"/>
    </w:lvl>
  </w:abstractNum>
  <w:abstractNum w:abstractNumId="94">
    <w:nsid w:val="45E6D486"/>
    <w:multiLevelType w:val="hybridMultilevel"/>
    <w:lvl w:ilvl="0">
      <w:lvlJc w:val="left"/>
      <w:lvlText w:val="(%1)"/>
      <w:numFmt w:val="decimal"/>
      <w:start w:val="1"/>
    </w:lvl>
  </w:abstractNum>
  <w:abstractNum w:abstractNumId="95">
    <w:nsid w:val="5C10FE21"/>
    <w:multiLevelType w:val="hybridMultilevel"/>
    <w:lvl w:ilvl="0">
      <w:lvlJc w:val="left"/>
      <w:lvlText w:val="•"/>
      <w:numFmt w:val="bullet"/>
      <w:start w:val="1"/>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
      <w:numFmt w:val="bullet"/>
      <w:start w:val="1"/>
    </w:lvl>
  </w:abstractNum>
  <w:abstractNum w:abstractNumId="98">
    <w:nsid w:val="4BD8591A"/>
    <w:multiLevelType w:val="hybridMultilevel"/>
    <w:lvl w:ilvl="0">
      <w:lvlJc w:val="left"/>
      <w:lvlText w:val="#"/>
      <w:numFmt w:val="bullet"/>
      <w:start w:val="1"/>
    </w:lvl>
  </w:abstractNum>
  <w:abstractNum w:abstractNumId="99">
    <w:nsid w:val="78DF6A55"/>
    <w:multiLevelType w:val="hybridMultilevel"/>
    <w:lvl w:ilvl="0">
      <w:lvlJc w:val="left"/>
      <w:lvlText w:val="*"/>
      <w:numFmt w:val="bullet"/>
      <w:start w:val="1"/>
    </w:lvl>
  </w:abstractNum>
  <w:abstractNum w:abstractNumId="100">
    <w:nsid w:val="39B7AAA2"/>
    <w:multiLevelType w:val="hybridMultilevel"/>
    <w:lvl w:ilvl="0">
      <w:lvlJc w:val="left"/>
      <w:lvlText w:val="(%1)"/>
      <w:numFmt w:val="decimal"/>
      <w:start w:val="1"/>
    </w:lvl>
  </w:abstractNum>
  <w:abstractNum w:abstractNumId="101">
    <w:nsid w:val="2B0D8DBE"/>
    <w:multiLevelType w:val="hybridMultilevel"/>
    <w:lvl w:ilvl="0">
      <w:lvlJc w:val="left"/>
      <w:lvlText w:val="(%1)"/>
      <w:numFmt w:val="decimal"/>
      <w:start w:val="14"/>
    </w:lvl>
  </w:abstractNum>
  <w:abstractNum w:abstractNumId="102">
    <w:nsid w:val="6C80EC70"/>
    <w:multiLevelType w:val="hybridMultilevel"/>
    <w:lvl w:ilvl="0">
      <w:lvlJc w:val="left"/>
      <w:lvlText w:val="•"/>
      <w:numFmt w:val="bullet"/>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
      <w:numFmt w:val="bullet"/>
      <w:start w:val="1"/>
    </w:lvl>
  </w:abstractNum>
  <w:abstractNum w:abstractNumId="106">
    <w:nsid w:val="4C9B0904"/>
    <w:multiLevelType w:val="hybridMultilevel"/>
    <w:lvl w:ilvl="0">
      <w:lvlJc w:val="left"/>
      <w:lvlText w:val="•"/>
      <w:numFmt w:val="bullet"/>
      <w:start w:val="1"/>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
      <w:numFmt w:val="bullet"/>
      <w:start w:val="1"/>
    </w:lvl>
  </w:abstractNum>
  <w:abstractNum w:abstractNumId="110">
    <w:nsid w:val="3DD15094"/>
    <w:multiLevelType w:val="hybridMultilevel"/>
    <w:lvl w:ilvl="0">
      <w:lvlJc w:val="left"/>
      <w:lvlText w:val="(%1)"/>
      <w:numFmt w:val="decimal"/>
      <w:start w:val="1"/>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
      <w:numFmt w:val="bullet"/>
      <w:start w:val="1"/>
    </w:lvl>
  </w:abstractNum>
  <w:abstractNum w:abstractNumId="113">
    <w:nsid w:val="5B25ACE2"/>
    <w:multiLevelType w:val="hybridMultilevel"/>
    <w:lvl w:ilvl="0">
      <w:lvlJc w:val="left"/>
      <w:lvlText w:val="%1."/>
      <w:numFmt w:val="lowerLetter"/>
      <w:start w:val="1"/>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Roman"/>
      <w:start w:val="1"/>
    </w:lvl>
  </w:abstractNum>
  <w:abstractNum w:abstractNumId="116">
    <w:nsid w:val="53B0A9E"/>
    <w:multiLevelType w:val="hybridMultilevel"/>
    <w:lvl w:ilvl="0">
      <w:lvlJc w:val="left"/>
      <w:lvlText w:val="%1."/>
      <w:numFmt w:val="decimal"/>
      <w:start w:val="1"/>
    </w:lvl>
  </w:abstractNum>
  <w:abstractNum w:abstractNumId="117">
    <w:nsid w:val="34FD6B4F"/>
    <w:multiLevelType w:val="hybridMultilevel"/>
    <w:lvl w:ilvl="0">
      <w:lvlJc w:val="left"/>
      <w:lvlText w:val="%1."/>
      <w:numFmt w:val="decimal"/>
      <w:start w:val="2"/>
    </w:lvl>
  </w:abstractNum>
  <w:abstractNum w:abstractNumId="118">
    <w:nsid w:val="5915FF32"/>
    <w:multiLevelType w:val="hybridMultilevel"/>
    <w:lvl w:ilvl="0">
      <w:lvlJc w:val="left"/>
      <w:lvlText w:val="%1."/>
      <w:numFmt w:val="decimal"/>
      <w:start w:val="12"/>
    </w:lvl>
  </w:abstractNum>
  <w:abstractNum w:abstractNumId="119">
    <w:nsid w:val="56438D15"/>
    <w:multiLevelType w:val="hybridMultilevel"/>
    <w:lvl w:ilvl="0">
      <w:lvlJc w:val="left"/>
      <w:lvlText w:val="%1."/>
      <w:numFmt w:val="decimal"/>
      <w:start w:val="3"/>
    </w:lvl>
  </w:abstractNum>
  <w:abstractNum w:abstractNumId="120">
    <w:nsid w:val="519E3149"/>
    <w:multiLevelType w:val="hybridMultilevel"/>
    <w:lvl w:ilvl="0">
      <w:lvlJc w:val="left"/>
      <w:lvlText w:val="%1."/>
      <w:numFmt w:val="decimal"/>
      <w:start w:val="5"/>
    </w:lvl>
  </w:abstractNum>
  <w:abstractNum w:abstractNumId="121">
    <w:nsid w:val="2C6E4AFD"/>
    <w:multiLevelType w:val="hybridMultilevel"/>
    <w:lvl w:ilvl="0">
      <w:lvlJc w:val="left"/>
      <w:lvlText w:val="%1."/>
      <w:numFmt w:val="decimal"/>
      <w:start w:val="6"/>
    </w:lvl>
  </w:abstractNum>
  <w:abstractNum w:abstractNumId="122">
    <w:nsid w:val="17A1B582"/>
    <w:multiLevelType w:val="hybridMultilevel"/>
    <w:lvl w:ilvl="0">
      <w:lvlJc w:val="left"/>
      <w:lvlText w:val="%1."/>
      <w:numFmt w:val="decimal"/>
      <w:start w:val="7"/>
    </w:lvl>
  </w:abstractNum>
  <w:abstractNum w:abstractNumId="123">
    <w:nsid w:val="4DF72E4E"/>
    <w:multiLevelType w:val="hybridMultilevel"/>
    <w:lvl w:ilvl="0">
      <w:lvlJc w:val="left"/>
      <w:lvlText w:val="%1."/>
      <w:numFmt w:val="decimal"/>
      <w:start w:val="8"/>
    </w:lvl>
  </w:abstractNum>
  <w:abstractNum w:abstractNumId="124">
    <w:nsid w:val="5046B5A9"/>
    <w:multiLevelType w:val="hybridMultilevel"/>
    <w:lvl w:ilvl="0">
      <w:lvlJc w:val="left"/>
      <w:lvlText w:val="%1."/>
      <w:numFmt w:val="decimal"/>
      <w:start w:val="9"/>
    </w:lvl>
  </w:abstractNum>
  <w:abstractNum w:abstractNumId="125">
    <w:nsid w:val="5D888A08"/>
    <w:multiLevelType w:val="hybridMultilevel"/>
    <w:lvl w:ilvl="0">
      <w:lvlJc w:val="left"/>
      <w:lvlText w:val="%1."/>
      <w:numFmt w:val="decimal"/>
      <w:start w:val="10"/>
    </w:lvl>
  </w:abstractNum>
  <w:abstractNum w:abstractNumId="126">
    <w:nsid w:val="2A082C70"/>
    <w:multiLevelType w:val="hybridMultilevel"/>
    <w:lvl w:ilvl="0">
      <w:lvlJc w:val="left"/>
      <w:lvlText w:val="%1."/>
      <w:numFmt w:val="decimal"/>
      <w:start w:val="11"/>
    </w:lvl>
  </w:abstractNum>
  <w:abstractNum w:abstractNumId="127">
    <w:nsid w:val="5EC6AFD4"/>
    <w:multiLevelType w:val="hybridMultilevel"/>
    <w:lvl w:ilvl="0">
      <w:lvlJc w:val="left"/>
      <w:lvlText w:val="%1."/>
      <w:numFmt w:val="decimal"/>
      <w:start w:val="12"/>
    </w:lvl>
  </w:abstractNum>
  <w:abstractNum w:abstractNumId="128">
    <w:nsid w:val="19E21BB2"/>
    <w:multiLevelType w:val="hybridMultilevel"/>
    <w:lvl w:ilvl="0">
      <w:lvlJc w:val="left"/>
      <w:lvlText w:val="%1."/>
      <w:numFmt w:val="decimal"/>
      <w:start w:val="13"/>
    </w:lvl>
  </w:abstractNum>
  <w:abstractNum w:abstractNumId="129">
    <w:nsid w:val="75E0858A"/>
    <w:multiLevelType w:val="hybridMultilevel"/>
    <w:lvl w:ilvl="0">
      <w:lvlJc w:val="left"/>
      <w:lvlText w:val="%1."/>
      <w:numFmt w:val="decimal"/>
      <w:start w:val="14"/>
    </w:lvl>
  </w:abstractNum>
  <w:abstractNum w:abstractNumId="130">
    <w:nsid w:val="57A61A29"/>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2021-01-29T05:33:36Z</dcterms:created>
  <dcterms:modified xsi:type="dcterms:W3CDTF">2021-01-29T05:33:36Z</dcterms:modified>
</cp:coreProperties>
</file>