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01" w:lineRule="exact"/>
        <w:rPr>
          <w:sz w:val="24"/>
          <w:szCs w:val="24"/>
          <w:color w:val="auto"/>
        </w:rPr>
      </w:pPr>
    </w:p>
    <w:p>
      <w:pPr>
        <w:ind w:left="2940"/>
        <w:spacing w:after="0"/>
        <w:rPr>
          <w:sz w:val="20"/>
          <w:szCs w:val="20"/>
          <w:color w:val="auto"/>
        </w:rPr>
      </w:pPr>
      <w:r>
        <w:rPr>
          <w:rFonts w:ascii="Arial" w:cs="Arial" w:eastAsia="Arial" w:hAnsi="Arial"/>
          <w:sz w:val="14"/>
          <w:szCs w:val="14"/>
          <w:b w:val="1"/>
          <w:bCs w:val="1"/>
          <w:color w:val="auto"/>
        </w:rPr>
        <w:t>As filed with the Securities and Exchange Commission on March 3, 2022</w:t>
      </w:r>
    </w:p>
    <w:p>
      <w:pPr>
        <w:jc w:val="right"/>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-278130</wp:posOffset>
            </wp:positionH>
            <wp:positionV relativeFrom="paragraph">
              <wp:posOffset>90805</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-278130</wp:posOffset>
            </wp:positionH>
            <wp:positionV relativeFrom="paragraph">
              <wp:posOffset>22225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16" w:lineRule="exact"/>
        <w:rPr>
          <w:sz w:val="24"/>
          <w:szCs w:val="24"/>
          <w:color w:val="auto"/>
        </w:rPr>
      </w:pPr>
    </w:p>
    <w:p>
      <w:pPr>
        <w:jc w:val="center"/>
        <w:ind w:right="420"/>
        <w:spacing w:after="0"/>
        <w:rPr>
          <w:sz w:val="20"/>
          <w:szCs w:val="20"/>
          <w:color w:val="auto"/>
        </w:rPr>
      </w:pPr>
      <w:r>
        <w:rPr>
          <w:rFonts w:ascii="Arial" w:cs="Arial" w:eastAsia="Arial" w:hAnsi="Arial"/>
          <w:sz w:val="29"/>
          <w:szCs w:val="29"/>
          <w:b w:val="1"/>
          <w:bCs w:val="1"/>
          <w:color w:val="auto"/>
        </w:rPr>
        <w:t>UNITED STATES</w:t>
      </w:r>
    </w:p>
    <w:p>
      <w:pPr>
        <w:jc w:val="center"/>
        <w:ind w:right="420"/>
        <w:spacing w:after="0" w:line="214" w:lineRule="auto"/>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4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1667510</wp:posOffset>
            </wp:positionH>
            <wp:positionV relativeFrom="paragraph">
              <wp:posOffset>73025</wp:posOffset>
            </wp:positionV>
            <wp:extent cx="14141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88" w:lineRule="exact"/>
        <w:rPr>
          <w:sz w:val="24"/>
          <w:szCs w:val="24"/>
          <w:color w:val="auto"/>
        </w:rPr>
      </w:pPr>
    </w:p>
    <w:p>
      <w:pPr>
        <w:jc w:val="center"/>
        <w:ind w:right="420"/>
        <w:spacing w:after="0"/>
        <w:rPr>
          <w:sz w:val="20"/>
          <w:szCs w:val="20"/>
          <w:color w:val="auto"/>
        </w:rPr>
      </w:pPr>
      <w:r>
        <w:rPr>
          <w:rFonts w:ascii="Arial" w:cs="Arial" w:eastAsia="Arial" w:hAnsi="Arial"/>
          <w:sz w:val="29"/>
          <w:szCs w:val="29"/>
          <w:b w:val="1"/>
          <w:bCs w:val="1"/>
          <w:color w:val="auto"/>
        </w:rPr>
        <w:t>FORM S-8</w:t>
      </w:r>
    </w:p>
    <w:p>
      <w:pPr>
        <w:jc w:val="center"/>
        <w:ind w:right="420"/>
        <w:spacing w:after="0" w:line="213" w:lineRule="auto"/>
        <w:rPr>
          <w:sz w:val="20"/>
          <w:szCs w:val="20"/>
          <w:color w:val="auto"/>
        </w:rPr>
      </w:pPr>
      <w:r>
        <w:rPr>
          <w:rFonts w:ascii="Arial" w:cs="Arial" w:eastAsia="Arial" w:hAnsi="Arial"/>
          <w:sz w:val="29"/>
          <w:szCs w:val="29"/>
          <w:b w:val="1"/>
          <w:bCs w:val="1"/>
          <w:color w:val="auto"/>
        </w:rPr>
        <w:t>REGISTRATION STATEMENT</w:t>
      </w:r>
    </w:p>
    <w:p>
      <w:pPr>
        <w:jc w:val="center"/>
        <w:ind w:right="420"/>
        <w:spacing w:after="0" w:line="197" w:lineRule="auto"/>
        <w:rPr>
          <w:sz w:val="20"/>
          <w:szCs w:val="20"/>
          <w:color w:val="auto"/>
        </w:rPr>
      </w:pPr>
      <w:r>
        <w:rPr>
          <w:rFonts w:ascii="Arial" w:cs="Arial" w:eastAsia="Arial" w:hAnsi="Arial"/>
          <w:sz w:val="20"/>
          <w:szCs w:val="20"/>
          <w:b w:val="1"/>
          <w:bCs w:val="1"/>
          <w:i w:val="1"/>
          <w:iCs w:val="1"/>
          <w:color w:val="auto"/>
        </w:rPr>
        <w:t>Under</w:t>
      </w:r>
    </w:p>
    <w:p>
      <w:pPr>
        <w:jc w:val="center"/>
        <w:ind w:right="420"/>
        <w:spacing w:after="0"/>
        <w:rPr>
          <w:sz w:val="20"/>
          <w:szCs w:val="20"/>
          <w:color w:val="auto"/>
        </w:rPr>
      </w:pPr>
      <w:r>
        <w:rPr>
          <w:rFonts w:ascii="Arial" w:cs="Arial" w:eastAsia="Arial" w:hAnsi="Arial"/>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1667510</wp:posOffset>
            </wp:positionH>
            <wp:positionV relativeFrom="paragraph">
              <wp:posOffset>51435</wp:posOffset>
            </wp:positionV>
            <wp:extent cx="14141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43" w:lineRule="exact"/>
        <w:rPr>
          <w:sz w:val="24"/>
          <w:szCs w:val="24"/>
          <w:color w:val="auto"/>
        </w:rPr>
      </w:pPr>
    </w:p>
    <w:p>
      <w:pPr>
        <w:jc w:val="center"/>
        <w:ind w:right="420"/>
        <w:spacing w:after="0"/>
        <w:rPr>
          <w:sz w:val="20"/>
          <w:szCs w:val="20"/>
          <w:color w:val="auto"/>
        </w:rPr>
      </w:pPr>
      <w:r>
        <w:rPr>
          <w:rFonts w:ascii="Arial" w:cs="Arial" w:eastAsia="Arial" w:hAnsi="Arial"/>
          <w:sz w:val="40"/>
          <w:szCs w:val="40"/>
          <w:b w:val="1"/>
          <w:bCs w:val="1"/>
          <w:color w:val="auto"/>
        </w:rPr>
        <w:t>SEER, INC.</w:t>
      </w:r>
    </w:p>
    <w:p>
      <w:pPr>
        <w:ind w:left="356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1667510</wp:posOffset>
            </wp:positionH>
            <wp:positionV relativeFrom="paragraph">
              <wp:posOffset>219075</wp:posOffset>
            </wp:positionV>
            <wp:extent cx="14141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ectPr>
          <w:pgSz w:w="11900" w:h="16838" w:orient="portrait"/>
          <w:cols w:equalWidth="0" w:num="1">
            <w:col w:w="10740"/>
          </w:cols>
          <w:pgMar w:left="780" w:top="1440" w:right="3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ind w:left="102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82-1153150</w:t>
      </w:r>
    </w:p>
    <w:p>
      <w:pPr>
        <w:spacing w:after="0" w:line="60" w:lineRule="exact"/>
        <w:rPr>
          <w:sz w:val="24"/>
          <w:szCs w:val="24"/>
          <w:color w:val="auto"/>
        </w:rPr>
      </w:pPr>
    </w:p>
    <w:p>
      <w:pPr>
        <w:sectPr>
          <w:pgSz w:w="11900" w:h="16838" w:orient="portrait"/>
          <w:cols w:equalWidth="0" w:num="2">
            <w:col w:w="7700" w:space="720"/>
            <w:col w:w="2320"/>
          </w:cols>
          <w:pgMar w:left="780" w:top="1440" w:right="379" w:bottom="1440" w:gutter="0" w:footer="0" w:header="0"/>
          <w:type w:val="continuous"/>
        </w:sectPr>
      </w:pPr>
    </w:p>
    <w:p>
      <w:pPr>
        <w:jc w:val="center"/>
        <w:ind w:right="4060"/>
        <w:spacing w:after="0"/>
        <w:rPr>
          <w:sz w:val="20"/>
          <w:szCs w:val="20"/>
          <w:color w:val="auto"/>
        </w:rPr>
      </w:pPr>
      <w:r>
        <w:rPr>
          <w:rFonts w:ascii="Arial" w:cs="Arial" w:eastAsia="Arial" w:hAnsi="Arial"/>
          <w:sz w:val="13"/>
          <w:szCs w:val="13"/>
          <w:b w:val="1"/>
          <w:bCs w:val="1"/>
          <w:color w:val="auto"/>
        </w:rPr>
        <w:t>(State or other jurisdiction of incorporation or</w:t>
      </w:r>
    </w:p>
    <w:p>
      <w:pPr>
        <w:jc w:val="center"/>
        <w:ind w:right="4060"/>
        <w:spacing w:after="0"/>
        <w:rPr>
          <w:sz w:val="20"/>
          <w:szCs w:val="20"/>
          <w:color w:val="auto"/>
        </w:rPr>
      </w:pPr>
      <w:r>
        <w:rPr>
          <w:rFonts w:ascii="Arial" w:cs="Arial" w:eastAsia="Arial" w:hAnsi="Arial"/>
          <w:sz w:val="14"/>
          <w:szCs w:val="14"/>
          <w:b w:val="1"/>
          <w:bCs w:val="1"/>
          <w:color w:val="auto"/>
        </w:rPr>
        <w:t>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1667510</wp:posOffset>
            </wp:positionH>
            <wp:positionV relativeFrom="paragraph">
              <wp:posOffset>296545</wp:posOffset>
            </wp:positionV>
            <wp:extent cx="14141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Number)</w:t>
      </w:r>
    </w:p>
    <w:p>
      <w:pPr>
        <w:spacing w:after="0" w:line="349" w:lineRule="exact"/>
        <w:rPr>
          <w:sz w:val="24"/>
          <w:szCs w:val="24"/>
          <w:color w:val="auto"/>
        </w:rPr>
      </w:pPr>
    </w:p>
    <w:p>
      <w:pPr>
        <w:sectPr>
          <w:pgSz w:w="11900" w:h="16838" w:orient="portrait"/>
          <w:cols w:equalWidth="0" w:num="2">
            <w:col w:w="6920" w:space="720"/>
            <w:col w:w="3100"/>
          </w:cols>
          <w:pgMar w:left="780" w:top="1440" w:right="379" w:bottom="1440" w:gutter="0" w:footer="0" w:header="0"/>
          <w:type w:val="continuous"/>
        </w:sectPr>
      </w:pPr>
    </w:p>
    <w:p>
      <w:pPr>
        <w:spacing w:after="0" w:line="200" w:lineRule="exact"/>
        <w:rPr>
          <w:sz w:val="24"/>
          <w:szCs w:val="24"/>
          <w:color w:val="auto"/>
        </w:rPr>
      </w:pPr>
    </w:p>
    <w:p>
      <w:pPr>
        <w:spacing w:after="0" w:line="281" w:lineRule="exact"/>
        <w:rPr>
          <w:sz w:val="24"/>
          <w:szCs w:val="24"/>
          <w:color w:val="auto"/>
        </w:rPr>
      </w:pPr>
    </w:p>
    <w:p>
      <w:pPr>
        <w:ind w:left="3820"/>
        <w:spacing w:after="0"/>
        <w:rPr>
          <w:sz w:val="20"/>
          <w:szCs w:val="20"/>
          <w:color w:val="auto"/>
        </w:rPr>
      </w:pPr>
      <w:r>
        <w:rPr>
          <w:rFonts w:ascii="Arial" w:cs="Arial" w:eastAsia="Arial" w:hAnsi="Arial"/>
          <w:sz w:val="20"/>
          <w:szCs w:val="20"/>
          <w:b w:val="1"/>
          <w:bCs w:val="1"/>
          <w:color w:val="auto"/>
        </w:rPr>
        <w:t>3800 Bridge Parkway, Suite 102</w:t>
      </w:r>
    </w:p>
    <w:p>
      <w:pPr>
        <w:ind w:left="3820"/>
        <w:spacing w:after="0" w:line="191" w:lineRule="auto"/>
        <w:rPr>
          <w:sz w:val="20"/>
          <w:szCs w:val="20"/>
          <w:color w:val="auto"/>
        </w:rPr>
      </w:pPr>
      <w:r>
        <w:rPr>
          <w:rFonts w:ascii="Arial" w:cs="Arial" w:eastAsia="Arial" w:hAnsi="Arial"/>
          <w:sz w:val="20"/>
          <w:szCs w:val="20"/>
          <w:b w:val="1"/>
          <w:bCs w:val="1"/>
          <w:color w:val="auto"/>
        </w:rPr>
        <w:t>Redwood City, California 94065</w:t>
      </w:r>
    </w:p>
    <w:p>
      <w:pPr>
        <w:ind w:left="3380"/>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2310130</wp:posOffset>
            </wp:positionH>
            <wp:positionV relativeFrom="paragraph">
              <wp:posOffset>64770</wp:posOffset>
            </wp:positionV>
            <wp:extent cx="19456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364" w:lineRule="exact"/>
        <w:rPr>
          <w:sz w:val="24"/>
          <w:szCs w:val="24"/>
          <w:color w:val="auto"/>
        </w:rPr>
      </w:pPr>
    </w:p>
    <w:p>
      <w:pPr>
        <w:ind w:left="4020"/>
        <w:spacing w:after="0"/>
        <w:rPr>
          <w:sz w:val="20"/>
          <w:szCs w:val="20"/>
          <w:color w:val="auto"/>
        </w:rPr>
      </w:pPr>
      <w:r>
        <w:rPr>
          <w:rFonts w:ascii="Arial" w:cs="Arial" w:eastAsia="Arial" w:hAnsi="Arial"/>
          <w:sz w:val="20"/>
          <w:szCs w:val="20"/>
          <w:b w:val="1"/>
          <w:bCs w:val="1"/>
          <w:color w:val="auto"/>
        </w:rPr>
        <w:t>2020 Equity Incentive Plan</w:t>
      </w:r>
    </w:p>
    <w:p>
      <w:pPr>
        <w:ind w:left="3640"/>
        <w:spacing w:after="0" w:line="191" w:lineRule="auto"/>
        <w:rPr>
          <w:sz w:val="20"/>
          <w:szCs w:val="20"/>
          <w:color w:val="auto"/>
        </w:rPr>
      </w:pPr>
      <w:r>
        <w:rPr>
          <w:rFonts w:ascii="Arial" w:cs="Arial" w:eastAsia="Arial" w:hAnsi="Arial"/>
          <w:sz w:val="20"/>
          <w:szCs w:val="20"/>
          <w:b w:val="1"/>
          <w:bCs w:val="1"/>
          <w:color w:val="auto"/>
        </w:rPr>
        <w:t>2020 Employee Stock Purchase Plan</w:t>
      </w:r>
    </w:p>
    <w:p>
      <w:pPr>
        <w:jc w:val="center"/>
        <w:ind w:right="420"/>
        <w:spacing w:after="0"/>
        <w:rPr>
          <w:sz w:val="20"/>
          <w:szCs w:val="20"/>
          <w:color w:val="auto"/>
        </w:rPr>
      </w:pPr>
      <w:r>
        <w:rPr>
          <w:rFonts w:ascii="Arial" w:cs="Arial" w:eastAsia="Arial" w:hAnsi="Arial"/>
          <w:sz w:val="14"/>
          <w:szCs w:val="14"/>
          <w:b w:val="1"/>
          <w:bCs w:val="1"/>
          <w:color w:val="auto"/>
        </w:rPr>
        <w:t>(Full title of plan)</w:t>
      </w:r>
    </w:p>
    <w:p>
      <w:pPr>
        <w:spacing w:after="0" w:line="59" w:lineRule="exact"/>
        <w:rPr>
          <w:sz w:val="24"/>
          <w:szCs w:val="24"/>
          <w:color w:val="auto"/>
        </w:rPr>
      </w:pPr>
    </w:p>
    <w:p>
      <w:pPr>
        <w:jc w:val="center"/>
        <w:ind w:right="420"/>
        <w:spacing w:after="0"/>
        <w:rPr>
          <w:sz w:val="20"/>
          <w:szCs w:val="20"/>
          <w:color w:val="auto"/>
        </w:rPr>
      </w:pPr>
      <w:r>
        <w:rPr>
          <w:rFonts w:ascii="Arial" w:cs="Arial" w:eastAsia="Arial" w:hAnsi="Arial"/>
          <w:sz w:val="18"/>
          <w:szCs w:val="18"/>
          <w:b w:val="1"/>
          <w:bCs w:val="1"/>
          <w:color w:val="auto"/>
        </w:rPr>
        <w:t>Omid Farokhzad, M.D.</w:t>
      </w:r>
    </w:p>
    <w:p>
      <w:pPr>
        <w:jc w:val="center"/>
        <w:ind w:right="420"/>
        <w:spacing w:after="0" w:line="203" w:lineRule="auto"/>
        <w:rPr>
          <w:sz w:val="20"/>
          <w:szCs w:val="20"/>
          <w:color w:val="auto"/>
        </w:rPr>
      </w:pPr>
      <w:r>
        <w:rPr>
          <w:rFonts w:ascii="Arial" w:cs="Arial" w:eastAsia="Arial" w:hAnsi="Arial"/>
          <w:sz w:val="18"/>
          <w:szCs w:val="18"/>
          <w:b w:val="1"/>
          <w:bCs w:val="1"/>
          <w:color w:val="auto"/>
        </w:rPr>
        <w:t>Chief Executive Officer</w:t>
      </w:r>
    </w:p>
    <w:p>
      <w:pPr>
        <w:jc w:val="center"/>
        <w:ind w:right="420"/>
        <w:spacing w:after="0" w:line="203" w:lineRule="auto"/>
        <w:rPr>
          <w:sz w:val="20"/>
          <w:szCs w:val="20"/>
          <w:color w:val="auto"/>
        </w:rPr>
      </w:pPr>
      <w:r>
        <w:rPr>
          <w:rFonts w:ascii="Arial" w:cs="Arial" w:eastAsia="Arial" w:hAnsi="Arial"/>
          <w:sz w:val="18"/>
          <w:szCs w:val="18"/>
          <w:b w:val="1"/>
          <w:bCs w:val="1"/>
          <w:color w:val="auto"/>
        </w:rPr>
        <w:t>Seer, Inc.</w:t>
      </w:r>
    </w:p>
    <w:p>
      <w:pPr>
        <w:jc w:val="center"/>
        <w:ind w:right="420"/>
        <w:spacing w:after="0" w:line="204" w:lineRule="auto"/>
        <w:rPr>
          <w:sz w:val="20"/>
          <w:szCs w:val="20"/>
          <w:color w:val="auto"/>
        </w:rPr>
      </w:pPr>
      <w:r>
        <w:rPr>
          <w:rFonts w:ascii="Arial" w:cs="Arial" w:eastAsia="Arial" w:hAnsi="Arial"/>
          <w:sz w:val="18"/>
          <w:szCs w:val="18"/>
          <w:b w:val="1"/>
          <w:bCs w:val="1"/>
          <w:color w:val="auto"/>
        </w:rPr>
        <w:t>3800 Bridge Parkway, Suite 102</w:t>
      </w:r>
    </w:p>
    <w:p>
      <w:pPr>
        <w:jc w:val="center"/>
        <w:ind w:right="420"/>
        <w:spacing w:after="0" w:line="203" w:lineRule="auto"/>
        <w:rPr>
          <w:sz w:val="20"/>
          <w:szCs w:val="20"/>
          <w:color w:val="auto"/>
        </w:rPr>
      </w:pPr>
      <w:r>
        <w:rPr>
          <w:rFonts w:ascii="Arial" w:cs="Arial" w:eastAsia="Arial" w:hAnsi="Arial"/>
          <w:sz w:val="18"/>
          <w:szCs w:val="18"/>
          <w:b w:val="1"/>
          <w:bCs w:val="1"/>
          <w:color w:val="auto"/>
        </w:rPr>
        <w:t>Redwood City, California 94065</w:t>
      </w:r>
    </w:p>
    <w:p>
      <w:pPr>
        <w:jc w:val="center"/>
        <w:ind w:right="420"/>
        <w:spacing w:after="0" w:line="194" w:lineRule="auto"/>
        <w:rPr>
          <w:sz w:val="20"/>
          <w:szCs w:val="20"/>
          <w:color w:val="auto"/>
        </w:rPr>
      </w:pPr>
      <w:r>
        <w:rPr>
          <w:rFonts w:ascii="Arial" w:cs="Arial" w:eastAsia="Arial" w:hAnsi="Arial"/>
          <w:sz w:val="18"/>
          <w:szCs w:val="18"/>
          <w:b w:val="1"/>
          <w:bCs w:val="1"/>
          <w:color w:val="auto"/>
        </w:rPr>
        <w:t>650-453-0000</w:t>
      </w:r>
    </w:p>
    <w:p>
      <w:pPr>
        <w:spacing w:after="0" w:line="1" w:lineRule="exact"/>
        <w:rPr>
          <w:sz w:val="24"/>
          <w:szCs w:val="24"/>
          <w:color w:val="auto"/>
        </w:rPr>
      </w:pPr>
    </w:p>
    <w:p>
      <w:pPr>
        <w:jc w:val="center"/>
        <w:ind w:right="420"/>
        <w:spacing w:after="0"/>
        <w:rPr>
          <w:sz w:val="20"/>
          <w:szCs w:val="20"/>
          <w:color w:val="auto"/>
        </w:rPr>
      </w:pPr>
      <w:r>
        <w:rPr>
          <w:rFonts w:ascii="Arial" w:cs="Arial" w:eastAsia="Arial" w:hAnsi="Arial"/>
          <w:sz w:val="12"/>
          <w:szCs w:val="12"/>
          <w:b w:val="1"/>
          <w:bCs w:val="1"/>
          <w:color w:val="auto"/>
        </w:rPr>
        <w:t>(Name, address and telephone number, including area code of agent for service)</w:t>
      </w:r>
    </w:p>
    <w:p>
      <w:pPr>
        <w:spacing w:after="0" w:line="97" w:lineRule="exact"/>
        <w:rPr>
          <w:sz w:val="24"/>
          <w:szCs w:val="24"/>
          <w:color w:val="auto"/>
        </w:rPr>
      </w:pPr>
    </w:p>
    <w:p>
      <w:pPr>
        <w:jc w:val="center"/>
        <w:ind w:right="420"/>
        <w:spacing w:after="0"/>
        <w:rPr>
          <w:sz w:val="20"/>
          <w:szCs w:val="20"/>
          <w:color w:val="auto"/>
        </w:rPr>
      </w:pPr>
      <w:r>
        <w:rPr>
          <w:rFonts w:ascii="Arial" w:cs="Arial" w:eastAsia="Arial" w:hAnsi="Arial"/>
          <w:sz w:val="18"/>
          <w:szCs w:val="18"/>
          <w:i w:val="1"/>
          <w:iCs w:val="1"/>
          <w:color w:val="auto"/>
        </w:rPr>
        <w:t>Copies to:</w:t>
      </w:r>
    </w:p>
    <w:p>
      <w:pPr>
        <w:spacing w:after="0" w:line="61" w:lineRule="exact"/>
        <w:rPr>
          <w:sz w:val="24"/>
          <w:szCs w:val="24"/>
          <w:color w:val="auto"/>
        </w:rPr>
      </w:pPr>
    </w:p>
    <w:p>
      <w:pPr>
        <w:jc w:val="center"/>
        <w:ind w:right="420"/>
        <w:spacing w:after="0"/>
        <w:rPr>
          <w:sz w:val="20"/>
          <w:szCs w:val="20"/>
          <w:color w:val="auto"/>
        </w:rPr>
      </w:pPr>
      <w:r>
        <w:rPr>
          <w:rFonts w:ascii="Arial" w:cs="Arial" w:eastAsia="Arial" w:hAnsi="Arial"/>
          <w:sz w:val="18"/>
          <w:szCs w:val="18"/>
          <w:b w:val="1"/>
          <w:bCs w:val="1"/>
          <w:color w:val="auto"/>
        </w:rPr>
        <w:t>Tony Jeffries</w:t>
      </w:r>
    </w:p>
    <w:p>
      <w:pPr>
        <w:jc w:val="center"/>
        <w:ind w:right="420"/>
        <w:spacing w:after="0" w:line="203" w:lineRule="auto"/>
        <w:rPr>
          <w:sz w:val="20"/>
          <w:szCs w:val="20"/>
          <w:color w:val="auto"/>
        </w:rPr>
      </w:pPr>
      <w:r>
        <w:rPr>
          <w:rFonts w:ascii="Arial" w:cs="Arial" w:eastAsia="Arial" w:hAnsi="Arial"/>
          <w:sz w:val="18"/>
          <w:szCs w:val="18"/>
          <w:b w:val="1"/>
          <w:bCs w:val="1"/>
          <w:color w:val="auto"/>
        </w:rPr>
        <w:t>Christina L. Poulsen</w:t>
      </w:r>
    </w:p>
    <w:p>
      <w:pPr>
        <w:jc w:val="center"/>
        <w:ind w:right="420"/>
        <w:spacing w:after="0" w:line="203" w:lineRule="auto"/>
        <w:rPr>
          <w:sz w:val="20"/>
          <w:szCs w:val="20"/>
          <w:color w:val="auto"/>
        </w:rPr>
      </w:pPr>
      <w:r>
        <w:rPr>
          <w:rFonts w:ascii="Arial" w:cs="Arial" w:eastAsia="Arial" w:hAnsi="Arial"/>
          <w:sz w:val="18"/>
          <w:szCs w:val="18"/>
          <w:b w:val="1"/>
          <w:bCs w:val="1"/>
          <w:color w:val="auto"/>
        </w:rPr>
        <w:t>Wilson Sonsini Goodrich &amp; Rosati, P.C.</w:t>
      </w:r>
    </w:p>
    <w:p>
      <w:pPr>
        <w:jc w:val="center"/>
        <w:ind w:right="420"/>
        <w:spacing w:after="0" w:line="204" w:lineRule="auto"/>
        <w:rPr>
          <w:sz w:val="20"/>
          <w:szCs w:val="20"/>
          <w:color w:val="auto"/>
        </w:rPr>
      </w:pPr>
      <w:r>
        <w:rPr>
          <w:rFonts w:ascii="Arial" w:cs="Arial" w:eastAsia="Arial" w:hAnsi="Arial"/>
          <w:sz w:val="18"/>
          <w:szCs w:val="18"/>
          <w:b w:val="1"/>
          <w:bCs w:val="1"/>
          <w:color w:val="auto"/>
        </w:rPr>
        <w:t>650 Page Mill Road</w:t>
      </w:r>
    </w:p>
    <w:p>
      <w:pPr>
        <w:jc w:val="center"/>
        <w:ind w:right="420"/>
        <w:spacing w:after="0" w:line="203" w:lineRule="auto"/>
        <w:rPr>
          <w:sz w:val="20"/>
          <w:szCs w:val="20"/>
          <w:color w:val="auto"/>
        </w:rPr>
      </w:pPr>
      <w:r>
        <w:rPr>
          <w:rFonts w:ascii="Arial" w:cs="Arial" w:eastAsia="Arial" w:hAnsi="Arial"/>
          <w:sz w:val="18"/>
          <w:szCs w:val="18"/>
          <w:b w:val="1"/>
          <w:bCs w:val="1"/>
          <w:color w:val="auto"/>
        </w:rPr>
        <w:t>Palo Alto, California 94304</w:t>
      </w:r>
    </w:p>
    <w:p>
      <w:pPr>
        <w:spacing w:after="0" w:line="1" w:lineRule="exact"/>
        <w:rPr>
          <w:sz w:val="24"/>
          <w:szCs w:val="24"/>
          <w:color w:val="auto"/>
        </w:rPr>
      </w:pPr>
    </w:p>
    <w:p>
      <w:pPr>
        <w:jc w:val="center"/>
        <w:ind w:right="420"/>
        <w:spacing w:after="0"/>
        <w:rPr>
          <w:sz w:val="20"/>
          <w:szCs w:val="20"/>
          <w:color w:val="auto"/>
        </w:rPr>
      </w:pPr>
      <w:r>
        <w:rPr>
          <w:rFonts w:ascii="Arial" w:cs="Arial" w:eastAsia="Arial" w:hAnsi="Arial"/>
          <w:sz w:val="18"/>
          <w:szCs w:val="18"/>
          <w:b w:val="1"/>
          <w:bCs w:val="1"/>
          <w:color w:val="auto"/>
        </w:rPr>
        <w:t>650-493-9300</w:t>
      </w:r>
    </w:p>
    <w:p>
      <w:pPr>
        <w:sectPr>
          <w:pgSz w:w="11900" w:h="16838" w:orient="portrait"/>
          <w:cols w:equalWidth="0" w:num="1">
            <w:col w:w="10740"/>
          </w:cols>
          <w:pgMar w:left="780" w:top="1440" w:right="379" w:bottom="1440" w:gutter="0" w:footer="0" w:header="0"/>
          <w:type w:val="continuous"/>
        </w:sectPr>
      </w:pPr>
    </w:p>
    <w:bookmarkStart w:id="1" w:name="page2"/>
    <w:bookmarkEnd w:id="1"/>
    <w:p>
      <w:pPr>
        <w:ind w:right="380"/>
        <w:spacing w:after="0" w:line="23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8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2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5100" w:type="dxa"/>
            <w:vAlign w:val="bottom"/>
          </w:tcPr>
          <w:p>
            <w:pPr>
              <w:ind w:left="3100"/>
              <w:spacing w:after="0"/>
              <w:rPr>
                <w:sz w:val="20"/>
                <w:szCs w:val="20"/>
                <w:color w:val="auto"/>
              </w:rPr>
            </w:pPr>
            <w:r>
              <w:rPr>
                <w:rFonts w:ascii="Arial" w:cs="Arial" w:eastAsia="Arial" w:hAnsi="Arial"/>
                <w:sz w:val="16"/>
                <w:szCs w:val="16"/>
                <w:color w:val="auto"/>
              </w:rPr>
              <w:t>Accelerated filer</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1820" w:type="dxa"/>
            <w:vAlign w:val="bottom"/>
          </w:tcPr>
          <w:p>
            <w:pPr>
              <w:spacing w:after="0"/>
              <w:rPr>
                <w:sz w:val="20"/>
                <w:szCs w:val="20"/>
                <w:color w:val="auto"/>
              </w:rPr>
            </w:pPr>
            <w:r>
              <w:rPr>
                <w:rFonts w:ascii="Arial" w:cs="Arial" w:eastAsia="Arial" w:hAnsi="Arial"/>
                <w:sz w:val="16"/>
                <w:szCs w:val="16"/>
                <w:color w:val="auto"/>
              </w:rPr>
              <w:t>Non-accelerated filer</w:t>
            </w:r>
          </w:p>
        </w:tc>
        <w:tc>
          <w:tcPr>
            <w:tcW w:w="362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5100" w:type="dxa"/>
            <w:vAlign w:val="bottom"/>
          </w:tcPr>
          <w:p>
            <w:pPr>
              <w:ind w:left="3100"/>
              <w:spacing w:after="0"/>
              <w:rPr>
                <w:sz w:val="20"/>
                <w:szCs w:val="20"/>
                <w:color w:val="auto"/>
              </w:rPr>
            </w:pPr>
            <w:r>
              <w:rPr>
                <w:rFonts w:ascii="Arial" w:cs="Arial" w:eastAsia="Arial" w:hAnsi="Arial"/>
                <w:sz w:val="16"/>
                <w:szCs w:val="16"/>
                <w:color w:val="auto"/>
              </w:rPr>
              <w:t>Smaller reporting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82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5100" w:type="dxa"/>
            <w:vAlign w:val="bottom"/>
          </w:tcPr>
          <w:p>
            <w:pPr>
              <w:ind w:left="3100"/>
              <w:spacing w:after="0"/>
              <w:rPr>
                <w:sz w:val="20"/>
                <w:szCs w:val="20"/>
                <w:color w:val="auto"/>
              </w:rPr>
            </w:pPr>
            <w:r>
              <w:rPr>
                <w:rFonts w:ascii="Arial" w:cs="Arial" w:eastAsia="Arial" w:hAnsi="Arial"/>
                <w:sz w:val="16"/>
                <w:szCs w:val="16"/>
                <w:color w:val="auto"/>
              </w:rPr>
              <w:t>Emerging growth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55" w:lineRule="exact"/>
        <w:rPr>
          <w:sz w:val="20"/>
          <w:szCs w:val="20"/>
          <w:color w:val="auto"/>
        </w:rPr>
      </w:pPr>
    </w:p>
    <w:p>
      <w:pPr>
        <w:ind w:right="80"/>
        <w:spacing w:after="0" w:line="21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1959610</wp:posOffset>
            </wp:positionH>
            <wp:positionV relativeFrom="paragraph">
              <wp:posOffset>142875</wp:posOffset>
            </wp:positionV>
            <wp:extent cx="14141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EXPLANATORY NOTE</w:t>
      </w:r>
    </w:p>
    <w:p>
      <w:pPr>
        <w:spacing w:after="0" w:line="135" w:lineRule="exact"/>
        <w:rPr>
          <w:sz w:val="20"/>
          <w:szCs w:val="20"/>
          <w:color w:val="auto"/>
        </w:rPr>
      </w:pPr>
    </w:p>
    <w:p>
      <w:pPr>
        <w:ind w:right="20"/>
        <w:spacing w:after="0" w:line="222" w:lineRule="auto"/>
        <w:rPr>
          <w:sz w:val="20"/>
          <w:szCs w:val="20"/>
          <w:color w:val="auto"/>
        </w:rPr>
      </w:pPr>
      <w:r>
        <w:rPr>
          <w:rFonts w:ascii="Arial" w:cs="Arial" w:eastAsia="Arial" w:hAnsi="Arial"/>
          <w:sz w:val="17"/>
          <w:szCs w:val="17"/>
          <w:color w:val="auto"/>
        </w:rPr>
        <w:t>This Registration Statement on Form S-8 (the “Registration Statement”) registers additional shares of Class A Common Stock (“Shares”) of Seer, Inc. (the “Registrant”) reserved for issuance under the Registrant’s 2020 Equity Incentive Plan (the “2020 Plan”) and 2020 Employee Stock Purchase Plan (the “2020 ESPP”). The number of Shares available for grant and issuance under the 2020 Plan is subject to an annual increase, starting on January 1, 2021, on the first day of each fiscal year, by an amount equal to the least of (i) 9,037,149 Shares, (ii) five percent (5%) of the outstanding shares of all classes of the Registrant’s common stock on the last day of the immediately preceding fiscal year or (iii) such number of Shares determined by the Registrant’s board of directors. The number of Shares available for grant and issuance under the 2020 ESPP is subject to an annual increase, starting on January 1, 2021, on the first day of each fiscal year, by an amount equal to the least of (i) 1,807,476 Shares, (ii) one percent (1%) of the outstanding shares of all classes of the Registrant’s common stock on the last day of the immediately preceding fiscal year or (iii) such number of Shares determined by the Registrant’s board of directors.</w:t>
      </w:r>
    </w:p>
    <w:p>
      <w:pPr>
        <w:spacing w:after="0" w:line="114"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This Registration Statement registers (1) an aggregate of 6,063,827 Shares available for grant and issuance under the 2020 Plan, 2,963,053 of which became available for grant and issuance under the 2020 Plan on January 1, 2021 and 3,100,774 of which became available for grant and issuance under the 2020 Plan on January 1, 2022, and (2) 592,610 Shares available for issuance under the 2020 ESPP, which became available for issuance under the 2020 ESPP on January 1, 2021. The Registrant’s board of directors elected not to increase the Shares reserved under the 2020 ESPP on January 1, 2022.</w:t>
      </w:r>
    </w:p>
    <w:p>
      <w:pPr>
        <w:sectPr>
          <w:pgSz w:w="11900" w:h="16838" w:orient="portrait"/>
          <w:cols w:equalWidth="0" w:num="1">
            <w:col w:w="11160"/>
          </w:cols>
          <w:pgMar w:left="320" w:top="1403" w:right="419" w:bottom="1440" w:gutter="0" w:footer="0" w:header="0"/>
        </w:sectPr>
      </w:pPr>
    </w:p>
    <w:bookmarkStart w:id="2" w:name="page3"/>
    <w:bookmarkEnd w:id="2"/>
    <w:p>
      <w:pPr>
        <w:spacing w:after="0" w:line="200" w:lineRule="exact"/>
        <w:rPr>
          <w:sz w:val="20"/>
          <w:szCs w:val="20"/>
          <w:color w:val="auto"/>
        </w:rPr>
      </w:pPr>
    </w:p>
    <w:p>
      <w:pPr>
        <w:spacing w:after="0" w:line="33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PART I</w:t>
      </w:r>
    </w:p>
    <w:p>
      <w:pPr>
        <w:spacing w:after="0" w:line="13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INFORMATION REQUIRED IN THE PROSPECTUS</w:t>
      </w:r>
    </w:p>
    <w:p>
      <w:pPr>
        <w:spacing w:after="0" w:line="135" w:lineRule="exact"/>
        <w:rPr>
          <w:sz w:val="20"/>
          <w:szCs w:val="20"/>
          <w:color w:val="auto"/>
        </w:rPr>
      </w:pPr>
    </w:p>
    <w:p>
      <w:pPr>
        <w:spacing w:after="0" w:line="219" w:lineRule="auto"/>
        <w:rPr>
          <w:sz w:val="20"/>
          <w:szCs w:val="20"/>
          <w:color w:val="auto"/>
        </w:rPr>
      </w:pPr>
      <w:r>
        <w:rPr>
          <w:rFonts w:ascii="Arial" w:cs="Arial" w:eastAsia="Arial" w:hAnsi="Arial"/>
          <w:sz w:val="18"/>
          <w:szCs w:val="18"/>
          <w:color w:val="auto"/>
        </w:rPr>
        <w:t>The information specified in Item 1 and Item 2 of Part I of Form S-8 is omitted from this Registration Statement in accordance with the provisions of Rule 428 under the Securities Act of 1933, as amended (the “Securities Act”) and the introductory note to Part I of Form S-8. The documents containing the information specified in Part I of Form S-8 will be delivered to the participants in the equity benefit plans covered by this Registration Statement as specified by Rule 428(b)(1) under the Securities Act.</w:t>
      </w:r>
    </w:p>
    <w:p>
      <w:pPr>
        <w:sectPr>
          <w:pgSz w:w="11900" w:h="16838" w:orient="portrait"/>
          <w:cols w:equalWidth="0" w:num="1">
            <w:col w:w="10980"/>
          </w:cols>
          <w:pgMar w:left="320" w:top="1440" w:right="599" w:bottom="1440" w:gutter="0" w:footer="0" w:header="0"/>
        </w:sectPr>
      </w:pPr>
    </w:p>
    <w:bookmarkStart w:id="3" w:name="page4"/>
    <w:bookmarkEnd w:id="3"/>
    <w:p>
      <w:pPr>
        <w:spacing w:after="0" w:line="200" w:lineRule="exact"/>
        <w:rPr>
          <w:sz w:val="20"/>
          <w:szCs w:val="20"/>
          <w:color w:val="auto"/>
        </w:rPr>
      </w:pPr>
    </w:p>
    <w:p>
      <w:pPr>
        <w:spacing w:after="0" w:line="331"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PART II</w:t>
      </w:r>
    </w:p>
    <w:p>
      <w:pPr>
        <w:spacing w:after="0" w:line="131"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INFORMATION REQUIRED IN REGISTRATION STATEMENT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The Registrant hereby incorporates by reference into this Registration Statement the following documents previously filed with the Securities and</w:t>
      </w:r>
    </w:p>
    <w:p>
      <w:pPr>
        <w:spacing w:after="0"/>
        <w:rPr>
          <w:sz w:val="20"/>
          <w:szCs w:val="20"/>
          <w:color w:val="auto"/>
        </w:rPr>
      </w:pPr>
      <w:r>
        <w:rPr>
          <w:rFonts w:ascii="Arial" w:cs="Arial" w:eastAsia="Arial" w:hAnsi="Arial"/>
          <w:sz w:val="18"/>
          <w:szCs w:val="18"/>
          <w:color w:val="auto"/>
        </w:rPr>
        <w:t>Exchange Commission (the “Commission”):</w:t>
      </w:r>
    </w:p>
    <w:p>
      <w:pPr>
        <w:spacing w:after="0" w:line="115" w:lineRule="exact"/>
        <w:rPr>
          <w:sz w:val="20"/>
          <w:szCs w:val="20"/>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The Registrant’s Annual Report on Form 10-K for the fiscal year ended December 31, 2021, filed with the Commission on </w:t>
      </w:r>
      <w:hyperlink r:id="rId16">
        <w:r>
          <w:rPr>
            <w:rFonts w:ascii="Arial" w:cs="Arial" w:eastAsia="Arial" w:hAnsi="Arial"/>
            <w:sz w:val="18"/>
            <w:szCs w:val="18"/>
            <w:u w:val="single" w:color="auto"/>
            <w:color w:val="0000FF"/>
          </w:rPr>
          <w:t>March 1, 2022</w:t>
        </w:r>
      </w:hyperlink>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right="80" w:firstLine="8"/>
        <w:spacing w:after="0" w:line="289" w:lineRule="auto"/>
        <w:tabs>
          <w:tab w:leader="none" w:pos="255" w:val="left"/>
        </w:tabs>
        <w:numPr>
          <w:ilvl w:val="0"/>
          <w:numId w:val="1"/>
        </w:numPr>
        <w:rPr>
          <w:rFonts w:ascii="Arial" w:cs="Arial" w:eastAsia="Arial" w:hAnsi="Arial"/>
          <w:sz w:val="16"/>
          <w:szCs w:val="16"/>
          <w:color w:val="auto"/>
        </w:rPr>
      </w:pPr>
      <w:r>
        <w:rPr>
          <w:rFonts w:ascii="Arial" w:cs="Arial" w:eastAsia="Arial" w:hAnsi="Arial"/>
          <w:sz w:val="16"/>
          <w:szCs w:val="16"/>
          <w:color w:val="auto"/>
        </w:rPr>
        <w:t>All other reports filed pursuant to Section 13(a) or 15(d) of the Securities Exchange Act of 1934, as amended (the “Exchange Act”) since the end of the fiscal year covered by the Registrant’s Annual Report referred to in (a) above (other than the portions of these documents not deemed to be filed); and</w:t>
      </w:r>
    </w:p>
    <w:p>
      <w:pPr>
        <w:spacing w:after="0" w:line="69" w:lineRule="exact"/>
        <w:rPr>
          <w:rFonts w:ascii="Arial" w:cs="Arial" w:eastAsia="Arial" w:hAnsi="Arial"/>
          <w:sz w:val="16"/>
          <w:szCs w:val="16"/>
          <w:color w:val="auto"/>
        </w:rPr>
      </w:pPr>
    </w:p>
    <w:p>
      <w:pPr>
        <w:ind w:right="80" w:firstLine="8"/>
        <w:spacing w:after="0" w:line="224" w:lineRule="auto"/>
        <w:tabs>
          <w:tab w:leader="none" w:pos="255"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The description of the Registrant’s common stock contained in the Company’s Registration Statement on Form 8-A (File No. 001-39747) filed with the Commission on </w:t>
      </w:r>
      <w:hyperlink r:id="rId17">
        <w:r>
          <w:rPr>
            <w:rFonts w:ascii="Arial" w:cs="Arial" w:eastAsia="Arial" w:hAnsi="Arial"/>
            <w:sz w:val="18"/>
            <w:szCs w:val="18"/>
            <w:u w:val="single" w:color="auto"/>
            <w:color w:val="0000FF"/>
          </w:rPr>
          <w:t>November 30, 2020</w:t>
        </w:r>
      </w:hyperlink>
      <w:r>
        <w:rPr>
          <w:rFonts w:ascii="Arial" w:cs="Arial" w:eastAsia="Arial" w:hAnsi="Arial"/>
          <w:sz w:val="18"/>
          <w:szCs w:val="18"/>
          <w:color w:val="auto"/>
        </w:rPr>
        <w:t>, pursuant to Section 12(b) of the Exchange Act, including any amendment or report filed for the purpose of updating such description.</w:t>
      </w:r>
    </w:p>
    <w:p>
      <w:pPr>
        <w:spacing w:after="0" w:line="109" w:lineRule="exact"/>
        <w:rPr>
          <w:rFonts w:ascii="Arial" w:cs="Arial" w:eastAsia="Arial" w:hAnsi="Arial"/>
          <w:sz w:val="18"/>
          <w:szCs w:val="18"/>
          <w:color w:val="auto"/>
        </w:rPr>
      </w:pPr>
    </w:p>
    <w:p>
      <w:pPr>
        <w:spacing w:after="0" w:line="228" w:lineRule="auto"/>
        <w:rPr>
          <w:sz w:val="20"/>
          <w:szCs w:val="20"/>
          <w:color w:val="auto"/>
        </w:rPr>
      </w:pPr>
      <w:r>
        <w:rPr>
          <w:rFonts w:ascii="Arial" w:cs="Arial" w:eastAsia="Arial" w:hAnsi="Arial"/>
          <w:sz w:val="17"/>
          <w:szCs w:val="17"/>
          <w:color w:val="auto"/>
        </w:rPr>
        <w:t xml:space="preserve">All documents filed by the Registrant pursuant to Sections 13(a), 13(c), 14 and 15(d) of the Exchange Act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part hereof from the date of filing of such documents;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documents or information deemed to have been furnished and not filed in accordance with the rules of the Commission shall not be deemed incorporated by reference into this Registration Statement.</w:t>
      </w:r>
    </w:p>
    <w:p>
      <w:pPr>
        <w:spacing w:after="0" w:line="111" w:lineRule="exact"/>
        <w:rPr>
          <w:rFonts w:ascii="Arial" w:cs="Arial" w:eastAsia="Arial" w:hAnsi="Arial"/>
          <w:sz w:val="18"/>
          <w:szCs w:val="18"/>
          <w:color w:val="auto"/>
        </w:rPr>
      </w:pPr>
    </w:p>
    <w:p>
      <w:pPr>
        <w:jc w:val="both"/>
        <w:ind w:right="200"/>
        <w:spacing w:after="0" w:line="219" w:lineRule="auto"/>
        <w:rPr>
          <w:sz w:val="20"/>
          <w:szCs w:val="20"/>
          <w:color w:val="auto"/>
        </w:rPr>
      </w:pPr>
      <w:r>
        <w:rPr>
          <w:rFonts w:ascii="Arial" w:cs="Arial" w:eastAsia="Arial" w:hAnsi="Arial"/>
          <w:sz w:val="18"/>
          <w:szCs w:val="18"/>
          <w:color w:val="auto"/>
        </w:rPr>
        <w:t>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05"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135"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Not applicable.</w:t>
      </w:r>
    </w:p>
    <w:p>
      <w:pPr>
        <w:spacing w:after="0" w:line="127"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135"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Not applicable.</w:t>
      </w:r>
    </w:p>
    <w:p>
      <w:pPr>
        <w:spacing w:after="0" w:line="127"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135" w:lineRule="exact"/>
        <w:rPr>
          <w:rFonts w:ascii="Arial" w:cs="Arial" w:eastAsia="Arial" w:hAnsi="Arial"/>
          <w:sz w:val="18"/>
          <w:szCs w:val="18"/>
          <w:color w:val="auto"/>
        </w:rPr>
      </w:pPr>
    </w:p>
    <w:p>
      <w:pPr>
        <w:ind w:right="40"/>
        <w:spacing w:after="0" w:line="234" w:lineRule="auto"/>
        <w:rPr>
          <w:sz w:val="20"/>
          <w:szCs w:val="20"/>
          <w:color w:val="auto"/>
        </w:rPr>
      </w:pPr>
      <w:r>
        <w:rPr>
          <w:rFonts w:ascii="Arial" w:cs="Arial" w:eastAsia="Arial" w:hAnsi="Arial"/>
          <w:sz w:val="16"/>
          <w:szCs w:val="16"/>
          <w:color w:val="auto"/>
        </w:rPr>
        <w:t>Section 145 of the Delaware General Corporation Law, or DGCL, empowers a corporation to indemnify its directors and officers and to purchase insurance with respect to liability arising out of their capacity or status as directors and officers, provided that the person acted in good faith and in a manner the person reasonably believed to be in our best interests, and, with respect to any criminal action, had no reasonable cause to believe the person’s actions were unlawful. The DGCL further provides that the indemnification permitted thereunder shall not be deemed exclusive of any other rights to which the directors and officers may be entitled under the corporation’s bylaws, any agreement, a vote of stockholders or otherwise. The certificate of incorporation of the registrant to be in effect upon the completion of this offering provides for the indemnification of the registrant’s directors and officers to the fullest extent permitted under the DGCL. In addition, the bylaws of the registrant to be in effect upon the completion of this offering require the registrant to fully indemnify any person who was or is a party or is threatened to be made a party to any threatened, pending or completed action, suit or proceeding (whether civil, criminal, administrative or investigative) by reason of the fact that such person is or was a director or officer of the registrant, or is or was a director or officer of the registrant serving at the registrant’s request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to the fullest extent permitted by applicable law.</w:t>
      </w:r>
    </w:p>
    <w:p>
      <w:pPr>
        <w:spacing w:after="0" w:line="115" w:lineRule="exact"/>
        <w:rPr>
          <w:rFonts w:ascii="Arial" w:cs="Arial" w:eastAsia="Arial" w:hAnsi="Arial"/>
          <w:sz w:val="18"/>
          <w:szCs w:val="18"/>
          <w:color w:val="auto"/>
        </w:rPr>
      </w:pPr>
    </w:p>
    <w:p>
      <w:pPr>
        <w:ind w:right="80"/>
        <w:spacing w:after="0" w:line="224" w:lineRule="auto"/>
        <w:rPr>
          <w:sz w:val="20"/>
          <w:szCs w:val="20"/>
          <w:color w:val="auto"/>
        </w:rPr>
      </w:pPr>
      <w:r>
        <w:rPr>
          <w:rFonts w:ascii="Arial" w:cs="Arial" w:eastAsia="Arial" w:hAnsi="Arial"/>
          <w:sz w:val="18"/>
          <w:szCs w:val="18"/>
          <w:color w:val="auto"/>
        </w:rPr>
        <w:t>Section 102(b)(7) of the DGCL permits a corporation to provide in its certificate of incorporation that a director of the corporation shall not be personally liable to the corporation or its stockholders for monetary damages for breach of fiduciary duty as a director, except (1) for any breach of the director’s duty of loyalty to the corporation or</w:t>
      </w:r>
    </w:p>
    <w:p>
      <w:pPr>
        <w:sectPr>
          <w:pgSz w:w="11900" w:h="16838" w:orient="portrait"/>
          <w:cols w:equalWidth="0" w:num="1">
            <w:col w:w="11240"/>
          </w:cols>
          <w:pgMar w:left="320" w:top="1440" w:right="339" w:bottom="1440" w:gutter="0" w:footer="0" w:header="0"/>
        </w:sectPr>
      </w:pPr>
    </w:p>
    <w:bookmarkStart w:id="4" w:name="page5"/>
    <w:bookmarkEnd w:id="4"/>
    <w:p>
      <w:pPr>
        <w:spacing w:after="0" w:line="214" w:lineRule="auto"/>
        <w:rPr>
          <w:sz w:val="20"/>
          <w:szCs w:val="20"/>
          <w:color w:val="auto"/>
        </w:rPr>
      </w:pPr>
      <w:r>
        <w:rPr>
          <w:rFonts w:ascii="Arial" w:cs="Arial" w:eastAsia="Arial" w:hAnsi="Arial"/>
          <w:sz w:val="18"/>
          <w:szCs w:val="18"/>
          <w:color w:val="auto"/>
        </w:rPr>
        <w:t>its stockholders, (2) for acts or omissions not in good faith or which involve intentional misconduct or a knowing violation of law, (3) for payments of unlawful dividends or unlawful stock repurchases or redemptions or (4) for any transaction from which the director derived an improper personal benefit. The registrant’s certificate of incorporation to be in effect upon the completion of this offering provides that the registrant’s directors shall not be personally liable to it or its stockholders for monetary damages for breach of fiduciary duty as a director and that if the DGCL is amended to authorize corporate action further eliminating or limiting the personal liability of directors, then the liability of the registrant’s directors shall be eliminated or limited to the fullest extent permitted by the DGCL, as so amended.</w:t>
      </w:r>
    </w:p>
    <w:p>
      <w:pPr>
        <w:spacing w:after="0" w:line="108"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auto"/>
        </w:rPr>
        <w:t>Section 174 of the DGCL provides, among other things, that a director who willfully or negligently approves of an unlawful payment of dividends or an unlawful stock purchase or redemption may be held liable for such actions. A director who was either absent when the unlawful actions were approved, or dissented at the time, may avoid liability by causing his or her dissent to such actions to be entered in the books containing minutes of the meetings of the board of directors at the time such action occurred or immediately after such absent director receives notice of the unlawful acts.</w:t>
      </w:r>
    </w:p>
    <w:p>
      <w:pPr>
        <w:spacing w:after="0" w:line="100" w:lineRule="exact"/>
        <w:rPr>
          <w:sz w:val="20"/>
          <w:szCs w:val="20"/>
          <w:color w:val="auto"/>
        </w:rPr>
      </w:pPr>
    </w:p>
    <w:p>
      <w:pPr>
        <w:jc w:val="both"/>
        <w:ind w:right="40"/>
        <w:spacing w:after="0" w:line="224" w:lineRule="auto"/>
        <w:rPr>
          <w:sz w:val="20"/>
          <w:szCs w:val="20"/>
          <w:color w:val="auto"/>
        </w:rPr>
      </w:pPr>
      <w:r>
        <w:rPr>
          <w:rFonts w:ascii="Arial" w:cs="Arial" w:eastAsia="Arial" w:hAnsi="Arial"/>
          <w:sz w:val="18"/>
          <w:szCs w:val="18"/>
          <w:color w:val="auto"/>
        </w:rPr>
        <w:t>As permitted by the DGCL, the registrant intends to enter into separate indemnification agreements with each of the registrant’s directors and certain of the registrant’s officers which would require the registrant, among other things, to indemnify them against certain liabilities which may arise by reason of their status as directors, officers or certain other employees.</w:t>
      </w:r>
    </w:p>
    <w:p>
      <w:pPr>
        <w:spacing w:after="0" w:line="109"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The registrant expects to obtain and maintain insurance policies under which its directors and officers are insured, within the limits and subject to the limitations of those policies, against certain expenses in connection with the defense of, and certain liabilities which might be imposed as a result of, actions, suits or proceedings to which they are parties by reason of being or having been directors or officers. The coverage provided by these policies may apply whether or not the registrant would have the power to indemnify such person against such liability under the provisions of the DGCL.</w:t>
      </w:r>
    </w:p>
    <w:p>
      <w:pPr>
        <w:spacing w:after="0" w:line="100" w:lineRule="exact"/>
        <w:rPr>
          <w:sz w:val="20"/>
          <w:szCs w:val="20"/>
          <w:color w:val="auto"/>
        </w:rPr>
      </w:pPr>
    </w:p>
    <w:p>
      <w:pPr>
        <w:ind w:right="180"/>
        <w:spacing w:after="0" w:line="224" w:lineRule="auto"/>
        <w:rPr>
          <w:sz w:val="20"/>
          <w:szCs w:val="20"/>
          <w:color w:val="auto"/>
        </w:rPr>
      </w:pPr>
      <w:r>
        <w:rPr>
          <w:rFonts w:ascii="Arial" w:cs="Arial" w:eastAsia="Arial" w:hAnsi="Arial"/>
          <w:sz w:val="18"/>
          <w:szCs w:val="18"/>
          <w:color w:val="auto"/>
        </w:rPr>
        <w:t>These indemnification provisions and the indemnification agreements intended to be entered into between the registrant and the registrant’s officers and directors may be sufficiently broad to permit indemnification of the registrant’s officers and directors for liabilities (including reimbursement of expenses incurred) arising under the Securities Act.</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17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9940" w:type="dxa"/>
            <w:vAlign w:val="bottom"/>
            <w:gridSpan w:val="8"/>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8"/>
        </w:trPr>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9940" w:type="dxa"/>
            <w:vAlign w:val="bottom"/>
            <w:gridSpan w:val="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960" w:type="dxa"/>
            <w:vAlign w:val="bottom"/>
            <w:tcBorders>
              <w:top w:val="single" w:sz="8" w:color="auto"/>
            </w:tcBorders>
          </w:tcPr>
          <w:p>
            <w:pPr>
              <w:ind w:left="20"/>
              <w:spacing w:after="0" w:line="184" w:lineRule="exact"/>
              <w:rPr>
                <w:sz w:val="20"/>
                <w:szCs w:val="20"/>
                <w:color w:val="auto"/>
              </w:rPr>
            </w:pPr>
            <w:r>
              <w:rPr>
                <w:rFonts w:ascii="Arial" w:cs="Arial" w:eastAsia="Arial" w:hAnsi="Arial"/>
                <w:sz w:val="18"/>
                <w:szCs w:val="18"/>
                <w:color w:val="auto"/>
              </w:rPr>
              <w:t>4.1</w:t>
            </w:r>
            <w:r>
              <w:rPr>
                <w:rFonts w:ascii="Arial" w:cs="Arial" w:eastAsia="Arial" w:hAnsi="Arial"/>
                <w:sz w:val="11"/>
                <w:szCs w:val="11"/>
                <w:color w:val="auto"/>
              </w:rPr>
              <w:t>(1)</w:t>
            </w:r>
          </w:p>
        </w:tc>
        <w:tc>
          <w:tcPr>
            <w:tcW w:w="2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940" w:type="dxa"/>
            <w:vAlign w:val="bottom"/>
            <w:tcBorders>
              <w:top w:val="single" w:sz="8" w:color="auto"/>
            </w:tcBorders>
            <w:gridSpan w:val="8"/>
          </w:tcPr>
          <w:p>
            <w:pPr>
              <w:spacing w:after="0" w:line="184" w:lineRule="exact"/>
              <w:rPr>
                <w:rFonts w:ascii="Arial" w:cs="Arial" w:eastAsia="Arial" w:hAnsi="Arial"/>
                <w:sz w:val="18"/>
                <w:szCs w:val="18"/>
                <w:color w:val="0000FF"/>
              </w:rPr>
            </w:pPr>
            <w:hyperlink r:id="rId18">
              <w:r>
                <w:rPr>
                  <w:rFonts w:ascii="Arial" w:cs="Arial" w:eastAsia="Arial" w:hAnsi="Arial"/>
                  <w:sz w:val="18"/>
                  <w:szCs w:val="18"/>
                  <w:color w:val="0000FF"/>
                </w:rPr>
                <w:t>Form of common stock certificate of the Registrant.</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60" w:type="dxa"/>
            <w:vAlign w:val="bottom"/>
          </w:tcPr>
          <w:p>
            <w:pPr>
              <w:ind w:left="20"/>
              <w:spacing w:after="0"/>
              <w:rPr>
                <w:sz w:val="20"/>
                <w:szCs w:val="20"/>
                <w:color w:val="auto"/>
              </w:rPr>
            </w:pPr>
            <w:r>
              <w:rPr>
                <w:rFonts w:ascii="Arial" w:cs="Arial" w:eastAsia="Arial" w:hAnsi="Arial"/>
                <w:sz w:val="18"/>
                <w:szCs w:val="18"/>
                <w:color w:val="auto"/>
              </w:rPr>
              <w:t>4.2</w:t>
            </w:r>
            <w:r>
              <w:rPr>
                <w:rFonts w:ascii="Arial" w:cs="Arial" w:eastAsia="Arial" w:hAnsi="Arial"/>
                <w:sz w:val="11"/>
                <w:szCs w:val="11"/>
                <w:color w:val="auto"/>
              </w:rPr>
              <w:t>(2)</w:t>
            </w: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Borders>
              <w:bottom w:val="single" w:sz="8" w:color="0000FF"/>
            </w:tcBorders>
          </w:tcPr>
          <w:p>
            <w:pPr>
              <w:spacing w:after="0"/>
              <w:rPr>
                <w:rFonts w:ascii="Arial" w:cs="Arial" w:eastAsia="Arial" w:hAnsi="Arial"/>
                <w:sz w:val="18"/>
                <w:szCs w:val="18"/>
                <w:color w:val="0000FF"/>
                <w:w w:val="89"/>
              </w:rPr>
            </w:pPr>
            <w:hyperlink r:id="rId19">
              <w:r>
                <w:rPr>
                  <w:rFonts w:ascii="Arial" w:cs="Arial" w:eastAsia="Arial" w:hAnsi="Arial"/>
                  <w:sz w:val="18"/>
                  <w:szCs w:val="18"/>
                  <w:color w:val="0000FF"/>
                  <w:w w:val="89"/>
                </w:rPr>
                <w:t>2020</w:t>
              </w:r>
            </w:hyperlink>
          </w:p>
        </w:tc>
        <w:tc>
          <w:tcPr>
            <w:tcW w:w="3740" w:type="dxa"/>
            <w:vAlign w:val="bottom"/>
            <w:tcBorders>
              <w:bottom w:val="single" w:sz="8" w:color="0000FF"/>
            </w:tcBorders>
            <w:gridSpan w:val="4"/>
          </w:tcPr>
          <w:p>
            <w:pPr>
              <w:ind w:left="40"/>
              <w:spacing w:after="0"/>
              <w:rPr>
                <w:rFonts w:ascii="Arial" w:cs="Arial" w:eastAsia="Arial" w:hAnsi="Arial"/>
                <w:sz w:val="18"/>
                <w:szCs w:val="18"/>
                <w:color w:val="0000FF"/>
                <w:w w:val="89"/>
              </w:rPr>
            </w:pPr>
            <w:hyperlink r:id="rId19">
              <w:r>
                <w:rPr>
                  <w:rFonts w:ascii="Arial" w:cs="Arial" w:eastAsia="Arial" w:hAnsi="Arial"/>
                  <w:sz w:val="18"/>
                  <w:szCs w:val="18"/>
                  <w:color w:val="0000FF"/>
                  <w:w w:val="89"/>
                </w:rPr>
                <w:t>Equity Incentive Plan and related form agreements.</w:t>
              </w:r>
            </w:hyperlink>
          </w:p>
        </w:tc>
        <w:tc>
          <w:tcPr>
            <w:tcW w:w="582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960" w:type="dxa"/>
            <w:vAlign w:val="bottom"/>
          </w:tcPr>
          <w:p>
            <w:pPr>
              <w:ind w:left="20"/>
              <w:spacing w:after="0"/>
              <w:rPr>
                <w:sz w:val="20"/>
                <w:szCs w:val="20"/>
                <w:color w:val="auto"/>
              </w:rPr>
            </w:pPr>
            <w:r>
              <w:rPr>
                <w:rFonts w:ascii="Arial" w:cs="Arial" w:eastAsia="Arial" w:hAnsi="Arial"/>
                <w:sz w:val="18"/>
                <w:szCs w:val="18"/>
                <w:color w:val="auto"/>
              </w:rPr>
              <w:t>4.3</w:t>
            </w:r>
            <w:r>
              <w:rPr>
                <w:rFonts w:ascii="Arial" w:cs="Arial" w:eastAsia="Arial" w:hAnsi="Arial"/>
                <w:sz w:val="11"/>
                <w:szCs w:val="11"/>
                <w:color w:val="auto"/>
              </w:rPr>
              <w:t>(3)</w:t>
            </w: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Borders>
              <w:bottom w:val="single" w:sz="8" w:color="0000FF"/>
            </w:tcBorders>
          </w:tcPr>
          <w:p>
            <w:pPr>
              <w:spacing w:after="0"/>
              <w:rPr>
                <w:rFonts w:ascii="Arial" w:cs="Arial" w:eastAsia="Arial" w:hAnsi="Arial"/>
                <w:sz w:val="18"/>
                <w:szCs w:val="18"/>
                <w:color w:val="0000FF"/>
                <w:w w:val="89"/>
              </w:rPr>
            </w:pPr>
            <w:hyperlink r:id="rId20">
              <w:r>
                <w:rPr>
                  <w:rFonts w:ascii="Arial" w:cs="Arial" w:eastAsia="Arial" w:hAnsi="Arial"/>
                  <w:sz w:val="18"/>
                  <w:szCs w:val="18"/>
                  <w:color w:val="0000FF"/>
                  <w:w w:val="89"/>
                </w:rPr>
                <w:t>2020</w:t>
              </w:r>
            </w:hyperlink>
          </w:p>
        </w:tc>
        <w:tc>
          <w:tcPr>
            <w:tcW w:w="2320" w:type="dxa"/>
            <w:vAlign w:val="bottom"/>
            <w:tcBorders>
              <w:bottom w:val="single" w:sz="8" w:color="0000FF"/>
            </w:tcBorders>
          </w:tcPr>
          <w:p>
            <w:pPr>
              <w:ind w:left="40"/>
              <w:spacing w:after="0"/>
              <w:rPr>
                <w:rFonts w:ascii="Arial" w:cs="Arial" w:eastAsia="Arial" w:hAnsi="Arial"/>
                <w:sz w:val="18"/>
                <w:szCs w:val="18"/>
                <w:color w:val="0000FF"/>
                <w:w w:val="87"/>
              </w:rPr>
            </w:pPr>
            <w:hyperlink r:id="rId20">
              <w:r>
                <w:rPr>
                  <w:rFonts w:ascii="Arial" w:cs="Arial" w:eastAsia="Arial" w:hAnsi="Arial"/>
                  <w:sz w:val="18"/>
                  <w:szCs w:val="18"/>
                  <w:color w:val="0000FF"/>
                  <w:w w:val="87"/>
                </w:rPr>
                <w:t>Employee Stock Purchase Plan.</w:t>
              </w:r>
            </w:hyperlink>
          </w:p>
        </w:tc>
        <w:tc>
          <w:tcPr>
            <w:tcW w:w="7240" w:type="dxa"/>
            <w:vAlign w:val="bottom"/>
            <w:gridSpan w:val="6"/>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960" w:type="dxa"/>
            <w:vAlign w:val="bottom"/>
          </w:tcPr>
          <w:p>
            <w:pPr>
              <w:ind w:left="20"/>
              <w:spacing w:after="0"/>
              <w:rPr>
                <w:sz w:val="20"/>
                <w:szCs w:val="20"/>
                <w:color w:val="auto"/>
              </w:rPr>
            </w:pPr>
            <w:r>
              <w:rPr>
                <w:rFonts w:ascii="Arial" w:cs="Arial" w:eastAsia="Arial" w:hAnsi="Arial"/>
                <w:sz w:val="18"/>
                <w:szCs w:val="18"/>
                <w:color w:val="auto"/>
              </w:rPr>
              <w:t>5.1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740" w:type="dxa"/>
            <w:vAlign w:val="bottom"/>
            <w:tcBorders>
              <w:bottom w:val="single" w:sz="8" w:color="0000FF"/>
            </w:tcBorders>
            <w:gridSpan w:val="3"/>
          </w:tcPr>
          <w:p>
            <w:pPr>
              <w:spacing w:after="0"/>
              <w:rPr>
                <w:rFonts w:ascii="Arial" w:cs="Arial" w:eastAsia="Arial" w:hAnsi="Arial"/>
                <w:sz w:val="18"/>
                <w:szCs w:val="18"/>
                <w:color w:val="0000FF"/>
                <w:w w:val="92"/>
              </w:rPr>
            </w:pPr>
            <w:hyperlink w:anchor="page10">
              <w:r>
                <w:rPr>
                  <w:rFonts w:ascii="Arial" w:cs="Arial" w:eastAsia="Arial" w:hAnsi="Arial"/>
                  <w:sz w:val="18"/>
                  <w:szCs w:val="18"/>
                  <w:color w:val="0000FF"/>
                  <w:w w:val="92"/>
                </w:rPr>
                <w:t>Opinion of Wilson Sonsini Goodrich &amp; Rosati, P.C.</w:t>
              </w:r>
            </w:hyperlink>
          </w:p>
        </w:tc>
        <w:tc>
          <w:tcPr>
            <w:tcW w:w="320" w:type="dxa"/>
            <w:vAlign w:val="bottom"/>
          </w:tcPr>
          <w:p>
            <w:pPr>
              <w:spacing w:after="0"/>
              <w:rPr>
                <w:sz w:val="19"/>
                <w:szCs w:val="19"/>
                <w:color w:val="auto"/>
              </w:rPr>
            </w:pPr>
          </w:p>
        </w:tc>
        <w:tc>
          <w:tcPr>
            <w:tcW w:w="1900" w:type="dxa"/>
            <w:vAlign w:val="bottom"/>
            <w:gridSpan w:val="2"/>
          </w:tcPr>
          <w:p>
            <w:pPr>
              <w:spacing w:after="0"/>
              <w:rPr>
                <w:sz w:val="19"/>
                <w:szCs w:val="19"/>
                <w:color w:val="auto"/>
              </w:rPr>
            </w:pPr>
          </w:p>
        </w:tc>
        <w:tc>
          <w:tcPr>
            <w:tcW w:w="114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960" w:type="dxa"/>
            <w:vAlign w:val="bottom"/>
          </w:tcPr>
          <w:p>
            <w:pPr>
              <w:ind w:left="20"/>
              <w:spacing w:after="0"/>
              <w:rPr>
                <w:sz w:val="20"/>
                <w:szCs w:val="20"/>
                <w:color w:val="auto"/>
              </w:rPr>
            </w:pPr>
            <w:r>
              <w:rPr>
                <w:rFonts w:ascii="Arial" w:cs="Arial" w:eastAsia="Arial" w:hAnsi="Arial"/>
                <w:sz w:val="18"/>
                <w:szCs w:val="18"/>
                <w:color w:val="auto"/>
              </w:rPr>
              <w:t>23.1</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60" w:type="dxa"/>
            <w:vAlign w:val="bottom"/>
            <w:tcBorders>
              <w:bottom w:val="single" w:sz="8" w:color="0000FF"/>
            </w:tcBorders>
            <w:gridSpan w:val="6"/>
          </w:tcPr>
          <w:p>
            <w:pPr>
              <w:spacing w:after="0"/>
              <w:rPr>
                <w:rFonts w:ascii="Arial" w:cs="Arial" w:eastAsia="Arial" w:hAnsi="Arial"/>
                <w:sz w:val="18"/>
                <w:szCs w:val="18"/>
                <w:color w:val="0000FF"/>
                <w:w w:val="91"/>
              </w:rPr>
            </w:pPr>
            <w:hyperlink w:anchor="page11">
              <w:r>
                <w:rPr>
                  <w:rFonts w:ascii="Arial" w:cs="Arial" w:eastAsia="Arial" w:hAnsi="Arial"/>
                  <w:sz w:val="18"/>
                  <w:szCs w:val="18"/>
                  <w:color w:val="0000FF"/>
                  <w:w w:val="91"/>
                </w:rPr>
                <w:t>Consent of Deloitte &amp; Touche LLP, independent registered public accounting firm.</w:t>
              </w:r>
            </w:hyperlink>
          </w:p>
        </w:tc>
        <w:tc>
          <w:tcPr>
            <w:tcW w:w="11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60" w:type="dxa"/>
            <w:vAlign w:val="bottom"/>
          </w:tcPr>
          <w:p>
            <w:pPr>
              <w:ind w:left="20"/>
              <w:spacing w:after="0"/>
              <w:rPr>
                <w:sz w:val="20"/>
                <w:szCs w:val="20"/>
                <w:color w:val="auto"/>
              </w:rPr>
            </w:pPr>
            <w:r>
              <w:rPr>
                <w:rFonts w:ascii="Arial" w:cs="Arial" w:eastAsia="Arial" w:hAnsi="Arial"/>
                <w:sz w:val="18"/>
                <w:szCs w:val="18"/>
                <w:color w:val="auto"/>
              </w:rPr>
              <w:t>23.2</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100" w:type="dxa"/>
            <w:vAlign w:val="bottom"/>
            <w:tcBorders>
              <w:bottom w:val="single" w:sz="8" w:color="0000FF"/>
            </w:tcBorders>
            <w:gridSpan w:val="7"/>
          </w:tcPr>
          <w:p>
            <w:pPr>
              <w:spacing w:after="0"/>
              <w:rPr>
                <w:rFonts w:ascii="Arial" w:cs="Arial" w:eastAsia="Arial" w:hAnsi="Arial"/>
                <w:sz w:val="18"/>
                <w:szCs w:val="18"/>
                <w:color w:val="0000FF"/>
                <w:w w:val="92"/>
              </w:rPr>
            </w:pPr>
            <w:hyperlink w:anchor="page10">
              <w:r>
                <w:rPr>
                  <w:rFonts w:ascii="Arial" w:cs="Arial" w:eastAsia="Arial" w:hAnsi="Arial"/>
                  <w:sz w:val="18"/>
                  <w:szCs w:val="18"/>
                  <w:color w:val="0000FF"/>
                  <w:w w:val="92"/>
                </w:rPr>
                <w:t>Consent of Wilson Sonsini Goodrich &amp; Rosati, Professional Corporation (included in Exhibit 5.1).</w:t>
              </w:r>
            </w:hyperlink>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60" w:type="dxa"/>
            <w:vAlign w:val="bottom"/>
          </w:tcPr>
          <w:p>
            <w:pPr>
              <w:ind w:left="20"/>
              <w:spacing w:after="0"/>
              <w:rPr>
                <w:sz w:val="20"/>
                <w:szCs w:val="20"/>
                <w:color w:val="auto"/>
              </w:rPr>
            </w:pPr>
            <w:r>
              <w:rPr>
                <w:rFonts w:ascii="Arial" w:cs="Arial" w:eastAsia="Arial" w:hAnsi="Arial"/>
                <w:sz w:val="18"/>
                <w:szCs w:val="18"/>
                <w:color w:val="auto"/>
              </w:rPr>
              <w:t>24.1</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gridSpan w:val="8"/>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Power of Attorney (contained on signature page hereto).</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80" w:hanging="1236"/>
        <w:spacing w:after="0"/>
        <w:tabs>
          <w:tab w:leader="none" w:pos="1280" w:val="left"/>
        </w:tabs>
        <w:numPr>
          <w:ilvl w:val="0"/>
          <w:numId w:val="2"/>
        </w:numPr>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Filing Fee Table.</w:t>
        </w:r>
      </w:hyperlink>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_________</w:t>
      </w:r>
    </w:p>
    <w:p>
      <w:pPr>
        <w:spacing w:after="0" w:line="216" w:lineRule="auto"/>
        <w:rPr>
          <w:sz w:val="20"/>
          <w:szCs w:val="20"/>
          <w:color w:val="auto"/>
        </w:rPr>
      </w:pPr>
      <w:r>
        <w:rPr>
          <w:rFonts w:ascii="Arial" w:cs="Arial" w:eastAsia="Arial" w:hAnsi="Arial"/>
          <w:sz w:val="13"/>
          <w:szCs w:val="13"/>
          <w:color w:val="auto"/>
        </w:rPr>
        <w:t>(1)Incorporated by reference to Exhibit 4.1 filed with the Registrant’s Registration Statement on Form S-1 (Registration No. 333-250035), filed with the Commission on November 12, 2020.</w:t>
      </w:r>
    </w:p>
    <w:p>
      <w:pPr>
        <w:spacing w:after="0" w:line="217" w:lineRule="auto"/>
        <w:rPr>
          <w:sz w:val="20"/>
          <w:szCs w:val="20"/>
          <w:color w:val="auto"/>
        </w:rPr>
      </w:pPr>
      <w:r>
        <w:rPr>
          <w:rFonts w:ascii="Arial" w:cs="Arial" w:eastAsia="Arial" w:hAnsi="Arial"/>
          <w:sz w:val="13"/>
          <w:szCs w:val="13"/>
          <w:color w:val="auto"/>
        </w:rPr>
        <w:t>(2)Incorporated by reference to Exhibit 10.2 filed with the Registrant’s Registration Statement on Form S-1/A (Registration No. 333-250035), filed with the Commission on November 30, 2020.</w:t>
      </w:r>
    </w:p>
    <w:p>
      <w:pPr>
        <w:spacing w:after="0"/>
        <w:rPr>
          <w:sz w:val="20"/>
          <w:szCs w:val="20"/>
          <w:color w:val="auto"/>
        </w:rPr>
      </w:pPr>
      <w:r>
        <w:rPr>
          <w:rFonts w:ascii="Arial" w:cs="Arial" w:eastAsia="Arial" w:hAnsi="Arial"/>
          <w:sz w:val="13"/>
          <w:szCs w:val="13"/>
          <w:color w:val="auto"/>
        </w:rPr>
        <w:t>(3)Incorporated by reference to Exhibit 10.5 filed with the Registrant’s Registration Statement on Form S-1/A (Registration No. 333-250035), filed with the Commission on November 30, 2020.</w:t>
      </w:r>
    </w:p>
    <w:p>
      <w:pPr>
        <w:sectPr>
          <w:pgSz w:w="11900" w:h="16838" w:orient="portrait"/>
          <w:cols w:equalWidth="0" w:num="1">
            <w:col w:w="11220"/>
          </w:cols>
          <w:pgMar w:left="320" w:top="1408" w:right="359" w:bottom="1440" w:gutter="0" w:footer="0" w:header="0"/>
        </w:sectPr>
      </w:pPr>
    </w:p>
    <w:bookmarkStart w:id="5" w:name="page6"/>
    <w:bookmarkEnd w:id="5"/>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 The undersigned Registrant hereby undertakes:</w:t>
      </w:r>
    </w:p>
    <w:p>
      <w:pPr>
        <w:spacing w:after="0" w:line="115" w:lineRule="exact"/>
        <w:rPr>
          <w:sz w:val="20"/>
          <w:szCs w:val="20"/>
          <w:color w:val="auto"/>
        </w:rPr>
      </w:pPr>
    </w:p>
    <w:p>
      <w:pPr>
        <w:ind w:left="920" w:hanging="264"/>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30" w:lineRule="exact"/>
        <w:rPr>
          <w:rFonts w:ascii="Arial" w:cs="Arial" w:eastAsia="Arial" w:hAnsi="Arial"/>
          <w:sz w:val="18"/>
          <w:szCs w:val="18"/>
          <w:color w:val="auto"/>
        </w:rPr>
      </w:pPr>
    </w:p>
    <w:p>
      <w:pPr>
        <w:ind w:left="1280" w:hanging="219"/>
        <w:spacing w:after="0"/>
        <w:tabs>
          <w:tab w:leader="none" w:pos="12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30" w:lineRule="exact"/>
        <w:rPr>
          <w:rFonts w:ascii="Arial" w:cs="Arial" w:eastAsia="Arial" w:hAnsi="Arial"/>
          <w:sz w:val="18"/>
          <w:szCs w:val="18"/>
          <w:color w:val="auto"/>
        </w:rPr>
      </w:pPr>
    </w:p>
    <w:p>
      <w:pPr>
        <w:ind w:left="1540" w:right="120" w:hanging="479"/>
        <w:spacing w:after="0" w:line="239" w:lineRule="auto"/>
        <w:tabs>
          <w:tab w:leader="none" w:pos="1319" w:val="left"/>
        </w:tabs>
        <w:numPr>
          <w:ilvl w:val="1"/>
          <w:numId w:val="3"/>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07" w:lineRule="exact"/>
        <w:rPr>
          <w:rFonts w:ascii="Arial" w:cs="Arial" w:eastAsia="Arial" w:hAnsi="Arial"/>
          <w:sz w:val="16"/>
          <w:szCs w:val="16"/>
          <w:color w:val="auto"/>
        </w:rPr>
      </w:pPr>
    </w:p>
    <w:p>
      <w:pPr>
        <w:ind w:left="1540" w:hanging="479"/>
        <w:spacing w:after="0" w:line="235" w:lineRule="auto"/>
        <w:tabs>
          <w:tab w:leader="none" w:pos="1369"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08" w:lineRule="exact"/>
        <w:rPr>
          <w:sz w:val="20"/>
          <w:szCs w:val="20"/>
          <w:color w:val="auto"/>
        </w:rPr>
      </w:pPr>
    </w:p>
    <w:p>
      <w:pPr>
        <w:jc w:val="both"/>
        <w:ind w:right="40"/>
        <w:spacing w:after="0" w:line="224"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(A)(1)(i) and (A)(1)(ii) do not apply if the information required to be included in a post-effective amendment by those</w:t>
      </w:r>
      <w:r>
        <w:rPr>
          <w:rFonts w:ascii="Arial" w:cs="Arial" w:eastAsia="Arial" w:hAnsi="Arial"/>
          <w:sz w:val="18"/>
          <w:szCs w:val="18"/>
          <w:i w:val="1"/>
          <w:iCs w:val="1"/>
          <w:color w:val="auto"/>
        </w:rPr>
        <w:t xml:space="preserve"> </w:t>
      </w:r>
      <w:r>
        <w:rPr>
          <w:rFonts w:ascii="Arial" w:cs="Arial" w:eastAsia="Arial" w:hAnsi="Arial"/>
          <w:sz w:val="18"/>
          <w:szCs w:val="18"/>
          <w:color w:val="auto"/>
        </w:rPr>
        <w:t>paragraphs is contained in reports filed with or furnished to the Commission by the Registrant pursuant to Section 13 or Section 15(d) of the Exchange Act that are incorporated by reference in this Registration Statement.</w:t>
      </w:r>
    </w:p>
    <w:p>
      <w:pPr>
        <w:spacing w:after="0" w:line="109" w:lineRule="exact"/>
        <w:rPr>
          <w:sz w:val="20"/>
          <w:szCs w:val="20"/>
          <w:color w:val="auto"/>
        </w:rPr>
      </w:pPr>
    </w:p>
    <w:p>
      <w:pPr>
        <w:ind w:left="1060" w:hanging="404"/>
        <w:spacing w:after="0" w:line="224" w:lineRule="auto"/>
        <w:tabs>
          <w:tab w:leader="none" w:pos="91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08" w:lineRule="exact"/>
        <w:rPr>
          <w:rFonts w:ascii="Arial" w:cs="Arial" w:eastAsia="Arial" w:hAnsi="Arial"/>
          <w:sz w:val="18"/>
          <w:szCs w:val="18"/>
          <w:color w:val="auto"/>
        </w:rPr>
      </w:pPr>
    </w:p>
    <w:p>
      <w:pPr>
        <w:ind w:left="1060" w:right="360" w:hanging="404"/>
        <w:spacing w:after="0" w:line="235" w:lineRule="auto"/>
        <w:tabs>
          <w:tab w:leader="none" w:pos="910" w:val="left"/>
        </w:tabs>
        <w:numPr>
          <w:ilvl w:val="1"/>
          <w:numId w:val="4"/>
        </w:numPr>
        <w:rPr>
          <w:rFonts w:ascii="Arial" w:cs="Arial" w:eastAsia="Arial" w:hAnsi="Arial"/>
          <w:sz w:val="18"/>
          <w:szCs w:val="18"/>
          <w:color w:val="auto"/>
        </w:rPr>
      </w:pPr>
      <w:r>
        <w:rPr>
          <w:rFonts w:ascii="Arial" w:cs="Arial" w:eastAsia="Arial" w:hAnsi="Arial"/>
          <w:sz w:val="18"/>
          <w:szCs w:val="18"/>
          <w:color w:val="auto"/>
        </w:rPr>
        <w:t>It will remove from registration by means of a post-effective amendment any of the securities being registered which remain unsold at the termination of the offering.</w:t>
      </w:r>
    </w:p>
    <w:p>
      <w:pPr>
        <w:spacing w:after="0" w:line="107" w:lineRule="exact"/>
        <w:rPr>
          <w:rFonts w:ascii="Arial" w:cs="Arial" w:eastAsia="Arial" w:hAnsi="Arial"/>
          <w:sz w:val="18"/>
          <w:szCs w:val="18"/>
          <w:color w:val="auto"/>
        </w:rPr>
      </w:pPr>
    </w:p>
    <w:p>
      <w:pPr>
        <w:ind w:left="660" w:hanging="328"/>
        <w:spacing w:after="0" w:line="216" w:lineRule="auto"/>
        <w:tabs>
          <w:tab w:leader="none" w:pos="546"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08" w:lineRule="exact"/>
        <w:rPr>
          <w:rFonts w:ascii="Arial" w:cs="Arial" w:eastAsia="Arial" w:hAnsi="Arial"/>
          <w:sz w:val="18"/>
          <w:szCs w:val="18"/>
          <w:color w:val="auto"/>
        </w:rPr>
      </w:pPr>
    </w:p>
    <w:p>
      <w:pPr>
        <w:ind w:left="660" w:right="40" w:hanging="328"/>
        <w:spacing w:after="0" w:line="223" w:lineRule="auto"/>
        <w:tabs>
          <w:tab w:leader="none" w:pos="546" w:val="left"/>
        </w:tabs>
        <w:numPr>
          <w:ilvl w:val="0"/>
          <w:numId w:val="5"/>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1200"/>
          </w:cols>
          <w:pgMar w:left="320" w:top="1440" w:right="379" w:bottom="1440" w:gutter="0" w:footer="0" w:header="0"/>
        </w:sectPr>
      </w:pPr>
    </w:p>
    <w:bookmarkStart w:id="6" w:name="page7"/>
    <w:bookmarkEnd w:id="6"/>
    <w:p>
      <w:pPr>
        <w:spacing w:after="0" w:line="200" w:lineRule="exact"/>
        <w:rPr>
          <w:sz w:val="20"/>
          <w:szCs w:val="20"/>
          <w:color w:val="auto"/>
        </w:rPr>
      </w:pPr>
    </w:p>
    <w:p>
      <w:pPr>
        <w:spacing w:after="0" w:line="32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4"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Redwood City, California, on the 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day of March, 2022.</w:t>
      </w:r>
    </w:p>
    <w:p>
      <w:pPr>
        <w:spacing w:after="0" w:line="103"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SEER, INC.</w:t>
      </w:r>
    </w:p>
    <w:p>
      <w:pPr>
        <w:spacing w:after="0" w:line="297" w:lineRule="exact"/>
        <w:rPr>
          <w:sz w:val="20"/>
          <w:szCs w:val="20"/>
          <w:color w:val="auto"/>
        </w:rPr>
      </w:pPr>
    </w:p>
    <w:p>
      <w:pPr>
        <w:ind w:left="4560"/>
        <w:spacing w:after="0"/>
        <w:tabs>
          <w:tab w:leader="none" w:pos="4980" w:val="left"/>
        </w:tabs>
        <w:rPr>
          <w:sz w:val="20"/>
          <w:szCs w:val="20"/>
          <w:color w:val="auto"/>
        </w:rPr>
      </w:pPr>
      <w:r>
        <w:rPr>
          <w:rFonts w:ascii="Arial" w:cs="Arial" w:eastAsia="Arial" w:hAnsi="Arial"/>
          <w:sz w:val="18"/>
          <w:szCs w:val="18"/>
          <w:color w:val="auto"/>
        </w:rPr>
        <w:t>By:</w:t>
        <w:tab/>
        <w:t>/s/ Omid Farokhzad,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14605</wp:posOffset>
            </wp:positionV>
            <wp:extent cx="17830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6"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Omid Farokhzad, M.D.</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060"/>
          </w:cols>
          <w:pgMar w:left="320" w:top="1440" w:right="519" w:bottom="1440" w:gutter="0" w:footer="0" w:header="0"/>
        </w:sectPr>
      </w:pPr>
    </w:p>
    <w:bookmarkStart w:id="7" w:name="page8"/>
    <w:bookmarkEnd w:id="7"/>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09" w:lineRule="auto"/>
        <w:rPr>
          <w:sz w:val="20"/>
          <w:szCs w:val="20"/>
          <w:color w:val="auto"/>
        </w:rPr>
      </w:pPr>
      <w:r>
        <w:rPr>
          <w:rFonts w:ascii="Arial" w:cs="Arial" w:eastAsia="Arial" w:hAnsi="Arial"/>
          <w:sz w:val="18"/>
          <w:szCs w:val="18"/>
          <w:color w:val="auto"/>
        </w:rPr>
        <w:t>KNOW ALL PERSONS BY THESE PRESENTS, that each person whose signature appears below hereby constitutes and appoints Omid Farokhzad, M.D. and David Horn as his or her lawful attorney-in-fact and agent with full power of substitution, for him or her in any and all capacities, to sign any and all amendments to this registration statement on Form S-8 (including post-effective amendments), and to file the same, with all exhibits thereto and other documents in connection therewith, with the Securities and Exchange Commission, granting unto said attorney in fact, proxy and agent full power and authority to do and perform each and every act and thing requisite and necessary to be done in connection therewith, as fully for all intents and purposes as he might or could do in person, hereby ratifying and confirming all that said attorney-in-fact, proxy and agent, or his substitute, may lawfully do or cause to be done by virtue hereof.</w:t>
      </w:r>
    </w:p>
    <w:p>
      <w:pPr>
        <w:spacing w:after="0" w:line="113"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Pursuant to the requirements of the Securities Act of 1933, as amended, this Registration Statement on Form S-8 has been signed by the following persons in the capacities and on the dates indicated:</w:t>
      </w:r>
    </w:p>
    <w:p>
      <w:pPr>
        <w:spacing w:after="0" w:line="167" w:lineRule="exact"/>
        <w:rPr>
          <w:sz w:val="20"/>
          <w:szCs w:val="20"/>
          <w:color w:val="auto"/>
        </w:rPr>
      </w:pPr>
    </w:p>
    <w:p>
      <w:pPr>
        <w:ind w:left="1380"/>
        <w:spacing w:after="0"/>
        <w:tabs>
          <w:tab w:leader="none" w:pos="5380" w:val="left"/>
          <w:tab w:leader="none" w:pos="924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23495</wp:posOffset>
            </wp:positionV>
            <wp:extent cx="71151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p>
      <w:pPr>
        <w:spacing w:after="0" w:line="239" w:lineRule="exact"/>
        <w:rPr>
          <w:sz w:val="20"/>
          <w:szCs w:val="20"/>
          <w:color w:val="auto"/>
        </w:rPr>
      </w:pPr>
    </w:p>
    <w:p>
      <w:pPr>
        <w:jc w:val="center"/>
        <w:ind w:left="300"/>
        <w:spacing w:after="0"/>
        <w:rPr>
          <w:sz w:val="20"/>
          <w:szCs w:val="20"/>
          <w:color w:val="auto"/>
        </w:rPr>
      </w:pPr>
      <w:r>
        <w:rPr>
          <w:rFonts w:ascii="Arial" w:cs="Arial" w:eastAsia="Arial" w:hAnsi="Arial"/>
          <w:sz w:val="17"/>
          <w:szCs w:val="17"/>
          <w:color w:val="auto"/>
        </w:rPr>
        <w:t>/s/ Omid Farokhzad,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22225</wp:posOffset>
            </wp:positionV>
            <wp:extent cx="22459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28"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Omid Farokhzad, M.D.</w:t>
      </w:r>
    </w:p>
    <w:p>
      <w:pPr>
        <w:spacing w:after="0" w:line="200" w:lineRule="exact"/>
        <w:rPr>
          <w:sz w:val="20"/>
          <w:szCs w:val="20"/>
          <w:color w:val="auto"/>
        </w:rPr>
      </w:pPr>
    </w:p>
    <w:p>
      <w:pPr>
        <w:spacing w:after="0" w:line="295"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/s/ David R. 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22459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16"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David R. Horn</w:t>
      </w:r>
    </w:p>
    <w:p>
      <w:pPr>
        <w:spacing w:after="0" w:line="239"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/s/ David Hallal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22459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2245995" cy="8890"/>
                    </a:xfrm>
                    <a:prstGeom prst="rect">
                      <a:avLst/>
                    </a:prstGeom>
                    <a:noFill/>
                  </pic:spPr>
                </pic:pic>
              </a:graphicData>
            </a:graphic>
          </wp:anchor>
        </w:drawing>
      </w:r>
    </w:p>
    <w:p>
      <w:pPr>
        <w:spacing w:after="0" w:line="16"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David Hallal</w:t>
      </w:r>
    </w:p>
    <w:p>
      <w:pPr>
        <w:spacing w:after="0" w:line="239"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/s/ Catherine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22459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16"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Catherine Friedman</w:t>
      </w:r>
    </w:p>
    <w:p>
      <w:pPr>
        <w:spacing w:after="0" w:line="239"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/s/ Meeta Gulyani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22459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2245995" cy="8890"/>
                    </a:xfrm>
                    <a:prstGeom prst="rect">
                      <a:avLst/>
                    </a:prstGeom>
                    <a:noFill/>
                  </pic:spPr>
                </pic:pic>
              </a:graphicData>
            </a:graphic>
          </wp:anchor>
        </w:drawing>
      </w:r>
    </w:p>
    <w:p>
      <w:pPr>
        <w:spacing w:after="0" w:line="16"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Meeta Gulyani</w:t>
      </w:r>
    </w:p>
    <w:p>
      <w:pPr>
        <w:spacing w:after="0" w:line="185" w:lineRule="exact"/>
        <w:rPr>
          <w:sz w:val="20"/>
          <w:szCs w:val="20"/>
          <w:color w:val="auto"/>
        </w:rPr>
      </w:pPr>
    </w:p>
    <w:p>
      <w:pPr>
        <w:jc w:val="center"/>
        <w:ind w:left="300"/>
        <w:spacing w:after="0"/>
        <w:rPr>
          <w:sz w:val="20"/>
          <w:szCs w:val="20"/>
          <w:color w:val="auto"/>
        </w:rPr>
      </w:pPr>
      <w:r>
        <w:rPr>
          <w:rFonts w:ascii="Arial" w:cs="Arial" w:eastAsia="Arial" w:hAnsi="Arial"/>
          <w:sz w:val="16"/>
          <w:szCs w:val="16"/>
          <w:color w:val="auto"/>
        </w:rPr>
        <w:t>/s/ Rachel Haurwitz,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29210</wp:posOffset>
            </wp:positionV>
            <wp:extent cx="22459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39"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Rachel Haurwitz, Ph.D.</w:t>
      </w:r>
    </w:p>
    <w:p>
      <w:pPr>
        <w:spacing w:after="0" w:line="185"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/s/ Robert Langer, Sc.D.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22459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16"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Robert Langer, Sc.D.</w:t>
      </w:r>
    </w:p>
    <w:p>
      <w:pPr>
        <w:spacing w:after="0" w:line="239"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/s/ Terrance McGuire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22459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16"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Terrance McGuire</w:t>
      </w:r>
    </w:p>
    <w:p>
      <w:pPr>
        <w:spacing w:after="0" w:line="239"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/s/ Deep Nishar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22459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2245995" cy="8890"/>
                    </a:xfrm>
                    <a:prstGeom prst="rect">
                      <a:avLst/>
                    </a:prstGeom>
                    <a:noFill/>
                  </pic:spPr>
                </pic:pic>
              </a:graphicData>
            </a:graphic>
          </wp:anchor>
        </w:drawing>
      </w:r>
    </w:p>
    <w:p>
      <w:pPr>
        <w:spacing w:after="0" w:line="16"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Deep Nishar</w:t>
      </w:r>
    </w:p>
    <w:p>
      <w:pPr>
        <w:spacing w:after="0" w:line="185"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/s/ Omead Ostadan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22459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16"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Omead Ostadan</w:t>
      </w:r>
    </w:p>
    <w:p>
      <w:pPr>
        <w:spacing w:after="0" w:line="239" w:lineRule="exact"/>
        <w:rPr>
          <w:sz w:val="20"/>
          <w:szCs w:val="20"/>
          <w:color w:val="auto"/>
        </w:rPr>
      </w:pPr>
    </w:p>
    <w:p>
      <w:pPr>
        <w:jc w:val="center"/>
        <w:ind w:left="300"/>
        <w:spacing w:after="0"/>
        <w:rPr>
          <w:sz w:val="20"/>
          <w:szCs w:val="20"/>
          <w:color w:val="auto"/>
        </w:rPr>
      </w:pPr>
      <w:r>
        <w:rPr>
          <w:rFonts w:ascii="Arial" w:cs="Arial" w:eastAsia="Arial" w:hAnsi="Arial"/>
          <w:sz w:val="16"/>
          <w:szCs w:val="16"/>
          <w:color w:val="auto"/>
        </w:rPr>
        <w:t>/s/ Mostafa Ronaghi,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29210</wp:posOffset>
            </wp:positionV>
            <wp:extent cx="22459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2245995" cy="8890"/>
                    </a:xfrm>
                    <a:prstGeom prst="rect">
                      <a:avLst/>
                    </a:prstGeom>
                    <a:noFill/>
                  </pic:spPr>
                </pic:pic>
              </a:graphicData>
            </a:graphic>
          </wp:anchor>
        </w:drawing>
      </w:r>
    </w:p>
    <w:p>
      <w:pPr>
        <w:spacing w:after="0" w:line="39"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Mostafa Ronaghi, Ph.D.</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4060" w:type="dxa"/>
            <w:vAlign w:val="bottom"/>
          </w:tcPr>
          <w:p>
            <w:pPr>
              <w:jc w:val="center"/>
              <w:ind w:right="770"/>
              <w:spacing w:after="0"/>
              <w:rPr>
                <w:sz w:val="20"/>
                <w:szCs w:val="20"/>
                <w:color w:val="auto"/>
              </w:rPr>
            </w:pPr>
            <w:r>
              <w:rPr>
                <w:rFonts w:ascii="Arial" w:cs="Arial" w:eastAsia="Arial" w:hAnsi="Arial"/>
                <w:sz w:val="18"/>
                <w:szCs w:val="18"/>
                <w:color w:val="auto"/>
                <w:w w:val="93"/>
              </w:rPr>
              <w:t>Chief Executive Officer and</w:t>
            </w:r>
          </w:p>
        </w:tc>
        <w:tc>
          <w:tcPr>
            <w:tcW w:w="1900" w:type="dxa"/>
            <w:vAlign w:val="bottom"/>
          </w:tcPr>
          <w:p>
            <w:pPr>
              <w:ind w:left="840"/>
              <w:spacing w:after="0"/>
              <w:rPr>
                <w:sz w:val="20"/>
                <w:szCs w:val="20"/>
                <w:color w:val="auto"/>
              </w:rPr>
            </w:pPr>
            <w:r>
              <w:rPr>
                <w:rFonts w:ascii="Arial" w:cs="Arial" w:eastAsia="Arial" w:hAnsi="Arial"/>
                <w:sz w:val="18"/>
                <w:szCs w:val="18"/>
                <w:color w:val="auto"/>
                <w:w w:val="90"/>
              </w:rPr>
              <w:t>March 3, 2022</w:t>
            </w:r>
          </w:p>
        </w:tc>
        <w:tc>
          <w:tcPr>
            <w:tcW w:w="0" w:type="dxa"/>
            <w:vAlign w:val="bottom"/>
          </w:tcPr>
          <w:p>
            <w:pPr>
              <w:spacing w:after="0"/>
              <w:rPr>
                <w:sz w:val="1"/>
                <w:szCs w:val="1"/>
                <w:color w:val="auto"/>
              </w:rPr>
            </w:pPr>
          </w:p>
        </w:tc>
      </w:tr>
      <w:tr>
        <w:trPr>
          <w:trHeight w:val="162"/>
        </w:trPr>
        <w:tc>
          <w:tcPr>
            <w:tcW w:w="4060" w:type="dxa"/>
            <w:vAlign w:val="bottom"/>
          </w:tcPr>
          <w:p>
            <w:pPr>
              <w:jc w:val="center"/>
              <w:ind w:right="770"/>
              <w:spacing w:after="0" w:line="162" w:lineRule="exact"/>
              <w:rPr>
                <w:sz w:val="20"/>
                <w:szCs w:val="20"/>
                <w:color w:val="auto"/>
              </w:rPr>
            </w:pPr>
            <w:r>
              <w:rPr>
                <w:rFonts w:ascii="Arial" w:cs="Arial" w:eastAsia="Arial" w:hAnsi="Arial"/>
                <w:sz w:val="18"/>
                <w:szCs w:val="18"/>
                <w:color w:val="auto"/>
                <w:w w:val="92"/>
              </w:rPr>
              <w:t>Chair of the Board of Directors</w:t>
            </w: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060" w:type="dxa"/>
            <w:vAlign w:val="bottom"/>
          </w:tcPr>
          <w:p>
            <w:pPr>
              <w:jc w:val="center"/>
              <w:ind w:right="75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Principal Executive Officer</w:t>
            </w:r>
            <w:r>
              <w:rPr>
                <w:rFonts w:ascii="Arial" w:cs="Arial" w:eastAsia="Arial" w:hAnsi="Arial"/>
                <w:sz w:val="18"/>
                <w:szCs w:val="18"/>
                <w:color w:val="auto"/>
                <w:w w:val="94"/>
              </w:rPr>
              <w:t>)</w:t>
            </w: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4060" w:type="dxa"/>
            <w:vAlign w:val="bottom"/>
          </w:tcPr>
          <w:p>
            <w:pPr>
              <w:jc w:val="center"/>
              <w:ind w:right="770"/>
              <w:spacing w:after="0"/>
              <w:rPr>
                <w:sz w:val="20"/>
                <w:szCs w:val="20"/>
                <w:color w:val="auto"/>
              </w:rPr>
            </w:pPr>
            <w:r>
              <w:rPr>
                <w:rFonts w:ascii="Arial" w:cs="Arial" w:eastAsia="Arial" w:hAnsi="Arial"/>
                <w:sz w:val="18"/>
                <w:szCs w:val="18"/>
                <w:color w:val="auto"/>
                <w:w w:val="94"/>
              </w:rPr>
              <w:t>Chief Financial Officer</w:t>
            </w:r>
          </w:p>
        </w:tc>
        <w:tc>
          <w:tcPr>
            <w:tcW w:w="1900" w:type="dxa"/>
            <w:vAlign w:val="bottom"/>
            <w:vMerge w:val="restart"/>
          </w:tcPr>
          <w:p>
            <w:pPr>
              <w:ind w:left="840"/>
              <w:spacing w:after="0"/>
              <w:rPr>
                <w:sz w:val="20"/>
                <w:szCs w:val="20"/>
                <w:color w:val="auto"/>
              </w:rPr>
            </w:pPr>
            <w:r>
              <w:rPr>
                <w:rFonts w:ascii="Arial" w:cs="Arial" w:eastAsia="Arial" w:hAnsi="Arial"/>
                <w:sz w:val="18"/>
                <w:szCs w:val="18"/>
                <w:color w:val="auto"/>
                <w:w w:val="90"/>
              </w:rPr>
              <w:t>March 3, 2022</w:t>
            </w:r>
          </w:p>
        </w:tc>
        <w:tc>
          <w:tcPr>
            <w:tcW w:w="0" w:type="dxa"/>
            <w:vAlign w:val="bottom"/>
          </w:tcPr>
          <w:p>
            <w:pPr>
              <w:spacing w:after="0"/>
              <w:rPr>
                <w:sz w:val="1"/>
                <w:szCs w:val="1"/>
                <w:color w:val="auto"/>
              </w:rPr>
            </w:pPr>
          </w:p>
        </w:tc>
      </w:tr>
      <w:tr>
        <w:trPr>
          <w:trHeight w:val="148"/>
        </w:trPr>
        <w:tc>
          <w:tcPr>
            <w:tcW w:w="4060" w:type="dxa"/>
            <w:vAlign w:val="bottom"/>
            <w:vMerge w:val="restart"/>
          </w:tcPr>
          <w:p>
            <w:pPr>
              <w:jc w:val="center"/>
              <w:ind w:right="750"/>
              <w:spacing w:after="0" w:line="176" w:lineRule="exact"/>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Principal Financial Officer and Accounting</w:t>
            </w:r>
          </w:p>
        </w:tc>
        <w:tc>
          <w:tcPr>
            <w:tcW w:w="1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4060" w:type="dxa"/>
            <w:vAlign w:val="bottom"/>
            <w:vMerge w:val="continue"/>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060" w:type="dxa"/>
            <w:vAlign w:val="bottom"/>
          </w:tcPr>
          <w:p>
            <w:pPr>
              <w:jc w:val="center"/>
              <w:ind w:right="770"/>
              <w:spacing w:after="0"/>
              <w:rPr>
                <w:sz w:val="20"/>
                <w:szCs w:val="20"/>
                <w:color w:val="auto"/>
              </w:rPr>
            </w:pPr>
            <w:r>
              <w:rPr>
                <w:rFonts w:ascii="Arial" w:cs="Arial" w:eastAsia="Arial" w:hAnsi="Arial"/>
                <w:sz w:val="18"/>
                <w:szCs w:val="18"/>
                <w:i w:val="1"/>
                <w:iCs w:val="1"/>
                <w:color w:val="auto"/>
                <w:w w:val="94"/>
              </w:rPr>
              <w:t>Officer</w:t>
            </w:r>
            <w:r>
              <w:rPr>
                <w:rFonts w:ascii="Arial" w:cs="Arial" w:eastAsia="Arial" w:hAnsi="Arial"/>
                <w:sz w:val="18"/>
                <w:szCs w:val="18"/>
                <w:color w:val="auto"/>
                <w:w w:val="94"/>
              </w:rPr>
              <w:t>)</w:t>
            </w: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5"/>
        </w:trPr>
        <w:tc>
          <w:tcPr>
            <w:tcW w:w="4060" w:type="dxa"/>
            <w:vAlign w:val="bottom"/>
          </w:tcPr>
          <w:p>
            <w:pPr>
              <w:jc w:val="center"/>
              <w:ind w:right="750"/>
              <w:spacing w:after="0"/>
              <w:rPr>
                <w:sz w:val="20"/>
                <w:szCs w:val="20"/>
                <w:color w:val="auto"/>
              </w:rPr>
            </w:pPr>
            <w:r>
              <w:rPr>
                <w:rFonts w:ascii="Arial" w:cs="Arial" w:eastAsia="Arial" w:hAnsi="Arial"/>
                <w:sz w:val="18"/>
                <w:szCs w:val="18"/>
                <w:color w:val="auto"/>
                <w:w w:val="91"/>
              </w:rPr>
              <w:t>Lead Independent Director</w:t>
            </w:r>
          </w:p>
        </w:tc>
        <w:tc>
          <w:tcPr>
            <w:tcW w:w="1900" w:type="dxa"/>
            <w:vAlign w:val="bottom"/>
          </w:tcPr>
          <w:p>
            <w:pPr>
              <w:ind w:left="840"/>
              <w:spacing w:after="0"/>
              <w:rPr>
                <w:sz w:val="20"/>
                <w:szCs w:val="20"/>
                <w:color w:val="auto"/>
              </w:rPr>
            </w:pPr>
            <w:r>
              <w:rPr>
                <w:rFonts w:ascii="Arial" w:cs="Arial" w:eastAsia="Arial" w:hAnsi="Arial"/>
                <w:sz w:val="18"/>
                <w:szCs w:val="18"/>
                <w:color w:val="auto"/>
                <w:w w:val="90"/>
              </w:rPr>
              <w:t>March 3, 2022</w:t>
            </w:r>
          </w:p>
        </w:tc>
        <w:tc>
          <w:tcPr>
            <w:tcW w:w="0" w:type="dxa"/>
            <w:vAlign w:val="bottom"/>
          </w:tcPr>
          <w:p>
            <w:pPr>
              <w:spacing w:after="0"/>
              <w:rPr>
                <w:sz w:val="1"/>
                <w:szCs w:val="1"/>
                <w:color w:val="auto"/>
              </w:rPr>
            </w:pPr>
          </w:p>
        </w:tc>
      </w:tr>
      <w:tr>
        <w:trPr>
          <w:trHeight w:val="689"/>
        </w:trPr>
        <w:tc>
          <w:tcPr>
            <w:tcW w:w="4060" w:type="dxa"/>
            <w:vAlign w:val="bottom"/>
          </w:tcPr>
          <w:p>
            <w:pPr>
              <w:jc w:val="center"/>
              <w:ind w:right="770"/>
              <w:spacing w:after="0"/>
              <w:rPr>
                <w:sz w:val="20"/>
                <w:szCs w:val="20"/>
                <w:color w:val="auto"/>
              </w:rPr>
            </w:pPr>
            <w:r>
              <w:rPr>
                <w:rFonts w:ascii="Arial" w:cs="Arial" w:eastAsia="Arial" w:hAnsi="Arial"/>
                <w:sz w:val="18"/>
                <w:szCs w:val="18"/>
                <w:color w:val="auto"/>
                <w:w w:val="95"/>
              </w:rPr>
              <w:t>Director</w:t>
            </w:r>
          </w:p>
        </w:tc>
        <w:tc>
          <w:tcPr>
            <w:tcW w:w="1900" w:type="dxa"/>
            <w:vAlign w:val="bottom"/>
          </w:tcPr>
          <w:p>
            <w:pPr>
              <w:ind w:left="840"/>
              <w:spacing w:after="0"/>
              <w:rPr>
                <w:sz w:val="20"/>
                <w:szCs w:val="20"/>
                <w:color w:val="auto"/>
              </w:rPr>
            </w:pPr>
            <w:r>
              <w:rPr>
                <w:rFonts w:ascii="Arial" w:cs="Arial" w:eastAsia="Arial" w:hAnsi="Arial"/>
                <w:sz w:val="18"/>
                <w:szCs w:val="18"/>
                <w:color w:val="auto"/>
                <w:w w:val="90"/>
              </w:rPr>
              <w:t>March 3, 2022</w:t>
            </w:r>
          </w:p>
        </w:tc>
        <w:tc>
          <w:tcPr>
            <w:tcW w:w="0" w:type="dxa"/>
            <w:vAlign w:val="bottom"/>
          </w:tcPr>
          <w:p>
            <w:pPr>
              <w:spacing w:after="0"/>
              <w:rPr>
                <w:sz w:val="1"/>
                <w:szCs w:val="1"/>
                <w:color w:val="auto"/>
              </w:rPr>
            </w:pPr>
          </w:p>
        </w:tc>
      </w:tr>
      <w:tr>
        <w:trPr>
          <w:trHeight w:val="688"/>
        </w:trPr>
        <w:tc>
          <w:tcPr>
            <w:tcW w:w="4060" w:type="dxa"/>
            <w:vAlign w:val="bottom"/>
          </w:tcPr>
          <w:p>
            <w:pPr>
              <w:jc w:val="center"/>
              <w:ind w:right="770"/>
              <w:spacing w:after="0"/>
              <w:rPr>
                <w:sz w:val="20"/>
                <w:szCs w:val="20"/>
                <w:color w:val="auto"/>
              </w:rPr>
            </w:pPr>
            <w:r>
              <w:rPr>
                <w:rFonts w:ascii="Arial" w:cs="Arial" w:eastAsia="Arial" w:hAnsi="Arial"/>
                <w:sz w:val="18"/>
                <w:szCs w:val="18"/>
                <w:color w:val="auto"/>
                <w:w w:val="95"/>
              </w:rPr>
              <w:t>Director</w:t>
            </w:r>
          </w:p>
        </w:tc>
        <w:tc>
          <w:tcPr>
            <w:tcW w:w="1900" w:type="dxa"/>
            <w:vAlign w:val="bottom"/>
          </w:tcPr>
          <w:p>
            <w:pPr>
              <w:ind w:left="840"/>
              <w:spacing w:after="0"/>
              <w:rPr>
                <w:sz w:val="20"/>
                <w:szCs w:val="20"/>
                <w:color w:val="auto"/>
              </w:rPr>
            </w:pPr>
            <w:r>
              <w:rPr>
                <w:rFonts w:ascii="Arial" w:cs="Arial" w:eastAsia="Arial" w:hAnsi="Arial"/>
                <w:sz w:val="18"/>
                <w:szCs w:val="18"/>
                <w:color w:val="auto"/>
                <w:w w:val="90"/>
              </w:rPr>
              <w:t>March 3, 2022</w:t>
            </w:r>
          </w:p>
        </w:tc>
        <w:tc>
          <w:tcPr>
            <w:tcW w:w="0" w:type="dxa"/>
            <w:vAlign w:val="bottom"/>
          </w:tcPr>
          <w:p>
            <w:pPr>
              <w:spacing w:after="0"/>
              <w:rPr>
                <w:sz w:val="1"/>
                <w:szCs w:val="1"/>
                <w:color w:val="auto"/>
              </w:rPr>
            </w:pPr>
          </w:p>
        </w:tc>
      </w:tr>
      <w:tr>
        <w:trPr>
          <w:trHeight w:val="635"/>
        </w:trPr>
        <w:tc>
          <w:tcPr>
            <w:tcW w:w="4060" w:type="dxa"/>
            <w:vAlign w:val="bottom"/>
          </w:tcPr>
          <w:p>
            <w:pPr>
              <w:jc w:val="center"/>
              <w:ind w:right="770"/>
              <w:spacing w:after="0"/>
              <w:rPr>
                <w:sz w:val="20"/>
                <w:szCs w:val="20"/>
                <w:color w:val="auto"/>
              </w:rPr>
            </w:pPr>
            <w:r>
              <w:rPr>
                <w:rFonts w:ascii="Arial" w:cs="Arial" w:eastAsia="Arial" w:hAnsi="Arial"/>
                <w:sz w:val="18"/>
                <w:szCs w:val="18"/>
                <w:color w:val="auto"/>
                <w:w w:val="95"/>
              </w:rPr>
              <w:t>Director</w:t>
            </w:r>
          </w:p>
        </w:tc>
        <w:tc>
          <w:tcPr>
            <w:tcW w:w="1900" w:type="dxa"/>
            <w:vAlign w:val="bottom"/>
          </w:tcPr>
          <w:p>
            <w:pPr>
              <w:ind w:left="840"/>
              <w:spacing w:after="0"/>
              <w:rPr>
                <w:sz w:val="20"/>
                <w:szCs w:val="20"/>
                <w:color w:val="auto"/>
              </w:rPr>
            </w:pPr>
            <w:r>
              <w:rPr>
                <w:rFonts w:ascii="Arial" w:cs="Arial" w:eastAsia="Arial" w:hAnsi="Arial"/>
                <w:sz w:val="18"/>
                <w:szCs w:val="18"/>
                <w:color w:val="auto"/>
                <w:w w:val="90"/>
              </w:rPr>
              <w:t>March 3, 2022</w:t>
            </w:r>
          </w:p>
        </w:tc>
        <w:tc>
          <w:tcPr>
            <w:tcW w:w="0" w:type="dxa"/>
            <w:vAlign w:val="bottom"/>
          </w:tcPr>
          <w:p>
            <w:pPr>
              <w:spacing w:after="0"/>
              <w:rPr>
                <w:sz w:val="1"/>
                <w:szCs w:val="1"/>
                <w:color w:val="auto"/>
              </w:rPr>
            </w:pPr>
          </w:p>
        </w:tc>
      </w:tr>
      <w:tr>
        <w:trPr>
          <w:trHeight w:val="635"/>
        </w:trPr>
        <w:tc>
          <w:tcPr>
            <w:tcW w:w="4060" w:type="dxa"/>
            <w:vAlign w:val="bottom"/>
          </w:tcPr>
          <w:p>
            <w:pPr>
              <w:jc w:val="center"/>
              <w:ind w:right="770"/>
              <w:spacing w:after="0"/>
              <w:rPr>
                <w:sz w:val="20"/>
                <w:szCs w:val="20"/>
                <w:color w:val="auto"/>
              </w:rPr>
            </w:pPr>
            <w:r>
              <w:rPr>
                <w:rFonts w:ascii="Arial" w:cs="Arial" w:eastAsia="Arial" w:hAnsi="Arial"/>
                <w:sz w:val="18"/>
                <w:szCs w:val="18"/>
                <w:color w:val="auto"/>
                <w:w w:val="95"/>
              </w:rPr>
              <w:t>Director</w:t>
            </w:r>
          </w:p>
        </w:tc>
        <w:tc>
          <w:tcPr>
            <w:tcW w:w="1900" w:type="dxa"/>
            <w:vAlign w:val="bottom"/>
          </w:tcPr>
          <w:p>
            <w:pPr>
              <w:ind w:left="840"/>
              <w:spacing w:after="0"/>
              <w:rPr>
                <w:sz w:val="20"/>
                <w:szCs w:val="20"/>
                <w:color w:val="auto"/>
              </w:rPr>
            </w:pPr>
            <w:r>
              <w:rPr>
                <w:rFonts w:ascii="Arial" w:cs="Arial" w:eastAsia="Arial" w:hAnsi="Arial"/>
                <w:sz w:val="18"/>
                <w:szCs w:val="18"/>
                <w:color w:val="auto"/>
                <w:w w:val="90"/>
              </w:rPr>
              <w:t>March 3, 2022</w:t>
            </w:r>
          </w:p>
        </w:tc>
        <w:tc>
          <w:tcPr>
            <w:tcW w:w="0" w:type="dxa"/>
            <w:vAlign w:val="bottom"/>
          </w:tcPr>
          <w:p>
            <w:pPr>
              <w:spacing w:after="0"/>
              <w:rPr>
                <w:sz w:val="1"/>
                <w:szCs w:val="1"/>
                <w:color w:val="auto"/>
              </w:rPr>
            </w:pPr>
          </w:p>
        </w:tc>
      </w:tr>
      <w:tr>
        <w:trPr>
          <w:trHeight w:val="688"/>
        </w:trPr>
        <w:tc>
          <w:tcPr>
            <w:tcW w:w="4060" w:type="dxa"/>
            <w:vAlign w:val="bottom"/>
          </w:tcPr>
          <w:p>
            <w:pPr>
              <w:jc w:val="center"/>
              <w:ind w:right="770"/>
              <w:spacing w:after="0"/>
              <w:rPr>
                <w:sz w:val="20"/>
                <w:szCs w:val="20"/>
                <w:color w:val="auto"/>
              </w:rPr>
            </w:pPr>
            <w:r>
              <w:rPr>
                <w:rFonts w:ascii="Arial" w:cs="Arial" w:eastAsia="Arial" w:hAnsi="Arial"/>
                <w:sz w:val="18"/>
                <w:szCs w:val="18"/>
                <w:color w:val="auto"/>
                <w:w w:val="95"/>
              </w:rPr>
              <w:t>Director</w:t>
            </w:r>
          </w:p>
        </w:tc>
        <w:tc>
          <w:tcPr>
            <w:tcW w:w="1900" w:type="dxa"/>
            <w:vAlign w:val="bottom"/>
          </w:tcPr>
          <w:p>
            <w:pPr>
              <w:ind w:left="840"/>
              <w:spacing w:after="0"/>
              <w:rPr>
                <w:sz w:val="20"/>
                <w:szCs w:val="20"/>
                <w:color w:val="auto"/>
              </w:rPr>
            </w:pPr>
            <w:r>
              <w:rPr>
                <w:rFonts w:ascii="Arial" w:cs="Arial" w:eastAsia="Arial" w:hAnsi="Arial"/>
                <w:sz w:val="18"/>
                <w:szCs w:val="18"/>
                <w:color w:val="auto"/>
                <w:w w:val="90"/>
              </w:rPr>
              <w:t>March 3, 2022</w:t>
            </w:r>
          </w:p>
        </w:tc>
        <w:tc>
          <w:tcPr>
            <w:tcW w:w="0" w:type="dxa"/>
            <w:vAlign w:val="bottom"/>
          </w:tcPr>
          <w:p>
            <w:pPr>
              <w:spacing w:after="0"/>
              <w:rPr>
                <w:sz w:val="1"/>
                <w:szCs w:val="1"/>
                <w:color w:val="auto"/>
              </w:rPr>
            </w:pPr>
          </w:p>
        </w:tc>
      </w:tr>
      <w:tr>
        <w:trPr>
          <w:trHeight w:val="688"/>
        </w:trPr>
        <w:tc>
          <w:tcPr>
            <w:tcW w:w="4060" w:type="dxa"/>
            <w:vAlign w:val="bottom"/>
          </w:tcPr>
          <w:p>
            <w:pPr>
              <w:jc w:val="center"/>
              <w:ind w:right="770"/>
              <w:spacing w:after="0"/>
              <w:rPr>
                <w:sz w:val="20"/>
                <w:szCs w:val="20"/>
                <w:color w:val="auto"/>
              </w:rPr>
            </w:pPr>
            <w:r>
              <w:rPr>
                <w:rFonts w:ascii="Arial" w:cs="Arial" w:eastAsia="Arial" w:hAnsi="Arial"/>
                <w:sz w:val="18"/>
                <w:szCs w:val="18"/>
                <w:color w:val="auto"/>
                <w:w w:val="95"/>
              </w:rPr>
              <w:t>Director</w:t>
            </w:r>
          </w:p>
        </w:tc>
        <w:tc>
          <w:tcPr>
            <w:tcW w:w="1900" w:type="dxa"/>
            <w:vAlign w:val="bottom"/>
          </w:tcPr>
          <w:p>
            <w:pPr>
              <w:ind w:left="840"/>
              <w:spacing w:after="0"/>
              <w:rPr>
                <w:sz w:val="20"/>
                <w:szCs w:val="20"/>
                <w:color w:val="auto"/>
              </w:rPr>
            </w:pPr>
            <w:r>
              <w:rPr>
                <w:rFonts w:ascii="Arial" w:cs="Arial" w:eastAsia="Arial" w:hAnsi="Arial"/>
                <w:sz w:val="18"/>
                <w:szCs w:val="18"/>
                <w:color w:val="auto"/>
                <w:w w:val="90"/>
              </w:rPr>
              <w:t>March 3, 2022</w:t>
            </w:r>
          </w:p>
        </w:tc>
        <w:tc>
          <w:tcPr>
            <w:tcW w:w="0" w:type="dxa"/>
            <w:vAlign w:val="bottom"/>
          </w:tcPr>
          <w:p>
            <w:pPr>
              <w:spacing w:after="0"/>
              <w:rPr>
                <w:sz w:val="1"/>
                <w:szCs w:val="1"/>
                <w:color w:val="auto"/>
              </w:rPr>
            </w:pPr>
          </w:p>
        </w:tc>
      </w:tr>
      <w:tr>
        <w:trPr>
          <w:trHeight w:val="635"/>
        </w:trPr>
        <w:tc>
          <w:tcPr>
            <w:tcW w:w="4060" w:type="dxa"/>
            <w:vAlign w:val="bottom"/>
          </w:tcPr>
          <w:p>
            <w:pPr>
              <w:jc w:val="center"/>
              <w:ind w:right="770"/>
              <w:spacing w:after="0"/>
              <w:rPr>
                <w:sz w:val="20"/>
                <w:szCs w:val="20"/>
                <w:color w:val="auto"/>
              </w:rPr>
            </w:pPr>
            <w:r>
              <w:rPr>
                <w:rFonts w:ascii="Arial" w:cs="Arial" w:eastAsia="Arial" w:hAnsi="Arial"/>
                <w:sz w:val="18"/>
                <w:szCs w:val="18"/>
                <w:color w:val="auto"/>
                <w:w w:val="95"/>
              </w:rPr>
              <w:t>Director</w:t>
            </w:r>
          </w:p>
        </w:tc>
        <w:tc>
          <w:tcPr>
            <w:tcW w:w="1900" w:type="dxa"/>
            <w:vAlign w:val="bottom"/>
          </w:tcPr>
          <w:p>
            <w:pPr>
              <w:ind w:left="840"/>
              <w:spacing w:after="0"/>
              <w:rPr>
                <w:sz w:val="20"/>
                <w:szCs w:val="20"/>
                <w:color w:val="auto"/>
              </w:rPr>
            </w:pPr>
            <w:r>
              <w:rPr>
                <w:rFonts w:ascii="Arial" w:cs="Arial" w:eastAsia="Arial" w:hAnsi="Arial"/>
                <w:sz w:val="18"/>
                <w:szCs w:val="18"/>
                <w:color w:val="auto"/>
                <w:w w:val="90"/>
              </w:rPr>
              <w:t>March 3, 2022</w:t>
            </w:r>
          </w:p>
        </w:tc>
        <w:tc>
          <w:tcPr>
            <w:tcW w:w="0" w:type="dxa"/>
            <w:vAlign w:val="bottom"/>
          </w:tcPr>
          <w:p>
            <w:pPr>
              <w:spacing w:after="0"/>
              <w:rPr>
                <w:sz w:val="1"/>
                <w:szCs w:val="1"/>
                <w:color w:val="auto"/>
              </w:rPr>
            </w:pPr>
          </w:p>
        </w:tc>
      </w:tr>
      <w:tr>
        <w:trPr>
          <w:trHeight w:val="688"/>
        </w:trPr>
        <w:tc>
          <w:tcPr>
            <w:tcW w:w="4060" w:type="dxa"/>
            <w:vAlign w:val="bottom"/>
          </w:tcPr>
          <w:p>
            <w:pPr>
              <w:jc w:val="center"/>
              <w:ind w:right="770"/>
              <w:spacing w:after="0"/>
              <w:rPr>
                <w:sz w:val="20"/>
                <w:szCs w:val="20"/>
                <w:color w:val="auto"/>
              </w:rPr>
            </w:pPr>
            <w:r>
              <w:rPr>
                <w:rFonts w:ascii="Arial" w:cs="Arial" w:eastAsia="Arial" w:hAnsi="Arial"/>
                <w:sz w:val="18"/>
                <w:szCs w:val="18"/>
                <w:color w:val="auto"/>
                <w:w w:val="95"/>
              </w:rPr>
              <w:t>Director</w:t>
            </w:r>
          </w:p>
        </w:tc>
        <w:tc>
          <w:tcPr>
            <w:tcW w:w="1900" w:type="dxa"/>
            <w:vAlign w:val="bottom"/>
          </w:tcPr>
          <w:p>
            <w:pPr>
              <w:ind w:left="840"/>
              <w:spacing w:after="0"/>
              <w:rPr>
                <w:sz w:val="20"/>
                <w:szCs w:val="20"/>
                <w:color w:val="auto"/>
              </w:rPr>
            </w:pPr>
            <w:r>
              <w:rPr>
                <w:rFonts w:ascii="Arial" w:cs="Arial" w:eastAsia="Arial" w:hAnsi="Arial"/>
                <w:sz w:val="18"/>
                <w:szCs w:val="18"/>
                <w:color w:val="auto"/>
                <w:w w:val="90"/>
              </w:rPr>
              <w:t>March 3, 2022</w:t>
            </w:r>
          </w:p>
        </w:tc>
        <w:tc>
          <w:tcPr>
            <w:tcW w:w="0" w:type="dxa"/>
            <w:vAlign w:val="bottom"/>
          </w:tcPr>
          <w:p>
            <w:pPr>
              <w:spacing w:after="0"/>
              <w:rPr>
                <w:sz w:val="1"/>
                <w:szCs w:val="1"/>
                <w:color w:val="auto"/>
              </w:rPr>
            </w:pPr>
          </w:p>
        </w:tc>
      </w:tr>
    </w:tbl>
    <w:p>
      <w:pPr>
        <w:sectPr>
          <w:pgSz w:w="11900" w:h="16838" w:orient="portrait"/>
          <w:cols w:equalWidth="0" w:num="2">
            <w:col w:w="3300" w:space="720"/>
            <w:col w:w="7200"/>
          </w:cols>
          <w:pgMar w:left="320" w:top="1440" w:right="359" w:bottom="1440" w:gutter="0" w:footer="0" w:header="0"/>
          <w:type w:val="continuous"/>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992"/>
        <w:spacing w:after="0"/>
        <w:rPr>
          <w:sz w:val="20"/>
          <w:szCs w:val="20"/>
          <w:color w:val="auto"/>
        </w:rPr>
      </w:pPr>
      <w:r>
        <w:rPr>
          <w:rFonts w:ascii="Arial" w:cs="Arial" w:eastAsia="Arial" w:hAnsi="Arial"/>
          <w:sz w:val="18"/>
          <w:szCs w:val="18"/>
          <w:b w:val="1"/>
          <w:bCs w:val="1"/>
          <w:color w:val="auto"/>
        </w:rPr>
        <w:t>Exhibit 107</w:t>
      </w:r>
    </w:p>
    <w:p>
      <w:pPr>
        <w:spacing w:after="0" w:line="38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CALCULATION OF REGISTRATION FEE TABLE</w:t>
      </w:r>
    </w:p>
    <w:p>
      <w:pPr>
        <w:jc w:val="center"/>
        <w:ind w:right="-11"/>
        <w:spacing w:after="0" w:line="203" w:lineRule="auto"/>
        <w:rPr>
          <w:sz w:val="20"/>
          <w:szCs w:val="20"/>
          <w:color w:val="auto"/>
        </w:rPr>
      </w:pPr>
      <w:r>
        <w:rPr>
          <w:rFonts w:ascii="Arial" w:cs="Arial" w:eastAsia="Arial" w:hAnsi="Arial"/>
          <w:sz w:val="18"/>
          <w:szCs w:val="18"/>
          <w:color w:val="auto"/>
        </w:rPr>
        <w:t>Form S-8</w:t>
      </w:r>
    </w:p>
    <w:p>
      <w:pPr>
        <w:jc w:val="center"/>
        <w:ind w:right="-11"/>
        <w:spacing w:after="0"/>
        <w:rPr>
          <w:sz w:val="20"/>
          <w:szCs w:val="20"/>
          <w:color w:val="auto"/>
        </w:rPr>
      </w:pPr>
      <w:r>
        <w:rPr>
          <w:rFonts w:ascii="Arial" w:cs="Arial" w:eastAsia="Arial" w:hAnsi="Arial"/>
          <w:sz w:val="18"/>
          <w:szCs w:val="18"/>
          <w:color w:val="auto"/>
        </w:rPr>
        <w:t>(Form Type)</w:t>
      </w:r>
    </w:p>
    <w:p>
      <w:pPr>
        <w:spacing w:after="0" w:line="18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Seer, Inc.</w:t>
      </w:r>
    </w:p>
    <w:p>
      <w:pPr>
        <w:jc w:val="center"/>
        <w:ind w:right="-11"/>
        <w:spacing w:after="0"/>
        <w:rPr>
          <w:sz w:val="20"/>
          <w:szCs w:val="20"/>
          <w:color w:val="auto"/>
        </w:rPr>
      </w:pPr>
      <w:r>
        <w:rPr>
          <w:rFonts w:ascii="Arial" w:cs="Arial" w:eastAsia="Arial" w:hAnsi="Arial"/>
          <w:sz w:val="18"/>
          <w:szCs w:val="18"/>
          <w:color w:val="auto"/>
        </w:rPr>
        <w:t>(Exact name of Registrant as Specified in its Charter)</w:t>
      </w:r>
    </w:p>
    <w:p>
      <w:pPr>
        <w:spacing w:after="0" w:line="11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Table 1 – Newly Registered Securities</w:t>
      </w:r>
    </w:p>
    <w:p>
      <w:pPr>
        <w:spacing w:after="0" w:line="200" w:lineRule="exact"/>
        <w:rPr>
          <w:sz w:val="20"/>
          <w:szCs w:val="20"/>
          <w:color w:val="auto"/>
        </w:rPr>
      </w:pPr>
    </w:p>
    <w:p>
      <w:pPr>
        <w:spacing w:after="0" w:line="235" w:lineRule="exact"/>
        <w:rPr>
          <w:sz w:val="20"/>
          <w:szCs w:val="20"/>
          <w:color w:val="auto"/>
        </w:rPr>
      </w:pPr>
    </w:p>
    <w:tbl>
      <w:tblPr>
        <w:tblLayout w:type="fixed"/>
        <w:tblInd w:w="22" w:type="dxa"/>
        <w:tblCellMar>
          <w:top w:w="0" w:type="dxa"/>
          <w:left w:w="0" w:type="dxa"/>
          <w:bottom w:w="0" w:type="dxa"/>
          <w:right w:w="0" w:type="dxa"/>
        </w:tblCellMar>
      </w:tblPr>
      <w:tr>
        <w:trPr>
          <w:trHeight w:val="628"/>
        </w:trPr>
        <w:tc>
          <w:tcPr>
            <w:tcW w:w="840" w:type="dxa"/>
            <w:vAlign w:val="bottom"/>
            <w:tcBorders>
              <w:top w:val="single" w:sz="8" w:color="auto"/>
              <w:left w:val="single" w:sz="8" w:color="auto"/>
              <w:right w:val="single" w:sz="8" w:color="auto"/>
            </w:tcBorders>
          </w:tcPr>
          <w:p>
            <w:pPr>
              <w:spacing w:after="0"/>
              <w:rPr>
                <w:sz w:val="24"/>
                <w:szCs w:val="24"/>
                <w:color w:val="auto"/>
              </w:rPr>
            </w:pPr>
          </w:p>
        </w:tc>
        <w:tc>
          <w:tcPr>
            <w:tcW w:w="1080" w:type="dxa"/>
            <w:vAlign w:val="bottom"/>
            <w:tcBorders>
              <w:top w:val="single" w:sz="8" w:color="auto"/>
              <w:right w:val="single" w:sz="8" w:color="auto"/>
            </w:tcBorders>
          </w:tcPr>
          <w:p>
            <w:pPr>
              <w:spacing w:after="0"/>
              <w:rPr>
                <w:sz w:val="24"/>
                <w:szCs w:val="24"/>
                <w:color w:val="auto"/>
              </w:rPr>
            </w:pPr>
          </w:p>
        </w:tc>
        <w:tc>
          <w:tcPr>
            <w:tcW w:w="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Fee</w:t>
            </w:r>
          </w:p>
        </w:tc>
        <w:tc>
          <w:tcPr>
            <w:tcW w:w="1240" w:type="dxa"/>
            <w:vAlign w:val="bottom"/>
            <w:tcBorders>
              <w:top w:val="single" w:sz="8" w:color="auto"/>
              <w:right w:val="single" w:sz="8" w:color="auto"/>
            </w:tcBorders>
          </w:tcPr>
          <w:p>
            <w:pPr>
              <w:spacing w:after="0"/>
              <w:rPr>
                <w:sz w:val="24"/>
                <w:szCs w:val="24"/>
                <w:color w:val="auto"/>
              </w:rPr>
            </w:pPr>
          </w:p>
        </w:tc>
        <w:tc>
          <w:tcPr>
            <w:tcW w:w="12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Proposed</w:t>
            </w:r>
          </w:p>
        </w:tc>
        <w:tc>
          <w:tcPr>
            <w:tcW w:w="1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Proposed</w:t>
            </w:r>
          </w:p>
        </w:tc>
        <w:tc>
          <w:tcPr>
            <w:tcW w:w="920" w:type="dxa"/>
            <w:vAlign w:val="bottom"/>
            <w:tcBorders>
              <w:top w:val="single" w:sz="8" w:color="auto"/>
              <w:right w:val="single" w:sz="8" w:color="auto"/>
            </w:tcBorders>
          </w:tcPr>
          <w:p>
            <w:pPr>
              <w:spacing w:after="0"/>
              <w:rPr>
                <w:sz w:val="24"/>
                <w:szCs w:val="24"/>
                <w:color w:val="auto"/>
              </w:rPr>
            </w:pPr>
          </w:p>
        </w:tc>
        <w:tc>
          <w:tcPr>
            <w:tcW w:w="9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4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40" w:type="dxa"/>
            <w:vAlign w:val="bottom"/>
            <w:tcBorders>
              <w:left w:val="single" w:sz="8" w:color="auto"/>
              <w:righ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Calculation</w:t>
            </w:r>
          </w:p>
        </w:tc>
        <w:tc>
          <w:tcPr>
            <w:tcW w:w="124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vMerge w:val="continue"/>
          </w:tcPr>
          <w:p>
            <w:pPr>
              <w:spacing w:after="0"/>
              <w:rPr>
                <w:sz w:val="12"/>
                <w:szCs w:val="12"/>
                <w:color w:val="auto"/>
              </w:rPr>
            </w:pPr>
          </w:p>
        </w:tc>
        <w:tc>
          <w:tcPr>
            <w:tcW w:w="1240" w:type="dxa"/>
            <w:vAlign w:val="bottom"/>
            <w:tcBorders>
              <w:right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9"/>
              </w:rPr>
              <w:t>Maximum</w:t>
            </w:r>
          </w:p>
        </w:tc>
        <w:tc>
          <w:tcPr>
            <w:tcW w:w="92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vMerge w:val="continue"/>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4"/>
                <w:szCs w:val="14"/>
                <w:b w:val="1"/>
                <w:bCs w:val="1"/>
                <w:color w:val="auto"/>
              </w:rPr>
              <w:t>Security</w:t>
            </w:r>
          </w:p>
        </w:tc>
        <w:tc>
          <w:tcPr>
            <w:tcW w:w="1080" w:type="dxa"/>
            <w:vAlign w:val="bottom"/>
            <w:tcBorders>
              <w:right w:val="single" w:sz="8" w:color="auto"/>
            </w:tcBorders>
          </w:tcPr>
          <w:p>
            <w:pPr>
              <w:ind w:left="220"/>
              <w:spacing w:after="0"/>
              <w:rPr>
                <w:sz w:val="20"/>
                <w:szCs w:val="20"/>
                <w:color w:val="auto"/>
              </w:rPr>
            </w:pPr>
            <w:r>
              <w:rPr>
                <w:rFonts w:ascii="Arial" w:cs="Arial" w:eastAsia="Arial" w:hAnsi="Arial"/>
                <w:sz w:val="14"/>
                <w:szCs w:val="14"/>
                <w:b w:val="1"/>
                <w:bCs w:val="1"/>
                <w:color w:val="auto"/>
              </w:rPr>
              <w:t>Securities</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Rule</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Maximum Offering</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Aggregate Offering</w:t>
            </w:r>
          </w:p>
        </w:tc>
        <w:tc>
          <w:tcPr>
            <w:tcW w:w="920" w:type="dxa"/>
            <w:vAlign w:val="bottom"/>
            <w:tcBorders>
              <w:right w:val="single" w:sz="8" w:color="auto"/>
            </w:tcBorders>
            <w:vMerge w:val="restart"/>
          </w:tcPr>
          <w:p>
            <w:pPr>
              <w:ind w:left="180"/>
              <w:spacing w:after="0"/>
              <w:rPr>
                <w:sz w:val="20"/>
                <w:szCs w:val="20"/>
                <w:color w:val="auto"/>
              </w:rPr>
            </w:pPr>
            <w:r>
              <w:rPr>
                <w:rFonts w:ascii="Arial" w:cs="Arial" w:eastAsia="Arial" w:hAnsi="Arial"/>
                <w:sz w:val="14"/>
                <w:szCs w:val="14"/>
                <w:b w:val="1"/>
                <w:bCs w:val="1"/>
                <w:color w:val="auto"/>
              </w:rPr>
              <w:t>Fee Rate</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Registration</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840" w:type="dxa"/>
            <w:vAlign w:val="bottom"/>
            <w:tcBorders>
              <w:left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14"/>
                <w:szCs w:val="14"/>
                <w:b w:val="1"/>
                <w:bCs w:val="1"/>
                <w:color w:val="auto"/>
              </w:rPr>
              <w:t>Type</w:t>
            </w:r>
          </w:p>
        </w:tc>
        <w:tc>
          <w:tcPr>
            <w:tcW w:w="108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4"/>
                <w:szCs w:val="14"/>
                <w:b w:val="1"/>
                <w:bCs w:val="1"/>
                <w:color w:val="auto"/>
              </w:rPr>
              <w:t>Class Type</w:t>
            </w:r>
          </w:p>
        </w:tc>
        <w:tc>
          <w:tcPr>
            <w:tcW w:w="820" w:type="dxa"/>
            <w:vAlign w:val="bottom"/>
            <w:tcBorders>
              <w:bottom w:val="single" w:sz="8" w:color="auto"/>
              <w:right w:val="single" w:sz="8" w:color="auto"/>
            </w:tcBorders>
          </w:tcPr>
          <w:p>
            <w:pPr>
              <w:spacing w:after="0"/>
              <w:rPr>
                <w:sz w:val="16"/>
                <w:szCs w:val="16"/>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to be Registered(1)</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Price Per Share</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w:t>
            </w:r>
          </w:p>
        </w:tc>
        <w:tc>
          <w:tcPr>
            <w:tcW w:w="920" w:type="dxa"/>
            <w:vAlign w:val="bottom"/>
            <w:tcBorders>
              <w:bottom w:val="single" w:sz="8" w:color="auto"/>
              <w:right w:val="single" w:sz="8" w:color="auto"/>
            </w:tcBorders>
            <w:vMerge w:val="continue"/>
          </w:tcPr>
          <w:p>
            <w:pPr>
              <w:spacing w:after="0"/>
              <w:rPr>
                <w:sz w:val="16"/>
                <w:szCs w:val="16"/>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Fee</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840" w:type="dxa"/>
            <w:vAlign w:val="bottom"/>
            <w:tcBorders>
              <w:left w:val="single" w:sz="8" w:color="auto"/>
              <w:right w:val="single" w:sz="8" w:color="auto"/>
            </w:tcBorders>
          </w:tcPr>
          <w:p>
            <w:pPr>
              <w:ind w:left="40"/>
              <w:spacing w:after="0" w:line="133" w:lineRule="exact"/>
              <w:rPr>
                <w:sz w:val="20"/>
                <w:szCs w:val="20"/>
                <w:color w:val="auto"/>
              </w:rPr>
            </w:pPr>
            <w:r>
              <w:rPr>
                <w:rFonts w:ascii="Arial" w:cs="Arial" w:eastAsia="Arial" w:hAnsi="Arial"/>
                <w:sz w:val="14"/>
                <w:szCs w:val="14"/>
                <w:color w:val="auto"/>
              </w:rPr>
              <w:t>Equity</w:t>
            </w:r>
          </w:p>
        </w:tc>
        <w:tc>
          <w:tcPr>
            <w:tcW w:w="1080" w:type="dxa"/>
            <w:vAlign w:val="bottom"/>
            <w:tcBorders>
              <w:right w:val="single" w:sz="8" w:color="auto"/>
            </w:tcBorders>
          </w:tcPr>
          <w:p>
            <w:pPr>
              <w:spacing w:after="0" w:line="133" w:lineRule="exact"/>
              <w:rPr>
                <w:sz w:val="20"/>
                <w:szCs w:val="20"/>
                <w:color w:val="auto"/>
              </w:rPr>
            </w:pPr>
            <w:r>
              <w:rPr>
                <w:rFonts w:ascii="Arial" w:cs="Arial" w:eastAsia="Arial" w:hAnsi="Arial"/>
                <w:sz w:val="14"/>
                <w:szCs w:val="14"/>
                <w:color w:val="auto"/>
              </w:rPr>
              <w:t>Class A</w:t>
            </w:r>
          </w:p>
        </w:tc>
        <w:tc>
          <w:tcPr>
            <w:tcW w:w="82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40" w:type="dxa"/>
            <w:vAlign w:val="bottom"/>
            <w:tcBorders>
              <w:left w:val="single" w:sz="8" w:color="auto"/>
              <w:right w:val="single" w:sz="8" w:color="auto"/>
            </w:tcBorders>
          </w:tcPr>
          <w:p>
            <w:pPr>
              <w:spacing w:after="0"/>
              <w:rPr>
                <w:sz w:val="11"/>
                <w:szCs w:val="11"/>
                <w:color w:val="auto"/>
              </w:rPr>
            </w:pPr>
          </w:p>
        </w:tc>
        <w:tc>
          <w:tcPr>
            <w:tcW w:w="1080" w:type="dxa"/>
            <w:vAlign w:val="bottom"/>
            <w:tcBorders>
              <w:right w:val="single" w:sz="8" w:color="auto"/>
            </w:tcBorders>
          </w:tcPr>
          <w:p>
            <w:pPr>
              <w:ind w:left="120"/>
              <w:spacing w:after="0" w:line="135" w:lineRule="exact"/>
              <w:rPr>
                <w:sz w:val="20"/>
                <w:szCs w:val="20"/>
                <w:color w:val="auto"/>
              </w:rPr>
            </w:pPr>
            <w:r>
              <w:rPr>
                <w:rFonts w:ascii="Arial" w:cs="Arial" w:eastAsia="Arial" w:hAnsi="Arial"/>
                <w:sz w:val="14"/>
                <w:szCs w:val="14"/>
                <w:color w:val="auto"/>
              </w:rPr>
              <w:t>common</w:t>
            </w:r>
          </w:p>
        </w:tc>
        <w:tc>
          <w:tcPr>
            <w:tcW w:w="82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40" w:type="dxa"/>
            <w:vAlign w:val="bottom"/>
            <w:tcBorders>
              <w:left w:val="single" w:sz="8" w:color="auto"/>
              <w:right w:val="single" w:sz="8" w:color="auto"/>
            </w:tcBorders>
          </w:tcPr>
          <w:p>
            <w:pPr>
              <w:spacing w:after="0"/>
              <w:rPr>
                <w:sz w:val="11"/>
                <w:szCs w:val="11"/>
                <w:color w:val="auto"/>
              </w:rPr>
            </w:pPr>
          </w:p>
        </w:tc>
        <w:tc>
          <w:tcPr>
            <w:tcW w:w="1080" w:type="dxa"/>
            <w:vAlign w:val="bottom"/>
            <w:tcBorders>
              <w:right w:val="single" w:sz="8" w:color="auto"/>
            </w:tcBorders>
          </w:tcPr>
          <w:p>
            <w:pPr>
              <w:ind w:left="120"/>
              <w:spacing w:after="0" w:line="135" w:lineRule="exact"/>
              <w:rPr>
                <w:sz w:val="20"/>
                <w:szCs w:val="20"/>
                <w:color w:val="auto"/>
              </w:rPr>
            </w:pPr>
            <w:r>
              <w:rPr>
                <w:rFonts w:ascii="Arial" w:cs="Arial" w:eastAsia="Arial" w:hAnsi="Arial"/>
                <w:sz w:val="14"/>
                <w:szCs w:val="14"/>
                <w:color w:val="auto"/>
              </w:rPr>
              <w:t>stock,</w:t>
            </w:r>
          </w:p>
        </w:tc>
        <w:tc>
          <w:tcPr>
            <w:tcW w:w="82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40" w:type="dxa"/>
            <w:vAlign w:val="bottom"/>
            <w:tcBorders>
              <w:left w:val="single" w:sz="8" w:color="auto"/>
              <w:right w:val="single" w:sz="8" w:color="auto"/>
            </w:tcBorders>
          </w:tcPr>
          <w:p>
            <w:pPr>
              <w:spacing w:after="0"/>
              <w:rPr>
                <w:sz w:val="11"/>
                <w:szCs w:val="11"/>
                <w:color w:val="auto"/>
              </w:rPr>
            </w:pPr>
          </w:p>
        </w:tc>
        <w:tc>
          <w:tcPr>
            <w:tcW w:w="1080" w:type="dxa"/>
            <w:vAlign w:val="bottom"/>
            <w:tcBorders>
              <w:right w:val="single" w:sz="8" w:color="auto"/>
            </w:tcBorders>
          </w:tcPr>
          <w:p>
            <w:pPr>
              <w:ind w:left="120"/>
              <w:spacing w:after="0" w:line="135" w:lineRule="exact"/>
              <w:rPr>
                <w:sz w:val="20"/>
                <w:szCs w:val="20"/>
                <w:color w:val="auto"/>
              </w:rPr>
            </w:pPr>
            <w:r>
              <w:rPr>
                <w:rFonts w:ascii="Arial" w:cs="Arial" w:eastAsia="Arial" w:hAnsi="Arial"/>
                <w:sz w:val="14"/>
                <w:szCs w:val="14"/>
                <w:color w:val="auto"/>
              </w:rPr>
              <w:t>$0.00001 par</w:t>
            </w: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3"/>
              </w:rPr>
              <w:t>Rules 457(c)</w:t>
            </w:r>
          </w:p>
        </w:tc>
        <w:tc>
          <w:tcPr>
            <w:tcW w:w="124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840" w:type="dxa"/>
            <w:vAlign w:val="bottom"/>
            <w:tcBorders>
              <w:left w:val="single" w:sz="8" w:color="auto"/>
              <w:right w:val="single" w:sz="8" w:color="auto"/>
            </w:tcBorders>
          </w:tcPr>
          <w:p>
            <w:pPr>
              <w:spacing w:after="0"/>
              <w:rPr>
                <w:sz w:val="7"/>
                <w:szCs w:val="7"/>
                <w:color w:val="auto"/>
              </w:rPr>
            </w:pPr>
          </w:p>
        </w:tc>
        <w:tc>
          <w:tcPr>
            <w:tcW w:w="1080" w:type="dxa"/>
            <w:vAlign w:val="bottom"/>
            <w:tcBorders>
              <w:right w:val="single" w:sz="8" w:color="auto"/>
            </w:tcBorders>
            <w:vMerge w:val="restart"/>
          </w:tcPr>
          <w:p>
            <w:pPr>
              <w:ind w:left="120"/>
              <w:spacing w:after="0" w:line="135" w:lineRule="exact"/>
              <w:rPr>
                <w:sz w:val="20"/>
                <w:szCs w:val="20"/>
                <w:color w:val="auto"/>
              </w:rPr>
            </w:pPr>
            <w:r>
              <w:rPr>
                <w:rFonts w:ascii="Arial" w:cs="Arial" w:eastAsia="Arial" w:hAnsi="Arial"/>
                <w:sz w:val="14"/>
                <w:szCs w:val="14"/>
                <w:color w:val="auto"/>
              </w:rPr>
              <w:t>value per</w:t>
            </w:r>
          </w:p>
        </w:tc>
        <w:tc>
          <w:tcPr>
            <w:tcW w:w="820" w:type="dxa"/>
            <w:vAlign w:val="bottom"/>
            <w:tcBorders>
              <w:right w:val="single" w:sz="8" w:color="auto"/>
            </w:tcBorders>
            <w:vMerge w:val="continue"/>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126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920" w:type="dxa"/>
            <w:vAlign w:val="bottom"/>
            <w:tcBorders>
              <w:right w:val="single" w:sz="8" w:color="auto"/>
            </w:tcBorders>
          </w:tcPr>
          <w:p>
            <w:pPr>
              <w:spacing w:after="0"/>
              <w:rPr>
                <w:sz w:val="7"/>
                <w:szCs w:val="7"/>
                <w:color w:val="auto"/>
              </w:rPr>
            </w:pPr>
          </w:p>
        </w:tc>
        <w:tc>
          <w:tcPr>
            <w:tcW w:w="960" w:type="dxa"/>
            <w:vAlign w:val="bottom"/>
            <w:tcBorders>
              <w:right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840" w:type="dxa"/>
            <w:vAlign w:val="bottom"/>
            <w:tcBorders>
              <w:left w:val="single" w:sz="8" w:color="auto"/>
              <w:right w:val="single" w:sz="8" w:color="auto"/>
            </w:tcBorders>
          </w:tcPr>
          <w:p>
            <w:pPr>
              <w:spacing w:after="0"/>
              <w:rPr>
                <w:sz w:val="4"/>
                <w:szCs w:val="4"/>
                <w:color w:val="auto"/>
              </w:rPr>
            </w:pPr>
          </w:p>
        </w:tc>
        <w:tc>
          <w:tcPr>
            <w:tcW w:w="1080" w:type="dxa"/>
            <w:vAlign w:val="bottom"/>
            <w:tcBorders>
              <w:right w:val="single" w:sz="8" w:color="auto"/>
            </w:tcBorders>
            <w:vMerge w:val="continue"/>
          </w:tcPr>
          <w:p>
            <w:pPr>
              <w:spacing w:after="0"/>
              <w:rPr>
                <w:sz w:val="4"/>
                <w:szCs w:val="4"/>
                <w:color w:val="auto"/>
              </w:rPr>
            </w:pP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and (h)</w:t>
            </w:r>
          </w:p>
        </w:tc>
        <w:tc>
          <w:tcPr>
            <w:tcW w:w="1240" w:type="dxa"/>
            <w:vAlign w:val="bottom"/>
            <w:tcBorders>
              <w:right w:val="single" w:sz="8" w:color="auto"/>
            </w:tcBorders>
          </w:tcPr>
          <w:p>
            <w:pPr>
              <w:spacing w:after="0"/>
              <w:rPr>
                <w:sz w:val="4"/>
                <w:szCs w:val="4"/>
                <w:color w:val="auto"/>
              </w:rPr>
            </w:pPr>
          </w:p>
        </w:tc>
        <w:tc>
          <w:tcPr>
            <w:tcW w:w="1260" w:type="dxa"/>
            <w:vAlign w:val="bottom"/>
            <w:tcBorders>
              <w:right w:val="single" w:sz="8" w:color="auto"/>
            </w:tcBorders>
          </w:tcPr>
          <w:p>
            <w:pPr>
              <w:spacing w:after="0"/>
              <w:rPr>
                <w:sz w:val="4"/>
                <w:szCs w:val="4"/>
                <w:color w:val="auto"/>
              </w:rPr>
            </w:pPr>
          </w:p>
        </w:tc>
        <w:tc>
          <w:tcPr>
            <w:tcW w:w="1240" w:type="dxa"/>
            <w:vAlign w:val="bottom"/>
            <w:tcBorders>
              <w:right w:val="single" w:sz="8" w:color="auto"/>
            </w:tcBorders>
          </w:tcPr>
          <w:p>
            <w:pPr>
              <w:spacing w:after="0"/>
              <w:rPr>
                <w:sz w:val="4"/>
                <w:szCs w:val="4"/>
                <w:color w:val="auto"/>
              </w:rPr>
            </w:pPr>
          </w:p>
        </w:tc>
        <w:tc>
          <w:tcPr>
            <w:tcW w:w="920" w:type="dxa"/>
            <w:vAlign w:val="bottom"/>
            <w:tcBorders>
              <w:right w:val="single" w:sz="8" w:color="auto"/>
            </w:tcBorders>
          </w:tcPr>
          <w:p>
            <w:pPr>
              <w:spacing w:after="0"/>
              <w:rPr>
                <w:sz w:val="4"/>
                <w:szCs w:val="4"/>
                <w:color w:val="auto"/>
              </w:rPr>
            </w:pPr>
          </w:p>
        </w:tc>
        <w:tc>
          <w:tcPr>
            <w:tcW w:w="960" w:type="dxa"/>
            <w:vAlign w:val="bottom"/>
            <w:tcBorders>
              <w:right w:val="single" w:sz="8" w:color="auto"/>
            </w:tcBorders>
          </w:tcPr>
          <w:p>
            <w:pPr>
              <w:spacing w:after="0"/>
              <w:rPr>
                <w:sz w:val="4"/>
                <w:szCs w:val="4"/>
                <w:color w:val="auto"/>
              </w:rPr>
            </w:pPr>
          </w:p>
        </w:tc>
        <w:tc>
          <w:tcPr>
            <w:tcW w:w="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840" w:type="dxa"/>
            <w:vAlign w:val="bottom"/>
            <w:tcBorders>
              <w:left w:val="single" w:sz="8" w:color="auto"/>
              <w:right w:val="single" w:sz="8" w:color="auto"/>
            </w:tcBorders>
          </w:tcPr>
          <w:p>
            <w:pPr>
              <w:spacing w:after="0"/>
              <w:rPr>
                <w:sz w:val="11"/>
                <w:szCs w:val="11"/>
                <w:color w:val="auto"/>
              </w:rPr>
            </w:pPr>
          </w:p>
        </w:tc>
        <w:tc>
          <w:tcPr>
            <w:tcW w:w="1080" w:type="dxa"/>
            <w:vAlign w:val="bottom"/>
            <w:tcBorders>
              <w:right w:val="single" w:sz="8" w:color="auto"/>
            </w:tcBorders>
          </w:tcPr>
          <w:p>
            <w:pPr>
              <w:ind w:left="120"/>
              <w:spacing w:after="0" w:line="135" w:lineRule="exact"/>
              <w:rPr>
                <w:sz w:val="20"/>
                <w:szCs w:val="20"/>
                <w:color w:val="auto"/>
              </w:rPr>
            </w:pPr>
            <w:r>
              <w:rPr>
                <w:rFonts w:ascii="Arial" w:cs="Arial" w:eastAsia="Arial" w:hAnsi="Arial"/>
                <w:sz w:val="14"/>
                <w:szCs w:val="14"/>
                <w:color w:val="auto"/>
              </w:rPr>
              <w:t>share,</w:t>
            </w:r>
          </w:p>
        </w:tc>
        <w:tc>
          <w:tcPr>
            <w:tcW w:w="820" w:type="dxa"/>
            <w:vAlign w:val="bottom"/>
            <w:tcBorders>
              <w:right w:val="single" w:sz="8" w:color="auto"/>
            </w:tcBorders>
            <w:vMerge w:val="continue"/>
          </w:tcPr>
          <w:p>
            <w:pPr>
              <w:spacing w:after="0"/>
              <w:rPr>
                <w:sz w:val="11"/>
                <w:szCs w:val="11"/>
                <w:color w:val="auto"/>
              </w:rPr>
            </w:pPr>
          </w:p>
        </w:tc>
        <w:tc>
          <w:tcPr>
            <w:tcW w:w="1240" w:type="dxa"/>
            <w:vAlign w:val="bottom"/>
            <w:tcBorders>
              <w:right w:val="single" w:sz="8" w:color="auto"/>
            </w:tcBorders>
            <w:vMerge w:val="restart"/>
          </w:tcPr>
          <w:p>
            <w:pPr>
              <w:jc w:val="right"/>
              <w:ind w:right="108"/>
              <w:spacing w:after="0"/>
              <w:rPr>
                <w:sz w:val="20"/>
                <w:szCs w:val="20"/>
                <w:color w:val="auto"/>
              </w:rPr>
            </w:pPr>
            <w:r>
              <w:rPr>
                <w:rFonts w:ascii="Arial" w:cs="Arial" w:eastAsia="Arial" w:hAnsi="Arial"/>
                <w:sz w:val="14"/>
                <w:szCs w:val="14"/>
                <w:color w:val="auto"/>
              </w:rPr>
              <w:t>6,063,827(2)</w:t>
            </w:r>
          </w:p>
        </w:tc>
        <w:tc>
          <w:tcPr>
            <w:tcW w:w="1260" w:type="dxa"/>
            <w:vAlign w:val="bottom"/>
            <w:tcBorders>
              <w:right w:val="single" w:sz="8" w:color="auto"/>
            </w:tcBorders>
            <w:vMerge w:val="restart"/>
          </w:tcPr>
          <w:p>
            <w:pPr>
              <w:jc w:val="right"/>
              <w:ind w:right="248"/>
              <w:spacing w:after="0"/>
              <w:rPr>
                <w:sz w:val="20"/>
                <w:szCs w:val="20"/>
                <w:color w:val="auto"/>
              </w:rPr>
            </w:pPr>
            <w:r>
              <w:rPr>
                <w:rFonts w:ascii="Arial" w:cs="Arial" w:eastAsia="Arial" w:hAnsi="Arial"/>
                <w:sz w:val="14"/>
                <w:szCs w:val="14"/>
                <w:color w:val="auto"/>
              </w:rPr>
              <w:t>$13.79(4)</w:t>
            </w:r>
          </w:p>
        </w:tc>
        <w:tc>
          <w:tcPr>
            <w:tcW w:w="12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$83,620,174.33</w:t>
            </w:r>
          </w:p>
        </w:tc>
        <w:tc>
          <w:tcPr>
            <w:tcW w:w="920" w:type="dxa"/>
            <w:vAlign w:val="bottom"/>
            <w:tcBorders>
              <w:right w:val="single" w:sz="8" w:color="auto"/>
            </w:tcBorders>
            <w:vMerge w:val="restart"/>
          </w:tcPr>
          <w:p>
            <w:pPr>
              <w:ind w:left="200"/>
              <w:spacing w:after="0"/>
              <w:rPr>
                <w:sz w:val="20"/>
                <w:szCs w:val="20"/>
                <w:color w:val="auto"/>
              </w:rPr>
            </w:pPr>
            <w:r>
              <w:rPr>
                <w:rFonts w:ascii="Arial" w:cs="Arial" w:eastAsia="Arial" w:hAnsi="Arial"/>
                <w:sz w:val="14"/>
                <w:szCs w:val="14"/>
                <w:color w:val="auto"/>
              </w:rPr>
              <w:t>0.0000927</w:t>
            </w:r>
          </w:p>
        </w:tc>
        <w:tc>
          <w:tcPr>
            <w:tcW w:w="9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$7,751.59</w:t>
            </w: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840" w:type="dxa"/>
            <w:vAlign w:val="bottom"/>
            <w:tcBorders>
              <w:left w:val="single" w:sz="8" w:color="auto"/>
              <w:right w:val="single" w:sz="8" w:color="auto"/>
            </w:tcBorders>
          </w:tcPr>
          <w:p>
            <w:pPr>
              <w:spacing w:after="0"/>
              <w:rPr>
                <w:sz w:val="9"/>
                <w:szCs w:val="9"/>
                <w:color w:val="auto"/>
              </w:rPr>
            </w:pPr>
          </w:p>
        </w:tc>
        <w:tc>
          <w:tcPr>
            <w:tcW w:w="1080" w:type="dxa"/>
            <w:vAlign w:val="bottom"/>
            <w:tcBorders>
              <w:right w:val="single" w:sz="8" w:color="auto"/>
            </w:tcBorders>
            <w:vMerge w:val="restart"/>
          </w:tcPr>
          <w:p>
            <w:pPr>
              <w:ind w:left="120"/>
              <w:spacing w:after="0" w:line="135" w:lineRule="exact"/>
              <w:rPr>
                <w:sz w:val="20"/>
                <w:szCs w:val="20"/>
                <w:color w:val="auto"/>
              </w:rPr>
            </w:pPr>
            <w:r>
              <w:rPr>
                <w:rFonts w:ascii="Arial" w:cs="Arial" w:eastAsia="Arial" w:hAnsi="Arial"/>
                <w:sz w:val="14"/>
                <w:szCs w:val="14"/>
                <w:color w:val="auto"/>
              </w:rPr>
              <w:t>reserved for</w:t>
            </w:r>
          </w:p>
        </w:tc>
        <w:tc>
          <w:tcPr>
            <w:tcW w:w="82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126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960" w:type="dxa"/>
            <w:vAlign w:val="bottom"/>
            <w:tcBorders>
              <w:right w:val="single" w:sz="8" w:color="auto"/>
            </w:tcBorders>
            <w:vMerge w:val="continue"/>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840" w:type="dxa"/>
            <w:vAlign w:val="bottom"/>
            <w:tcBorders>
              <w:left w:val="single" w:sz="8" w:color="auto"/>
              <w:right w:val="single" w:sz="8" w:color="auto"/>
            </w:tcBorders>
          </w:tcPr>
          <w:p>
            <w:pPr>
              <w:spacing w:after="0"/>
              <w:rPr>
                <w:sz w:val="2"/>
                <w:szCs w:val="2"/>
                <w:color w:val="auto"/>
              </w:rPr>
            </w:pPr>
          </w:p>
        </w:tc>
        <w:tc>
          <w:tcPr>
            <w:tcW w:w="1080" w:type="dxa"/>
            <w:vAlign w:val="bottom"/>
            <w:tcBorders>
              <w:right w:val="single" w:sz="8" w:color="auto"/>
            </w:tcBorders>
            <w:vMerge w:val="continue"/>
          </w:tcPr>
          <w:p>
            <w:pPr>
              <w:spacing w:after="0"/>
              <w:rPr>
                <w:sz w:val="2"/>
                <w:szCs w:val="2"/>
                <w:color w:val="auto"/>
              </w:rPr>
            </w:pPr>
          </w:p>
        </w:tc>
        <w:tc>
          <w:tcPr>
            <w:tcW w:w="820" w:type="dxa"/>
            <w:vAlign w:val="bottom"/>
            <w:tcBorders>
              <w:right w:val="single" w:sz="8" w:color="auto"/>
            </w:tcBorders>
          </w:tcPr>
          <w:p>
            <w:pPr>
              <w:spacing w:after="0"/>
              <w:rPr>
                <w:sz w:val="2"/>
                <w:szCs w:val="2"/>
                <w:color w:val="auto"/>
              </w:rPr>
            </w:pPr>
          </w:p>
        </w:tc>
        <w:tc>
          <w:tcPr>
            <w:tcW w:w="1240" w:type="dxa"/>
            <w:vAlign w:val="bottom"/>
            <w:tcBorders>
              <w:right w:val="single" w:sz="8" w:color="auto"/>
            </w:tcBorders>
          </w:tcPr>
          <w:p>
            <w:pPr>
              <w:spacing w:after="0"/>
              <w:rPr>
                <w:sz w:val="2"/>
                <w:szCs w:val="2"/>
                <w:color w:val="auto"/>
              </w:rPr>
            </w:pPr>
          </w:p>
        </w:tc>
        <w:tc>
          <w:tcPr>
            <w:tcW w:w="1260" w:type="dxa"/>
            <w:vAlign w:val="bottom"/>
            <w:tcBorders>
              <w:right w:val="single" w:sz="8" w:color="auto"/>
            </w:tcBorders>
          </w:tcPr>
          <w:p>
            <w:pPr>
              <w:spacing w:after="0"/>
              <w:rPr>
                <w:sz w:val="2"/>
                <w:szCs w:val="2"/>
                <w:color w:val="auto"/>
              </w:rPr>
            </w:pPr>
          </w:p>
        </w:tc>
        <w:tc>
          <w:tcPr>
            <w:tcW w:w="1240" w:type="dxa"/>
            <w:vAlign w:val="bottom"/>
            <w:tcBorders>
              <w:right w:val="single" w:sz="8" w:color="auto"/>
            </w:tcBorders>
          </w:tcPr>
          <w:p>
            <w:pPr>
              <w:spacing w:after="0"/>
              <w:rPr>
                <w:sz w:val="2"/>
                <w:szCs w:val="2"/>
                <w:color w:val="auto"/>
              </w:rPr>
            </w:pPr>
          </w:p>
        </w:tc>
        <w:tc>
          <w:tcPr>
            <w:tcW w:w="920" w:type="dxa"/>
            <w:vAlign w:val="bottom"/>
            <w:tcBorders>
              <w:right w:val="single" w:sz="8" w:color="auto"/>
            </w:tcBorders>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840" w:type="dxa"/>
            <w:vAlign w:val="bottom"/>
            <w:tcBorders>
              <w:left w:val="single" w:sz="8" w:color="auto"/>
              <w:right w:val="single" w:sz="8" w:color="auto"/>
            </w:tcBorders>
          </w:tcPr>
          <w:p>
            <w:pPr>
              <w:spacing w:after="0"/>
              <w:rPr>
                <w:sz w:val="11"/>
                <w:szCs w:val="11"/>
                <w:color w:val="auto"/>
              </w:rPr>
            </w:pPr>
          </w:p>
        </w:tc>
        <w:tc>
          <w:tcPr>
            <w:tcW w:w="1080" w:type="dxa"/>
            <w:vAlign w:val="bottom"/>
            <w:tcBorders>
              <w:right w:val="single" w:sz="8" w:color="auto"/>
            </w:tcBorders>
          </w:tcPr>
          <w:p>
            <w:pPr>
              <w:ind w:left="120"/>
              <w:spacing w:after="0" w:line="135" w:lineRule="exact"/>
              <w:rPr>
                <w:sz w:val="20"/>
                <w:szCs w:val="20"/>
                <w:color w:val="auto"/>
              </w:rPr>
            </w:pPr>
            <w:r>
              <w:rPr>
                <w:rFonts w:ascii="Arial" w:cs="Arial" w:eastAsia="Arial" w:hAnsi="Arial"/>
                <w:sz w:val="14"/>
                <w:szCs w:val="14"/>
                <w:color w:val="auto"/>
              </w:rPr>
              <w:t>issuance</w:t>
            </w:r>
          </w:p>
        </w:tc>
        <w:tc>
          <w:tcPr>
            <w:tcW w:w="82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40" w:type="dxa"/>
            <w:vAlign w:val="bottom"/>
            <w:tcBorders>
              <w:left w:val="single" w:sz="8" w:color="auto"/>
              <w:right w:val="single" w:sz="8" w:color="auto"/>
            </w:tcBorders>
          </w:tcPr>
          <w:p>
            <w:pPr>
              <w:spacing w:after="0"/>
              <w:rPr>
                <w:sz w:val="11"/>
                <w:szCs w:val="11"/>
                <w:color w:val="auto"/>
              </w:rPr>
            </w:pPr>
          </w:p>
        </w:tc>
        <w:tc>
          <w:tcPr>
            <w:tcW w:w="1080" w:type="dxa"/>
            <w:vAlign w:val="bottom"/>
            <w:tcBorders>
              <w:right w:val="single" w:sz="8" w:color="auto"/>
            </w:tcBorders>
          </w:tcPr>
          <w:p>
            <w:pPr>
              <w:ind w:left="120"/>
              <w:spacing w:after="0" w:line="135" w:lineRule="exact"/>
              <w:rPr>
                <w:sz w:val="20"/>
                <w:szCs w:val="20"/>
                <w:color w:val="auto"/>
              </w:rPr>
            </w:pPr>
            <w:r>
              <w:rPr>
                <w:rFonts w:ascii="Arial" w:cs="Arial" w:eastAsia="Arial" w:hAnsi="Arial"/>
                <w:sz w:val="14"/>
                <w:szCs w:val="14"/>
                <w:color w:val="auto"/>
              </w:rPr>
              <w:t>pursuant to</w:t>
            </w:r>
          </w:p>
        </w:tc>
        <w:tc>
          <w:tcPr>
            <w:tcW w:w="82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40" w:type="dxa"/>
            <w:vAlign w:val="bottom"/>
            <w:tcBorders>
              <w:left w:val="single" w:sz="8" w:color="auto"/>
              <w:right w:val="single" w:sz="8" w:color="auto"/>
            </w:tcBorders>
          </w:tcPr>
          <w:p>
            <w:pPr>
              <w:spacing w:after="0"/>
              <w:rPr>
                <w:sz w:val="11"/>
                <w:szCs w:val="11"/>
                <w:color w:val="auto"/>
              </w:rPr>
            </w:pPr>
          </w:p>
        </w:tc>
        <w:tc>
          <w:tcPr>
            <w:tcW w:w="1080" w:type="dxa"/>
            <w:vAlign w:val="bottom"/>
            <w:tcBorders>
              <w:right w:val="single" w:sz="8" w:color="auto"/>
            </w:tcBorders>
          </w:tcPr>
          <w:p>
            <w:pPr>
              <w:ind w:left="120"/>
              <w:spacing w:after="0" w:line="135" w:lineRule="exact"/>
              <w:rPr>
                <w:sz w:val="20"/>
                <w:szCs w:val="20"/>
                <w:color w:val="auto"/>
              </w:rPr>
            </w:pPr>
            <w:r>
              <w:rPr>
                <w:rFonts w:ascii="Arial" w:cs="Arial" w:eastAsia="Arial" w:hAnsi="Arial"/>
                <w:sz w:val="14"/>
                <w:szCs w:val="14"/>
                <w:color w:val="auto"/>
              </w:rPr>
              <w:t>the 2020</w:t>
            </w:r>
          </w:p>
        </w:tc>
        <w:tc>
          <w:tcPr>
            <w:tcW w:w="82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40" w:type="dxa"/>
            <w:vAlign w:val="bottom"/>
            <w:tcBorders>
              <w:left w:val="single" w:sz="8" w:color="auto"/>
              <w:right w:val="single" w:sz="8" w:color="auto"/>
            </w:tcBorders>
          </w:tcPr>
          <w:p>
            <w:pPr>
              <w:spacing w:after="0"/>
              <w:rPr>
                <w:sz w:val="11"/>
                <w:szCs w:val="11"/>
                <w:color w:val="auto"/>
              </w:rPr>
            </w:pPr>
          </w:p>
        </w:tc>
        <w:tc>
          <w:tcPr>
            <w:tcW w:w="1080" w:type="dxa"/>
            <w:vAlign w:val="bottom"/>
            <w:tcBorders>
              <w:right w:val="single" w:sz="8" w:color="auto"/>
            </w:tcBorders>
          </w:tcPr>
          <w:p>
            <w:pPr>
              <w:ind w:left="120"/>
              <w:spacing w:after="0" w:line="135" w:lineRule="exact"/>
              <w:rPr>
                <w:sz w:val="20"/>
                <w:szCs w:val="20"/>
                <w:color w:val="auto"/>
              </w:rPr>
            </w:pPr>
            <w:r>
              <w:rPr>
                <w:rFonts w:ascii="Arial" w:cs="Arial" w:eastAsia="Arial" w:hAnsi="Arial"/>
                <w:sz w:val="14"/>
                <w:szCs w:val="14"/>
                <w:color w:val="auto"/>
              </w:rPr>
              <w:t>Equity</w:t>
            </w:r>
          </w:p>
        </w:tc>
        <w:tc>
          <w:tcPr>
            <w:tcW w:w="82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840" w:type="dxa"/>
            <w:vAlign w:val="bottom"/>
            <w:tcBorders>
              <w:left w:val="single" w:sz="8" w:color="auto"/>
              <w:bottom w:val="single" w:sz="8" w:color="auto"/>
              <w:right w:val="single" w:sz="8" w:color="auto"/>
            </w:tcBorders>
          </w:tcPr>
          <w:p>
            <w:pPr>
              <w:spacing w:after="0"/>
              <w:rPr>
                <w:sz w:val="16"/>
                <w:szCs w:val="16"/>
                <w:color w:val="auto"/>
              </w:rPr>
            </w:pPr>
          </w:p>
        </w:tc>
        <w:tc>
          <w:tcPr>
            <w:tcW w:w="10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Incentive Plan</w:t>
            </w:r>
          </w:p>
        </w:tc>
        <w:tc>
          <w:tcPr>
            <w:tcW w:w="820" w:type="dxa"/>
            <w:vAlign w:val="bottom"/>
            <w:tcBorders>
              <w:bottom w:val="single" w:sz="8" w:color="auto"/>
              <w:right w:val="single" w:sz="8" w:color="auto"/>
            </w:tcBorders>
          </w:tcPr>
          <w:p>
            <w:pPr>
              <w:spacing w:after="0"/>
              <w:rPr>
                <w:sz w:val="16"/>
                <w:szCs w:val="16"/>
                <w:color w:val="auto"/>
              </w:rPr>
            </w:pPr>
          </w:p>
        </w:tc>
        <w:tc>
          <w:tcPr>
            <w:tcW w:w="1240" w:type="dxa"/>
            <w:vAlign w:val="bottom"/>
            <w:tcBorders>
              <w:bottom w:val="single" w:sz="8" w:color="auto"/>
              <w:right w:val="single" w:sz="8" w:color="auto"/>
            </w:tcBorders>
          </w:tcPr>
          <w:p>
            <w:pPr>
              <w:spacing w:after="0"/>
              <w:rPr>
                <w:sz w:val="16"/>
                <w:szCs w:val="16"/>
                <w:color w:val="auto"/>
              </w:rPr>
            </w:pPr>
          </w:p>
        </w:tc>
        <w:tc>
          <w:tcPr>
            <w:tcW w:w="1260" w:type="dxa"/>
            <w:vAlign w:val="bottom"/>
            <w:tcBorders>
              <w:bottom w:val="single" w:sz="8" w:color="auto"/>
              <w:right w:val="single" w:sz="8" w:color="auto"/>
            </w:tcBorders>
          </w:tcPr>
          <w:p>
            <w:pPr>
              <w:spacing w:after="0"/>
              <w:rPr>
                <w:sz w:val="16"/>
                <w:szCs w:val="16"/>
                <w:color w:val="auto"/>
              </w:rPr>
            </w:pPr>
          </w:p>
        </w:tc>
        <w:tc>
          <w:tcPr>
            <w:tcW w:w="1240" w:type="dxa"/>
            <w:vAlign w:val="bottom"/>
            <w:tcBorders>
              <w:bottom w:val="single" w:sz="8" w:color="auto"/>
              <w:right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840" w:type="dxa"/>
            <w:vAlign w:val="bottom"/>
            <w:tcBorders>
              <w:left w:val="single" w:sz="8" w:color="auto"/>
              <w:right w:val="single" w:sz="8" w:color="auto"/>
            </w:tcBorders>
          </w:tcPr>
          <w:p>
            <w:pPr>
              <w:spacing w:after="0"/>
              <w:rPr>
                <w:sz w:val="11"/>
                <w:szCs w:val="11"/>
                <w:color w:val="auto"/>
              </w:rPr>
            </w:pPr>
          </w:p>
        </w:tc>
        <w:tc>
          <w:tcPr>
            <w:tcW w:w="1080" w:type="dxa"/>
            <w:vAlign w:val="bottom"/>
            <w:tcBorders>
              <w:right w:val="single" w:sz="8" w:color="auto"/>
            </w:tcBorders>
          </w:tcPr>
          <w:p>
            <w:pPr>
              <w:spacing w:after="0" w:line="132" w:lineRule="exact"/>
              <w:rPr>
                <w:sz w:val="20"/>
                <w:szCs w:val="20"/>
                <w:color w:val="auto"/>
              </w:rPr>
            </w:pPr>
            <w:r>
              <w:rPr>
                <w:rFonts w:ascii="Arial" w:cs="Arial" w:eastAsia="Arial" w:hAnsi="Arial"/>
                <w:sz w:val="14"/>
                <w:szCs w:val="14"/>
                <w:color w:val="auto"/>
              </w:rPr>
              <w:t>Class A</w:t>
            </w:r>
          </w:p>
        </w:tc>
        <w:tc>
          <w:tcPr>
            <w:tcW w:w="82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40" w:type="dxa"/>
            <w:vAlign w:val="bottom"/>
            <w:tcBorders>
              <w:left w:val="single" w:sz="8" w:color="auto"/>
              <w:right w:val="single" w:sz="8" w:color="auto"/>
            </w:tcBorders>
          </w:tcPr>
          <w:p>
            <w:pPr>
              <w:spacing w:after="0"/>
              <w:rPr>
                <w:sz w:val="11"/>
                <w:szCs w:val="11"/>
                <w:color w:val="auto"/>
              </w:rPr>
            </w:pPr>
          </w:p>
        </w:tc>
        <w:tc>
          <w:tcPr>
            <w:tcW w:w="1080" w:type="dxa"/>
            <w:vAlign w:val="bottom"/>
            <w:tcBorders>
              <w:right w:val="single" w:sz="8" w:color="auto"/>
            </w:tcBorders>
          </w:tcPr>
          <w:p>
            <w:pPr>
              <w:ind w:left="120"/>
              <w:spacing w:after="0" w:line="135" w:lineRule="exact"/>
              <w:rPr>
                <w:sz w:val="20"/>
                <w:szCs w:val="20"/>
                <w:color w:val="auto"/>
              </w:rPr>
            </w:pPr>
            <w:r>
              <w:rPr>
                <w:rFonts w:ascii="Arial" w:cs="Arial" w:eastAsia="Arial" w:hAnsi="Arial"/>
                <w:sz w:val="14"/>
                <w:szCs w:val="14"/>
                <w:color w:val="auto"/>
              </w:rPr>
              <w:t>common</w:t>
            </w:r>
          </w:p>
        </w:tc>
        <w:tc>
          <w:tcPr>
            <w:tcW w:w="82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40" w:type="dxa"/>
            <w:vAlign w:val="bottom"/>
            <w:tcBorders>
              <w:left w:val="single" w:sz="8" w:color="auto"/>
              <w:right w:val="single" w:sz="8" w:color="auto"/>
            </w:tcBorders>
          </w:tcPr>
          <w:p>
            <w:pPr>
              <w:spacing w:after="0"/>
              <w:rPr>
                <w:sz w:val="11"/>
                <w:szCs w:val="11"/>
                <w:color w:val="auto"/>
              </w:rPr>
            </w:pPr>
          </w:p>
        </w:tc>
        <w:tc>
          <w:tcPr>
            <w:tcW w:w="1080" w:type="dxa"/>
            <w:vAlign w:val="bottom"/>
            <w:tcBorders>
              <w:right w:val="single" w:sz="8" w:color="auto"/>
            </w:tcBorders>
          </w:tcPr>
          <w:p>
            <w:pPr>
              <w:ind w:left="120"/>
              <w:spacing w:after="0" w:line="135" w:lineRule="exact"/>
              <w:rPr>
                <w:sz w:val="20"/>
                <w:szCs w:val="20"/>
                <w:color w:val="auto"/>
              </w:rPr>
            </w:pPr>
            <w:r>
              <w:rPr>
                <w:rFonts w:ascii="Arial" w:cs="Arial" w:eastAsia="Arial" w:hAnsi="Arial"/>
                <w:sz w:val="14"/>
                <w:szCs w:val="14"/>
                <w:color w:val="auto"/>
              </w:rPr>
              <w:t>stock,</w:t>
            </w:r>
          </w:p>
        </w:tc>
        <w:tc>
          <w:tcPr>
            <w:tcW w:w="82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40" w:type="dxa"/>
            <w:vAlign w:val="bottom"/>
            <w:tcBorders>
              <w:left w:val="single" w:sz="8" w:color="auto"/>
              <w:right w:val="single" w:sz="8" w:color="auto"/>
            </w:tcBorders>
          </w:tcPr>
          <w:p>
            <w:pPr>
              <w:spacing w:after="0"/>
              <w:rPr>
                <w:sz w:val="11"/>
                <w:szCs w:val="11"/>
                <w:color w:val="auto"/>
              </w:rPr>
            </w:pPr>
          </w:p>
        </w:tc>
        <w:tc>
          <w:tcPr>
            <w:tcW w:w="1080" w:type="dxa"/>
            <w:vAlign w:val="bottom"/>
            <w:tcBorders>
              <w:right w:val="single" w:sz="8" w:color="auto"/>
            </w:tcBorders>
          </w:tcPr>
          <w:p>
            <w:pPr>
              <w:ind w:left="120"/>
              <w:spacing w:after="0" w:line="135" w:lineRule="exact"/>
              <w:rPr>
                <w:sz w:val="20"/>
                <w:szCs w:val="20"/>
                <w:color w:val="auto"/>
              </w:rPr>
            </w:pPr>
            <w:r>
              <w:rPr>
                <w:rFonts w:ascii="Arial" w:cs="Arial" w:eastAsia="Arial" w:hAnsi="Arial"/>
                <w:sz w:val="14"/>
                <w:szCs w:val="14"/>
                <w:color w:val="auto"/>
              </w:rPr>
              <w:t>$0.00001 par</w:t>
            </w:r>
          </w:p>
        </w:tc>
        <w:tc>
          <w:tcPr>
            <w:tcW w:w="82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40" w:type="dxa"/>
            <w:vAlign w:val="bottom"/>
            <w:tcBorders>
              <w:left w:val="single" w:sz="8" w:color="auto"/>
              <w:right w:val="single" w:sz="8" w:color="auto"/>
            </w:tcBorders>
          </w:tcPr>
          <w:p>
            <w:pPr>
              <w:spacing w:after="0"/>
              <w:rPr>
                <w:sz w:val="11"/>
                <w:szCs w:val="11"/>
                <w:color w:val="auto"/>
              </w:rPr>
            </w:pPr>
          </w:p>
        </w:tc>
        <w:tc>
          <w:tcPr>
            <w:tcW w:w="1080" w:type="dxa"/>
            <w:vAlign w:val="bottom"/>
            <w:tcBorders>
              <w:right w:val="single" w:sz="8" w:color="auto"/>
            </w:tcBorders>
          </w:tcPr>
          <w:p>
            <w:pPr>
              <w:ind w:left="120"/>
              <w:spacing w:after="0" w:line="135" w:lineRule="exact"/>
              <w:rPr>
                <w:sz w:val="20"/>
                <w:szCs w:val="20"/>
                <w:color w:val="auto"/>
              </w:rPr>
            </w:pPr>
            <w:r>
              <w:rPr>
                <w:rFonts w:ascii="Arial" w:cs="Arial" w:eastAsia="Arial" w:hAnsi="Arial"/>
                <w:sz w:val="14"/>
                <w:szCs w:val="14"/>
                <w:color w:val="auto"/>
              </w:rPr>
              <w:t>value per</w:t>
            </w:r>
          </w:p>
        </w:tc>
        <w:tc>
          <w:tcPr>
            <w:tcW w:w="82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40" w:type="dxa"/>
            <w:vAlign w:val="bottom"/>
            <w:tcBorders>
              <w:left w:val="single" w:sz="8" w:color="auto"/>
              <w:right w:val="single" w:sz="8" w:color="auto"/>
            </w:tcBorders>
          </w:tcPr>
          <w:p>
            <w:pPr>
              <w:spacing w:after="0"/>
              <w:rPr>
                <w:sz w:val="11"/>
                <w:szCs w:val="11"/>
                <w:color w:val="auto"/>
              </w:rPr>
            </w:pPr>
          </w:p>
        </w:tc>
        <w:tc>
          <w:tcPr>
            <w:tcW w:w="1080" w:type="dxa"/>
            <w:vAlign w:val="bottom"/>
            <w:tcBorders>
              <w:right w:val="single" w:sz="8" w:color="auto"/>
            </w:tcBorders>
          </w:tcPr>
          <w:p>
            <w:pPr>
              <w:ind w:left="120"/>
              <w:spacing w:after="0" w:line="135" w:lineRule="exact"/>
              <w:rPr>
                <w:sz w:val="20"/>
                <w:szCs w:val="20"/>
                <w:color w:val="auto"/>
              </w:rPr>
            </w:pPr>
            <w:r>
              <w:rPr>
                <w:rFonts w:ascii="Arial" w:cs="Arial" w:eastAsia="Arial" w:hAnsi="Arial"/>
                <w:sz w:val="14"/>
                <w:szCs w:val="14"/>
                <w:color w:val="auto"/>
              </w:rPr>
              <w:t>share,</w:t>
            </w: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3"/>
              </w:rPr>
              <w:t>Rules 457(c)</w:t>
            </w:r>
          </w:p>
        </w:tc>
        <w:tc>
          <w:tcPr>
            <w:tcW w:w="1240" w:type="dxa"/>
            <w:vAlign w:val="bottom"/>
            <w:tcBorders>
              <w:right w:val="single" w:sz="8" w:color="auto"/>
            </w:tcBorders>
            <w:vMerge w:val="restart"/>
          </w:tcPr>
          <w:p>
            <w:pPr>
              <w:jc w:val="right"/>
              <w:ind w:right="148"/>
              <w:spacing w:after="0"/>
              <w:rPr>
                <w:sz w:val="20"/>
                <w:szCs w:val="20"/>
                <w:color w:val="auto"/>
              </w:rPr>
            </w:pPr>
            <w:r>
              <w:rPr>
                <w:rFonts w:ascii="Arial" w:cs="Arial" w:eastAsia="Arial" w:hAnsi="Arial"/>
                <w:sz w:val="14"/>
                <w:szCs w:val="14"/>
                <w:color w:val="auto"/>
              </w:rPr>
              <w:t>592,610(3)</w:t>
            </w:r>
          </w:p>
        </w:tc>
        <w:tc>
          <w:tcPr>
            <w:tcW w:w="1260" w:type="dxa"/>
            <w:vAlign w:val="bottom"/>
            <w:tcBorders>
              <w:right w:val="single" w:sz="8" w:color="auto"/>
            </w:tcBorders>
            <w:vMerge w:val="restart"/>
          </w:tcPr>
          <w:p>
            <w:pPr>
              <w:jc w:val="right"/>
              <w:ind w:right="228"/>
              <w:spacing w:after="0"/>
              <w:rPr>
                <w:sz w:val="20"/>
                <w:szCs w:val="20"/>
                <w:color w:val="auto"/>
              </w:rPr>
            </w:pPr>
            <w:r>
              <w:rPr>
                <w:rFonts w:ascii="Arial" w:cs="Arial" w:eastAsia="Arial" w:hAnsi="Arial"/>
                <w:sz w:val="14"/>
                <w:szCs w:val="14"/>
                <w:color w:val="auto"/>
              </w:rPr>
              <w:t>$11.72(5)</w:t>
            </w:r>
          </w:p>
        </w:tc>
        <w:tc>
          <w:tcPr>
            <w:tcW w:w="12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$6,945,389.20</w:t>
            </w:r>
          </w:p>
        </w:tc>
        <w:tc>
          <w:tcPr>
            <w:tcW w:w="920" w:type="dxa"/>
            <w:vAlign w:val="bottom"/>
            <w:tcBorders>
              <w:right w:val="single" w:sz="8" w:color="auto"/>
            </w:tcBorders>
            <w:vMerge w:val="restart"/>
          </w:tcPr>
          <w:p>
            <w:pPr>
              <w:jc w:val="right"/>
              <w:ind w:right="88"/>
              <w:spacing w:after="0"/>
              <w:rPr>
                <w:sz w:val="20"/>
                <w:szCs w:val="20"/>
                <w:color w:val="auto"/>
              </w:rPr>
            </w:pPr>
            <w:r>
              <w:rPr>
                <w:rFonts w:ascii="Arial" w:cs="Arial" w:eastAsia="Arial" w:hAnsi="Arial"/>
                <w:sz w:val="14"/>
                <w:szCs w:val="14"/>
                <w:color w:val="auto"/>
              </w:rPr>
              <w:t>0.0000927</w:t>
            </w:r>
          </w:p>
        </w:tc>
        <w:tc>
          <w:tcPr>
            <w:tcW w:w="9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$643.84</w:t>
            </w: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840" w:type="dxa"/>
            <w:vAlign w:val="bottom"/>
            <w:tcBorders>
              <w:left w:val="single" w:sz="8" w:color="auto"/>
              <w:right w:val="single" w:sz="8" w:color="auto"/>
            </w:tcBorders>
          </w:tcPr>
          <w:p>
            <w:pPr>
              <w:spacing w:after="0"/>
              <w:rPr>
                <w:sz w:val="5"/>
                <w:szCs w:val="5"/>
                <w:color w:val="auto"/>
              </w:rPr>
            </w:pPr>
          </w:p>
        </w:tc>
        <w:tc>
          <w:tcPr>
            <w:tcW w:w="1080" w:type="dxa"/>
            <w:vAlign w:val="bottom"/>
            <w:tcBorders>
              <w:right w:val="single" w:sz="8" w:color="auto"/>
            </w:tcBorders>
            <w:vMerge w:val="restart"/>
          </w:tcPr>
          <w:p>
            <w:pPr>
              <w:ind w:left="120"/>
              <w:spacing w:after="0" w:line="135" w:lineRule="exact"/>
              <w:rPr>
                <w:sz w:val="20"/>
                <w:szCs w:val="20"/>
                <w:color w:val="auto"/>
              </w:rPr>
            </w:pPr>
            <w:r>
              <w:rPr>
                <w:rFonts w:ascii="Arial" w:cs="Arial" w:eastAsia="Arial" w:hAnsi="Arial"/>
                <w:sz w:val="14"/>
                <w:szCs w:val="14"/>
                <w:color w:val="auto"/>
              </w:rPr>
              <w:t>reserved for</w:t>
            </w:r>
          </w:p>
        </w:tc>
        <w:tc>
          <w:tcPr>
            <w:tcW w:w="820" w:type="dxa"/>
            <w:vAlign w:val="bottom"/>
            <w:tcBorders>
              <w:right w:val="single" w:sz="8" w:color="auto"/>
            </w:tcBorders>
            <w:vMerge w:val="continue"/>
          </w:tcPr>
          <w:p>
            <w:pPr>
              <w:spacing w:after="0"/>
              <w:rPr>
                <w:sz w:val="5"/>
                <w:szCs w:val="5"/>
                <w:color w:val="auto"/>
              </w:rPr>
            </w:pPr>
          </w:p>
        </w:tc>
        <w:tc>
          <w:tcPr>
            <w:tcW w:w="1240" w:type="dxa"/>
            <w:vAlign w:val="bottom"/>
            <w:tcBorders>
              <w:right w:val="single" w:sz="8" w:color="auto"/>
            </w:tcBorders>
            <w:vMerge w:val="continue"/>
          </w:tcPr>
          <w:p>
            <w:pPr>
              <w:spacing w:after="0"/>
              <w:rPr>
                <w:sz w:val="5"/>
                <w:szCs w:val="5"/>
                <w:color w:val="auto"/>
              </w:rPr>
            </w:pPr>
          </w:p>
        </w:tc>
        <w:tc>
          <w:tcPr>
            <w:tcW w:w="1260" w:type="dxa"/>
            <w:vAlign w:val="bottom"/>
            <w:tcBorders>
              <w:right w:val="single" w:sz="8" w:color="auto"/>
            </w:tcBorders>
            <w:vMerge w:val="continue"/>
          </w:tcPr>
          <w:p>
            <w:pPr>
              <w:spacing w:after="0"/>
              <w:rPr>
                <w:sz w:val="5"/>
                <w:szCs w:val="5"/>
                <w:color w:val="auto"/>
              </w:rPr>
            </w:pPr>
          </w:p>
        </w:tc>
        <w:tc>
          <w:tcPr>
            <w:tcW w:w="1240" w:type="dxa"/>
            <w:vAlign w:val="bottom"/>
            <w:tcBorders>
              <w:right w:val="single" w:sz="8" w:color="auto"/>
            </w:tcBorders>
            <w:vMerge w:val="continue"/>
          </w:tcPr>
          <w:p>
            <w:pPr>
              <w:spacing w:after="0"/>
              <w:rPr>
                <w:sz w:val="5"/>
                <w:szCs w:val="5"/>
                <w:color w:val="auto"/>
              </w:rPr>
            </w:pPr>
          </w:p>
        </w:tc>
        <w:tc>
          <w:tcPr>
            <w:tcW w:w="920" w:type="dxa"/>
            <w:vAlign w:val="bottom"/>
            <w:tcBorders>
              <w:right w:val="single" w:sz="8" w:color="auto"/>
            </w:tcBorders>
            <w:vMerge w:val="continue"/>
          </w:tcPr>
          <w:p>
            <w:pPr>
              <w:spacing w:after="0"/>
              <w:rPr>
                <w:sz w:val="5"/>
                <w:szCs w:val="5"/>
                <w:color w:val="auto"/>
              </w:rPr>
            </w:pPr>
          </w:p>
        </w:tc>
        <w:tc>
          <w:tcPr>
            <w:tcW w:w="960" w:type="dxa"/>
            <w:vAlign w:val="bottom"/>
            <w:tcBorders>
              <w:right w:val="single" w:sz="8" w:color="auto"/>
            </w:tcBorders>
            <w:vMerge w:val="continue"/>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840" w:type="dxa"/>
            <w:vAlign w:val="bottom"/>
            <w:tcBorders>
              <w:left w:val="single" w:sz="8" w:color="auto"/>
              <w:right w:val="single" w:sz="8" w:color="auto"/>
            </w:tcBorders>
          </w:tcPr>
          <w:p>
            <w:pPr>
              <w:spacing w:after="0"/>
              <w:rPr>
                <w:sz w:val="5"/>
                <w:szCs w:val="5"/>
                <w:color w:val="auto"/>
              </w:rPr>
            </w:pPr>
          </w:p>
        </w:tc>
        <w:tc>
          <w:tcPr>
            <w:tcW w:w="1080" w:type="dxa"/>
            <w:vAlign w:val="bottom"/>
            <w:tcBorders>
              <w:right w:val="single" w:sz="8" w:color="auto"/>
            </w:tcBorders>
            <w:vMerge w:val="continue"/>
          </w:tcPr>
          <w:p>
            <w:pPr>
              <w:spacing w:after="0"/>
              <w:rPr>
                <w:sz w:val="5"/>
                <w:szCs w:val="5"/>
                <w:color w:val="auto"/>
              </w:rPr>
            </w:pP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and (h)</w:t>
            </w:r>
          </w:p>
        </w:tc>
        <w:tc>
          <w:tcPr>
            <w:tcW w:w="1240" w:type="dxa"/>
            <w:vAlign w:val="bottom"/>
            <w:tcBorders>
              <w:right w:val="single" w:sz="8" w:color="auto"/>
            </w:tcBorders>
          </w:tcPr>
          <w:p>
            <w:pPr>
              <w:spacing w:after="0"/>
              <w:rPr>
                <w:sz w:val="5"/>
                <w:szCs w:val="5"/>
                <w:color w:val="auto"/>
              </w:rPr>
            </w:pPr>
          </w:p>
        </w:tc>
        <w:tc>
          <w:tcPr>
            <w:tcW w:w="1260" w:type="dxa"/>
            <w:vAlign w:val="bottom"/>
            <w:tcBorders>
              <w:right w:val="single" w:sz="8" w:color="auto"/>
            </w:tcBorders>
          </w:tcPr>
          <w:p>
            <w:pPr>
              <w:spacing w:after="0"/>
              <w:rPr>
                <w:sz w:val="5"/>
                <w:szCs w:val="5"/>
                <w:color w:val="auto"/>
              </w:rPr>
            </w:pPr>
          </w:p>
        </w:tc>
        <w:tc>
          <w:tcPr>
            <w:tcW w:w="1240" w:type="dxa"/>
            <w:vAlign w:val="bottom"/>
            <w:tcBorders>
              <w:right w:val="single" w:sz="8" w:color="auto"/>
            </w:tcBorders>
          </w:tcPr>
          <w:p>
            <w:pPr>
              <w:spacing w:after="0"/>
              <w:rPr>
                <w:sz w:val="5"/>
                <w:szCs w:val="5"/>
                <w:color w:val="auto"/>
              </w:rPr>
            </w:pPr>
          </w:p>
        </w:tc>
        <w:tc>
          <w:tcPr>
            <w:tcW w:w="920" w:type="dxa"/>
            <w:vAlign w:val="bottom"/>
            <w:tcBorders>
              <w:right w:val="single" w:sz="8" w:color="auto"/>
            </w:tcBorders>
          </w:tcPr>
          <w:p>
            <w:pPr>
              <w:spacing w:after="0"/>
              <w:rPr>
                <w:sz w:val="5"/>
                <w:szCs w:val="5"/>
                <w:color w:val="auto"/>
              </w:rPr>
            </w:pPr>
          </w:p>
        </w:tc>
        <w:tc>
          <w:tcPr>
            <w:tcW w:w="960" w:type="dxa"/>
            <w:vAlign w:val="bottom"/>
            <w:tcBorders>
              <w:right w:val="single" w:sz="8" w:color="auto"/>
            </w:tcBorders>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840" w:type="dxa"/>
            <w:vAlign w:val="bottom"/>
            <w:tcBorders>
              <w:left w:val="single" w:sz="8" w:color="auto"/>
              <w:right w:val="single" w:sz="8" w:color="auto"/>
            </w:tcBorders>
          </w:tcPr>
          <w:p>
            <w:pPr>
              <w:spacing w:after="0"/>
              <w:rPr>
                <w:sz w:val="9"/>
                <w:szCs w:val="9"/>
                <w:color w:val="auto"/>
              </w:rPr>
            </w:pPr>
          </w:p>
        </w:tc>
        <w:tc>
          <w:tcPr>
            <w:tcW w:w="1080" w:type="dxa"/>
            <w:vAlign w:val="bottom"/>
            <w:tcBorders>
              <w:right w:val="single" w:sz="8" w:color="auto"/>
            </w:tcBorders>
            <w:vMerge w:val="restart"/>
          </w:tcPr>
          <w:p>
            <w:pPr>
              <w:ind w:left="120"/>
              <w:spacing w:after="0" w:line="135" w:lineRule="exact"/>
              <w:rPr>
                <w:sz w:val="20"/>
                <w:szCs w:val="20"/>
                <w:color w:val="auto"/>
              </w:rPr>
            </w:pPr>
            <w:r>
              <w:rPr>
                <w:rFonts w:ascii="Arial" w:cs="Arial" w:eastAsia="Arial" w:hAnsi="Arial"/>
                <w:sz w:val="14"/>
                <w:szCs w:val="14"/>
                <w:color w:val="auto"/>
              </w:rPr>
              <w:t>issuance</w:t>
            </w:r>
          </w:p>
        </w:tc>
        <w:tc>
          <w:tcPr>
            <w:tcW w:w="82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840" w:type="dxa"/>
            <w:vAlign w:val="bottom"/>
            <w:tcBorders>
              <w:left w:val="single" w:sz="8" w:color="auto"/>
              <w:right w:val="single" w:sz="8" w:color="auto"/>
            </w:tcBorders>
          </w:tcPr>
          <w:p>
            <w:pPr>
              <w:spacing w:after="0" w:line="20" w:lineRule="exact"/>
              <w:rPr>
                <w:sz w:val="1"/>
                <w:szCs w:val="1"/>
                <w:color w:val="auto"/>
              </w:rPr>
            </w:pPr>
          </w:p>
        </w:tc>
        <w:tc>
          <w:tcPr>
            <w:tcW w:w="1080" w:type="dxa"/>
            <w:vAlign w:val="bottom"/>
            <w:tcBorders>
              <w:right w:val="single" w:sz="8" w:color="auto"/>
            </w:tcBorders>
            <w:vMerge w:val="continue"/>
          </w:tcPr>
          <w:p>
            <w:pPr>
              <w:spacing w:after="0" w:line="20" w:lineRule="exact"/>
              <w:rPr>
                <w:sz w:val="1"/>
                <w:szCs w:val="1"/>
                <w:color w:val="auto"/>
              </w:rPr>
            </w:pPr>
          </w:p>
        </w:tc>
        <w:tc>
          <w:tcPr>
            <w:tcW w:w="820" w:type="dxa"/>
            <w:vAlign w:val="bottom"/>
            <w:tcBorders>
              <w:right w:val="single" w:sz="8" w:color="auto"/>
            </w:tcBorders>
          </w:tcPr>
          <w:p>
            <w:pPr>
              <w:spacing w:after="0" w:line="20" w:lineRule="exact"/>
              <w:rPr>
                <w:sz w:val="1"/>
                <w:szCs w:val="1"/>
                <w:color w:val="auto"/>
              </w:rPr>
            </w:pPr>
          </w:p>
        </w:tc>
        <w:tc>
          <w:tcPr>
            <w:tcW w:w="1240" w:type="dxa"/>
            <w:vAlign w:val="bottom"/>
            <w:tcBorders>
              <w:right w:val="single" w:sz="8" w:color="auto"/>
            </w:tcBorders>
          </w:tcPr>
          <w:p>
            <w:pPr>
              <w:spacing w:after="0" w:line="20" w:lineRule="exact"/>
              <w:rPr>
                <w:sz w:val="1"/>
                <w:szCs w:val="1"/>
                <w:color w:val="auto"/>
              </w:rPr>
            </w:pPr>
          </w:p>
        </w:tc>
        <w:tc>
          <w:tcPr>
            <w:tcW w:w="1260" w:type="dxa"/>
            <w:vAlign w:val="bottom"/>
            <w:tcBorders>
              <w:right w:val="single" w:sz="8" w:color="auto"/>
            </w:tcBorders>
          </w:tcPr>
          <w:p>
            <w:pPr>
              <w:spacing w:after="0" w:line="20" w:lineRule="exact"/>
              <w:rPr>
                <w:sz w:val="1"/>
                <w:szCs w:val="1"/>
                <w:color w:val="auto"/>
              </w:rPr>
            </w:pPr>
          </w:p>
        </w:tc>
        <w:tc>
          <w:tcPr>
            <w:tcW w:w="1240" w:type="dxa"/>
            <w:vAlign w:val="bottom"/>
            <w:tcBorders>
              <w:right w:val="single" w:sz="8" w:color="auto"/>
            </w:tcBorders>
          </w:tcPr>
          <w:p>
            <w:pPr>
              <w:spacing w:after="0" w:line="20" w:lineRule="exact"/>
              <w:rPr>
                <w:sz w:val="1"/>
                <w:szCs w:val="1"/>
                <w:color w:val="auto"/>
              </w:rPr>
            </w:pPr>
          </w:p>
        </w:tc>
        <w:tc>
          <w:tcPr>
            <w:tcW w:w="920" w:type="dxa"/>
            <w:vAlign w:val="bottom"/>
            <w:tcBorders>
              <w:right w:val="single" w:sz="8" w:color="auto"/>
            </w:tcBorders>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840" w:type="dxa"/>
            <w:vAlign w:val="bottom"/>
            <w:tcBorders>
              <w:left w:val="single" w:sz="8" w:color="auto"/>
              <w:right w:val="single" w:sz="8" w:color="auto"/>
            </w:tcBorders>
          </w:tcPr>
          <w:p>
            <w:pPr>
              <w:spacing w:after="0"/>
              <w:rPr>
                <w:sz w:val="11"/>
                <w:szCs w:val="11"/>
                <w:color w:val="auto"/>
              </w:rPr>
            </w:pPr>
          </w:p>
        </w:tc>
        <w:tc>
          <w:tcPr>
            <w:tcW w:w="1080" w:type="dxa"/>
            <w:vAlign w:val="bottom"/>
            <w:tcBorders>
              <w:right w:val="single" w:sz="8" w:color="auto"/>
            </w:tcBorders>
          </w:tcPr>
          <w:p>
            <w:pPr>
              <w:ind w:left="120"/>
              <w:spacing w:after="0" w:line="135" w:lineRule="exact"/>
              <w:rPr>
                <w:sz w:val="20"/>
                <w:szCs w:val="20"/>
                <w:color w:val="auto"/>
              </w:rPr>
            </w:pPr>
            <w:r>
              <w:rPr>
                <w:rFonts w:ascii="Arial" w:cs="Arial" w:eastAsia="Arial" w:hAnsi="Arial"/>
                <w:sz w:val="14"/>
                <w:szCs w:val="14"/>
                <w:color w:val="auto"/>
              </w:rPr>
              <w:t>pursuant to</w:t>
            </w:r>
          </w:p>
        </w:tc>
        <w:tc>
          <w:tcPr>
            <w:tcW w:w="82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40" w:type="dxa"/>
            <w:vAlign w:val="bottom"/>
            <w:tcBorders>
              <w:left w:val="single" w:sz="8" w:color="auto"/>
              <w:right w:val="single" w:sz="8" w:color="auto"/>
            </w:tcBorders>
          </w:tcPr>
          <w:p>
            <w:pPr>
              <w:spacing w:after="0"/>
              <w:rPr>
                <w:sz w:val="11"/>
                <w:szCs w:val="11"/>
                <w:color w:val="auto"/>
              </w:rPr>
            </w:pPr>
          </w:p>
        </w:tc>
        <w:tc>
          <w:tcPr>
            <w:tcW w:w="1080" w:type="dxa"/>
            <w:vAlign w:val="bottom"/>
            <w:tcBorders>
              <w:right w:val="single" w:sz="8" w:color="auto"/>
            </w:tcBorders>
          </w:tcPr>
          <w:p>
            <w:pPr>
              <w:ind w:left="120"/>
              <w:spacing w:after="0" w:line="135" w:lineRule="exact"/>
              <w:rPr>
                <w:sz w:val="20"/>
                <w:szCs w:val="20"/>
                <w:color w:val="auto"/>
              </w:rPr>
            </w:pPr>
            <w:r>
              <w:rPr>
                <w:rFonts w:ascii="Arial" w:cs="Arial" w:eastAsia="Arial" w:hAnsi="Arial"/>
                <w:sz w:val="14"/>
                <w:szCs w:val="14"/>
                <w:color w:val="auto"/>
              </w:rPr>
              <w:t>the 2020</w:t>
            </w:r>
          </w:p>
        </w:tc>
        <w:tc>
          <w:tcPr>
            <w:tcW w:w="82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40" w:type="dxa"/>
            <w:vAlign w:val="bottom"/>
            <w:tcBorders>
              <w:left w:val="single" w:sz="8" w:color="auto"/>
              <w:right w:val="single" w:sz="8" w:color="auto"/>
            </w:tcBorders>
          </w:tcPr>
          <w:p>
            <w:pPr>
              <w:spacing w:after="0"/>
              <w:rPr>
                <w:sz w:val="11"/>
                <w:szCs w:val="11"/>
                <w:color w:val="auto"/>
              </w:rPr>
            </w:pPr>
          </w:p>
        </w:tc>
        <w:tc>
          <w:tcPr>
            <w:tcW w:w="1080" w:type="dxa"/>
            <w:vAlign w:val="bottom"/>
            <w:tcBorders>
              <w:right w:val="single" w:sz="8" w:color="auto"/>
            </w:tcBorders>
          </w:tcPr>
          <w:p>
            <w:pPr>
              <w:ind w:left="120"/>
              <w:spacing w:after="0" w:line="135" w:lineRule="exact"/>
              <w:rPr>
                <w:sz w:val="20"/>
                <w:szCs w:val="20"/>
                <w:color w:val="auto"/>
              </w:rPr>
            </w:pPr>
            <w:r>
              <w:rPr>
                <w:rFonts w:ascii="Arial" w:cs="Arial" w:eastAsia="Arial" w:hAnsi="Arial"/>
                <w:sz w:val="14"/>
                <w:szCs w:val="14"/>
                <w:color w:val="auto"/>
              </w:rPr>
              <w:t>Equity</w:t>
            </w:r>
          </w:p>
        </w:tc>
        <w:tc>
          <w:tcPr>
            <w:tcW w:w="82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840" w:type="dxa"/>
            <w:vAlign w:val="bottom"/>
            <w:tcBorders>
              <w:left w:val="single" w:sz="8" w:color="auto"/>
              <w:bottom w:val="single" w:sz="8" w:color="auto"/>
              <w:right w:val="single" w:sz="8" w:color="auto"/>
            </w:tcBorders>
          </w:tcPr>
          <w:p>
            <w:pPr>
              <w:spacing w:after="0"/>
              <w:rPr>
                <w:sz w:val="16"/>
                <w:szCs w:val="16"/>
                <w:color w:val="auto"/>
              </w:rPr>
            </w:pPr>
          </w:p>
        </w:tc>
        <w:tc>
          <w:tcPr>
            <w:tcW w:w="10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Incentive Plan</w:t>
            </w:r>
          </w:p>
        </w:tc>
        <w:tc>
          <w:tcPr>
            <w:tcW w:w="820" w:type="dxa"/>
            <w:vAlign w:val="bottom"/>
            <w:tcBorders>
              <w:bottom w:val="single" w:sz="8" w:color="auto"/>
              <w:right w:val="single" w:sz="8" w:color="auto"/>
            </w:tcBorders>
          </w:tcPr>
          <w:p>
            <w:pPr>
              <w:spacing w:after="0"/>
              <w:rPr>
                <w:sz w:val="16"/>
                <w:szCs w:val="16"/>
                <w:color w:val="auto"/>
              </w:rPr>
            </w:pPr>
          </w:p>
        </w:tc>
        <w:tc>
          <w:tcPr>
            <w:tcW w:w="1240" w:type="dxa"/>
            <w:vAlign w:val="bottom"/>
            <w:tcBorders>
              <w:bottom w:val="single" w:sz="8" w:color="auto"/>
              <w:right w:val="single" w:sz="8" w:color="auto"/>
            </w:tcBorders>
          </w:tcPr>
          <w:p>
            <w:pPr>
              <w:spacing w:after="0"/>
              <w:rPr>
                <w:sz w:val="16"/>
                <w:szCs w:val="16"/>
                <w:color w:val="auto"/>
              </w:rPr>
            </w:pPr>
          </w:p>
        </w:tc>
        <w:tc>
          <w:tcPr>
            <w:tcW w:w="1260" w:type="dxa"/>
            <w:vAlign w:val="bottom"/>
            <w:tcBorders>
              <w:bottom w:val="single" w:sz="8" w:color="auto"/>
              <w:right w:val="single" w:sz="8" w:color="auto"/>
            </w:tcBorders>
          </w:tcPr>
          <w:p>
            <w:pPr>
              <w:spacing w:after="0"/>
              <w:rPr>
                <w:sz w:val="16"/>
                <w:szCs w:val="16"/>
                <w:color w:val="auto"/>
              </w:rPr>
            </w:pPr>
          </w:p>
        </w:tc>
        <w:tc>
          <w:tcPr>
            <w:tcW w:w="1240" w:type="dxa"/>
            <w:vAlign w:val="bottom"/>
            <w:tcBorders>
              <w:bottom w:val="single" w:sz="8" w:color="auto"/>
              <w:right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TOTAL</w:t>
            </w:r>
          </w:p>
        </w:tc>
        <w:tc>
          <w:tcPr>
            <w:tcW w:w="108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OFFERING</w:t>
            </w:r>
          </w:p>
        </w:tc>
        <w:tc>
          <w:tcPr>
            <w:tcW w:w="108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AMOUNT</w:t>
            </w:r>
          </w:p>
        </w:tc>
        <w:tc>
          <w:tcPr>
            <w:tcW w:w="108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6,656,437</w:t>
            </w:r>
          </w:p>
        </w:tc>
        <w:tc>
          <w:tcPr>
            <w:tcW w:w="126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$90,565,563.53</w:t>
            </w:r>
          </w:p>
        </w:tc>
        <w:tc>
          <w:tcPr>
            <w:tcW w:w="92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$8,395.43</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TOTAL</w:t>
            </w:r>
          </w:p>
        </w:tc>
        <w:tc>
          <w:tcPr>
            <w:tcW w:w="108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FEE</w:t>
            </w:r>
          </w:p>
        </w:tc>
        <w:tc>
          <w:tcPr>
            <w:tcW w:w="108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OFFSETS</w:t>
            </w:r>
          </w:p>
        </w:tc>
        <w:tc>
          <w:tcPr>
            <w:tcW w:w="108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NET FEE</w:t>
            </w:r>
          </w:p>
        </w:tc>
        <w:tc>
          <w:tcPr>
            <w:tcW w:w="108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DUE</w:t>
            </w:r>
          </w:p>
        </w:tc>
        <w:tc>
          <w:tcPr>
            <w:tcW w:w="108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$8,395.43</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32" w:right="40" w:hanging="332"/>
        <w:spacing w:after="0" w:line="218" w:lineRule="auto"/>
        <w:tabs>
          <w:tab w:leader="none" w:pos="356" w:val="left"/>
        </w:tabs>
        <w:numPr>
          <w:ilvl w:val="0"/>
          <w:numId w:val="6"/>
        </w:numPr>
        <w:rPr>
          <w:rFonts w:ascii="Arial" w:cs="Arial" w:eastAsia="Arial" w:hAnsi="Arial"/>
          <w:sz w:val="14"/>
          <w:szCs w:val="14"/>
          <w:color w:val="auto"/>
        </w:rPr>
      </w:pPr>
      <w:r>
        <w:rPr>
          <w:rFonts w:ascii="Arial" w:cs="Arial" w:eastAsia="Arial" w:hAnsi="Arial"/>
          <w:sz w:val="14"/>
          <w:szCs w:val="14"/>
          <w:color w:val="auto"/>
        </w:rPr>
        <w:t>Pursuant to Rule 416(a) of the Securities Act of 1933, as amended (the “Securities Act”), this Registration Statement covers any additional shares of the Registrant’s Class A common stock (“Class A common stock”) that become issuable under the Registrant’s 2020 Equity Incentive Plan (the “2020 Plan”) and the Registrant’s 2020 Employee Stock Purchase Plan (the “2020 ESPP”), by reason of any stock dividend, stock split, recapitalization or other similar transaction effected without the Registrant’s receipt of consideration that results in an increase in the number of outstanding shares of Class A common stock.</w:t>
      </w:r>
    </w:p>
    <w:p>
      <w:pPr>
        <w:spacing w:after="0" w:line="22" w:lineRule="exact"/>
        <w:rPr>
          <w:rFonts w:ascii="Arial" w:cs="Arial" w:eastAsia="Arial" w:hAnsi="Arial"/>
          <w:sz w:val="14"/>
          <w:szCs w:val="14"/>
          <w:color w:val="auto"/>
        </w:rPr>
      </w:pPr>
    </w:p>
    <w:p>
      <w:pPr>
        <w:ind w:left="332" w:hanging="332"/>
        <w:spacing w:after="0" w:line="213" w:lineRule="auto"/>
        <w:tabs>
          <w:tab w:leader="none" w:pos="446" w:val="left"/>
        </w:tabs>
        <w:numPr>
          <w:ilvl w:val="0"/>
          <w:numId w:val="6"/>
        </w:numPr>
        <w:rPr>
          <w:rFonts w:ascii="Arial" w:cs="Arial" w:eastAsia="Arial" w:hAnsi="Arial"/>
          <w:sz w:val="14"/>
          <w:szCs w:val="14"/>
          <w:color w:val="auto"/>
        </w:rPr>
      </w:pPr>
      <w:r>
        <w:rPr>
          <w:rFonts w:ascii="Arial" w:cs="Arial" w:eastAsia="Arial" w:hAnsi="Arial"/>
          <w:sz w:val="14"/>
          <w:szCs w:val="14"/>
          <w:color w:val="auto"/>
        </w:rPr>
        <w:t>Represents an automatic increase of 2,963,053 shares of the Registrant’s Class A common stock reserved for issuance under, and which annual increase is provided for in, the 2020 Plan as of January 1, 2021 and an automatic increase of 3,100,774 shares of the Registrant’s Class A common stock reserved for issuance under, and which annual increase is provided for in, the 2020 Plan as of January 1, 2022.</w:t>
      </w:r>
    </w:p>
    <w:p>
      <w:pPr>
        <w:spacing w:after="0" w:line="1" w:lineRule="exact"/>
        <w:rPr>
          <w:rFonts w:ascii="Arial" w:cs="Arial" w:eastAsia="Arial" w:hAnsi="Arial"/>
          <w:sz w:val="14"/>
          <w:szCs w:val="14"/>
          <w:color w:val="auto"/>
        </w:rPr>
      </w:pPr>
    </w:p>
    <w:p>
      <w:pPr>
        <w:ind w:left="332" w:right="140" w:hanging="332"/>
        <w:spacing w:after="0" w:line="201" w:lineRule="auto"/>
        <w:tabs>
          <w:tab w:leader="none" w:pos="355" w:val="left"/>
        </w:tabs>
        <w:numPr>
          <w:ilvl w:val="0"/>
          <w:numId w:val="6"/>
        </w:numPr>
        <w:rPr>
          <w:rFonts w:ascii="Arial" w:cs="Arial" w:eastAsia="Arial" w:hAnsi="Arial"/>
          <w:sz w:val="14"/>
          <w:szCs w:val="14"/>
          <w:color w:val="auto"/>
        </w:rPr>
      </w:pPr>
      <w:r>
        <w:rPr>
          <w:rFonts w:ascii="Arial" w:cs="Arial" w:eastAsia="Arial" w:hAnsi="Arial"/>
          <w:sz w:val="14"/>
          <w:szCs w:val="14"/>
          <w:color w:val="auto"/>
        </w:rPr>
        <w:t>Represents an automatic increase of 592,610 shares of the Registrant’s Class A common stock reserved for issuance under, and which annual increase is provided for in, the 2020 ESPP as of January 1, 2021. The Registrant’s board of directors elected not to increase the Shares reserved under the 2020 ESPP on January 1, 2022.</w:t>
      </w:r>
    </w:p>
    <w:p>
      <w:pPr>
        <w:ind w:left="332" w:right="440" w:hanging="332"/>
        <w:spacing w:after="0" w:line="201" w:lineRule="auto"/>
        <w:tabs>
          <w:tab w:leader="none" w:pos="320" w:val="left"/>
        </w:tabs>
        <w:numPr>
          <w:ilvl w:val="0"/>
          <w:numId w:val="6"/>
        </w:numPr>
        <w:rPr>
          <w:rFonts w:ascii="Arial" w:cs="Arial" w:eastAsia="Arial" w:hAnsi="Arial"/>
          <w:sz w:val="14"/>
          <w:szCs w:val="14"/>
          <w:color w:val="auto"/>
        </w:rPr>
      </w:pPr>
      <w:r>
        <w:rPr>
          <w:rFonts w:ascii="Arial" w:cs="Arial" w:eastAsia="Arial" w:hAnsi="Arial"/>
          <w:sz w:val="14"/>
          <w:szCs w:val="14"/>
          <w:color w:val="auto"/>
        </w:rPr>
        <w:t>Estimated in accordance with Rules 457(c) and (h) of the Securities Act solely for the purpose of calculating the registration fee on the basis of $13.79 per share, which represents the average of the high and low prices of the Registrant’s Class A common stock as reported on the Nasdaq Global Select Market on February 25, 2022.</w:t>
      </w:r>
    </w:p>
    <w:p>
      <w:pPr>
        <w:ind w:left="332" w:right="120" w:hanging="332"/>
        <w:spacing w:after="0" w:line="214" w:lineRule="auto"/>
        <w:tabs>
          <w:tab w:leader="none" w:pos="356" w:val="left"/>
        </w:tabs>
        <w:numPr>
          <w:ilvl w:val="0"/>
          <w:numId w:val="6"/>
        </w:numPr>
        <w:rPr>
          <w:rFonts w:ascii="Arial" w:cs="Arial" w:eastAsia="Arial" w:hAnsi="Arial"/>
          <w:sz w:val="14"/>
          <w:szCs w:val="14"/>
          <w:color w:val="auto"/>
        </w:rPr>
      </w:pPr>
      <w:r>
        <w:rPr>
          <w:rFonts w:ascii="Arial" w:cs="Arial" w:eastAsia="Arial" w:hAnsi="Arial"/>
          <w:sz w:val="14"/>
          <w:szCs w:val="14"/>
          <w:color w:val="auto"/>
        </w:rPr>
        <w:t>Estimated in accordance with Rules 457(c) and (h) of the Securities Act solely for the purpose of calculating the registration fee on the basis of $11.72 per share, which represents 85% the average of the high and low prices of the Registrant’s Class A common stock as reported on the Nasdaq Global Select Market on February 25, 2022. Pursuant to the 2020 ESPP, the purchase price of the shares of common stock reserved for issuance thereunder will be 85% of the lower of the fair market value of common stock on an Offering Period's Enrollment Date or Exercise Date (as such terms are defined in the 2020 ESPP).</w:t>
      </w:r>
    </w:p>
    <w:p>
      <w:pPr>
        <w:sectPr>
          <w:pgSz w:w="11900" w:h="16838" w:orient="portrait"/>
          <w:cols w:equalWidth="0" w:num="1">
            <w:col w:w="11232"/>
          </w:cols>
          <w:pgMar w:left="328" w:top="1440" w:right="339" w:bottom="1440" w:gutter="0" w:footer="0" w:header="0"/>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Exhibit 5.1</w:t>
      </w:r>
    </w:p>
    <w:p>
      <w:pPr>
        <w:spacing w:after="0" w:line="16"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March 3, 2022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Seer, Inc.</w:t>
      </w:r>
    </w:p>
    <w:p>
      <w:pPr>
        <w:spacing w:after="0" w:line="216" w:lineRule="auto"/>
        <w:rPr>
          <w:sz w:val="20"/>
          <w:szCs w:val="20"/>
          <w:color w:val="auto"/>
        </w:rPr>
      </w:pPr>
      <w:r>
        <w:rPr>
          <w:rFonts w:ascii="Arial" w:cs="Arial" w:eastAsia="Arial" w:hAnsi="Arial"/>
          <w:sz w:val="18"/>
          <w:szCs w:val="18"/>
          <w:color w:val="auto"/>
        </w:rPr>
        <w:t>3800 Bridge Parkway, Suite 102</w:t>
      </w:r>
    </w:p>
    <w:p>
      <w:pPr>
        <w:spacing w:after="0" w:line="204" w:lineRule="auto"/>
        <w:rPr>
          <w:sz w:val="20"/>
          <w:szCs w:val="20"/>
          <w:color w:val="auto"/>
        </w:rPr>
      </w:pPr>
      <w:r>
        <w:rPr>
          <w:rFonts w:ascii="Arial" w:cs="Arial" w:eastAsia="Arial" w:hAnsi="Arial"/>
          <w:sz w:val="18"/>
          <w:szCs w:val="18"/>
          <w:color w:val="auto"/>
        </w:rPr>
        <w:t>Redwood City, CA 94065</w:t>
      </w:r>
    </w:p>
    <w:p>
      <w:pPr>
        <w:spacing w:after="0"/>
        <w:tabs>
          <w:tab w:leader="none" w:pos="4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color w:val="auto"/>
        </w:rPr>
        <w:t>Registration Statement on Form S-8</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08"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16"/>
          <w:szCs w:val="16"/>
          <w:color w:val="auto"/>
        </w:rPr>
        <w:t>We have examined the Registration Statement on Form S-8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to be filed by Seer, Inc., a Delaware corporation (the “Company”), with the Securities and Exchange Commission on or about the date hereof, relating to the registration under the Securities Act of 1933, as amended, of (i) 6,063,827 shares of Class A common stock, par value $0.00001 per share (“</w:t>
      </w:r>
      <w:r>
        <w:rPr>
          <w:rFonts w:ascii="Arial" w:cs="Arial" w:eastAsia="Arial" w:hAnsi="Arial"/>
          <w:sz w:val="16"/>
          <w:szCs w:val="16"/>
          <w:b w:val="1"/>
          <w:bCs w:val="1"/>
          <w:color w:val="auto"/>
        </w:rPr>
        <w:t>Common Stock</w:t>
      </w:r>
      <w:r>
        <w:rPr>
          <w:rFonts w:ascii="Arial" w:cs="Arial" w:eastAsia="Arial" w:hAnsi="Arial"/>
          <w:sz w:val="16"/>
          <w:szCs w:val="16"/>
          <w:color w:val="auto"/>
        </w:rPr>
        <w:t>”), reserved for issuance pursuant to the Company’s 2020 Equity Incentive Plan, and (ii) 592,610 shares of Common Stock reserved for issuance pursuant to the Company’s 2020 Employee Stock Purchase Plan (which plans are referred to herein as the “</w:t>
      </w:r>
      <w:r>
        <w:rPr>
          <w:rFonts w:ascii="Arial" w:cs="Arial" w:eastAsia="Arial" w:hAnsi="Arial"/>
          <w:sz w:val="16"/>
          <w:szCs w:val="16"/>
          <w:b w:val="1"/>
          <w:bCs w:val="1"/>
          <w:color w:val="auto"/>
        </w:rPr>
        <w:t>Plans</w:t>
      </w:r>
      <w:r>
        <w:rPr>
          <w:rFonts w:ascii="Arial" w:cs="Arial" w:eastAsia="Arial" w:hAnsi="Arial"/>
          <w:sz w:val="16"/>
          <w:szCs w:val="16"/>
          <w:color w:val="auto"/>
        </w:rPr>
        <w:t>” and which shares of Common Stock are referred to herein as the “</w:t>
      </w:r>
      <w:r>
        <w:rPr>
          <w:rFonts w:ascii="Arial" w:cs="Arial" w:eastAsia="Arial" w:hAnsi="Arial"/>
          <w:sz w:val="16"/>
          <w:szCs w:val="16"/>
          <w:b w:val="1"/>
          <w:bCs w:val="1"/>
          <w:color w:val="auto"/>
        </w:rPr>
        <w:t>Shares</w:t>
      </w:r>
      <w:r>
        <w:rPr>
          <w:rFonts w:ascii="Arial" w:cs="Arial" w:eastAsia="Arial" w:hAnsi="Arial"/>
          <w:sz w:val="16"/>
          <w:szCs w:val="16"/>
          <w:color w:val="auto"/>
        </w:rPr>
        <w:t>”).</w:t>
      </w:r>
    </w:p>
    <w:p>
      <w:pPr>
        <w:spacing w:after="0" w:line="18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On the basis of the foregoing, and in reliance thereon, we are of the opinion that the Shares, when issued and sold in the manner referred to in the Plans and pursuant to the agreements that accompany the Plans, will be validly issued, fully paid, and nonassessable.</w:t>
      </w:r>
    </w:p>
    <w:p>
      <w:pPr>
        <w:spacing w:after="0" w:line="18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We consent to the use of this opinion as an exhibit to the Registration Statement and further consent to the use of our name wherever appearing in the Registration Statement and any amendments thereto.</w:t>
      </w:r>
    </w:p>
    <w:p>
      <w:pPr>
        <w:spacing w:after="0" w:line="200" w:lineRule="exact"/>
        <w:rPr>
          <w:sz w:val="20"/>
          <w:szCs w:val="20"/>
          <w:color w:val="auto"/>
        </w:rPr>
      </w:pPr>
    </w:p>
    <w:p>
      <w:pPr>
        <w:spacing w:after="0" w:line="306" w:lineRule="exact"/>
        <w:rPr>
          <w:sz w:val="20"/>
          <w:szCs w:val="20"/>
          <w:color w:val="auto"/>
        </w:rPr>
      </w:pPr>
    </w:p>
    <w:p>
      <w:pPr>
        <w:jc w:val="center"/>
        <w:ind w:right="260"/>
        <w:spacing w:after="0"/>
        <w:rPr>
          <w:sz w:val="20"/>
          <w:szCs w:val="20"/>
          <w:color w:val="auto"/>
        </w:rPr>
      </w:pPr>
      <w:r>
        <w:rPr>
          <w:rFonts w:ascii="Arial" w:cs="Arial" w:eastAsia="Arial" w:hAnsi="Arial"/>
          <w:sz w:val="22"/>
          <w:szCs w:val="22"/>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760"/>
        <w:spacing w:after="0"/>
        <w:rPr>
          <w:sz w:val="20"/>
          <w:szCs w:val="20"/>
          <w:color w:val="auto"/>
        </w:rPr>
      </w:pPr>
      <w:r>
        <w:rPr>
          <w:rFonts w:ascii="Arial" w:cs="Arial" w:eastAsia="Arial" w:hAnsi="Arial"/>
          <w:sz w:val="22"/>
          <w:szCs w:val="22"/>
          <w:color w:val="auto"/>
        </w:rPr>
        <w:t>/s/ WILSON SONSINI GOODRICH &amp; ROSATI, P.C.</w:t>
      </w:r>
    </w:p>
    <w:p>
      <w:pPr>
        <w:spacing w:after="0" w:line="200" w:lineRule="exact"/>
        <w:rPr>
          <w:sz w:val="20"/>
          <w:szCs w:val="20"/>
          <w:color w:val="auto"/>
        </w:rPr>
      </w:pPr>
    </w:p>
    <w:p>
      <w:pPr>
        <w:spacing w:after="0" w:line="398" w:lineRule="exact"/>
        <w:rPr>
          <w:sz w:val="20"/>
          <w:szCs w:val="20"/>
          <w:color w:val="auto"/>
        </w:rPr>
      </w:pPr>
    </w:p>
    <w:p>
      <w:pPr>
        <w:ind w:left="4760"/>
        <w:spacing w:after="0"/>
        <w:rPr>
          <w:sz w:val="20"/>
          <w:szCs w:val="20"/>
          <w:color w:val="auto"/>
        </w:rPr>
      </w:pPr>
      <w:r>
        <w:rPr>
          <w:rFonts w:ascii="Arial" w:cs="Arial" w:eastAsia="Arial" w:hAnsi="Arial"/>
          <w:sz w:val="22"/>
          <w:szCs w:val="22"/>
          <w:color w:val="auto"/>
        </w:rPr>
        <w:t>WILSON SONSINI GOODRICH &amp; ROSATI</w:t>
      </w:r>
    </w:p>
    <w:p>
      <w:pPr>
        <w:spacing w:after="0" w:line="58" w:lineRule="exact"/>
        <w:rPr>
          <w:sz w:val="20"/>
          <w:szCs w:val="20"/>
          <w:color w:val="auto"/>
        </w:rPr>
      </w:pPr>
    </w:p>
    <w:p>
      <w:pPr>
        <w:ind w:left="4760"/>
        <w:spacing w:after="0"/>
        <w:rPr>
          <w:sz w:val="20"/>
          <w:szCs w:val="20"/>
          <w:color w:val="auto"/>
        </w:rPr>
      </w:pPr>
      <w:r>
        <w:rPr>
          <w:rFonts w:ascii="Arial" w:cs="Arial" w:eastAsia="Arial" w:hAnsi="Arial"/>
          <w:sz w:val="22"/>
          <w:szCs w:val="22"/>
          <w:color w:val="auto"/>
        </w:rPr>
        <w:t>Professional Corporation</w:t>
      </w:r>
    </w:p>
    <w:p>
      <w:pPr>
        <w:sectPr>
          <w:pgSz w:w="11900" w:h="16838" w:orient="portrait"/>
          <w:cols w:equalWidth="0" w:num="1">
            <w:col w:w="11240"/>
          </w:cols>
          <w:pgMar w:left="320" w:top="1440" w:right="3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8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consent to the incorporation by reference in this Registration Statement on Form S-8 of our reports dated March 1, 2022, relating to the financial statements of Seer, Inc. and the effectiveness of Seer, Inc.’s internal control over financial reporting, appearing in the Annual Report on Form 10-K of Seer, Inc. for the year ended December 31, 2021.</w:t>
      </w:r>
    </w:p>
    <w:p>
      <w:pPr>
        <w:spacing w:after="0" w:line="2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Deloitte &amp; Touche LLP</w:t>
      </w:r>
    </w:p>
    <w:p>
      <w:pPr>
        <w:spacing w:after="0" w:line="37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San Francisco, California</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3, 2022</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107"/>
    </w:lvl>
  </w:abstractNum>
  <w:abstractNum w:abstractNumId="2">
    <w:nsid w:val="238E1F29"/>
    <w:multiLevelType w:val="hybridMultilevel"/>
    <w:lvl w:ilvl="0">
      <w:lvlJc w:val="left"/>
      <w:lvlText w:val="(%1)"/>
      <w:numFmt w:val="decimal"/>
      <w:start w:val="1"/>
    </w:lvl>
    <w:lvl w:ilvl="1">
      <w:lvlJc w:val="left"/>
      <w:lvlText w:val="(%2)"/>
      <w:numFmt w:val="lowerRoman"/>
      <w:start w:val="1"/>
    </w:lvl>
  </w:abstractNum>
  <w:abstractNum w:abstractNumId="3">
    <w:nsid w:val="46E87CCD"/>
    <w:multiLevelType w:val="hybridMultilevel"/>
    <w:lvl w:ilvl="0">
      <w:lvlJc w:val="left"/>
      <w:lvlText w:val="%1"/>
      <w:numFmt w:val="upperLetter"/>
      <w:start w:val="1"/>
    </w:lvl>
    <w:lvl w:ilvl="1">
      <w:lvlJc w:val="left"/>
      <w:lvlText w:val="(%2)"/>
      <w:numFmt w:val="decimal"/>
      <w:start w:val="2"/>
    </w:lvl>
  </w:abstractNum>
  <w:abstractNum w:abstractNumId="4">
    <w:nsid w:val="3D1B58BA"/>
    <w:multiLevelType w:val="hybridMultilevel"/>
    <w:lvl w:ilvl="0">
      <w:lvlJc w:val="left"/>
      <w:lvlText w:val="%1."/>
      <w:numFmt w:val="upperLetter"/>
      <w:start w:val="2"/>
    </w:lvl>
    <w:lvl w:ilvl="1">
      <w:lvlJc w:val="left"/>
      <w:lvlText w:val="%2"/>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16" Type="http://schemas.openxmlformats.org/officeDocument/2006/relationships/hyperlink" Target="https://www.sec.gov/ix?doc=/Archives/edgar/data/1726445/000162828022004571/seer-20211231.htm" TargetMode="External"/><Relationship Id="rId17" Type="http://schemas.openxmlformats.org/officeDocument/2006/relationships/hyperlink" Target="https://www.sec.gov/Archives/edgar/data/1726445/000162828020016900/seer-form8xa.htm" TargetMode="External"/><Relationship Id="rId18" Type="http://schemas.openxmlformats.org/officeDocument/2006/relationships/hyperlink" Target="https://www.sec.gov/Archives/edgar/data/1726445/000162828020016325/exhibit41-stockcertifi.htm" TargetMode="External"/><Relationship Id="rId19" Type="http://schemas.openxmlformats.org/officeDocument/2006/relationships/hyperlink" Target="https://www.sec.gov/Archives/edgar/data/1726445/000162828020016863/exhibit102-sx1a1.htm" TargetMode="External"/><Relationship Id="rId20" Type="http://schemas.openxmlformats.org/officeDocument/2006/relationships/hyperlink" Target="https://www.sec.gov/Archives/edgar/data/1726445/000162828020016863/exhibit105-sx1a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2022-03-03T15:57:33Z</dcterms:created>
  <dcterms:modified xsi:type="dcterms:W3CDTF">2022-03-03T15:57:33Z</dcterms:modified>
</cp:coreProperties>
</file>