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40" w:after="283"/>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Date of Report (Date of earliest event reported): </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November 7, 2023</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Seer,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468" w:type="dxa"/>
        <w:jc w:val="center"/>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4"/>
        <w:gridCol w:w="434"/>
        <w:gridCol w:w="617"/>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001-39747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82-1153150</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3800 Bridge Parkway, Suite 102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Redwood City, California 94065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650-453-0000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reports)</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r>
    </w:p>
    <w:tbl>
      <w:tblPr>
        <w:tblW w:w="8442" w:type="dxa"/>
        <w:jc w:val="center"/>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tbl>
      <w:tblPr>
        <w:tblW w:w="8727" w:type="dxa"/>
        <w:jc w:val="center"/>
        <w:tblInd w:w="0" w:type="dxa"/>
        <w:tblLayout w:type="fixed"/>
        <w:tblCellMar>
          <w:top w:w="28" w:type="dxa"/>
          <w:left w:w="28" w:type="dxa"/>
          <w:bottom w:w="28" w:type="dxa"/>
          <w:right w:w="28" w:type="dxa"/>
        </w:tblCellMar>
      </w:tblPr>
      <w:tblGrid>
        <w:gridCol w:w="1404"/>
        <w:gridCol w:w="1236"/>
        <w:gridCol w:w="1244"/>
        <w:gridCol w:w="454"/>
        <w:gridCol w:w="454"/>
        <w:gridCol w:w="456"/>
        <w:gridCol w:w="1019"/>
        <w:gridCol w:w="1019"/>
        <w:gridCol w:w="1441"/>
      </w:tblGrid>
      <w:tr>
        <w:trPr/>
        <w:tc>
          <w:tcPr>
            <w:tcW w:w="140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8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SEER</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32" w:before="55" w:after="3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p>
            <w:pPr>
              <w:pStyle w:val="TableContents"/>
              <w:bidi w:val="0"/>
              <w:spacing w:lineRule="auto" w:line="232" w:before="55" w:after="3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lineRule="auto" w:line="333" w:before="120" w:after="180"/>
        <w:jc w:val="left"/>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33" w:before="0" w:after="18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Emerging growth company ☐ </w:t>
      </w:r>
    </w:p>
    <w:p>
      <w:pPr>
        <w:pStyle w:val="TextBody"/>
        <w:bidi w:val="0"/>
        <w:spacing w:lineRule="auto" w:line="33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90" w:after="283"/>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7, 2023, Seer, Inc. (the “Company”) issued a press release (the “Press Release”) announcing results for the quarter ended September 30, 2023. A copy of the Press Release is attached as Exhibit 99.1 to this current report on Form 8-K and is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1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0"/>
        <w:gridCol w:w="110"/>
        <w:gridCol w:w="110"/>
        <w:gridCol w:w="110"/>
        <w:gridCol w:w="110"/>
        <w:gridCol w:w="110"/>
        <w:gridCol w:w="110"/>
        <w:gridCol w:w="110"/>
        <w:gridCol w:w="110"/>
        <w:gridCol w:w="110"/>
        <w:gridCol w:w="110"/>
        <w:gridCol w:w="110"/>
        <w:gridCol w:w="110"/>
        <w:gridCol w:w="110"/>
        <w:gridCol w:w="110"/>
        <w:gridCol w:w="110"/>
        <w:gridCol w:w="110"/>
        <w:gridCol w:w="110"/>
        <w:gridCol w:w="119"/>
        <w:gridCol w:w="119"/>
        <w:gridCol w:w="119"/>
        <w:gridCol w:w="119"/>
        <w:gridCol w:w="119"/>
        <w:gridCol w:w="119"/>
        <w:gridCol w:w="119"/>
        <w:gridCol w:w="119"/>
        <w:gridCol w:w="1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106"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4"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99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bl>
    <w:p>
      <w:pPr>
        <w:pStyle w:val="TextBody"/>
        <w:bidi w:val="0"/>
        <w:spacing w:before="0" w:after="0"/>
        <w:ind w:left="0" w:right="0" w:hanging="720"/>
        <w:jc w:val="both"/>
        <w:rPr/>
      </w:pPr>
      <w:r>
        <w:rPr/>
      </w:r>
    </w:p>
    <w:p>
      <w:pPr>
        <w:pStyle w:val="TextBody"/>
        <w:bidi w:val="0"/>
        <w:spacing w:lineRule="auto" w:line="240" w:before="0" w:after="0"/>
        <w:ind w:left="0" w:right="0" w:hanging="720"/>
        <w:jc w:val="both"/>
        <w:rPr/>
      </w:pPr>
      <w:hyperlink w:anchor="q32023pressreleaseexhibit.htm">
        <w:r>
          <w:rPr>
            <w:rStyle w:val="InternetLink"/>
            <w:rFonts w:ascii="Times New Roman;sans-serif" w:hAnsi="Times New Roman;sans-serif"/>
            <w:b w:val="false"/>
            <w:color w:val="0000FF"/>
            <w:sz w:val="20"/>
            <w:u w:val="single"/>
          </w:rPr>
          <w:t>99.1</w:t>
        </w:r>
      </w:hyperlink>
      <w:r>
        <w:rPr>
          <w:color w:val="000000"/>
        </w:rPr>
        <w:t>    </w:t>
      </w:r>
      <w:r>
        <w:rPr>
          <w:rFonts w:ascii="Times New Roman;sans-serif" w:hAnsi="Times New Roman;sans-serif"/>
          <w:b w:val="false"/>
          <w:color w:val="000000"/>
          <w:sz w:val="20"/>
        </w:rPr>
        <w:t>Press Release, dated November 7, 2023</w:t>
      </w:r>
    </w:p>
    <w:p>
      <w:pPr>
        <w:pStyle w:val="TextBody"/>
        <w:bidi w:val="0"/>
        <w:spacing w:lineRule="auto" w:line="240"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104    Cover page from this Current Report on Form 8-K, formatted in Inline XBRL.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40"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8326"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41"/>
        <w:gridCol w:w="141"/>
        <w:gridCol w:w="141"/>
        <w:gridCol w:w="141"/>
        <w:gridCol w:w="141"/>
        <w:gridCol w:w="141"/>
        <w:gridCol w:w="141"/>
        <w:gridCol w:w="141"/>
        <w:gridCol w:w="200"/>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br/>
            </w:r>
            <w:r>
              <w:rPr>
                <w:rFonts w:ascii="Times New Roman;sans-serif" w:hAnsi="Times New Roman;sans-serif"/>
                <w:b/>
                <w:color w:val="000000"/>
                <w:sz w:val="20"/>
              </w:rPr>
              <w:t>SEER, INC.</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9"/>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Horn</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Horn</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20"/>
        <w:jc w:val="center"/>
        <w:rPr>
          <w:rFonts w:ascii="Arial;sans-serif" w:hAnsi="Arial;sans-serif"/>
          <w:b/>
          <w:color w:val="000000"/>
          <w:sz w:val="24"/>
        </w:rPr>
      </w:pPr>
      <w:r>
        <w:rPr>
          <w:rFonts w:ascii="Arial;sans-serif" w:hAnsi="Arial;sans-serif"/>
          <w:b/>
          <w:color w:val="000000"/>
          <w:sz w:val="24"/>
        </w:rPr>
        <w:t xml:space="preserve">Seer Reports Third Quarter 2023 Financial Results </w:t>
      </w:r>
    </w:p>
    <w:p>
      <w:pPr>
        <w:pStyle w:val="TextBody"/>
        <w:bidi w:val="0"/>
        <w:spacing w:lineRule="auto" w:line="333" w:before="0" w:after="120"/>
        <w:jc w:val="center"/>
        <w:rPr>
          <w:rFonts w:ascii="Arial;sans-serif" w:hAnsi="Arial;sans-serif"/>
          <w:b w:val="false"/>
          <w:i/>
          <w:color w:val="000000"/>
          <w:sz w:val="22"/>
        </w:rPr>
      </w:pPr>
      <w:r>
        <w:rPr>
          <w:rFonts w:ascii="Arial;sans-serif" w:hAnsi="Arial;sans-serif"/>
          <w:b w:val="false"/>
          <w:i/>
          <w:color w:val="000000"/>
          <w:sz w:val="22"/>
        </w:rPr>
        <w:t>Expanded access to the Proteograph™ Product Suite through the Seer Technology Access Center, new distributors and a new Center of Excellence</w:t>
      </w:r>
    </w:p>
    <w:p>
      <w:pPr>
        <w:pStyle w:val="TextBody"/>
        <w:bidi w:val="0"/>
        <w:spacing w:before="0" w:after="120"/>
        <w:jc w:val="center"/>
        <w:rPr/>
      </w:pPr>
      <w:r>
        <w:rPr/>
      </w:r>
    </w:p>
    <w:p>
      <w:pPr>
        <w:pStyle w:val="TextBody"/>
        <w:bidi w:val="0"/>
        <w:spacing w:lineRule="auto" w:line="369" w:before="0" w:after="0"/>
        <w:jc w:val="both"/>
        <w:rPr/>
      </w:pPr>
      <w:r>
        <w:rPr>
          <w:rFonts w:ascii="Arial;sans-serif" w:hAnsi="Arial;sans-serif"/>
          <w:b/>
          <w:color w:val="000000"/>
          <w:sz w:val="20"/>
        </w:rPr>
        <w:t xml:space="preserve">REDWOOD CITY, Calif. </w:t>
      </w:r>
      <w:r>
        <w:rPr>
          <w:rFonts w:ascii="Arial;sans-serif" w:hAnsi="Arial;sans-serif"/>
          <w:b w:val="false"/>
          <w:color w:val="000000"/>
          <w:sz w:val="20"/>
        </w:rPr>
        <w:t xml:space="preserve">November 7, 2023 – Seer, Inc. (Nasdaq: SEER), a life sciences company commercializing a disruptive new platform for proteomics, today reported financial results for the third quarter ended September 30, 2023. </w:t>
      </w:r>
    </w:p>
    <w:p>
      <w:pPr>
        <w:pStyle w:val="TextBody"/>
        <w:bidi w:val="0"/>
        <w:spacing w:before="0" w:after="0"/>
        <w:jc w:val="left"/>
        <w:rPr/>
      </w:pPr>
      <w:r>
        <w:rPr/>
      </w:r>
    </w:p>
    <w:p>
      <w:pPr>
        <w:pStyle w:val="TextBody"/>
        <w:bidi w:val="0"/>
        <w:spacing w:lineRule="auto" w:line="386" w:before="120" w:after="120"/>
        <w:jc w:val="both"/>
        <w:rPr/>
      </w:pPr>
      <w:r>
        <w:rPr>
          <w:rFonts w:ascii="Arial;sans-serif" w:hAnsi="Arial;sans-serif"/>
          <w:b/>
          <w:color w:val="000000"/>
          <w:sz w:val="20"/>
        </w:rPr>
        <w:t>Recent Highlights</w:t>
      </w:r>
      <w:r>
        <w:rPr>
          <w:color w:val="000000"/>
        </w:rPr>
        <w:t xml:space="preserve"> </w:t>
      </w:r>
    </w:p>
    <w:p>
      <w:pPr>
        <w:pStyle w:val="TextBody"/>
        <w:bidi w:val="0"/>
        <w:spacing w:lineRule="auto" w:line="369" w:before="0" w:after="120"/>
        <w:ind w:left="0" w:right="0" w:hanging="360"/>
        <w:jc w:val="both"/>
        <w:rPr/>
      </w:pPr>
      <w:r>
        <w:rPr>
          <w:color w:val="000000"/>
        </w:rPr>
        <w:t>•</w:t>
      </w:r>
      <w:r>
        <w:rPr>
          <w:rFonts w:ascii="Arial;sans-serif" w:hAnsi="Arial;sans-serif"/>
          <w:b w:val="false"/>
          <w:color w:val="000000"/>
          <w:sz w:val="20"/>
        </w:rPr>
        <w:t xml:space="preserve">Achieved revenue of $4.2 million for the third quarter of 2023, an increase of 5% over the prior year period </w:t>
      </w:r>
    </w:p>
    <w:p>
      <w:pPr>
        <w:pStyle w:val="TextBody"/>
        <w:bidi w:val="0"/>
        <w:spacing w:lineRule="auto" w:line="369" w:before="0" w:after="120"/>
        <w:ind w:left="0" w:right="0" w:hanging="360"/>
        <w:jc w:val="both"/>
        <w:rPr/>
      </w:pPr>
      <w:r>
        <w:rPr>
          <w:color w:val="000000"/>
        </w:rPr>
        <w:t>•</w:t>
      </w:r>
      <w:r>
        <w:rPr>
          <w:rFonts w:ascii="Arial;sans-serif" w:hAnsi="Arial;sans-serif"/>
          <w:b w:val="false"/>
          <w:color w:val="000000"/>
          <w:sz w:val="20"/>
        </w:rPr>
        <w:t>Expanded geographically with two new partners - Danyel Biotech in Israel and GeneTiCA in Eastern Europe</w:t>
      </w:r>
    </w:p>
    <w:p>
      <w:pPr>
        <w:pStyle w:val="TextBody"/>
        <w:bidi w:val="0"/>
        <w:spacing w:lineRule="auto" w:line="369" w:before="0" w:after="120"/>
        <w:ind w:left="0" w:right="0" w:hanging="360"/>
        <w:jc w:val="both"/>
        <w:rPr/>
      </w:pPr>
      <w:r>
        <w:rPr>
          <w:color w:val="000000"/>
        </w:rPr>
        <w:t>•</w:t>
      </w:r>
      <w:r>
        <w:rPr>
          <w:rFonts w:ascii="Arial;sans-serif" w:hAnsi="Arial;sans-serif"/>
          <w:b w:val="false"/>
          <w:color w:val="000000"/>
          <w:sz w:val="20"/>
        </w:rPr>
        <w:t xml:space="preserve">Added Panome Bio to Centers of Excellence program to deliver innovative multi-omics services </w:t>
      </w:r>
    </w:p>
    <w:p>
      <w:pPr>
        <w:pStyle w:val="TextBody"/>
        <w:bidi w:val="0"/>
        <w:spacing w:lineRule="auto" w:line="369" w:before="0" w:after="120"/>
        <w:ind w:left="0" w:right="0" w:hanging="360"/>
        <w:jc w:val="both"/>
        <w:rPr/>
      </w:pPr>
      <w:r>
        <w:rPr>
          <w:color w:val="000000"/>
        </w:rPr>
        <w:t>•</w:t>
      </w:r>
      <w:r>
        <w:rPr>
          <w:rFonts w:ascii="Arial;sans-serif" w:hAnsi="Arial;sans-serif"/>
          <w:b w:val="false"/>
          <w:color w:val="000000"/>
          <w:sz w:val="20"/>
        </w:rPr>
        <w:t>Demonstrated value of Proteograph Product Suite through increased customer publications available on</w:t>
      </w:r>
      <w:r>
        <w:rPr>
          <w:color w:val="0563C1"/>
          <w:u w:val="single"/>
        </w:rPr>
        <w:t xml:space="preserve"> </w:t>
      </w:r>
      <w:r>
        <w:rPr>
          <w:rFonts w:ascii="Arial;sans-serif" w:hAnsi="Arial;sans-serif"/>
          <w:b w:val="false"/>
          <w:color w:val="0563C1"/>
          <w:sz w:val="20"/>
          <w:u w:val="single"/>
        </w:rPr>
        <w:t>bioRxiv</w:t>
      </w:r>
      <w:r>
        <w:rPr>
          <w:color w:val="000000"/>
        </w:rPr>
        <w:t xml:space="preserve"> </w:t>
      </w:r>
    </w:p>
    <w:p>
      <w:pPr>
        <w:pStyle w:val="TextBody"/>
        <w:bidi w:val="0"/>
        <w:spacing w:lineRule="auto" w:line="369" w:before="0" w:after="120"/>
        <w:ind w:left="0" w:right="0" w:hanging="360"/>
        <w:jc w:val="both"/>
        <w:rPr/>
      </w:pPr>
      <w:r>
        <w:rPr>
          <w:color w:val="000000"/>
        </w:rPr>
        <w:t>•</w:t>
      </w:r>
      <w:r>
        <w:rPr>
          <w:rFonts w:ascii="Arial;sans-serif" w:hAnsi="Arial;sans-serif"/>
          <w:b w:val="false"/>
          <w:color w:val="000000"/>
          <w:sz w:val="20"/>
        </w:rPr>
        <w:t xml:space="preserve">Received ISO 27001 certification for increased information security and cybersecurity standards; ISO 13485 certification for quality management and to enable the utilization of products in FDA submissions </w:t>
      </w:r>
    </w:p>
    <w:p>
      <w:pPr>
        <w:pStyle w:val="TextBody"/>
        <w:bidi w:val="0"/>
        <w:spacing w:lineRule="auto" w:line="369" w:before="0" w:after="120"/>
        <w:ind w:left="0" w:right="0" w:hanging="360"/>
        <w:jc w:val="both"/>
        <w:rPr/>
      </w:pPr>
      <w:r>
        <w:rPr>
          <w:color w:val="000000"/>
        </w:rPr>
        <w:t>•</w:t>
      </w:r>
      <w:r>
        <w:rPr>
          <w:rFonts w:ascii="Arial;sans-serif" w:hAnsi="Arial;sans-serif"/>
          <w:b w:val="false"/>
          <w:color w:val="000000"/>
          <w:sz w:val="20"/>
        </w:rPr>
        <w:t xml:space="preserve">Ended the quarter with $380.8 million of cash, cash equivalents and investments </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0"/>
        </w:rPr>
        <w:t>Our team made progress during the third quarter to drive adoption of the Proteograph Product Suite despite the ongoing macroeconomic headwinds impacting our customers,” said Omid Farokhzad, CEO and President. “It is encouraging to see more customer manuscripts move through the peer-review process. I am confident that as more third-party data and publications demonstrate the power of our differentiated technology, we will see increasing adoption of our technology.”</w:t>
      </w:r>
    </w:p>
    <w:p>
      <w:pPr>
        <w:pStyle w:val="TextBody"/>
        <w:bidi w:val="0"/>
        <w:spacing w:before="0" w:after="0"/>
        <w:jc w:val="left"/>
        <w:rPr/>
      </w:pPr>
      <w:r>
        <w:rPr/>
      </w:r>
    </w:p>
    <w:p>
      <w:pPr>
        <w:pStyle w:val="TextBody"/>
        <w:bidi w:val="0"/>
        <w:spacing w:lineRule="auto" w:line="386" w:before="120" w:after="120"/>
        <w:jc w:val="both"/>
        <w:rPr>
          <w:rFonts w:ascii="Arial;sans-serif" w:hAnsi="Arial;sans-serif"/>
          <w:b/>
          <w:color w:val="000000"/>
          <w:sz w:val="20"/>
        </w:rPr>
      </w:pPr>
      <w:r>
        <w:rPr>
          <w:rFonts w:ascii="Arial;sans-serif" w:hAnsi="Arial;sans-serif"/>
          <w:b/>
          <w:color w:val="000000"/>
          <w:sz w:val="20"/>
        </w:rPr>
        <w:t>Third Quarter 2023 Financial Results</w:t>
      </w:r>
    </w:p>
    <w:p>
      <w:pPr>
        <w:pStyle w:val="TextBody"/>
        <w:bidi w:val="0"/>
        <w:spacing w:lineRule="auto" w:line="369" w:before="0" w:after="0"/>
        <w:jc w:val="both"/>
        <w:rPr>
          <w:rFonts w:ascii="Arial;sans-serif" w:hAnsi="Arial;sans-serif"/>
          <w:b w:val="false"/>
          <w:color w:val="000000"/>
          <w:sz w:val="20"/>
        </w:rPr>
      </w:pPr>
      <w:r>
        <w:rPr>
          <w:rFonts w:ascii="Arial;sans-serif" w:hAnsi="Arial;sans-serif"/>
          <w:b w:val="false"/>
          <w:color w:val="000000"/>
          <w:sz w:val="20"/>
        </w:rPr>
        <w:t>Revenue was $4.2 million for the three months ended September 30, 2023, a 5% increase from $4.0 million for the three months ended September 30, 2022. The increase was primarily due to increased instrument sales, services, and grant and other revenue, offset by lower consumables sales. Product-related revenue for the third quarter of 2023 was $3.3 million, including $1.4 million of related party revenue, and consisted of sales of SP100 instruments and consumable kits. Service revenue was $536 thousand and grant and other revenue was $348 thousand. </w:t>
      </w:r>
    </w:p>
    <w:p>
      <w:pPr>
        <w:pStyle w:val="TextBody"/>
        <w:bidi w:val="0"/>
        <w:spacing w:before="0" w:after="0"/>
        <w:jc w:val="both"/>
        <w:rPr/>
      </w:pPr>
      <w:r>
        <w:rPr/>
      </w:r>
    </w:p>
    <w:p>
      <w:pPr>
        <w:pStyle w:val="TextBody"/>
        <w:bidi w:val="0"/>
        <w:spacing w:lineRule="auto" w:line="369" w:before="0" w:after="0"/>
        <w:jc w:val="both"/>
        <w:rPr/>
      </w:pPr>
      <w:r>
        <w:rPr>
          <w:rFonts w:ascii="Arial;sans-serif" w:hAnsi="Arial;sans-serif"/>
          <w:b w:val="false"/>
          <w:color w:val="000000"/>
          <w:sz w:val="20"/>
        </w:rPr>
        <w:t>Gross profit, inclusive of grant and other revenue, was $2.2</w:t>
      </w:r>
      <w:r>
        <w:rPr>
          <w:color w:val="FF0000"/>
        </w:rPr>
        <w:t xml:space="preserve"> </w:t>
      </w:r>
      <w:r>
        <w:rPr>
          <w:rFonts w:ascii="Arial;sans-serif" w:hAnsi="Arial;sans-serif"/>
          <w:b w:val="false"/>
          <w:color w:val="000000"/>
          <w:sz w:val="20"/>
        </w:rPr>
        <w:t xml:space="preserve">million and gross margin was 52% for the third quarter of 2023. </w:t>
      </w:r>
    </w:p>
    <w:p>
      <w:pPr>
        <w:pStyle w:val="TextBody"/>
        <w:bidi w:val="0"/>
        <w:spacing w:before="0" w:after="0"/>
        <w:jc w:val="right"/>
        <w:rPr/>
      </w:pPr>
      <w:r>
        <w:rPr/>
      </w:r>
    </w:p>
    <w:p>
      <w:pPr>
        <w:pStyle w:val="TextBody"/>
        <w:bidi w:val="0"/>
        <w:spacing w:lineRule="auto" w:line="369" w:before="0" w:after="0"/>
        <w:jc w:val="both"/>
        <w:rPr>
          <w:rFonts w:ascii="Arial;sans-serif" w:hAnsi="Arial;sans-serif"/>
          <w:b w:val="false"/>
          <w:color w:val="000000"/>
          <w:sz w:val="20"/>
        </w:rPr>
      </w:pPr>
      <w:r>
        <w:rPr>
          <w:rFonts w:ascii="Arial;sans-serif" w:hAnsi="Arial;sans-serif"/>
          <w:b w:val="false"/>
          <w:color w:val="000000"/>
          <w:sz w:val="20"/>
        </w:rPr>
        <w:t xml:space="preserve">Operating expenses were $28.0 million for the third quarter of 2023, including $8.3 million of stock-based compensation, an increase of 4%, as compared to $27.0 million, including $9.1 million of stock-based compensation, for the corresponding prior year period. The increase in expenses was primarily driven by an increase in product development efforts related to the Proteograph Product Suite, including employee compensation and other related expenses, offset by a decrease in professional services.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369" w:before="0" w:after="0"/>
        <w:jc w:val="both"/>
        <w:rPr/>
      </w:pPr>
      <w:r>
        <w:rPr>
          <w:rFonts w:ascii="Arial;sans-serif" w:hAnsi="Arial;sans-serif"/>
          <w:b w:val="false"/>
          <w:color w:val="000000"/>
          <w:sz w:val="20"/>
        </w:rPr>
        <w:t>Net loss was $21.1</w:t>
      </w:r>
      <w:r>
        <w:rPr>
          <w:color w:val="FF0000"/>
        </w:rPr>
        <w:t xml:space="preserve"> </w:t>
      </w:r>
      <w:r>
        <w:rPr>
          <w:rFonts w:ascii="Arial;sans-serif" w:hAnsi="Arial;sans-serif"/>
          <w:b w:val="false"/>
          <w:color w:val="000000"/>
          <w:sz w:val="20"/>
        </w:rPr>
        <w:t>million for the third quarter of 2023, as compared to $24.0 million for the corresponding prior year period.</w:t>
      </w:r>
    </w:p>
    <w:p>
      <w:pPr>
        <w:pStyle w:val="TextBody"/>
        <w:bidi w:val="0"/>
        <w:spacing w:before="0" w:after="0"/>
        <w:jc w:val="both"/>
        <w:rPr/>
      </w:pPr>
      <w:r>
        <w:rPr/>
      </w:r>
    </w:p>
    <w:p>
      <w:pPr>
        <w:pStyle w:val="TextBody"/>
        <w:bidi w:val="0"/>
        <w:spacing w:lineRule="auto" w:line="369" w:before="0" w:after="0"/>
        <w:jc w:val="both"/>
        <w:rPr>
          <w:rFonts w:ascii="Arial;sans-serif" w:hAnsi="Arial;sans-serif"/>
          <w:b w:val="false"/>
          <w:color w:val="000000"/>
          <w:sz w:val="20"/>
        </w:rPr>
      </w:pPr>
      <w:r>
        <w:rPr>
          <w:rFonts w:ascii="Arial;sans-serif" w:hAnsi="Arial;sans-serif"/>
          <w:b w:val="false"/>
          <w:color w:val="000000"/>
          <w:sz w:val="20"/>
        </w:rPr>
        <w:t>Cash, cash equivalents and investments were $380.8 million as of September 30, 2023.</w:t>
      </w:r>
    </w:p>
    <w:p>
      <w:pPr>
        <w:pStyle w:val="TextBody"/>
        <w:bidi w:val="0"/>
        <w:spacing w:before="0" w:after="0"/>
        <w:jc w:val="both"/>
        <w:rPr/>
      </w:pPr>
      <w:r>
        <w:rPr/>
      </w:r>
    </w:p>
    <w:p>
      <w:pPr>
        <w:pStyle w:val="TextBody"/>
        <w:bidi w:val="0"/>
        <w:spacing w:lineRule="auto" w:line="386" w:before="120" w:after="120"/>
        <w:jc w:val="both"/>
        <w:rPr>
          <w:rFonts w:ascii="Arial;sans-serif" w:hAnsi="Arial;sans-serif"/>
          <w:b/>
          <w:color w:val="000000"/>
          <w:sz w:val="20"/>
        </w:rPr>
      </w:pPr>
      <w:r>
        <w:rPr>
          <w:rFonts w:ascii="Arial;sans-serif" w:hAnsi="Arial;sans-serif"/>
          <w:b/>
          <w:color w:val="000000"/>
          <w:sz w:val="20"/>
        </w:rPr>
        <w:t xml:space="preserve">2023 Guidance </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 xml:space="preserve">Given the Company’s performance year to date as well as the ongoing challenges in the current macroeconomic environment, Seer anticipates coming in at the lower half of its revenue guidance range of $16 million to $18 million. </w:t>
      </w:r>
    </w:p>
    <w:p>
      <w:pPr>
        <w:pStyle w:val="TextBody"/>
        <w:bidi w:val="0"/>
        <w:spacing w:before="0" w:after="0"/>
        <w:jc w:val="both"/>
        <w:rPr/>
      </w:pPr>
      <w:r>
        <w:rPr/>
      </w:r>
    </w:p>
    <w:p>
      <w:pPr>
        <w:pStyle w:val="TextBody"/>
        <w:bidi w:val="0"/>
        <w:spacing w:lineRule="auto" w:line="386" w:before="120" w:after="120"/>
        <w:jc w:val="both"/>
        <w:rPr>
          <w:rFonts w:ascii="Arial;sans-serif" w:hAnsi="Arial;sans-serif"/>
          <w:b/>
          <w:color w:val="000000"/>
          <w:sz w:val="20"/>
        </w:rPr>
      </w:pPr>
      <w:r>
        <w:rPr>
          <w:rFonts w:ascii="Arial;sans-serif" w:hAnsi="Arial;sans-serif"/>
          <w:b/>
          <w:color w:val="000000"/>
          <w:sz w:val="20"/>
        </w:rPr>
        <w:t>Webcast Information</w:t>
      </w:r>
    </w:p>
    <w:p>
      <w:pPr>
        <w:pStyle w:val="TextBody"/>
        <w:bidi w:val="0"/>
        <w:spacing w:lineRule="auto" w:line="369" w:before="0" w:after="0"/>
        <w:jc w:val="both"/>
        <w:rPr/>
      </w:pPr>
      <w:r>
        <w:rPr>
          <w:rFonts w:ascii="Arial;sans-serif" w:hAnsi="Arial;sans-serif"/>
          <w:b w:val="false"/>
          <w:color w:val="000000"/>
          <w:sz w:val="20"/>
        </w:rPr>
        <w:t xml:space="preserve">Seer will host a conference call to discuss the third quarter 2023 financial results on Tuesday, November 7, 2023 at 1:30 pm Pacific Time / 4:30 pm Eastern Time. A webcast of the conference call can be accessed at </w:t>
      </w:r>
      <w:r>
        <w:rPr>
          <w:rFonts w:ascii="Arial;sans-serif" w:hAnsi="Arial;sans-serif"/>
          <w:b w:val="false"/>
          <w:color w:val="0000FF"/>
          <w:sz w:val="20"/>
        </w:rPr>
        <w:t xml:space="preserve">http://investor.seer.bio. </w:t>
      </w:r>
      <w:r>
        <w:rPr>
          <w:rFonts w:ascii="Arial;sans-serif" w:hAnsi="Arial;sans-serif"/>
          <w:b w:val="false"/>
          <w:color w:val="000000"/>
          <w:sz w:val="20"/>
        </w:rPr>
        <w:t xml:space="preserve">The webcast will be archived and available for replay for at least 90 days after the event. </w:t>
      </w:r>
    </w:p>
    <w:p>
      <w:pPr>
        <w:pStyle w:val="TextBody"/>
        <w:bidi w:val="0"/>
        <w:spacing w:before="0" w:after="0"/>
        <w:jc w:val="both"/>
        <w:rPr/>
      </w:pPr>
      <w:r>
        <w:rPr/>
      </w:r>
    </w:p>
    <w:p>
      <w:pPr>
        <w:pStyle w:val="TextBody"/>
        <w:bidi w:val="0"/>
        <w:spacing w:lineRule="auto" w:line="386" w:before="0" w:after="120"/>
        <w:jc w:val="both"/>
        <w:rPr>
          <w:rFonts w:ascii="Arial;sans-serif" w:hAnsi="Arial;sans-serif"/>
          <w:b/>
          <w:color w:val="000000"/>
          <w:sz w:val="20"/>
        </w:rPr>
      </w:pPr>
      <w:r>
        <w:rPr>
          <w:rFonts w:ascii="Arial;sans-serif" w:hAnsi="Arial;sans-serif"/>
          <w:b/>
          <w:color w:val="000000"/>
          <w:sz w:val="20"/>
        </w:rPr>
        <w:t xml:space="preserve">About Seer </w:t>
      </w:r>
    </w:p>
    <w:p>
      <w:pPr>
        <w:pStyle w:val="TextBody"/>
        <w:bidi w:val="0"/>
        <w:spacing w:lineRule="auto" w:line="417" w:before="0" w:after="0"/>
        <w:jc w:val="both"/>
        <w:rPr/>
      </w:pPr>
      <w:r>
        <w:rPr>
          <w:rFonts w:ascii="Arial;sans-serif" w:hAnsi="Arial;sans-serif"/>
          <w:b w:val="false"/>
          <w:color w:val="000000"/>
          <w:sz w:val="20"/>
        </w:rPr>
        <w:t>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w:t>
      </w:r>
      <w:r>
        <w:rPr>
          <w:color w:val="000000"/>
        </w:rPr>
        <w:t xml:space="preserve"> </w:t>
      </w:r>
      <w:r>
        <w:rPr>
          <w:rFonts w:ascii="Arial;sans-serif" w:hAnsi="Arial;sans-serif"/>
          <w:b w:val="false"/>
          <w:color w:val="0563C1"/>
          <w:sz w:val="20"/>
          <w:u w:val="single"/>
          <w:shd w:fill="FFFFFF" w:val="clear"/>
        </w:rPr>
        <w:t>www.seer.bio</w:t>
      </w:r>
      <w:r>
        <w:rPr>
          <w:rFonts w:ascii="Arial;sans-serif" w:hAnsi="Arial;sans-serif"/>
          <w:b w:val="false"/>
          <w:color w:val="212132"/>
          <w:sz w:val="20"/>
          <w:shd w:fill="FFFFFF" w:val="clear"/>
        </w:rPr>
        <w:t>.</w:t>
      </w:r>
    </w:p>
    <w:p>
      <w:pPr>
        <w:pStyle w:val="TextBody"/>
        <w:bidi w:val="0"/>
        <w:spacing w:before="0" w:after="0"/>
        <w:jc w:val="both"/>
        <w:rPr/>
      </w:pPr>
      <w:r>
        <w:rPr/>
      </w:r>
    </w:p>
    <w:p>
      <w:pPr>
        <w:pStyle w:val="TextBody"/>
        <w:bidi w:val="0"/>
        <w:spacing w:lineRule="auto" w:line="386" w:before="120" w:after="120"/>
        <w:jc w:val="both"/>
        <w:rPr/>
      </w:pPr>
      <w:r>
        <w:rPr>
          <w:rFonts w:ascii="Arial;sans-serif" w:hAnsi="Arial;sans-serif"/>
          <w:b/>
          <w:color w:val="000000"/>
          <w:sz w:val="20"/>
        </w:rPr>
        <w:t>Forward Looking Statements</w:t>
      </w:r>
      <w:r>
        <w:rPr>
          <w:color w:val="FF0000"/>
        </w:rPr>
        <w:t xml:space="preserve"> </w:t>
      </w:r>
    </w:p>
    <w:p>
      <w:pPr>
        <w:pStyle w:val="TextBody"/>
        <w:bidi w:val="0"/>
        <w:spacing w:lineRule="auto" w:line="369" w:before="0" w:after="0"/>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as amended, that reflect the Company’s current views with respect to certain current and future events and financial performance. Words such as “expects,” “anticipates,” “projects,” “intends,” “plans,” “believes,” “estimates,” variations of such words, and similar expressions are also intended to identify such forward-looking statements. Such forward-looking statements are based on the Company’s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including but not limited to statements regarding the Company’s outlook for fiscal year 2023. These and other risks are described more fully in the Company’s filings with the Securities and Exchange Commission (“SEC”), including the Company’s Quarterly Report on Form 10-Q, to be filed with the SEC, and other documents the Company subsequently files with the SEC from time to time. Except to the extent required by law, the Company undertakes no obligation to update such statements to reflect events that occur or circumstances that exist after the date on which they were made.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86" w:before="0" w:after="0"/>
        <w:jc w:val="both"/>
        <w:rPr>
          <w:rFonts w:ascii="Arial;sans-serif" w:hAnsi="Arial;sans-serif"/>
          <w:b w:val="false"/>
          <w:color w:val="000000"/>
          <w:sz w:val="20"/>
          <w:u w:val="single"/>
        </w:rPr>
      </w:pPr>
      <w:r>
        <w:rPr>
          <w:rFonts w:ascii="Arial;sans-serif" w:hAnsi="Arial;sans-serif"/>
          <w:b w:val="false"/>
          <w:color w:val="000000"/>
          <w:sz w:val="20"/>
          <w:u w:val="single"/>
        </w:rPr>
        <w:t>Investor Contact:</w:t>
      </w:r>
    </w:p>
    <w:p>
      <w:pPr>
        <w:pStyle w:val="TextBody"/>
        <w:bidi w:val="0"/>
        <w:spacing w:lineRule="auto" w:line="386" w:before="0" w:after="0"/>
        <w:jc w:val="left"/>
        <w:rPr>
          <w:rFonts w:ascii="Arial;sans-serif" w:hAnsi="Arial;sans-serif"/>
          <w:b w:val="false"/>
          <w:color w:val="000000"/>
          <w:sz w:val="20"/>
        </w:rPr>
      </w:pPr>
      <w:r>
        <w:rPr>
          <w:rFonts w:ascii="Arial;sans-serif" w:hAnsi="Arial;sans-serif"/>
          <w:b w:val="false"/>
          <w:color w:val="000000"/>
          <w:sz w:val="20"/>
        </w:rPr>
        <w:t>Carrie Mendivil</w:t>
      </w:r>
    </w:p>
    <w:p>
      <w:pPr>
        <w:pStyle w:val="TextBody"/>
        <w:bidi w:val="0"/>
        <w:spacing w:lineRule="auto" w:line="386" w:before="0" w:after="0"/>
        <w:jc w:val="left"/>
        <w:rPr>
          <w:rFonts w:ascii="Arial;sans-serif" w:hAnsi="Arial;sans-serif"/>
          <w:b w:val="false"/>
          <w:color w:val="0563C1"/>
          <w:sz w:val="20"/>
          <w:u w:val="single"/>
        </w:rPr>
      </w:pPr>
      <w:r>
        <w:rPr>
          <w:rFonts w:ascii="Arial;sans-serif" w:hAnsi="Arial;sans-serif"/>
          <w:b w:val="false"/>
          <w:color w:val="0563C1"/>
          <w:sz w:val="20"/>
          <w:u w:val="single"/>
        </w:rPr>
        <w:t>investor@seer.bio</w:t>
      </w:r>
    </w:p>
    <w:p>
      <w:pPr>
        <w:pStyle w:val="TextBody"/>
        <w:bidi w:val="0"/>
        <w:spacing w:before="0" w:after="0"/>
        <w:jc w:val="left"/>
        <w:rPr/>
      </w:pPr>
      <w:r>
        <w:rPr/>
      </w:r>
    </w:p>
    <w:p>
      <w:pPr>
        <w:pStyle w:val="TextBody"/>
        <w:bidi w:val="0"/>
        <w:spacing w:lineRule="auto" w:line="386" w:before="0" w:after="0"/>
        <w:jc w:val="left"/>
        <w:rPr>
          <w:rFonts w:ascii="Arial;sans-serif" w:hAnsi="Arial;sans-serif"/>
          <w:b w:val="false"/>
          <w:color w:val="000000"/>
          <w:sz w:val="20"/>
          <w:u w:val="single"/>
        </w:rPr>
      </w:pPr>
      <w:r>
        <w:rPr>
          <w:rFonts w:ascii="Arial;sans-serif" w:hAnsi="Arial;sans-serif"/>
          <w:b w:val="false"/>
          <w:color w:val="000000"/>
          <w:sz w:val="20"/>
          <w:u w:val="single"/>
        </w:rPr>
        <w:t>Media Contact:</w:t>
      </w:r>
    </w:p>
    <w:p>
      <w:pPr>
        <w:pStyle w:val="TextBody"/>
        <w:bidi w:val="0"/>
        <w:spacing w:lineRule="auto" w:line="386" w:before="0" w:after="0"/>
        <w:jc w:val="left"/>
        <w:rPr>
          <w:rFonts w:ascii="Arial;sans-serif" w:hAnsi="Arial;sans-serif"/>
          <w:b w:val="false"/>
          <w:color w:val="000000"/>
          <w:sz w:val="20"/>
        </w:rPr>
      </w:pPr>
      <w:r>
        <w:rPr>
          <w:rFonts w:ascii="Arial;sans-serif" w:hAnsi="Arial;sans-serif"/>
          <w:b w:val="false"/>
          <w:color w:val="000000"/>
          <w:sz w:val="20"/>
        </w:rPr>
        <w:t>Karen Possemato</w:t>
      </w:r>
    </w:p>
    <w:p>
      <w:pPr>
        <w:pStyle w:val="TextBody"/>
        <w:bidi w:val="0"/>
        <w:spacing w:lineRule="auto" w:line="386" w:before="0" w:after="0"/>
        <w:jc w:val="left"/>
        <w:rPr>
          <w:rFonts w:ascii="Arial;sans-serif" w:hAnsi="Arial;sans-serif"/>
          <w:b w:val="false"/>
          <w:color w:val="0563C1"/>
          <w:sz w:val="20"/>
          <w:u w:val="single"/>
        </w:rPr>
      </w:pPr>
      <w:r>
        <w:rPr>
          <w:rFonts w:ascii="Arial;sans-serif" w:hAnsi="Arial;sans-serif"/>
          <w:b w:val="false"/>
          <w:color w:val="0563C1"/>
          <w:sz w:val="20"/>
          <w:u w:val="single"/>
        </w:rPr>
        <w:t>pr@seer.bio</w:t>
      </w:r>
    </w:p>
    <w:p>
      <w:pPr>
        <w:pStyle w:val="TextBody"/>
        <w:bidi w:val="0"/>
        <w:ind w:left="0" w:right="0" w:firstLine="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69" w:before="0" w:after="0"/>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SEER, INC.</w:t>
      </w:r>
    </w:p>
    <w:p>
      <w:pPr>
        <w:pStyle w:val="TextBody"/>
        <w:bidi w:val="0"/>
        <w:spacing w:lineRule="auto" w:line="386" w:before="0" w:after="0"/>
        <w:jc w:val="center"/>
        <w:rPr>
          <w:rFonts w:ascii="Times New Roman;sans-serif" w:hAnsi="Times New Roman;sans-serif"/>
          <w:b/>
          <w:color w:val="000000"/>
          <w:sz w:val="18"/>
        </w:rPr>
      </w:pPr>
      <w:r>
        <w:rPr>
          <w:rFonts w:ascii="Times New Roman;sans-serif" w:hAnsi="Times New Roman;sans-serif"/>
          <w:b/>
          <w:color w:val="000000"/>
          <w:sz w:val="18"/>
        </w:rPr>
        <w:t>UNAUDITED CONDENSED CONSOLIDATED STATEMENTS OF OPERATIONS AND COMPREHENSIVE LOSS</w:t>
      </w:r>
    </w:p>
    <w:p>
      <w:pPr>
        <w:pStyle w:val="TextBody"/>
        <w:bidi w:val="0"/>
        <w:spacing w:lineRule="auto" w:line="386"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 except share and per share amounts)</w: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585"/>
        <w:gridCol w:w="1270"/>
        <w:gridCol w:w="1280"/>
        <w:gridCol w:w="321"/>
        <w:gridCol w:w="321"/>
        <w:gridCol w:w="307"/>
        <w:gridCol w:w="261"/>
        <w:gridCol w:w="261"/>
        <w:gridCol w:w="261"/>
        <w:gridCol w:w="327"/>
        <w:gridCol w:w="327"/>
        <w:gridCol w:w="318"/>
        <w:gridCol w:w="109"/>
        <w:gridCol w:w="109"/>
        <w:gridCol w:w="109"/>
        <w:gridCol w:w="311"/>
        <w:gridCol w:w="311"/>
        <w:gridCol w:w="306"/>
        <w:gridCol w:w="253"/>
        <w:gridCol w:w="253"/>
        <w:gridCol w:w="253"/>
        <w:gridCol w:w="324"/>
        <w:gridCol w:w="324"/>
        <w:gridCol w:w="324"/>
        <w:gridCol w:w="109"/>
        <w:gridCol w:w="109"/>
        <w:gridCol w:w="162"/>
      </w:tblGrid>
      <w:tr>
        <w:trPr/>
        <w:tc>
          <w:tcPr>
            <w:tcW w:w="158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$ 1,849</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2,571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$ 5,837</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$ 7,126</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and other</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4,162</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12,223</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10,888</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4,674</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and other</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w:t>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5,718</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6,090</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6,505</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4,798</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13,232</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41,854</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33,167</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14,769</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45,882</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43,917</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28,001</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87,736</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77,084</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(25,845)</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(81,231)</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(72,286)</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13,044</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w:t>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4,757</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12,753</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(21,088)</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(23,980)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(68,478)</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(70,441)</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available-for-sale securities</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(20,852)</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(23,560)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(68,523)</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(72,598)</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333" w:before="0" w:after="3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 basic and diluted</w:t>
            </w:r>
          </w:p>
        </w:tc>
        <w:tc>
          <w:tcPr>
            <w:tcW w:w="94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(0.33)</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(1.07)</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(1.13)</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333" w:before="0" w:after="3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basic and diluted</w:t>
            </w:r>
          </w:p>
        </w:tc>
        <w:tc>
          <w:tcPr>
            <w:tcW w:w="94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63,929,743</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62,538,983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63,747,155</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62,308,314</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386" w:before="0" w:after="0"/>
        <w:jc w:val="left"/>
        <w:rPr>
          <w:color w:val="000000"/>
        </w:rPr>
      </w:pPr>
      <w:r>
        <w:rPr>
          <w:color w:val="000000"/>
        </w:rPr>
        <w:t>    </w:t>
      </w:r>
    </w:p>
    <w:p>
      <w:pPr>
        <w:pStyle w:val="TextBody"/>
        <w:bidi w:val="0"/>
        <w:spacing w:before="0" w:after="0"/>
        <w:jc w:val="center"/>
        <w:rPr/>
      </w:pPr>
      <w:r>
        <w:rPr/>
      </w:r>
    </w:p>
    <w:p>
      <w:pPr>
        <w:pStyle w:val="TextBody"/>
        <w:bidi w:val="0"/>
        <w:spacing w:before="0" w:after="180"/>
        <w:jc w:val="left"/>
        <w:rPr/>
      </w:pPr>
      <w:r>
        <w:rPr/>
      </w:r>
    </w:p>
    <w:p>
      <w:pPr>
        <w:pStyle w:val="TextBody"/>
        <w:bidi w:val="0"/>
        <w:spacing w:before="179"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69" w:before="0" w:after="0"/>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SEER, INC.</w:t>
      </w:r>
    </w:p>
    <w:p>
      <w:pPr>
        <w:pStyle w:val="TextBody"/>
        <w:bidi w:val="0"/>
        <w:spacing w:lineRule="auto" w:line="386" w:before="0" w:after="0"/>
        <w:jc w:val="center"/>
        <w:rPr>
          <w:rFonts w:ascii="Times New Roman;sans-serif" w:hAnsi="Times New Roman;sans-serif"/>
          <w:b/>
          <w:color w:val="000000"/>
          <w:sz w:val="18"/>
        </w:rPr>
      </w:pPr>
      <w:r>
        <w:rPr>
          <w:rFonts w:ascii="Times New Roman;sans-serif" w:hAnsi="Times New Roman;sans-serif"/>
          <w:b/>
          <w:color w:val="000000"/>
          <w:sz w:val="18"/>
        </w:rPr>
        <w:t>UNAUDITED CONDENSED CONSOLIDATED BALANCE SHEETS</w:t>
      </w:r>
    </w:p>
    <w:p>
      <w:pPr>
        <w:pStyle w:val="TextBody"/>
        <w:bidi w:val="0"/>
        <w:spacing w:lineRule="auto" w:line="386"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87"/>
        <w:gridCol w:w="2296"/>
        <w:gridCol w:w="2291"/>
        <w:gridCol w:w="324"/>
        <w:gridCol w:w="324"/>
        <w:gridCol w:w="325"/>
        <w:gridCol w:w="109"/>
        <w:gridCol w:w="109"/>
        <w:gridCol w:w="109"/>
        <w:gridCol w:w="336"/>
        <w:gridCol w:w="309"/>
        <w:gridCol w:w="310"/>
        <w:gridCol w:w="109"/>
        <w:gridCol w:w="109"/>
        <w:gridCol w:w="158"/>
      </w:tblGrid>
      <w:tr>
        <w:trPr/>
        <w:tc>
          <w:tcPr>
            <w:tcW w:w="2987"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36,396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53,208</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368,031</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4,315</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Related party receivables</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receivables</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4,627</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434,982</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investments</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5,157</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27,003</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19,408</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$ 444,853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$ 487,929</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3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$ 753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$ 2,104</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8,298</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current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12,584</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net of current portion</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28,032</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40,936</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w:t>
            </w:r>
          </w:p>
        </w:tc>
        <w:tc>
          <w:tcPr>
            <w:tcW w:w="9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$0.00001 par value; 5,000,000 shares authorized as of September 30, 2023 and December 31, 2022; zero shares issued and outstanding as of September 30, 2023 and December 31, 2022</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$0.00001 par value; 94,000,000 shares authorized as of September 30, 2023 and December 31, 2022; 59,932,008 and 59,366,077 shares issued and outstanding as of September 30, 2023 and December 31, 2022, respectively</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Class B common stock, $0.00001 par value; 6,000,000 shares authorized as of September 30, 2023 and December 31, 2022; 4,044,969 shares issued and outstanding as of September 30, 2023 and December 31, 2022 </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667,739</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(219,496)</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446,993</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97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$ 444,853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$ 487,929</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1911</Words>
  <Characters>10825</Characters>
  <CharactersWithSpaces>12474</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