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395605</wp:posOffset>
            </wp:positionH>
            <wp:positionV relativeFrom="page">
              <wp:posOffset>585470</wp:posOffset>
            </wp:positionV>
            <wp:extent cx="7008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8495" cy="8255"/>
                    </a:xfrm>
                    <a:prstGeom prst="rect">
                      <a:avLst/>
                    </a:prstGeom>
                    <a:noFill/>
                  </pic:spPr>
                </pic:pic>
              </a:graphicData>
            </a:graphic>
          </wp:anchor>
        </w:drawing>
        <w:drawing>
          <wp:anchor simplePos="0" relativeHeight="251657728" behindDoc="1" locked="0" layoutInCell="0" allowOverlap="1">
            <wp:simplePos x="0" y="0"/>
            <wp:positionH relativeFrom="page">
              <wp:posOffset>395605</wp:posOffset>
            </wp:positionH>
            <wp:positionV relativeFrom="page">
              <wp:posOffset>553085</wp:posOffset>
            </wp:positionV>
            <wp:extent cx="7008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8495"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174" w:lineRule="exact"/>
        <w:rPr>
          <w:sz w:val="24"/>
          <w:szCs w:val="24"/>
          <w:color w:val="auto"/>
        </w:rPr>
      </w:pPr>
    </w:p>
    <w:p>
      <w:pPr>
        <w:ind w:left="300"/>
        <w:spacing w:after="0"/>
        <w:rPr>
          <w:sz w:val="20"/>
          <w:szCs w:val="20"/>
          <w:color w:val="auto"/>
        </w:rPr>
      </w:pPr>
      <w:r>
        <w:rPr>
          <w:rFonts w:ascii="Arial" w:cs="Arial" w:eastAsia="Arial" w:hAnsi="Arial"/>
          <w:sz w:val="17"/>
          <w:szCs w:val="17"/>
          <w:color w:val="auto"/>
        </w:rPr>
        <w:t>(Mark one)</w:t>
      </w:r>
    </w:p>
    <w:p>
      <w:pPr>
        <w:spacing w:after="0" w:line="158" w:lineRule="exact"/>
        <w:rPr>
          <w:sz w:val="24"/>
          <w:szCs w:val="24"/>
          <w:color w:val="auto"/>
        </w:rPr>
      </w:pPr>
    </w:p>
    <w:p>
      <w:pPr>
        <w:ind w:left="300"/>
        <w:spacing w:after="0"/>
        <w:rPr>
          <w:sz w:val="20"/>
          <w:szCs w:val="20"/>
          <w:color w:val="auto"/>
        </w:rPr>
      </w:pPr>
      <w:r>
        <w:rPr>
          <w:rFonts w:ascii="Arial" w:cs="Arial" w:eastAsia="Arial" w:hAnsi="Arial"/>
          <w:sz w:val="15"/>
          <w:szCs w:val="15"/>
          <w:color w:val="auto"/>
        </w:rPr>
        <w:t>[X] QUARTERLY REPORT PURSUANT TO SECTION 13 OR 15(d) OF THE SECURITIES EXCHANGE ACT OF 1934</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For the quarterly period ended June 30, 2021</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w:t>
      </w:r>
    </w:p>
    <w:p>
      <w:pPr>
        <w:spacing w:after="0" w:line="139" w:lineRule="exact"/>
        <w:rPr>
          <w:sz w:val="24"/>
          <w:szCs w:val="24"/>
          <w:color w:val="auto"/>
        </w:rPr>
      </w:pPr>
    </w:p>
    <w:p>
      <w:pPr>
        <w:ind w:left="300"/>
        <w:spacing w:after="0"/>
        <w:rPr>
          <w:sz w:val="20"/>
          <w:szCs w:val="20"/>
          <w:color w:val="auto"/>
        </w:rPr>
      </w:pPr>
      <w:r>
        <w:rPr>
          <w:rFonts w:ascii="Arial" w:cs="Arial" w:eastAsia="Arial" w:hAnsi="Arial"/>
          <w:sz w:val="16"/>
          <w:szCs w:val="16"/>
          <w:color w:val="auto"/>
        </w:rPr>
        <w:t>[ ] TRANSITION REPORT PURSUANT TO SECTION 13 OR 15(d) OF THE SECURITIES EXCHANGE ACT OF 1934</w:t>
      </w:r>
    </w:p>
    <w:p>
      <w:pPr>
        <w:spacing w:after="0" w:line="173" w:lineRule="exact"/>
        <w:rPr>
          <w:sz w:val="24"/>
          <w:szCs w:val="24"/>
          <w:color w:val="auto"/>
        </w:rPr>
      </w:pPr>
    </w:p>
    <w:p>
      <w:pPr>
        <w:ind w:left="3480"/>
        <w:spacing w:after="0"/>
        <w:rPr>
          <w:sz w:val="20"/>
          <w:szCs w:val="20"/>
          <w:color w:val="auto"/>
        </w:rPr>
      </w:pPr>
      <w:r>
        <w:rPr>
          <w:rFonts w:ascii="Arial" w:cs="Arial" w:eastAsia="Arial" w:hAnsi="Arial"/>
          <w:sz w:val="15"/>
          <w:szCs w:val="15"/>
          <w:color w:val="auto"/>
        </w:rPr>
        <w:t>For the transition period from _______________ to _______________</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Commission file number 001-39747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2610485</wp:posOffset>
            </wp:positionH>
            <wp:positionV relativeFrom="paragraph">
              <wp:posOffset>144145</wp:posOffset>
            </wp:positionV>
            <wp:extent cx="19215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151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7"/>
          <w:szCs w:val="37"/>
          <w:b w:val="1"/>
          <w:bCs w:val="1"/>
          <w:color w:val="auto"/>
        </w:rPr>
        <w:t>SEER, INC.</w:t>
      </w:r>
    </w:p>
    <w:p>
      <w:pPr>
        <w:sectPr>
          <w:pgSz w:w="11900" w:h="16838" w:orient="portrait"/>
          <w:cols w:equalWidth="0" w:num="1">
            <w:col w:w="11240"/>
          </w:cols>
          <w:pgMar w:left="320" w:top="1152" w:right="339" w:bottom="1440" w:gutter="0" w:footer="0" w:header="0"/>
        </w:sectPr>
      </w:pPr>
    </w:p>
    <w:p>
      <w:pPr>
        <w:spacing w:after="0" w:line="41" w:lineRule="exact"/>
        <w:rPr>
          <w:sz w:val="24"/>
          <w:szCs w:val="24"/>
          <w:color w:val="auto"/>
        </w:rPr>
      </w:pPr>
    </w:p>
    <w:p>
      <w:pPr>
        <w:jc w:val="right"/>
        <w:ind w:right="82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2610485</wp:posOffset>
            </wp:positionH>
            <wp:positionV relativeFrom="paragraph">
              <wp:posOffset>53340</wp:posOffset>
            </wp:positionV>
            <wp:extent cx="19215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1510" cy="8255"/>
                    </a:xfrm>
                    <a:prstGeom prst="rect">
                      <a:avLst/>
                    </a:prstGeom>
                    <a:noFill/>
                  </pic:spPr>
                </pic:pic>
              </a:graphicData>
            </a:graphic>
          </wp:anchor>
        </w:drawing>
      </w:r>
    </w:p>
    <w:p>
      <w:pPr>
        <w:spacing w:after="0" w:line="333" w:lineRule="exact"/>
        <w:rPr>
          <w:sz w:val="24"/>
          <w:szCs w:val="24"/>
          <w:color w:val="auto"/>
        </w:rPr>
      </w:pPr>
    </w:p>
    <w:p>
      <w:pPr>
        <w:jc w:val="center"/>
        <w:ind w:right="3280"/>
        <w:spacing w:after="0"/>
        <w:rPr>
          <w:sz w:val="20"/>
          <w:szCs w:val="20"/>
          <w:color w:val="auto"/>
        </w:rPr>
      </w:pPr>
      <w:r>
        <w:rPr>
          <w:rFonts w:ascii="Arial" w:cs="Arial" w:eastAsia="Arial" w:hAnsi="Arial"/>
          <w:sz w:val="13"/>
          <w:szCs w:val="13"/>
          <w:b w:val="1"/>
          <w:bCs w:val="1"/>
          <w:color w:val="auto"/>
        </w:rPr>
        <w:t>Delaware</w:t>
      </w:r>
    </w:p>
    <w:p>
      <w:pPr>
        <w:spacing w:after="0" w:line="40" w:lineRule="exact"/>
        <w:rPr>
          <w:sz w:val="24"/>
          <w:szCs w:val="24"/>
          <w:color w:val="auto"/>
        </w:rPr>
      </w:pPr>
    </w:p>
    <w:p>
      <w:pPr>
        <w:ind w:left="1000"/>
        <w:spacing w:after="0"/>
        <w:rPr>
          <w:sz w:val="20"/>
          <w:szCs w:val="20"/>
          <w:color w:val="auto"/>
        </w:rPr>
      </w:pPr>
      <w:r>
        <w:rPr>
          <w:rFonts w:ascii="Arial" w:cs="Arial" w:eastAsia="Arial" w:hAnsi="Arial"/>
          <w:sz w:val="13"/>
          <w:szCs w:val="13"/>
          <w:b w:val="1"/>
          <w:bCs w:val="1"/>
          <w:color w:val="auto"/>
        </w:rPr>
        <w:t>(State or other jurisdiction of incorporation or</w:t>
      </w:r>
    </w:p>
    <w:p>
      <w:pPr>
        <w:spacing w:after="0" w:line="16" w:lineRule="exact"/>
        <w:rPr>
          <w:sz w:val="24"/>
          <w:szCs w:val="24"/>
          <w:color w:val="auto"/>
        </w:rPr>
      </w:pPr>
    </w:p>
    <w:p>
      <w:pPr>
        <w:ind w:left="1800"/>
        <w:spacing w:after="0"/>
        <w:rPr>
          <w:sz w:val="20"/>
          <w:szCs w:val="20"/>
          <w:color w:val="auto"/>
        </w:rPr>
      </w:pPr>
      <w:r>
        <w:rPr>
          <w:rFonts w:ascii="Arial" w:cs="Arial" w:eastAsia="Arial" w:hAnsi="Arial"/>
          <w:sz w:val="13"/>
          <w:szCs w:val="13"/>
          <w:b w:val="1"/>
          <w:bCs w:val="1"/>
          <w:color w:val="auto"/>
        </w:rPr>
        <w:t>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4" w:lineRule="exact"/>
        <w:rPr>
          <w:sz w:val="24"/>
          <w:szCs w:val="24"/>
          <w:color w:val="auto"/>
        </w:rPr>
      </w:pPr>
    </w:p>
    <w:p>
      <w:pPr>
        <w:jc w:val="center"/>
        <w:ind w:right="240"/>
        <w:spacing w:after="0"/>
        <w:rPr>
          <w:sz w:val="20"/>
          <w:szCs w:val="20"/>
          <w:color w:val="auto"/>
        </w:rPr>
      </w:pPr>
      <w:r>
        <w:rPr>
          <w:rFonts w:ascii="Arial" w:cs="Arial" w:eastAsia="Arial" w:hAnsi="Arial"/>
          <w:sz w:val="13"/>
          <w:szCs w:val="13"/>
          <w:b w:val="1"/>
          <w:bCs w:val="1"/>
          <w:color w:val="auto"/>
        </w:rPr>
        <w:t>82-1153150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2"/>
          <w:szCs w:val="12"/>
          <w:b w:val="1"/>
          <w:bCs w:val="1"/>
          <w:color w:val="auto"/>
        </w:rPr>
        <w:t>(I.R.S. Employer Identification Number)</w:t>
      </w:r>
    </w:p>
    <w:p>
      <w:pPr>
        <w:spacing w:after="0" w:line="389" w:lineRule="exact"/>
        <w:rPr>
          <w:sz w:val="24"/>
          <w:szCs w:val="24"/>
          <w:color w:val="auto"/>
        </w:rPr>
      </w:pPr>
    </w:p>
    <w:p>
      <w:pPr>
        <w:sectPr>
          <w:pgSz w:w="11900" w:h="16838" w:orient="portrait"/>
          <w:cols w:equalWidth="0" w:num="2">
            <w:col w:w="7940" w:space="720"/>
            <w:col w:w="2580"/>
          </w:cols>
          <w:pgMar w:left="320" w:top="1152" w:right="339" w:bottom="1440" w:gutter="0" w:footer="0" w:header="0"/>
          <w:type w:val="continuous"/>
        </w:sectPr>
      </w:pPr>
    </w:p>
    <w:p>
      <w:pPr>
        <w:spacing w:after="0" w:line="4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3800 Bridge Parkway, Suite 102</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Redwood City, California 94065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650-453-0000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2610485</wp:posOffset>
            </wp:positionH>
            <wp:positionV relativeFrom="paragraph">
              <wp:posOffset>53340</wp:posOffset>
            </wp:positionV>
            <wp:extent cx="1921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151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20" w:type="dxa"/>
            <w:vAlign w:val="bottom"/>
            <w:gridSpan w:val="4"/>
          </w:tcPr>
          <w:p>
            <w:pPr>
              <w:jc w:val="center"/>
              <w:ind w:right="60"/>
              <w:spacing w:after="0"/>
              <w:rPr>
                <w:sz w:val="20"/>
                <w:szCs w:val="20"/>
                <w:color w:val="auto"/>
              </w:rPr>
            </w:pPr>
            <w:r>
              <w:rPr>
                <w:rFonts w:ascii="Arial" w:cs="Arial" w:eastAsia="Arial" w:hAnsi="Arial"/>
                <w:sz w:val="13"/>
                <w:szCs w:val="13"/>
                <w:color w:val="auto"/>
                <w:w w:val="93"/>
              </w:rPr>
              <w:t>Securities registered pursuant to section 12(b) of the Act:</w:t>
            </w:r>
          </w:p>
        </w:tc>
        <w:tc>
          <w:tcPr>
            <w:tcW w:w="3980" w:type="dxa"/>
            <w:vAlign w:val="bottom"/>
          </w:tcPr>
          <w:p>
            <w:pPr>
              <w:spacing w:after="0"/>
              <w:rPr>
                <w:sz w:val="14"/>
                <w:szCs w:val="14"/>
                <w:color w:val="auto"/>
              </w:rPr>
            </w:pPr>
          </w:p>
        </w:tc>
      </w:tr>
      <w:tr>
        <w:trPr>
          <w:trHeight w:val="73"/>
        </w:trPr>
        <w:tc>
          <w:tcPr>
            <w:tcW w:w="3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980" w:type="dxa"/>
            <w:vAlign w:val="bottom"/>
          </w:tcPr>
          <w:p>
            <w:pPr>
              <w:spacing w:after="0"/>
              <w:rPr>
                <w:sz w:val="6"/>
                <w:szCs w:val="6"/>
                <w:color w:val="auto"/>
              </w:rPr>
            </w:pPr>
          </w:p>
        </w:tc>
      </w:tr>
      <w:tr>
        <w:trPr>
          <w:trHeight w:val="415"/>
        </w:trPr>
        <w:tc>
          <w:tcPr>
            <w:tcW w:w="3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40" w:type="dxa"/>
            <w:vAlign w:val="bottom"/>
            <w:gridSpan w:val="3"/>
          </w:tcPr>
          <w:p>
            <w:pPr>
              <w:jc w:val="center"/>
              <w:ind w:right="120"/>
              <w:spacing w:after="0"/>
              <w:rPr>
                <w:sz w:val="20"/>
                <w:szCs w:val="20"/>
                <w:color w:val="auto"/>
              </w:rPr>
            </w:pPr>
            <w:r>
              <w:rPr>
                <w:rFonts w:ascii="Arial" w:cs="Arial" w:eastAsia="Arial" w:hAnsi="Arial"/>
                <w:sz w:val="15"/>
                <w:szCs w:val="15"/>
                <w:i w:val="1"/>
                <w:iCs w:val="1"/>
                <w:color w:val="auto"/>
                <w:w w:val="91"/>
              </w:rPr>
              <w:t>Copies to:</w:t>
            </w:r>
          </w:p>
        </w:tc>
        <w:tc>
          <w:tcPr>
            <w:tcW w:w="3980" w:type="dxa"/>
            <w:vAlign w:val="bottom"/>
          </w:tcPr>
          <w:p>
            <w:pPr>
              <w:spacing w:after="0"/>
              <w:rPr>
                <w:sz w:val="24"/>
                <w:szCs w:val="24"/>
                <w:color w:val="auto"/>
              </w:rPr>
            </w:pPr>
          </w:p>
        </w:tc>
      </w:tr>
      <w:tr>
        <w:trPr>
          <w:trHeight w:val="239"/>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Title of each class</w:t>
            </w: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5"/>
                <w:szCs w:val="15"/>
                <w:b w:val="1"/>
                <w:bCs w:val="1"/>
                <w:color w:val="auto"/>
                <w:w w:val="92"/>
              </w:rPr>
              <w:t>Trading Symbol(s)</w:t>
            </w:r>
          </w:p>
        </w:tc>
        <w:tc>
          <w:tcPr>
            <w:tcW w:w="80" w:type="dxa"/>
            <w:vAlign w:val="bottom"/>
          </w:tcPr>
          <w:p>
            <w:pPr>
              <w:spacing w:after="0"/>
              <w:rPr>
                <w:sz w:val="20"/>
                <w:szCs w:val="20"/>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Name of Exchange on which registered</w:t>
            </w:r>
          </w:p>
        </w:tc>
      </w:tr>
      <w:tr>
        <w:trPr>
          <w:trHeight w:val="208"/>
        </w:trPr>
        <w:tc>
          <w:tcPr>
            <w:tcW w:w="4040" w:type="dxa"/>
            <w:vAlign w:val="bottom"/>
            <w:gridSpan w:val="2"/>
          </w:tcPr>
          <w:p>
            <w:pPr>
              <w:jc w:val="center"/>
              <w:ind w:right="60"/>
              <w:spacing w:after="0"/>
              <w:rPr>
                <w:sz w:val="20"/>
                <w:szCs w:val="20"/>
                <w:color w:val="auto"/>
              </w:rPr>
            </w:pPr>
            <w:r>
              <w:rPr>
                <w:rFonts w:ascii="Arial" w:cs="Arial" w:eastAsia="Arial" w:hAnsi="Arial"/>
                <w:sz w:val="15"/>
                <w:szCs w:val="15"/>
                <w:color w:val="auto"/>
                <w:w w:val="91"/>
              </w:rPr>
              <w:t>Common Stock, par value $0.00001</w:t>
            </w:r>
          </w:p>
        </w:tc>
        <w:tc>
          <w:tcPr>
            <w:tcW w:w="80" w:type="dxa"/>
            <w:vAlign w:val="bottom"/>
          </w:tcPr>
          <w:p>
            <w:pPr>
              <w:spacing w:after="0"/>
              <w:rPr>
                <w:sz w:val="18"/>
                <w:szCs w:val="18"/>
                <w:color w:val="auto"/>
              </w:rPr>
            </w:pPr>
          </w:p>
        </w:tc>
        <w:tc>
          <w:tcPr>
            <w:tcW w:w="3140" w:type="dxa"/>
            <w:vAlign w:val="bottom"/>
            <w:gridSpan w:val="3"/>
          </w:tcPr>
          <w:p>
            <w:pPr>
              <w:jc w:val="center"/>
              <w:ind w:right="160"/>
              <w:spacing w:after="0"/>
              <w:rPr>
                <w:sz w:val="20"/>
                <w:szCs w:val="20"/>
                <w:color w:val="auto"/>
              </w:rPr>
            </w:pPr>
            <w:r>
              <w:rPr>
                <w:rFonts w:ascii="Arial" w:cs="Arial" w:eastAsia="Arial" w:hAnsi="Arial"/>
                <w:sz w:val="15"/>
                <w:szCs w:val="15"/>
                <w:color w:val="auto"/>
                <w:w w:val="92"/>
              </w:rPr>
              <w:t>SEER</w:t>
            </w:r>
          </w:p>
        </w:tc>
        <w:tc>
          <w:tcPr>
            <w:tcW w:w="3980" w:type="dxa"/>
            <w:vAlign w:val="bottom"/>
          </w:tcPr>
          <w:p>
            <w:pPr>
              <w:jc w:val="center"/>
              <w:spacing w:after="0"/>
              <w:rPr>
                <w:sz w:val="20"/>
                <w:szCs w:val="20"/>
                <w:color w:val="auto"/>
              </w:rPr>
            </w:pPr>
            <w:r>
              <w:rPr>
                <w:rFonts w:ascii="Arial" w:cs="Arial" w:eastAsia="Arial" w:hAnsi="Arial"/>
                <w:sz w:val="15"/>
                <w:szCs w:val="15"/>
                <w:color w:val="auto"/>
                <w:w w:val="95"/>
              </w:rPr>
              <w:t>NASDAQ Global Select Market</w:t>
            </w:r>
          </w:p>
        </w:tc>
      </w:tr>
    </w:tbl>
    <w:p>
      <w:pPr>
        <w:spacing w:after="0" w:line="200" w:lineRule="exact"/>
        <w:rPr>
          <w:sz w:val="24"/>
          <w:szCs w:val="24"/>
          <w:color w:val="auto"/>
        </w:rPr>
      </w:pPr>
    </w:p>
    <w:p>
      <w:pPr>
        <w:spacing w:after="0" w:line="202" w:lineRule="exact"/>
        <w:rPr>
          <w:sz w:val="24"/>
          <w:szCs w:val="24"/>
          <w:color w:val="auto"/>
        </w:rPr>
      </w:pPr>
    </w:p>
    <w:p>
      <w:pPr>
        <w:ind w:right="8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9" w:lineRule="exact"/>
        <w:rPr>
          <w:sz w:val="24"/>
          <w:szCs w:val="24"/>
          <w:color w:val="auto"/>
        </w:rPr>
      </w:pPr>
    </w:p>
    <w:p>
      <w:pPr>
        <w:ind w:right="2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9" w:lineRule="exact"/>
        <w:rPr>
          <w:sz w:val="24"/>
          <w:szCs w:val="24"/>
          <w:color w:val="auto"/>
        </w:rPr>
      </w:pPr>
    </w:p>
    <w:p>
      <w:pPr>
        <w:ind w:right="100"/>
        <w:spacing w:after="0" w:line="30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company,”and "emerging growth company" in Rule 12b-2 of the Exchange Act.</w:t>
      </w:r>
    </w:p>
    <w:p>
      <w:pPr>
        <w:spacing w:after="0" w:line="12" w:lineRule="exact"/>
        <w:rPr>
          <w:sz w:val="24"/>
          <w:szCs w:val="24"/>
          <w:color w:val="auto"/>
        </w:rPr>
      </w:pPr>
    </w:p>
    <w:tbl>
      <w:tblPr>
        <w:tblLayout w:type="fixed"/>
        <w:tblInd w:w="480" w:type="dxa"/>
        <w:tblCellMar>
          <w:top w:w="0" w:type="dxa"/>
          <w:left w:w="0" w:type="dxa"/>
          <w:bottom w:w="0" w:type="dxa"/>
          <w:right w:w="0" w:type="dxa"/>
        </w:tblCellMar>
      </w:tblPr>
      <w:tr>
        <w:trPr>
          <w:trHeight w:val="227"/>
        </w:trPr>
        <w:tc>
          <w:tcPr>
            <w:tcW w:w="17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10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4460" w:type="dxa"/>
            <w:vAlign w:val="bottom"/>
          </w:tcPr>
          <w:p>
            <w:pPr>
              <w:ind w:left="2600"/>
              <w:spacing w:after="0"/>
              <w:rPr>
                <w:sz w:val="20"/>
                <w:szCs w:val="20"/>
                <w:color w:val="auto"/>
              </w:rPr>
            </w:pPr>
            <w:r>
              <w:rPr>
                <w:rFonts w:ascii="Arial" w:cs="Arial" w:eastAsia="Arial" w:hAnsi="Arial"/>
                <w:sz w:val="15"/>
                <w:szCs w:val="15"/>
                <w:color w:val="auto"/>
              </w:rPr>
              <w:t>Accelerated filer</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7"/>
        </w:trPr>
        <w:tc>
          <w:tcPr>
            <w:tcW w:w="17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460" w:type="dxa"/>
            <w:vAlign w:val="bottom"/>
          </w:tcPr>
          <w:p>
            <w:pPr>
              <w:ind w:left="2600"/>
              <w:spacing w:after="0"/>
              <w:rPr>
                <w:sz w:val="20"/>
                <w:szCs w:val="20"/>
                <w:color w:val="auto"/>
              </w:rPr>
            </w:pPr>
            <w:r>
              <w:rPr>
                <w:rFonts w:ascii="Arial" w:cs="Arial" w:eastAsia="Arial" w:hAnsi="Arial"/>
                <w:sz w:val="15"/>
                <w:szCs w:val="15"/>
                <w:color w:val="auto"/>
              </w:rPr>
              <w:t>Smaller reporting company</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8"/>
        </w:trPr>
        <w:tc>
          <w:tcPr>
            <w:tcW w:w="1700" w:type="dxa"/>
            <w:vAlign w:val="bottom"/>
          </w:tcPr>
          <w:p>
            <w:pPr>
              <w:spacing w:after="0"/>
              <w:rPr>
                <w:sz w:val="20"/>
                <w:szCs w:val="20"/>
                <w:color w:val="auto"/>
              </w:rPr>
            </w:pPr>
            <w:r>
              <w:rPr>
                <w:rFonts w:ascii="Arial" w:cs="Arial" w:eastAsia="Arial" w:hAnsi="Arial"/>
                <w:sz w:val="15"/>
                <w:szCs w:val="15"/>
                <w:color w:val="auto"/>
              </w:rPr>
              <w:t>Non-accelerated filer</w:t>
            </w:r>
          </w:p>
        </w:tc>
        <w:tc>
          <w:tcPr>
            <w:tcW w:w="310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4460" w:type="dxa"/>
            <w:vAlign w:val="bottom"/>
          </w:tcPr>
          <w:p>
            <w:pPr>
              <w:ind w:left="2600"/>
              <w:spacing w:after="0"/>
              <w:rPr>
                <w:sz w:val="20"/>
                <w:szCs w:val="20"/>
                <w:color w:val="auto"/>
              </w:rPr>
            </w:pPr>
            <w:r>
              <w:rPr>
                <w:rFonts w:ascii="Arial" w:cs="Arial" w:eastAsia="Arial" w:hAnsi="Arial"/>
                <w:sz w:val="15"/>
                <w:szCs w:val="15"/>
                <w:color w:val="auto"/>
              </w:rPr>
              <w:t>Emerging growth company</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32" w:lineRule="exact"/>
        <w:rPr>
          <w:sz w:val="24"/>
          <w:szCs w:val="24"/>
          <w:color w:val="auto"/>
        </w:rPr>
      </w:pPr>
    </w:p>
    <w:p>
      <w:pPr>
        <w:ind w:right="2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90"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85" w:lineRule="exact"/>
        <w:rPr>
          <w:sz w:val="24"/>
          <w:szCs w:val="24"/>
          <w:color w:val="auto"/>
        </w:rPr>
      </w:pPr>
    </w:p>
    <w:p>
      <w:pPr>
        <w:ind w:right="60"/>
        <w:spacing w:after="0" w:line="271" w:lineRule="auto"/>
        <w:rPr>
          <w:sz w:val="20"/>
          <w:szCs w:val="20"/>
          <w:color w:val="auto"/>
        </w:rPr>
      </w:pPr>
      <w:r>
        <w:rPr>
          <w:rFonts w:ascii="Arial" w:cs="Arial" w:eastAsia="Arial" w:hAnsi="Arial"/>
          <w:sz w:val="15"/>
          <w:szCs w:val="15"/>
          <w:color w:val="auto"/>
        </w:rPr>
        <w:t>As of August 6, 2021, the registrant had 56,754,143 shares of Class A common stock, $0.00001 par value per share, and 4,700,338 shares of Class B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273685</wp:posOffset>
            </wp:positionV>
            <wp:extent cx="7166610"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type w:val="continuous"/>
        </w:sectPr>
      </w:pPr>
    </w:p>
    <w:bookmarkStart w:id="1" w:name="page2"/>
    <w:bookmarkEnd w:id="1"/>
    <w:p>
      <w:pPr>
        <w:spacing w:after="0" w:line="4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 w:type="dxa"/>
            <w:vAlign w:val="bottom"/>
          </w:tcPr>
          <w:p>
            <w:pPr>
              <w:spacing w:after="0"/>
              <w:rPr>
                <w:sz w:val="16"/>
                <w:szCs w:val="16"/>
                <w:color w:val="auto"/>
              </w:rPr>
            </w:pPr>
          </w:p>
        </w:tc>
        <w:tc>
          <w:tcPr>
            <w:tcW w:w="1080" w:type="dxa"/>
            <w:vAlign w:val="bottom"/>
            <w:gridSpan w:val="3"/>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PART I.</w:t>
              </w:r>
            </w:hyperlink>
          </w:p>
        </w:tc>
        <w:tc>
          <w:tcPr>
            <w:tcW w:w="6020" w:type="dxa"/>
            <w:vAlign w:val="bottom"/>
            <w:gridSpan w:val="16"/>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FINANCIAL INFORMATION</w:t>
              </w:r>
            </w:hyperlink>
          </w:p>
        </w:tc>
        <w:tc>
          <w:tcPr>
            <w:tcW w:w="3620" w:type="dxa"/>
            <w:vAlign w:val="bottom"/>
          </w:tcPr>
          <w:p>
            <w:pPr>
              <w:jc w:val="right"/>
              <w:spacing w:after="0"/>
              <w:rPr>
                <w:rFonts w:ascii="Arial" w:cs="Arial" w:eastAsia="Arial" w:hAnsi="Arial"/>
                <w:sz w:val="17"/>
                <w:szCs w:val="17"/>
                <w:color w:val="0000FF"/>
              </w:rPr>
            </w:pPr>
            <w:hyperlink w:anchor="page4">
              <w:r>
                <w:rPr>
                  <w:rFonts w:ascii="Arial" w:cs="Arial" w:eastAsia="Arial" w:hAnsi="Arial"/>
                  <w:sz w:val="17"/>
                  <w:szCs w:val="17"/>
                  <w:color w:val="0000FF"/>
                </w:rPr>
                <w:t>1</w:t>
              </w:r>
            </w:hyperlink>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line="194" w:lineRule="exact"/>
              <w:rPr>
                <w:rFonts w:ascii="Arial" w:cs="Arial" w:eastAsia="Arial" w:hAnsi="Arial"/>
                <w:sz w:val="17"/>
                <w:szCs w:val="17"/>
                <w:color w:val="0000FF"/>
                <w:w w:val="84"/>
              </w:rPr>
            </w:pPr>
            <w:hyperlink w:anchor="page5">
              <w:r>
                <w:rPr>
                  <w:rFonts w:ascii="Arial" w:cs="Arial" w:eastAsia="Arial" w:hAnsi="Arial"/>
                  <w:sz w:val="17"/>
                  <w:szCs w:val="17"/>
                  <w:color w:val="0000FF"/>
                  <w:w w:val="84"/>
                </w:rPr>
                <w:t>Item 1.</w:t>
              </w:r>
            </w:hyperlink>
          </w:p>
        </w:tc>
        <w:tc>
          <w:tcPr>
            <w:tcW w:w="600" w:type="dxa"/>
            <w:vAlign w:val="bottom"/>
            <w:gridSpan w:val="2"/>
          </w:tcPr>
          <w:p>
            <w:pPr>
              <w:spacing w:after="0"/>
              <w:rPr>
                <w:sz w:val="16"/>
                <w:szCs w:val="16"/>
                <w:color w:val="auto"/>
              </w:rPr>
            </w:pPr>
          </w:p>
        </w:tc>
        <w:tc>
          <w:tcPr>
            <w:tcW w:w="2260" w:type="dxa"/>
            <w:vAlign w:val="bottom"/>
            <w:gridSpan w:val="8"/>
          </w:tcPr>
          <w:p>
            <w:pPr>
              <w:spacing w:after="0" w:line="194" w:lineRule="exact"/>
              <w:rPr>
                <w:rFonts w:ascii="Arial" w:cs="Arial" w:eastAsia="Arial" w:hAnsi="Arial"/>
                <w:sz w:val="17"/>
                <w:szCs w:val="17"/>
                <w:color w:val="0000FF"/>
                <w:w w:val="88"/>
              </w:rPr>
            </w:pPr>
            <w:hyperlink w:anchor="page5">
              <w:r>
                <w:rPr>
                  <w:rFonts w:ascii="Arial" w:cs="Arial" w:eastAsia="Arial" w:hAnsi="Arial"/>
                  <w:sz w:val="17"/>
                  <w:szCs w:val="17"/>
                  <w:color w:val="0000FF"/>
                  <w:w w:val="88"/>
                </w:rPr>
                <w:t>Financial Statements (Unaudited)</w:t>
              </w:r>
            </w:hyperlink>
          </w:p>
        </w:tc>
        <w:tc>
          <w:tcPr>
            <w:tcW w:w="3760" w:type="dxa"/>
            <w:vAlign w:val="bottom"/>
            <w:gridSpan w:val="8"/>
          </w:tcPr>
          <w:p>
            <w:pPr>
              <w:spacing w:after="0"/>
              <w:rPr>
                <w:sz w:val="16"/>
                <w:szCs w:val="16"/>
                <w:color w:val="auto"/>
              </w:rPr>
            </w:pPr>
          </w:p>
        </w:tc>
        <w:tc>
          <w:tcPr>
            <w:tcW w:w="3620" w:type="dxa"/>
            <w:vAlign w:val="bottom"/>
          </w:tcPr>
          <w:p>
            <w:pPr>
              <w:jc w:val="right"/>
              <w:spacing w:after="0" w:line="194" w:lineRule="exact"/>
              <w:rPr>
                <w:rFonts w:ascii="Arial" w:cs="Arial" w:eastAsia="Arial" w:hAnsi="Arial"/>
                <w:sz w:val="17"/>
                <w:szCs w:val="17"/>
                <w:color w:val="0000FF"/>
              </w:rPr>
            </w:pPr>
            <w:hyperlink w:anchor="page5">
              <w:r>
                <w:rPr>
                  <w:rFonts w:ascii="Arial" w:cs="Arial" w:eastAsia="Arial" w:hAnsi="Arial"/>
                  <w:sz w:val="17"/>
                  <w:szCs w:val="17"/>
                  <w:color w:val="0000FF"/>
                </w:rPr>
                <w:t>1</w:t>
              </w:r>
            </w:hyperlink>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740" w:type="dxa"/>
            <w:vAlign w:val="bottom"/>
            <w:gridSpan w:val="9"/>
          </w:tcPr>
          <w:p>
            <w:pPr>
              <w:spacing w:after="0" w:line="194" w:lineRule="exact"/>
              <w:rPr>
                <w:rFonts w:ascii="Arial" w:cs="Arial" w:eastAsia="Arial" w:hAnsi="Arial"/>
                <w:sz w:val="17"/>
                <w:szCs w:val="17"/>
                <w:color w:val="0000FF"/>
                <w:w w:val="86"/>
              </w:rPr>
            </w:pPr>
            <w:hyperlink w:anchor="page5">
              <w:r>
                <w:rPr>
                  <w:rFonts w:ascii="Arial" w:cs="Arial" w:eastAsia="Arial" w:hAnsi="Arial"/>
                  <w:sz w:val="17"/>
                  <w:szCs w:val="17"/>
                  <w:color w:val="0000FF"/>
                  <w:w w:val="86"/>
                </w:rPr>
                <w:t>Condensed Consolidated Balance Sheets</w:t>
              </w:r>
            </w:hyperlink>
          </w:p>
        </w:tc>
        <w:tc>
          <w:tcPr>
            <w:tcW w:w="3280" w:type="dxa"/>
            <w:vAlign w:val="bottom"/>
            <w:gridSpan w:val="7"/>
          </w:tcPr>
          <w:p>
            <w:pPr>
              <w:spacing w:after="0"/>
              <w:rPr>
                <w:sz w:val="16"/>
                <w:szCs w:val="16"/>
                <w:color w:val="auto"/>
              </w:rPr>
            </w:pPr>
          </w:p>
        </w:tc>
        <w:tc>
          <w:tcPr>
            <w:tcW w:w="3620" w:type="dxa"/>
            <w:vAlign w:val="bottom"/>
          </w:tcPr>
          <w:p>
            <w:pPr>
              <w:jc w:val="right"/>
              <w:spacing w:after="0" w:line="194" w:lineRule="exact"/>
              <w:rPr>
                <w:rFonts w:ascii="Arial" w:cs="Arial" w:eastAsia="Arial" w:hAnsi="Arial"/>
                <w:sz w:val="17"/>
                <w:szCs w:val="17"/>
                <w:color w:val="0000FF"/>
              </w:rPr>
            </w:pPr>
            <w:hyperlink w:anchor="page5">
              <w:r>
                <w:rPr>
                  <w:rFonts w:ascii="Arial" w:cs="Arial" w:eastAsia="Arial" w:hAnsi="Arial"/>
                  <w:sz w:val="17"/>
                  <w:szCs w:val="17"/>
                  <w:color w:val="0000FF"/>
                </w:rPr>
                <w:t>1</w:t>
              </w:r>
            </w:hyperlink>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20" w:type="dxa"/>
            <w:vAlign w:val="bottom"/>
            <w:gridSpan w:val="16"/>
          </w:tcPr>
          <w:p>
            <w:pPr>
              <w:spacing w:after="0" w:line="194" w:lineRule="exact"/>
              <w:rPr>
                <w:rFonts w:ascii="Arial" w:cs="Arial" w:eastAsia="Arial" w:hAnsi="Arial"/>
                <w:sz w:val="17"/>
                <w:szCs w:val="17"/>
                <w:color w:val="0000FF"/>
              </w:rPr>
            </w:pPr>
            <w:hyperlink w:anchor="page5">
              <w:r>
                <w:rPr>
                  <w:rFonts w:ascii="Arial" w:cs="Arial" w:eastAsia="Arial" w:hAnsi="Arial"/>
                  <w:sz w:val="17"/>
                  <w:szCs w:val="17"/>
                  <w:color w:val="0000FF"/>
                </w:rPr>
                <w:t>Condensed Consolidated Statements of Operations and Comprehensive Loss</w:t>
              </w:r>
            </w:hyperlink>
          </w:p>
        </w:tc>
        <w:tc>
          <w:tcPr>
            <w:tcW w:w="3620" w:type="dxa"/>
            <w:vAlign w:val="bottom"/>
          </w:tcPr>
          <w:p>
            <w:pPr>
              <w:jc w:val="right"/>
              <w:spacing w:after="0" w:line="194" w:lineRule="exact"/>
              <w:rPr>
                <w:rFonts w:ascii="Arial" w:cs="Arial" w:eastAsia="Arial" w:hAnsi="Arial"/>
                <w:sz w:val="17"/>
                <w:szCs w:val="17"/>
                <w:color w:val="0000FF"/>
              </w:rPr>
            </w:pPr>
            <w:hyperlink w:anchor="page5">
              <w:r>
                <w:rPr>
                  <w:rFonts w:ascii="Arial" w:cs="Arial" w:eastAsia="Arial" w:hAnsi="Arial"/>
                  <w:sz w:val="17"/>
                  <w:szCs w:val="17"/>
                  <w:color w:val="0000FF"/>
                </w:rPr>
                <w:t>2</w:t>
              </w:r>
            </w:hyperlink>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900" w:type="dxa"/>
            <w:vAlign w:val="bottom"/>
            <w:gridSpan w:val="14"/>
          </w:tcPr>
          <w:p>
            <w:pPr>
              <w:spacing w:after="0" w:line="194" w:lineRule="exact"/>
              <w:rPr>
                <w:rFonts w:ascii="Arial" w:cs="Arial" w:eastAsia="Arial" w:hAnsi="Arial"/>
                <w:sz w:val="17"/>
                <w:szCs w:val="17"/>
                <w:color w:val="0000FF"/>
                <w:w w:val="88"/>
              </w:rPr>
            </w:pPr>
            <w:hyperlink w:anchor="page6">
              <w:r>
                <w:rPr>
                  <w:rFonts w:ascii="Arial" w:cs="Arial" w:eastAsia="Arial" w:hAnsi="Arial"/>
                  <w:sz w:val="17"/>
                  <w:szCs w:val="17"/>
                  <w:color w:val="0000FF"/>
                  <w:w w:val="88"/>
                </w:rPr>
                <w:t>Condensed Consolidated Statements of Changes in Stockholders’ Equity</w:t>
              </w:r>
            </w:hyperlink>
          </w:p>
        </w:tc>
        <w:tc>
          <w:tcPr>
            <w:tcW w:w="1120" w:type="dxa"/>
            <w:vAlign w:val="bottom"/>
            <w:gridSpan w:val="2"/>
          </w:tcPr>
          <w:p>
            <w:pPr>
              <w:spacing w:after="0"/>
              <w:rPr>
                <w:sz w:val="16"/>
                <w:szCs w:val="16"/>
                <w:color w:val="auto"/>
              </w:rPr>
            </w:pPr>
          </w:p>
        </w:tc>
        <w:tc>
          <w:tcPr>
            <w:tcW w:w="3620" w:type="dxa"/>
            <w:vAlign w:val="bottom"/>
          </w:tcPr>
          <w:p>
            <w:pPr>
              <w:jc w:val="right"/>
              <w:spacing w:after="0" w:line="194" w:lineRule="exact"/>
              <w:rPr>
                <w:rFonts w:ascii="Arial" w:cs="Arial" w:eastAsia="Arial" w:hAnsi="Arial"/>
                <w:sz w:val="17"/>
                <w:szCs w:val="17"/>
                <w:color w:val="0000FF"/>
              </w:rPr>
            </w:pPr>
            <w:hyperlink w:anchor="page6">
              <w:r>
                <w:rPr>
                  <w:rFonts w:ascii="Arial" w:cs="Arial" w:eastAsia="Arial" w:hAnsi="Arial"/>
                  <w:sz w:val="17"/>
                  <w:szCs w:val="17"/>
                  <w:color w:val="0000FF"/>
                </w:rPr>
                <w:t>3</w:t>
              </w:r>
            </w:hyperlink>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900" w:type="dxa"/>
            <w:vAlign w:val="bottom"/>
            <w:gridSpan w:val="14"/>
          </w:tcPr>
          <w:p>
            <w:pPr>
              <w:spacing w:after="0" w:line="194" w:lineRule="exact"/>
              <w:rPr>
                <w:rFonts w:ascii="Arial" w:cs="Arial" w:eastAsia="Arial" w:hAnsi="Arial"/>
                <w:sz w:val="17"/>
                <w:szCs w:val="17"/>
                <w:color w:val="0000FF"/>
              </w:rPr>
            </w:pPr>
            <w:hyperlink w:anchor="page8">
              <w:r>
                <w:rPr>
                  <w:rFonts w:ascii="Arial" w:cs="Arial" w:eastAsia="Arial" w:hAnsi="Arial"/>
                  <w:sz w:val="17"/>
                  <w:szCs w:val="17"/>
                  <w:color w:val="0000FF"/>
                </w:rPr>
                <w:t>Condensed Consolidated Statements of Cash Flows</w:t>
              </w:r>
            </w:hyperlink>
          </w:p>
        </w:tc>
        <w:tc>
          <w:tcPr>
            <w:tcW w:w="1120" w:type="dxa"/>
            <w:vAlign w:val="bottom"/>
            <w:gridSpan w:val="2"/>
          </w:tcPr>
          <w:p>
            <w:pPr>
              <w:spacing w:after="0"/>
              <w:rPr>
                <w:sz w:val="16"/>
                <w:szCs w:val="16"/>
                <w:color w:val="auto"/>
              </w:rPr>
            </w:pPr>
          </w:p>
        </w:tc>
        <w:tc>
          <w:tcPr>
            <w:tcW w:w="3620" w:type="dxa"/>
            <w:vAlign w:val="bottom"/>
          </w:tcPr>
          <w:p>
            <w:pPr>
              <w:jc w:val="right"/>
              <w:spacing w:after="0" w:line="194" w:lineRule="exact"/>
              <w:rPr>
                <w:rFonts w:ascii="Arial" w:cs="Arial" w:eastAsia="Arial" w:hAnsi="Arial"/>
                <w:sz w:val="17"/>
                <w:szCs w:val="17"/>
                <w:color w:val="0000FF"/>
              </w:rPr>
            </w:pPr>
            <w:hyperlink w:anchor="page8">
              <w:r>
                <w:rPr>
                  <w:rFonts w:ascii="Arial" w:cs="Arial" w:eastAsia="Arial" w:hAnsi="Arial"/>
                  <w:sz w:val="17"/>
                  <w:szCs w:val="17"/>
                  <w:color w:val="0000FF"/>
                </w:rPr>
                <w:t>5</w:t>
              </w:r>
            </w:hyperlink>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20" w:type="dxa"/>
            <w:vAlign w:val="bottom"/>
            <w:gridSpan w:val="16"/>
          </w:tcPr>
          <w:p>
            <w:pPr>
              <w:spacing w:after="0" w:line="194" w:lineRule="exact"/>
              <w:rPr>
                <w:rFonts w:ascii="Arial" w:cs="Arial" w:eastAsia="Arial" w:hAnsi="Arial"/>
                <w:sz w:val="17"/>
                <w:szCs w:val="17"/>
                <w:color w:val="0000FF"/>
              </w:rPr>
            </w:pPr>
            <w:hyperlink w:anchor="page9">
              <w:r>
                <w:rPr>
                  <w:rFonts w:ascii="Arial" w:cs="Arial" w:eastAsia="Arial" w:hAnsi="Arial"/>
                  <w:sz w:val="17"/>
                  <w:szCs w:val="17"/>
                  <w:color w:val="0000FF"/>
                </w:rPr>
                <w:t>Notes to Unaudited Condensed Consolidated Financial Statements</w:t>
              </w:r>
            </w:hyperlink>
          </w:p>
        </w:tc>
        <w:tc>
          <w:tcPr>
            <w:tcW w:w="3620" w:type="dxa"/>
            <w:vAlign w:val="bottom"/>
          </w:tcPr>
          <w:p>
            <w:pPr>
              <w:jc w:val="right"/>
              <w:spacing w:after="0" w:line="194" w:lineRule="exact"/>
              <w:rPr>
                <w:rFonts w:ascii="Arial" w:cs="Arial" w:eastAsia="Arial" w:hAnsi="Arial"/>
                <w:sz w:val="17"/>
                <w:szCs w:val="17"/>
                <w:color w:val="0000FF"/>
              </w:rPr>
            </w:pPr>
            <w:hyperlink w:anchor="page9">
              <w:r>
                <w:rPr>
                  <w:rFonts w:ascii="Arial" w:cs="Arial" w:eastAsia="Arial" w:hAnsi="Arial"/>
                  <w:sz w:val="17"/>
                  <w:szCs w:val="17"/>
                  <w:color w:val="0000FF"/>
                </w:rPr>
                <w:t>6</w:t>
              </w:r>
            </w:hyperlink>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900" w:type="dxa"/>
            <w:vAlign w:val="bottom"/>
            <w:tcBorders>
              <w:right w:val="single" w:sz="8" w:color="0000FF"/>
            </w:tcBorders>
            <w:gridSpan w:val="4"/>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line="194" w:lineRule="exact"/>
              <w:rPr>
                <w:rFonts w:ascii="Arial" w:cs="Arial" w:eastAsia="Arial" w:hAnsi="Arial"/>
                <w:sz w:val="17"/>
                <w:szCs w:val="17"/>
                <w:color w:val="0000FF"/>
                <w:w w:val="84"/>
              </w:rPr>
            </w:pPr>
            <w:hyperlink w:anchor="page23">
              <w:r>
                <w:rPr>
                  <w:rFonts w:ascii="Arial" w:cs="Arial" w:eastAsia="Arial" w:hAnsi="Arial"/>
                  <w:sz w:val="17"/>
                  <w:szCs w:val="17"/>
                  <w:color w:val="0000FF"/>
                  <w:w w:val="84"/>
                </w:rPr>
                <w:t>Item 2.</w:t>
              </w:r>
            </w:hyperlink>
          </w:p>
        </w:tc>
        <w:tc>
          <w:tcPr>
            <w:tcW w:w="600" w:type="dxa"/>
            <w:vAlign w:val="bottom"/>
            <w:gridSpan w:val="2"/>
          </w:tcPr>
          <w:p>
            <w:pPr>
              <w:spacing w:after="0"/>
              <w:rPr>
                <w:sz w:val="16"/>
                <w:szCs w:val="16"/>
                <w:color w:val="auto"/>
              </w:rPr>
            </w:pPr>
          </w:p>
        </w:tc>
        <w:tc>
          <w:tcPr>
            <w:tcW w:w="6020" w:type="dxa"/>
            <w:vAlign w:val="bottom"/>
            <w:gridSpan w:val="16"/>
          </w:tcPr>
          <w:p>
            <w:pPr>
              <w:spacing w:after="0" w:line="194" w:lineRule="exact"/>
              <w:rPr>
                <w:rFonts w:ascii="Arial" w:cs="Arial" w:eastAsia="Arial" w:hAnsi="Arial"/>
                <w:sz w:val="17"/>
                <w:szCs w:val="17"/>
                <w:color w:val="0000FF"/>
                <w:w w:val="89"/>
              </w:rPr>
            </w:pPr>
            <w:hyperlink w:anchor="page23">
              <w:r>
                <w:rPr>
                  <w:rFonts w:ascii="Arial" w:cs="Arial" w:eastAsia="Arial" w:hAnsi="Arial"/>
                  <w:sz w:val="17"/>
                  <w:szCs w:val="17"/>
                  <w:color w:val="0000FF"/>
                  <w:w w:val="89"/>
                </w:rPr>
                <w:t>Management’s Discussion and Analysis of Financial Condition and Results of Operations</w:t>
              </w:r>
            </w:hyperlink>
          </w:p>
        </w:tc>
        <w:tc>
          <w:tcPr>
            <w:tcW w:w="3620" w:type="dxa"/>
            <w:vAlign w:val="bottom"/>
          </w:tcPr>
          <w:p>
            <w:pPr>
              <w:jc w:val="right"/>
              <w:spacing w:after="0" w:line="194" w:lineRule="exact"/>
              <w:rPr>
                <w:rFonts w:ascii="Arial" w:cs="Arial" w:eastAsia="Arial" w:hAnsi="Arial"/>
                <w:sz w:val="17"/>
                <w:szCs w:val="17"/>
                <w:color w:val="0000FF"/>
              </w:rPr>
            </w:pPr>
            <w:hyperlink w:anchor="page23">
              <w:r>
                <w:rPr>
                  <w:rFonts w:ascii="Arial" w:cs="Arial" w:eastAsia="Arial" w:hAnsi="Arial"/>
                  <w:sz w:val="17"/>
                  <w:szCs w:val="17"/>
                  <w:color w:val="0000FF"/>
                </w:rPr>
                <w:t>20</w:t>
              </w:r>
            </w:hyperlink>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900" w:type="dxa"/>
            <w:vAlign w:val="bottom"/>
            <w:tcBorders>
              <w:right w:val="single" w:sz="8" w:color="0000FF"/>
            </w:tcBorders>
            <w:gridSpan w:val="4"/>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line="194" w:lineRule="exact"/>
              <w:rPr>
                <w:rFonts w:ascii="Arial" w:cs="Arial" w:eastAsia="Arial" w:hAnsi="Arial"/>
                <w:sz w:val="17"/>
                <w:szCs w:val="17"/>
                <w:color w:val="0000FF"/>
                <w:w w:val="84"/>
              </w:rPr>
            </w:pPr>
            <w:hyperlink w:anchor="page35">
              <w:r>
                <w:rPr>
                  <w:rFonts w:ascii="Arial" w:cs="Arial" w:eastAsia="Arial" w:hAnsi="Arial"/>
                  <w:sz w:val="17"/>
                  <w:szCs w:val="17"/>
                  <w:color w:val="0000FF"/>
                  <w:w w:val="84"/>
                </w:rPr>
                <w:t>Item 3.</w:t>
              </w:r>
            </w:hyperlink>
          </w:p>
        </w:tc>
        <w:tc>
          <w:tcPr>
            <w:tcW w:w="600" w:type="dxa"/>
            <w:vAlign w:val="bottom"/>
            <w:gridSpan w:val="2"/>
          </w:tcPr>
          <w:p>
            <w:pPr>
              <w:spacing w:after="0"/>
              <w:rPr>
                <w:sz w:val="16"/>
                <w:szCs w:val="16"/>
                <w:color w:val="auto"/>
              </w:rPr>
            </w:pPr>
          </w:p>
        </w:tc>
        <w:tc>
          <w:tcPr>
            <w:tcW w:w="4060" w:type="dxa"/>
            <w:vAlign w:val="bottom"/>
            <w:gridSpan w:val="11"/>
          </w:tcPr>
          <w:p>
            <w:pPr>
              <w:spacing w:after="0" w:line="194" w:lineRule="exact"/>
              <w:rPr>
                <w:rFonts w:ascii="Arial" w:cs="Arial" w:eastAsia="Arial" w:hAnsi="Arial"/>
                <w:sz w:val="17"/>
                <w:szCs w:val="17"/>
                <w:color w:val="0000FF"/>
                <w:w w:val="90"/>
              </w:rPr>
            </w:pPr>
            <w:hyperlink w:anchor="page35">
              <w:r>
                <w:rPr>
                  <w:rFonts w:ascii="Arial" w:cs="Arial" w:eastAsia="Arial" w:hAnsi="Arial"/>
                  <w:sz w:val="17"/>
                  <w:szCs w:val="17"/>
                  <w:color w:val="0000FF"/>
                  <w:w w:val="90"/>
                </w:rPr>
                <w:t>Quantitative and Qualitative Disclosures About Market Risk</w:t>
              </w:r>
            </w:hyperlink>
          </w:p>
        </w:tc>
        <w:tc>
          <w:tcPr>
            <w:tcW w:w="1960" w:type="dxa"/>
            <w:vAlign w:val="bottom"/>
            <w:gridSpan w:val="5"/>
          </w:tcPr>
          <w:p>
            <w:pPr>
              <w:spacing w:after="0"/>
              <w:rPr>
                <w:sz w:val="16"/>
                <w:szCs w:val="16"/>
                <w:color w:val="auto"/>
              </w:rPr>
            </w:pPr>
          </w:p>
        </w:tc>
        <w:tc>
          <w:tcPr>
            <w:tcW w:w="3620" w:type="dxa"/>
            <w:vAlign w:val="bottom"/>
          </w:tcPr>
          <w:p>
            <w:pPr>
              <w:jc w:val="right"/>
              <w:spacing w:after="0" w:line="194" w:lineRule="exact"/>
              <w:rPr>
                <w:rFonts w:ascii="Arial" w:cs="Arial" w:eastAsia="Arial" w:hAnsi="Arial"/>
                <w:sz w:val="17"/>
                <w:szCs w:val="17"/>
                <w:color w:val="0000FF"/>
              </w:rPr>
            </w:pPr>
            <w:hyperlink w:anchor="page35">
              <w:r>
                <w:rPr>
                  <w:rFonts w:ascii="Arial" w:cs="Arial" w:eastAsia="Arial" w:hAnsi="Arial"/>
                  <w:sz w:val="17"/>
                  <w:szCs w:val="17"/>
                  <w:color w:val="0000FF"/>
                </w:rPr>
                <w:t>31</w:t>
              </w:r>
            </w:hyperlink>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900" w:type="dxa"/>
            <w:vAlign w:val="bottom"/>
            <w:tcBorders>
              <w:right w:val="single" w:sz="8" w:color="0000FF"/>
            </w:tcBorders>
            <w:gridSpan w:val="4"/>
            <w:shd w:val="clear" w:color="auto" w:fill="0000FF"/>
          </w:tcPr>
          <w:p>
            <w:pPr>
              <w:spacing w:after="0" w:line="20" w:lineRule="exact"/>
              <w:rPr>
                <w:sz w:val="1"/>
                <w:szCs w:val="1"/>
                <w:color w:val="auto"/>
              </w:rPr>
            </w:pPr>
          </w:p>
        </w:tc>
        <w:tc>
          <w:tcPr>
            <w:tcW w:w="680" w:type="dxa"/>
            <w:vAlign w:val="bottom"/>
            <w:tcBorders>
              <w:left w:val="single" w:sz="8" w:color="0000FF"/>
            </w:tcBorders>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line="194" w:lineRule="exact"/>
              <w:rPr>
                <w:rFonts w:ascii="Arial" w:cs="Arial" w:eastAsia="Arial" w:hAnsi="Arial"/>
                <w:sz w:val="17"/>
                <w:szCs w:val="17"/>
                <w:color w:val="0000FF"/>
                <w:w w:val="84"/>
              </w:rPr>
            </w:pPr>
            <w:hyperlink w:anchor="page35">
              <w:r>
                <w:rPr>
                  <w:rFonts w:ascii="Arial" w:cs="Arial" w:eastAsia="Arial" w:hAnsi="Arial"/>
                  <w:sz w:val="17"/>
                  <w:szCs w:val="17"/>
                  <w:color w:val="0000FF"/>
                  <w:w w:val="84"/>
                </w:rPr>
                <w:t>Item 4.</w:t>
              </w:r>
            </w:hyperlink>
          </w:p>
        </w:tc>
        <w:tc>
          <w:tcPr>
            <w:tcW w:w="600" w:type="dxa"/>
            <w:vAlign w:val="bottom"/>
            <w:gridSpan w:val="2"/>
          </w:tcPr>
          <w:p>
            <w:pPr>
              <w:spacing w:after="0"/>
              <w:rPr>
                <w:sz w:val="16"/>
                <w:szCs w:val="16"/>
                <w:color w:val="auto"/>
              </w:rPr>
            </w:pPr>
          </w:p>
        </w:tc>
        <w:tc>
          <w:tcPr>
            <w:tcW w:w="4060" w:type="dxa"/>
            <w:vAlign w:val="bottom"/>
            <w:gridSpan w:val="11"/>
          </w:tcPr>
          <w:p>
            <w:pPr>
              <w:spacing w:after="0" w:line="194" w:lineRule="exact"/>
              <w:rPr>
                <w:rFonts w:ascii="Arial" w:cs="Arial" w:eastAsia="Arial" w:hAnsi="Arial"/>
                <w:sz w:val="17"/>
                <w:szCs w:val="17"/>
                <w:color w:val="0000FF"/>
              </w:rPr>
            </w:pPr>
            <w:hyperlink w:anchor="page35">
              <w:r>
                <w:rPr>
                  <w:rFonts w:ascii="Arial" w:cs="Arial" w:eastAsia="Arial" w:hAnsi="Arial"/>
                  <w:sz w:val="17"/>
                  <w:szCs w:val="17"/>
                  <w:color w:val="0000FF"/>
                </w:rPr>
                <w:t>Controls and Procedures</w:t>
              </w:r>
            </w:hyperlink>
          </w:p>
        </w:tc>
        <w:tc>
          <w:tcPr>
            <w:tcW w:w="1960" w:type="dxa"/>
            <w:vAlign w:val="bottom"/>
            <w:gridSpan w:val="5"/>
          </w:tcPr>
          <w:p>
            <w:pPr>
              <w:spacing w:after="0"/>
              <w:rPr>
                <w:sz w:val="16"/>
                <w:szCs w:val="16"/>
                <w:color w:val="auto"/>
              </w:rPr>
            </w:pPr>
          </w:p>
        </w:tc>
        <w:tc>
          <w:tcPr>
            <w:tcW w:w="3620" w:type="dxa"/>
            <w:vAlign w:val="bottom"/>
          </w:tcPr>
          <w:p>
            <w:pPr>
              <w:jc w:val="right"/>
              <w:spacing w:after="0" w:line="194" w:lineRule="exact"/>
              <w:rPr>
                <w:rFonts w:ascii="Arial" w:cs="Arial" w:eastAsia="Arial" w:hAnsi="Arial"/>
                <w:sz w:val="17"/>
                <w:szCs w:val="17"/>
                <w:color w:val="0000FF"/>
              </w:rPr>
            </w:pPr>
            <w:hyperlink w:anchor="page35">
              <w:r>
                <w:rPr>
                  <w:rFonts w:ascii="Arial" w:cs="Arial" w:eastAsia="Arial" w:hAnsi="Arial"/>
                  <w:sz w:val="17"/>
                  <w:szCs w:val="17"/>
                  <w:color w:val="0000FF"/>
                </w:rPr>
                <w:t>31</w:t>
              </w:r>
            </w:hyperlink>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600" w:type="dxa"/>
            <w:vAlign w:val="bottom"/>
            <w:gridSpan w:val="2"/>
          </w:tcPr>
          <w:p>
            <w:pPr>
              <w:spacing w:after="0" w:line="194" w:lineRule="exact"/>
              <w:rPr>
                <w:rFonts w:ascii="Arial" w:cs="Arial" w:eastAsia="Arial" w:hAnsi="Arial"/>
                <w:sz w:val="17"/>
                <w:szCs w:val="17"/>
                <w:color w:val="0000FF"/>
                <w:w w:val="87"/>
              </w:rPr>
            </w:pPr>
            <w:hyperlink w:anchor="page36">
              <w:r>
                <w:rPr>
                  <w:rFonts w:ascii="Arial" w:cs="Arial" w:eastAsia="Arial" w:hAnsi="Arial"/>
                  <w:sz w:val="17"/>
                  <w:szCs w:val="17"/>
                  <w:color w:val="0000FF"/>
                  <w:w w:val="87"/>
                </w:rPr>
                <w:t>PART II.</w:t>
              </w:r>
            </w:hyperlink>
          </w:p>
        </w:tc>
        <w:tc>
          <w:tcPr>
            <w:tcW w:w="480" w:type="dxa"/>
            <w:vAlign w:val="bottom"/>
          </w:tcPr>
          <w:p>
            <w:pPr>
              <w:spacing w:after="0"/>
              <w:rPr>
                <w:sz w:val="16"/>
                <w:szCs w:val="16"/>
                <w:color w:val="auto"/>
              </w:rPr>
            </w:pPr>
          </w:p>
        </w:tc>
        <w:tc>
          <w:tcPr>
            <w:tcW w:w="1760" w:type="dxa"/>
            <w:vAlign w:val="bottom"/>
            <w:gridSpan w:val="5"/>
          </w:tcPr>
          <w:p>
            <w:pPr>
              <w:spacing w:after="0" w:line="194" w:lineRule="exact"/>
              <w:rPr>
                <w:rFonts w:ascii="Arial" w:cs="Arial" w:eastAsia="Arial" w:hAnsi="Arial"/>
                <w:sz w:val="17"/>
                <w:szCs w:val="17"/>
                <w:color w:val="0000FF"/>
                <w:w w:val="94"/>
              </w:rPr>
            </w:pPr>
            <w:hyperlink w:anchor="page36">
              <w:r>
                <w:rPr>
                  <w:rFonts w:ascii="Arial" w:cs="Arial" w:eastAsia="Arial" w:hAnsi="Arial"/>
                  <w:sz w:val="17"/>
                  <w:szCs w:val="17"/>
                  <w:color w:val="0000FF"/>
                  <w:w w:val="94"/>
                </w:rPr>
                <w:t>OTHER INFORMATION</w:t>
              </w:r>
            </w:hyperlink>
          </w:p>
        </w:tc>
        <w:tc>
          <w:tcPr>
            <w:tcW w:w="4260" w:type="dxa"/>
            <w:vAlign w:val="bottom"/>
            <w:gridSpan w:val="11"/>
          </w:tcPr>
          <w:p>
            <w:pPr>
              <w:spacing w:after="0"/>
              <w:rPr>
                <w:sz w:val="16"/>
                <w:szCs w:val="16"/>
                <w:color w:val="auto"/>
              </w:rPr>
            </w:pPr>
          </w:p>
        </w:tc>
        <w:tc>
          <w:tcPr>
            <w:tcW w:w="3620" w:type="dxa"/>
            <w:vAlign w:val="bottom"/>
          </w:tcPr>
          <w:p>
            <w:pPr>
              <w:jc w:val="right"/>
              <w:spacing w:after="0" w:line="194" w:lineRule="exact"/>
              <w:rPr>
                <w:rFonts w:ascii="Arial" w:cs="Arial" w:eastAsia="Arial" w:hAnsi="Arial"/>
                <w:sz w:val="17"/>
                <w:szCs w:val="17"/>
                <w:color w:val="0000FF"/>
              </w:rPr>
            </w:pPr>
            <w:hyperlink w:anchor="page36">
              <w:r>
                <w:rPr>
                  <w:rFonts w:ascii="Arial" w:cs="Arial" w:eastAsia="Arial" w:hAnsi="Arial"/>
                  <w:sz w:val="17"/>
                  <w:szCs w:val="17"/>
                  <w:color w:val="0000FF"/>
                </w:rPr>
                <w:t>33</w:t>
              </w:r>
            </w:hyperlink>
          </w:p>
        </w:tc>
      </w:tr>
      <w:tr>
        <w:trPr>
          <w:trHeight w:val="20"/>
        </w:trPr>
        <w:tc>
          <w:tcPr>
            <w:tcW w:w="6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line="194" w:lineRule="exact"/>
              <w:rPr>
                <w:rFonts w:ascii="Arial" w:cs="Arial" w:eastAsia="Arial" w:hAnsi="Arial"/>
                <w:sz w:val="17"/>
                <w:szCs w:val="17"/>
                <w:color w:val="0000FF"/>
                <w:w w:val="84"/>
              </w:rPr>
            </w:pPr>
            <w:hyperlink w:anchor="page37">
              <w:r>
                <w:rPr>
                  <w:rFonts w:ascii="Arial" w:cs="Arial" w:eastAsia="Arial" w:hAnsi="Arial"/>
                  <w:sz w:val="17"/>
                  <w:szCs w:val="17"/>
                  <w:color w:val="0000FF"/>
                  <w:w w:val="84"/>
                </w:rPr>
                <w:t>Item 1.</w:t>
              </w:r>
            </w:hyperlink>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60" w:type="dxa"/>
            <w:vAlign w:val="bottom"/>
            <w:gridSpan w:val="5"/>
          </w:tcPr>
          <w:p>
            <w:pPr>
              <w:spacing w:after="0" w:line="194" w:lineRule="exact"/>
              <w:rPr>
                <w:rFonts w:ascii="Arial" w:cs="Arial" w:eastAsia="Arial" w:hAnsi="Arial"/>
                <w:sz w:val="17"/>
                <w:szCs w:val="17"/>
                <w:color w:val="0000FF"/>
              </w:rPr>
            </w:pPr>
            <w:hyperlink w:anchor="page37">
              <w:r>
                <w:rPr>
                  <w:rFonts w:ascii="Arial" w:cs="Arial" w:eastAsia="Arial" w:hAnsi="Arial"/>
                  <w:sz w:val="17"/>
                  <w:szCs w:val="17"/>
                  <w:color w:val="0000FF"/>
                </w:rPr>
                <w:t>Legal Proceedings</w:t>
              </w:r>
            </w:hyperlink>
          </w:p>
        </w:tc>
        <w:tc>
          <w:tcPr>
            <w:tcW w:w="4260" w:type="dxa"/>
            <w:vAlign w:val="bottom"/>
            <w:gridSpan w:val="11"/>
          </w:tcPr>
          <w:p>
            <w:pPr>
              <w:spacing w:after="0"/>
              <w:rPr>
                <w:sz w:val="16"/>
                <w:szCs w:val="16"/>
                <w:color w:val="auto"/>
              </w:rPr>
            </w:pPr>
          </w:p>
        </w:tc>
        <w:tc>
          <w:tcPr>
            <w:tcW w:w="3620" w:type="dxa"/>
            <w:vAlign w:val="bottom"/>
          </w:tcPr>
          <w:p>
            <w:pPr>
              <w:jc w:val="right"/>
              <w:spacing w:after="0" w:line="194" w:lineRule="exact"/>
              <w:rPr>
                <w:rFonts w:ascii="Arial" w:cs="Arial" w:eastAsia="Arial" w:hAnsi="Arial"/>
                <w:sz w:val="17"/>
                <w:szCs w:val="17"/>
                <w:color w:val="0000FF"/>
              </w:rPr>
            </w:pPr>
            <w:hyperlink w:anchor="page37">
              <w:r>
                <w:rPr>
                  <w:rFonts w:ascii="Arial" w:cs="Arial" w:eastAsia="Arial" w:hAnsi="Arial"/>
                  <w:sz w:val="17"/>
                  <w:szCs w:val="17"/>
                  <w:color w:val="0000FF"/>
                </w:rPr>
                <w:t>33</w:t>
              </w:r>
            </w:hyperlink>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gridSpan w:val="4"/>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1080" w:type="dxa"/>
            <w:vAlign w:val="bottom"/>
            <w:gridSpan w:val="3"/>
          </w:tcPr>
          <w:p>
            <w:pPr>
              <w:spacing w:after="0" w:line="194" w:lineRule="exact"/>
              <w:rPr>
                <w:rFonts w:ascii="Arial" w:cs="Arial" w:eastAsia="Arial" w:hAnsi="Arial"/>
                <w:sz w:val="17"/>
                <w:szCs w:val="17"/>
                <w:color w:val="0000FF"/>
              </w:rPr>
            </w:pPr>
            <w:hyperlink w:anchor="page37">
              <w:r>
                <w:rPr>
                  <w:rFonts w:ascii="Arial" w:cs="Arial" w:eastAsia="Arial" w:hAnsi="Arial"/>
                  <w:sz w:val="17"/>
                  <w:szCs w:val="17"/>
                  <w:color w:val="0000FF"/>
                </w:rPr>
                <w:t>Item 1A.</w:t>
              </w:r>
            </w:hyperlink>
          </w:p>
        </w:tc>
        <w:tc>
          <w:tcPr>
            <w:tcW w:w="6020" w:type="dxa"/>
            <w:vAlign w:val="bottom"/>
            <w:gridSpan w:val="16"/>
          </w:tcPr>
          <w:p>
            <w:pPr>
              <w:spacing w:after="0" w:line="194" w:lineRule="exact"/>
              <w:rPr>
                <w:rFonts w:ascii="Arial" w:cs="Arial" w:eastAsia="Arial" w:hAnsi="Arial"/>
                <w:sz w:val="17"/>
                <w:szCs w:val="17"/>
                <w:color w:val="0000FF"/>
              </w:rPr>
            </w:pPr>
            <w:hyperlink w:anchor="page37">
              <w:r>
                <w:rPr>
                  <w:rFonts w:ascii="Arial" w:cs="Arial" w:eastAsia="Arial" w:hAnsi="Arial"/>
                  <w:sz w:val="17"/>
                  <w:szCs w:val="17"/>
                  <w:color w:val="0000FF"/>
                </w:rPr>
                <w:t>Risk Factors</w:t>
              </w:r>
            </w:hyperlink>
          </w:p>
        </w:tc>
        <w:tc>
          <w:tcPr>
            <w:tcW w:w="3620" w:type="dxa"/>
            <w:vAlign w:val="bottom"/>
          </w:tcPr>
          <w:p>
            <w:pPr>
              <w:jc w:val="right"/>
              <w:spacing w:after="0" w:line="194" w:lineRule="exact"/>
              <w:rPr>
                <w:rFonts w:ascii="Arial" w:cs="Arial" w:eastAsia="Arial" w:hAnsi="Arial"/>
                <w:sz w:val="17"/>
                <w:szCs w:val="17"/>
                <w:color w:val="0000FF"/>
              </w:rPr>
            </w:pPr>
            <w:hyperlink w:anchor="page37">
              <w:r>
                <w:rPr>
                  <w:rFonts w:ascii="Arial" w:cs="Arial" w:eastAsia="Arial" w:hAnsi="Arial"/>
                  <w:sz w:val="17"/>
                  <w:szCs w:val="17"/>
                  <w:color w:val="0000FF"/>
                </w:rPr>
                <w:t>33</w:t>
              </w:r>
            </w:hyperlink>
          </w:p>
        </w:tc>
      </w:tr>
      <w:tr>
        <w:trPr>
          <w:trHeight w:val="20"/>
        </w:trPr>
        <w:tc>
          <w:tcPr>
            <w:tcW w:w="6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line="194" w:lineRule="exact"/>
              <w:rPr>
                <w:rFonts w:ascii="Arial" w:cs="Arial" w:eastAsia="Arial" w:hAnsi="Arial"/>
                <w:sz w:val="17"/>
                <w:szCs w:val="17"/>
                <w:color w:val="0000FF"/>
                <w:w w:val="84"/>
              </w:rPr>
            </w:pPr>
            <w:hyperlink w:anchor="page79">
              <w:r>
                <w:rPr>
                  <w:rFonts w:ascii="Arial" w:cs="Arial" w:eastAsia="Arial" w:hAnsi="Arial"/>
                  <w:sz w:val="17"/>
                  <w:szCs w:val="17"/>
                  <w:color w:val="0000FF"/>
                  <w:w w:val="84"/>
                </w:rPr>
                <w:t>Item 2.</w:t>
              </w:r>
            </w:hyperlink>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60" w:type="dxa"/>
            <w:vAlign w:val="bottom"/>
            <w:gridSpan w:val="11"/>
          </w:tcPr>
          <w:p>
            <w:pPr>
              <w:spacing w:after="0" w:line="194" w:lineRule="exact"/>
              <w:rPr>
                <w:rFonts w:ascii="Arial" w:cs="Arial" w:eastAsia="Arial" w:hAnsi="Arial"/>
                <w:sz w:val="17"/>
                <w:szCs w:val="17"/>
                <w:color w:val="0000FF"/>
                <w:w w:val="87"/>
              </w:rPr>
            </w:pPr>
            <w:hyperlink w:anchor="page79">
              <w:r>
                <w:rPr>
                  <w:rFonts w:ascii="Arial" w:cs="Arial" w:eastAsia="Arial" w:hAnsi="Arial"/>
                  <w:sz w:val="17"/>
                  <w:szCs w:val="17"/>
                  <w:color w:val="0000FF"/>
                  <w:w w:val="87"/>
                </w:rPr>
                <w:t>Unregistered Sales of Equity Securities and Use of Proceeds</w:t>
              </w:r>
            </w:hyperlink>
          </w:p>
        </w:tc>
        <w:tc>
          <w:tcPr>
            <w:tcW w:w="1960" w:type="dxa"/>
            <w:vAlign w:val="bottom"/>
            <w:gridSpan w:val="5"/>
          </w:tcPr>
          <w:p>
            <w:pPr>
              <w:spacing w:after="0"/>
              <w:rPr>
                <w:sz w:val="16"/>
                <w:szCs w:val="16"/>
                <w:color w:val="auto"/>
              </w:rPr>
            </w:pPr>
          </w:p>
        </w:tc>
        <w:tc>
          <w:tcPr>
            <w:tcW w:w="3620" w:type="dxa"/>
            <w:vAlign w:val="bottom"/>
          </w:tcPr>
          <w:p>
            <w:pPr>
              <w:jc w:val="right"/>
              <w:spacing w:after="0" w:line="194" w:lineRule="exact"/>
              <w:rPr>
                <w:rFonts w:ascii="Arial" w:cs="Arial" w:eastAsia="Arial" w:hAnsi="Arial"/>
                <w:sz w:val="17"/>
                <w:szCs w:val="17"/>
                <w:color w:val="0000FF"/>
              </w:rPr>
            </w:pPr>
            <w:hyperlink w:anchor="page79">
              <w:r>
                <w:rPr>
                  <w:rFonts w:ascii="Arial" w:cs="Arial" w:eastAsia="Arial" w:hAnsi="Arial"/>
                  <w:sz w:val="17"/>
                  <w:szCs w:val="17"/>
                  <w:color w:val="0000FF"/>
                </w:rPr>
                <w:t>75</w:t>
              </w:r>
            </w:hyperlink>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4"/>
            <w:shd w:val="clear" w:color="auto" w:fill="0000FF"/>
          </w:tcPr>
          <w:p>
            <w:pPr>
              <w:spacing w:after="0" w:line="20" w:lineRule="exact"/>
              <w:rPr>
                <w:sz w:val="1"/>
                <w:szCs w:val="1"/>
                <w:color w:val="auto"/>
              </w:rPr>
            </w:pPr>
          </w:p>
        </w:tc>
        <w:tc>
          <w:tcPr>
            <w:tcW w:w="1900" w:type="dxa"/>
            <w:vAlign w:val="bottom"/>
            <w:tcBorders>
              <w:right w:val="single" w:sz="8" w:color="0000FF"/>
            </w:tcBorders>
            <w:gridSpan w:val="4"/>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line="194" w:lineRule="exact"/>
              <w:rPr>
                <w:rFonts w:ascii="Arial" w:cs="Arial" w:eastAsia="Arial" w:hAnsi="Arial"/>
                <w:sz w:val="17"/>
                <w:szCs w:val="17"/>
                <w:color w:val="0000FF"/>
                <w:w w:val="84"/>
              </w:rPr>
            </w:pPr>
            <w:hyperlink w:anchor="page79">
              <w:r>
                <w:rPr>
                  <w:rFonts w:ascii="Arial" w:cs="Arial" w:eastAsia="Arial" w:hAnsi="Arial"/>
                  <w:sz w:val="17"/>
                  <w:szCs w:val="17"/>
                  <w:color w:val="0000FF"/>
                  <w:w w:val="84"/>
                </w:rPr>
                <w:t>Item 3.</w:t>
              </w:r>
            </w:hyperlink>
          </w:p>
        </w:tc>
        <w:tc>
          <w:tcPr>
            <w:tcW w:w="600" w:type="dxa"/>
            <w:vAlign w:val="bottom"/>
            <w:gridSpan w:val="2"/>
          </w:tcPr>
          <w:p>
            <w:pPr>
              <w:spacing w:after="0"/>
              <w:rPr>
                <w:sz w:val="16"/>
                <w:szCs w:val="16"/>
                <w:color w:val="auto"/>
              </w:rPr>
            </w:pPr>
          </w:p>
        </w:tc>
        <w:tc>
          <w:tcPr>
            <w:tcW w:w="4060" w:type="dxa"/>
            <w:vAlign w:val="bottom"/>
            <w:gridSpan w:val="11"/>
          </w:tcPr>
          <w:p>
            <w:pPr>
              <w:spacing w:after="0" w:line="194" w:lineRule="exact"/>
              <w:rPr>
                <w:rFonts w:ascii="Arial" w:cs="Arial" w:eastAsia="Arial" w:hAnsi="Arial"/>
                <w:sz w:val="17"/>
                <w:szCs w:val="17"/>
                <w:color w:val="0000FF"/>
              </w:rPr>
            </w:pPr>
            <w:hyperlink w:anchor="page79">
              <w:r>
                <w:rPr>
                  <w:rFonts w:ascii="Arial" w:cs="Arial" w:eastAsia="Arial" w:hAnsi="Arial"/>
                  <w:sz w:val="17"/>
                  <w:szCs w:val="17"/>
                  <w:color w:val="0000FF"/>
                </w:rPr>
                <w:t>Defaults Upon Senior Securities</w:t>
              </w:r>
            </w:hyperlink>
          </w:p>
        </w:tc>
        <w:tc>
          <w:tcPr>
            <w:tcW w:w="1960" w:type="dxa"/>
            <w:vAlign w:val="bottom"/>
            <w:gridSpan w:val="5"/>
          </w:tcPr>
          <w:p>
            <w:pPr>
              <w:spacing w:after="0"/>
              <w:rPr>
                <w:sz w:val="16"/>
                <w:szCs w:val="16"/>
                <w:color w:val="auto"/>
              </w:rPr>
            </w:pPr>
          </w:p>
        </w:tc>
        <w:tc>
          <w:tcPr>
            <w:tcW w:w="3620" w:type="dxa"/>
            <w:vAlign w:val="bottom"/>
          </w:tcPr>
          <w:p>
            <w:pPr>
              <w:jc w:val="right"/>
              <w:spacing w:after="0" w:line="194" w:lineRule="exact"/>
              <w:rPr>
                <w:rFonts w:ascii="Arial" w:cs="Arial" w:eastAsia="Arial" w:hAnsi="Arial"/>
                <w:sz w:val="17"/>
                <w:szCs w:val="17"/>
                <w:color w:val="0000FF"/>
              </w:rPr>
            </w:pPr>
            <w:hyperlink w:anchor="page79">
              <w:r>
                <w:rPr>
                  <w:rFonts w:ascii="Arial" w:cs="Arial" w:eastAsia="Arial" w:hAnsi="Arial"/>
                  <w:sz w:val="17"/>
                  <w:szCs w:val="17"/>
                  <w:color w:val="0000FF"/>
                </w:rPr>
                <w:t>75</w:t>
              </w:r>
            </w:hyperlink>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4"/>
            <w:shd w:val="clear" w:color="auto" w:fill="0000FF"/>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line="194" w:lineRule="exact"/>
              <w:rPr>
                <w:rFonts w:ascii="Arial" w:cs="Arial" w:eastAsia="Arial" w:hAnsi="Arial"/>
                <w:sz w:val="17"/>
                <w:szCs w:val="17"/>
                <w:color w:val="0000FF"/>
                <w:w w:val="84"/>
              </w:rPr>
            </w:pPr>
            <w:hyperlink w:anchor="page79">
              <w:r>
                <w:rPr>
                  <w:rFonts w:ascii="Arial" w:cs="Arial" w:eastAsia="Arial" w:hAnsi="Arial"/>
                  <w:sz w:val="17"/>
                  <w:szCs w:val="17"/>
                  <w:color w:val="0000FF"/>
                  <w:w w:val="84"/>
                </w:rPr>
                <w:t>Item 4.</w:t>
              </w:r>
            </w:hyperlink>
          </w:p>
        </w:tc>
        <w:tc>
          <w:tcPr>
            <w:tcW w:w="600" w:type="dxa"/>
            <w:vAlign w:val="bottom"/>
            <w:gridSpan w:val="2"/>
          </w:tcPr>
          <w:p>
            <w:pPr>
              <w:spacing w:after="0"/>
              <w:rPr>
                <w:sz w:val="16"/>
                <w:szCs w:val="16"/>
                <w:color w:val="auto"/>
              </w:rPr>
            </w:pPr>
          </w:p>
        </w:tc>
        <w:tc>
          <w:tcPr>
            <w:tcW w:w="2160" w:type="dxa"/>
            <w:vAlign w:val="bottom"/>
            <w:gridSpan w:val="7"/>
          </w:tcPr>
          <w:p>
            <w:pPr>
              <w:spacing w:after="0" w:line="194" w:lineRule="exact"/>
              <w:rPr>
                <w:rFonts w:ascii="Arial" w:cs="Arial" w:eastAsia="Arial" w:hAnsi="Arial"/>
                <w:sz w:val="17"/>
                <w:szCs w:val="17"/>
                <w:color w:val="0000FF"/>
              </w:rPr>
            </w:pPr>
            <w:hyperlink w:anchor="page79">
              <w:r>
                <w:rPr>
                  <w:rFonts w:ascii="Arial" w:cs="Arial" w:eastAsia="Arial" w:hAnsi="Arial"/>
                  <w:sz w:val="17"/>
                  <w:szCs w:val="17"/>
                  <w:color w:val="0000FF"/>
                </w:rPr>
                <w:t>Mine Safety Disclosures</w:t>
              </w:r>
            </w:hyperlink>
          </w:p>
        </w:tc>
        <w:tc>
          <w:tcPr>
            <w:tcW w:w="3860" w:type="dxa"/>
            <w:vAlign w:val="bottom"/>
            <w:gridSpan w:val="9"/>
          </w:tcPr>
          <w:p>
            <w:pPr>
              <w:spacing w:after="0"/>
              <w:rPr>
                <w:sz w:val="16"/>
                <w:szCs w:val="16"/>
                <w:color w:val="auto"/>
              </w:rPr>
            </w:pPr>
          </w:p>
        </w:tc>
        <w:tc>
          <w:tcPr>
            <w:tcW w:w="3620" w:type="dxa"/>
            <w:vAlign w:val="bottom"/>
          </w:tcPr>
          <w:p>
            <w:pPr>
              <w:jc w:val="right"/>
              <w:spacing w:after="0" w:line="194" w:lineRule="exact"/>
              <w:rPr>
                <w:rFonts w:ascii="Arial" w:cs="Arial" w:eastAsia="Arial" w:hAnsi="Arial"/>
                <w:sz w:val="17"/>
                <w:szCs w:val="17"/>
                <w:color w:val="0000FF"/>
              </w:rPr>
            </w:pPr>
            <w:hyperlink w:anchor="page79">
              <w:r>
                <w:rPr>
                  <w:rFonts w:ascii="Arial" w:cs="Arial" w:eastAsia="Arial" w:hAnsi="Arial"/>
                  <w:sz w:val="17"/>
                  <w:szCs w:val="17"/>
                  <w:color w:val="0000FF"/>
                </w:rPr>
                <w:t>75</w:t>
              </w:r>
            </w:hyperlink>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line="194" w:lineRule="exact"/>
              <w:rPr>
                <w:rFonts w:ascii="Arial" w:cs="Arial" w:eastAsia="Arial" w:hAnsi="Arial"/>
                <w:sz w:val="17"/>
                <w:szCs w:val="17"/>
                <w:color w:val="0000FF"/>
                <w:w w:val="84"/>
              </w:rPr>
            </w:pPr>
            <w:hyperlink w:anchor="page79">
              <w:r>
                <w:rPr>
                  <w:rFonts w:ascii="Arial" w:cs="Arial" w:eastAsia="Arial" w:hAnsi="Arial"/>
                  <w:sz w:val="17"/>
                  <w:szCs w:val="17"/>
                  <w:color w:val="0000FF"/>
                  <w:w w:val="84"/>
                </w:rPr>
                <w:t>Item 5.</w:t>
              </w:r>
            </w:hyperlink>
          </w:p>
        </w:tc>
        <w:tc>
          <w:tcPr>
            <w:tcW w:w="600" w:type="dxa"/>
            <w:vAlign w:val="bottom"/>
            <w:gridSpan w:val="2"/>
          </w:tcPr>
          <w:p>
            <w:pPr>
              <w:spacing w:after="0"/>
              <w:rPr>
                <w:sz w:val="16"/>
                <w:szCs w:val="16"/>
                <w:color w:val="auto"/>
              </w:rPr>
            </w:pPr>
          </w:p>
        </w:tc>
        <w:tc>
          <w:tcPr>
            <w:tcW w:w="1640" w:type="dxa"/>
            <w:vAlign w:val="bottom"/>
            <w:gridSpan w:val="4"/>
          </w:tcPr>
          <w:p>
            <w:pPr>
              <w:spacing w:after="0" w:line="194" w:lineRule="exact"/>
              <w:rPr>
                <w:rFonts w:ascii="Arial" w:cs="Arial" w:eastAsia="Arial" w:hAnsi="Arial"/>
                <w:sz w:val="17"/>
                <w:szCs w:val="17"/>
                <w:color w:val="0000FF"/>
              </w:rPr>
            </w:pPr>
            <w:hyperlink w:anchor="page79">
              <w:r>
                <w:rPr>
                  <w:rFonts w:ascii="Arial" w:cs="Arial" w:eastAsia="Arial" w:hAnsi="Arial"/>
                  <w:sz w:val="17"/>
                  <w:szCs w:val="17"/>
                  <w:color w:val="0000FF"/>
                </w:rPr>
                <w:t>Other Information</w:t>
              </w:r>
            </w:hyperlink>
          </w:p>
        </w:tc>
        <w:tc>
          <w:tcPr>
            <w:tcW w:w="4380" w:type="dxa"/>
            <w:vAlign w:val="bottom"/>
            <w:gridSpan w:val="12"/>
          </w:tcPr>
          <w:p>
            <w:pPr>
              <w:spacing w:after="0"/>
              <w:rPr>
                <w:sz w:val="16"/>
                <w:szCs w:val="16"/>
                <w:color w:val="auto"/>
              </w:rPr>
            </w:pPr>
          </w:p>
        </w:tc>
        <w:tc>
          <w:tcPr>
            <w:tcW w:w="3620" w:type="dxa"/>
            <w:vAlign w:val="bottom"/>
          </w:tcPr>
          <w:p>
            <w:pPr>
              <w:jc w:val="right"/>
              <w:spacing w:after="0" w:line="194" w:lineRule="exact"/>
              <w:rPr>
                <w:rFonts w:ascii="Arial" w:cs="Arial" w:eastAsia="Arial" w:hAnsi="Arial"/>
                <w:sz w:val="17"/>
                <w:szCs w:val="17"/>
                <w:color w:val="0000FF"/>
              </w:rPr>
            </w:pPr>
            <w:hyperlink w:anchor="page79">
              <w:r>
                <w:rPr>
                  <w:rFonts w:ascii="Arial" w:cs="Arial" w:eastAsia="Arial" w:hAnsi="Arial"/>
                  <w:sz w:val="17"/>
                  <w:szCs w:val="17"/>
                  <w:color w:val="0000FF"/>
                </w:rPr>
                <w:t>76</w:t>
              </w:r>
            </w:hyperlink>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840" w:type="dxa"/>
            <w:vAlign w:val="bottom"/>
            <w:gridSpan w:val="8"/>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line="194" w:lineRule="exact"/>
              <w:rPr>
                <w:rFonts w:ascii="Arial" w:cs="Arial" w:eastAsia="Arial" w:hAnsi="Arial"/>
                <w:sz w:val="17"/>
                <w:szCs w:val="17"/>
                <w:color w:val="0000FF"/>
                <w:w w:val="84"/>
              </w:rPr>
            </w:pPr>
            <w:hyperlink w:anchor="page79">
              <w:r>
                <w:rPr>
                  <w:rFonts w:ascii="Arial" w:cs="Arial" w:eastAsia="Arial" w:hAnsi="Arial"/>
                  <w:sz w:val="17"/>
                  <w:szCs w:val="17"/>
                  <w:color w:val="0000FF"/>
                  <w:w w:val="84"/>
                </w:rPr>
                <w:t>Item 6.</w:t>
              </w:r>
            </w:hyperlink>
          </w:p>
        </w:tc>
        <w:tc>
          <w:tcPr>
            <w:tcW w:w="600" w:type="dxa"/>
            <w:vAlign w:val="bottom"/>
            <w:gridSpan w:val="2"/>
          </w:tcPr>
          <w:p>
            <w:pPr>
              <w:spacing w:after="0"/>
              <w:rPr>
                <w:sz w:val="16"/>
                <w:szCs w:val="16"/>
                <w:color w:val="auto"/>
              </w:rPr>
            </w:pPr>
          </w:p>
        </w:tc>
        <w:tc>
          <w:tcPr>
            <w:tcW w:w="1220" w:type="dxa"/>
            <w:vAlign w:val="bottom"/>
            <w:gridSpan w:val="3"/>
          </w:tcPr>
          <w:p>
            <w:pPr>
              <w:spacing w:after="0" w:line="194" w:lineRule="exact"/>
              <w:rPr>
                <w:rFonts w:ascii="Arial" w:cs="Arial" w:eastAsia="Arial" w:hAnsi="Arial"/>
                <w:sz w:val="17"/>
                <w:szCs w:val="17"/>
                <w:color w:val="0000FF"/>
              </w:rPr>
            </w:pPr>
            <w:hyperlink w:anchor="page79">
              <w:r>
                <w:rPr>
                  <w:rFonts w:ascii="Arial" w:cs="Arial" w:eastAsia="Arial" w:hAnsi="Arial"/>
                  <w:sz w:val="17"/>
                  <w:szCs w:val="17"/>
                  <w:color w:val="0000FF"/>
                </w:rPr>
                <w:t>Exhibits</w:t>
              </w:r>
            </w:hyperlink>
          </w:p>
        </w:tc>
        <w:tc>
          <w:tcPr>
            <w:tcW w:w="4800" w:type="dxa"/>
            <w:vAlign w:val="bottom"/>
            <w:gridSpan w:val="13"/>
          </w:tcPr>
          <w:p>
            <w:pPr>
              <w:spacing w:after="0"/>
              <w:rPr>
                <w:sz w:val="16"/>
                <w:szCs w:val="16"/>
                <w:color w:val="auto"/>
              </w:rPr>
            </w:pPr>
          </w:p>
        </w:tc>
        <w:tc>
          <w:tcPr>
            <w:tcW w:w="3620" w:type="dxa"/>
            <w:vAlign w:val="bottom"/>
          </w:tcPr>
          <w:p>
            <w:pPr>
              <w:jc w:val="right"/>
              <w:spacing w:after="0" w:line="194" w:lineRule="exact"/>
              <w:rPr>
                <w:rFonts w:ascii="Arial" w:cs="Arial" w:eastAsia="Arial" w:hAnsi="Arial"/>
                <w:sz w:val="17"/>
                <w:szCs w:val="17"/>
                <w:color w:val="0000FF"/>
              </w:rPr>
            </w:pPr>
            <w:hyperlink w:anchor="page79">
              <w:r>
                <w:rPr>
                  <w:rFonts w:ascii="Arial" w:cs="Arial" w:eastAsia="Arial" w:hAnsi="Arial"/>
                  <w:sz w:val="17"/>
                  <w:szCs w:val="17"/>
                  <w:color w:val="0000FF"/>
                </w:rPr>
                <w:t>76</w:t>
              </w:r>
            </w:hyperlink>
          </w:p>
        </w:tc>
      </w:tr>
      <w:tr>
        <w:trPr>
          <w:trHeight w:val="194"/>
        </w:trPr>
        <w:tc>
          <w:tcPr>
            <w:tcW w:w="620" w:type="dxa"/>
            <w:vAlign w:val="bottom"/>
          </w:tcPr>
          <w:p>
            <w:pPr>
              <w:spacing w:after="0"/>
              <w:rPr>
                <w:sz w:val="16"/>
                <w:szCs w:val="16"/>
                <w:color w:val="auto"/>
              </w:rPr>
            </w:pPr>
          </w:p>
        </w:tc>
        <w:tc>
          <w:tcPr>
            <w:tcW w:w="480" w:type="dxa"/>
            <w:vAlign w:val="bottom"/>
            <w:tcBorders>
              <w:top w:val="single" w:sz="8" w:color="0000FF"/>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560" w:type="dxa"/>
            <w:vAlign w:val="bottom"/>
            <w:gridSpan w:val="6"/>
          </w:tcPr>
          <w:p>
            <w:pPr>
              <w:ind w:left="560"/>
              <w:spacing w:after="0" w:line="194" w:lineRule="exact"/>
              <w:rPr>
                <w:rFonts w:ascii="Arial" w:cs="Arial" w:eastAsia="Arial" w:hAnsi="Arial"/>
                <w:sz w:val="17"/>
                <w:szCs w:val="17"/>
                <w:color w:val="0000FF"/>
              </w:rPr>
            </w:pPr>
            <w:hyperlink w:anchor="page80">
              <w:r>
                <w:rPr>
                  <w:rFonts w:ascii="Arial" w:cs="Arial" w:eastAsia="Arial" w:hAnsi="Arial"/>
                  <w:sz w:val="17"/>
                  <w:szCs w:val="17"/>
                  <w:color w:val="0000FF"/>
                </w:rPr>
                <w:t>Signatures</w:t>
              </w:r>
            </w:hyperlink>
          </w:p>
        </w:tc>
        <w:tc>
          <w:tcPr>
            <w:tcW w:w="3620" w:type="dxa"/>
            <w:vAlign w:val="bottom"/>
          </w:tcPr>
          <w:p>
            <w:pPr>
              <w:spacing w:after="0"/>
              <w:rPr>
                <w:sz w:val="16"/>
                <w:szCs w:val="16"/>
                <w:color w:val="auto"/>
              </w:rPr>
            </w:pPr>
          </w:p>
        </w:tc>
      </w:tr>
      <w:tr>
        <w:trPr>
          <w:trHeight w:val="1952"/>
        </w:trPr>
        <w:tc>
          <w:tcPr>
            <w:tcW w:w="6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 w:name="page3"/>
    <w:bookmarkEnd w:id="2"/>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62" w:lineRule="exact"/>
        <w:rPr>
          <w:sz w:val="20"/>
          <w:szCs w:val="20"/>
          <w:color w:val="auto"/>
        </w:rPr>
      </w:pPr>
    </w:p>
    <w:p>
      <w:pPr>
        <w:ind w:firstLine="303"/>
        <w:spacing w:after="0" w:line="252" w:lineRule="auto"/>
        <w:rPr>
          <w:sz w:val="20"/>
          <w:szCs w:val="20"/>
          <w:color w:val="auto"/>
        </w:rPr>
      </w:pPr>
      <w:r>
        <w:rPr>
          <w:rFonts w:ascii="Arial" w:cs="Arial" w:eastAsia="Arial" w:hAnsi="Arial"/>
          <w:sz w:val="17"/>
          <w:szCs w:val="17"/>
          <w:color w:val="auto"/>
        </w:rPr>
        <w:t>This Quarterly Report on Form 10-Q (“Quarterly Report”) contains forward-looking statements. All statements other than statements of historical facts contained in this Quarterly Report, including statements regarding our future results of operations and financial position, business strategy, commercial activities and costs,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30" w:lineRule="exact"/>
        <w:rPr>
          <w:sz w:val="20"/>
          <w:szCs w:val="20"/>
          <w:color w:val="auto"/>
        </w:rPr>
      </w:pPr>
    </w:p>
    <w:p>
      <w:pPr>
        <w:jc w:val="both"/>
        <w:ind w:right="80" w:firstLine="303"/>
        <w:spacing w:after="0" w:line="258" w:lineRule="auto"/>
        <w:rPr>
          <w:sz w:val="20"/>
          <w:szCs w:val="20"/>
          <w:color w:val="auto"/>
        </w:rPr>
      </w:pPr>
      <w:r>
        <w:rPr>
          <w:rFonts w:ascii="Arial" w:cs="Arial" w:eastAsia="Arial" w:hAnsi="Arial"/>
          <w:sz w:val="17"/>
          <w:szCs w:val="17"/>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p>
    <w:p>
      <w:pPr>
        <w:spacing w:after="0" w:line="126" w:lineRule="exact"/>
        <w:rPr>
          <w:sz w:val="20"/>
          <w:szCs w:val="20"/>
          <w:color w:val="auto"/>
        </w:rPr>
      </w:pPr>
    </w:p>
    <w:p>
      <w:pPr>
        <w:ind w:left="600" w:right="120" w:hanging="297"/>
        <w:spacing w:after="0" w:line="270" w:lineRule="auto"/>
        <w:tabs>
          <w:tab w:leader="none" w:pos="596"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estimates of our addressable market, market growth, future revenue, key performance indicators, expenses, capital requirements and our needs for additional financing;</w:t>
      </w:r>
    </w:p>
    <w:p>
      <w:pPr>
        <w:spacing w:after="0" w:line="114" w:lineRule="exact"/>
        <w:rPr>
          <w:rFonts w:ascii="Arial" w:cs="Arial" w:eastAsia="Arial" w:hAnsi="Arial"/>
          <w:sz w:val="17"/>
          <w:szCs w:val="17"/>
          <w:color w:val="auto"/>
        </w:rPr>
      </w:pPr>
    </w:p>
    <w:p>
      <w:pPr>
        <w:ind w:left="600" w:right="320" w:hanging="297"/>
        <w:spacing w:after="0" w:line="270" w:lineRule="auto"/>
        <w:tabs>
          <w:tab w:leader="none" w:pos="596"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successfully implement our three phase commercialization plan, including our ability to expand to additional key opinion leaders during the Limited Release phase and to attract customers during the Broad Release phase;</w:t>
      </w:r>
    </w:p>
    <w:p>
      <w:pPr>
        <w:spacing w:after="0" w:line="114" w:lineRule="exact"/>
        <w:rPr>
          <w:rFonts w:ascii="Arial" w:cs="Arial" w:eastAsia="Arial" w:hAnsi="Arial"/>
          <w:sz w:val="17"/>
          <w:szCs w:val="17"/>
          <w:color w:val="auto"/>
        </w:rPr>
      </w:pPr>
    </w:p>
    <w:p>
      <w:pPr>
        <w:ind w:left="600" w:right="620" w:hanging="297"/>
        <w:spacing w:after="0" w:line="270" w:lineRule="auto"/>
        <w:tabs>
          <w:tab w:leader="none" w:pos="596"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implementation of our business model and strategic plans for our Proteograph™ Product Suite, including the expected pricing of the solution and associated consumables;</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expectations regarding the rate and degree of market acceptance of our Proteograph Product Suite;</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our Proteograph Product Suite on the field of proteomics and the size and growth of the addressable proteomics market;</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competitive companies and technologies and our industry;</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manage and grow our business and commercialize our Proteograph Product Suite;</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develop and commercialize new products;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establish and maintain intellectual property protection for our products or avoid or defend claims of infringement;</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performance of third-party manufacturers and suppliers;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potential effects of government regulation;</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hire and retain key personnel and to manage our future growth effectively;</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volatility of the trading price of our Class A common stock;</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benefits of the PrognomIQ, Inc. transaction;</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local, regional, and national and international economic conditions and events;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COVID-19 on our business; and</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expectations about market trends.</w:t>
      </w:r>
    </w:p>
    <w:p>
      <w:pPr>
        <w:spacing w:after="0" w:line="158" w:lineRule="exact"/>
        <w:rPr>
          <w:sz w:val="20"/>
          <w:szCs w:val="20"/>
          <w:color w:val="auto"/>
        </w:rPr>
      </w:pPr>
    </w:p>
    <w:p>
      <w:pPr>
        <w:ind w:right="340" w:firstLine="303"/>
        <w:spacing w:after="0" w:line="258"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908050</wp:posOffset>
            </wp:positionV>
            <wp:extent cx="716661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49"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Quarterly Report, whether as a result of any new information, future events or otherwise.</w:t>
      </w:r>
    </w:p>
    <w:p>
      <w:pPr>
        <w:spacing w:after="0" w:line="103" w:lineRule="exact"/>
        <w:rPr>
          <w:sz w:val="20"/>
          <w:szCs w:val="20"/>
          <w:color w:val="auto"/>
        </w:rPr>
      </w:pPr>
    </w:p>
    <w:p>
      <w:pPr>
        <w:ind w:right="440" w:firstLine="303"/>
        <w:spacing w:after="0" w:line="299"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890270</wp:posOffset>
            </wp:positionV>
            <wp:extent cx="716661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PART I—FINANCIAL INFORMATION</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20"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 thousands, except share and per share amounts)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ind w:left="220"/>
              <w:spacing w:after="0"/>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5"/>
                <w:szCs w:val="15"/>
                <w:color w:val="auto"/>
              </w:rPr>
            </w:pPr>
          </w:p>
        </w:tc>
        <w:tc>
          <w:tcPr>
            <w:tcW w:w="1400" w:type="dxa"/>
            <w:vAlign w:val="bottom"/>
            <w:gridSpan w:val="2"/>
          </w:tcPr>
          <w:p>
            <w:pPr>
              <w:ind w:left="1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82"/>
        </w:trPr>
        <w:tc>
          <w:tcPr>
            <w:tcW w:w="7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7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9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370,675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333,585</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940" w:type="dxa"/>
            <w:vAlign w:val="bottom"/>
          </w:tcPr>
          <w:p>
            <w:pPr>
              <w:ind w:left="220"/>
              <w:spacing w:after="0"/>
              <w:rPr>
                <w:sz w:val="20"/>
                <w:szCs w:val="20"/>
                <w:color w:val="auto"/>
              </w:rPr>
            </w:pPr>
            <w:r>
              <w:rPr>
                <w:rFonts w:ascii="Arial" w:cs="Arial" w:eastAsia="Arial" w:hAnsi="Arial"/>
                <w:sz w:val="17"/>
                <w:szCs w:val="17"/>
                <w:color w:val="auto"/>
              </w:rPr>
              <w:t>Investments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147,098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98,278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Accounts receivable, net</w:t>
            </w: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7940" w:type="dxa"/>
            <w:vAlign w:val="bottom"/>
          </w:tcPr>
          <w:p>
            <w:pPr>
              <w:ind w:left="220"/>
              <w:spacing w:after="0"/>
              <w:rPr>
                <w:sz w:val="20"/>
                <w:szCs w:val="20"/>
                <w:color w:val="auto"/>
              </w:rPr>
            </w:pPr>
            <w:r>
              <w:rPr>
                <w:rFonts w:ascii="Arial" w:cs="Arial" w:eastAsia="Arial" w:hAnsi="Arial"/>
                <w:sz w:val="17"/>
                <w:szCs w:val="17"/>
                <w:color w:val="auto"/>
              </w:rPr>
              <w:t>Related party receivables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7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receivables</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7940" w:type="dxa"/>
            <w:vAlign w:val="bottom"/>
          </w:tcPr>
          <w:p>
            <w:pPr>
              <w:ind w:left="220"/>
              <w:spacing w:after="0"/>
              <w:rPr>
                <w:sz w:val="20"/>
                <w:szCs w:val="20"/>
                <w:color w:val="auto"/>
              </w:rPr>
            </w:pPr>
            <w:r>
              <w:rPr>
                <w:rFonts w:ascii="Arial" w:cs="Arial" w:eastAsia="Arial" w:hAnsi="Arial"/>
                <w:sz w:val="17"/>
                <w:szCs w:val="17"/>
                <w:color w:val="auto"/>
              </w:rPr>
              <w:t>Inventory</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7940" w:type="dxa"/>
            <w:vAlign w:val="bottom"/>
          </w:tcPr>
          <w:p>
            <w:pPr>
              <w:ind w:left="420"/>
              <w:spacing w:after="0"/>
              <w:rPr>
                <w:sz w:val="20"/>
                <w:szCs w:val="20"/>
                <w:color w:val="auto"/>
              </w:rPr>
            </w:pPr>
            <w:r>
              <w:rPr>
                <w:rFonts w:ascii="Arial" w:cs="Arial" w:eastAsia="Arial" w:hAnsi="Arial"/>
                <w:sz w:val="17"/>
                <w:szCs w:val="17"/>
                <w:color w:val="auto"/>
              </w:rPr>
              <w:t>Total current assets</w:t>
            </w: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525,326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433,128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8,441</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94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940" w:type="dxa"/>
            <w:vAlign w:val="bottom"/>
          </w:tcPr>
          <w:p>
            <w:pPr>
              <w:ind w:left="420"/>
              <w:spacing w:after="0"/>
              <w:rPr>
                <w:sz w:val="20"/>
                <w:szCs w:val="20"/>
                <w:color w:val="auto"/>
              </w:rPr>
            </w:pPr>
            <w:r>
              <w:rPr>
                <w:rFonts w:ascii="Arial" w:cs="Arial" w:eastAsia="Arial" w:hAnsi="Arial"/>
                <w:sz w:val="17"/>
                <w:szCs w:val="17"/>
                <w:color w:val="auto"/>
              </w:rPr>
              <w:t>Total assets</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537,049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442,319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94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b w:val="1"/>
                <w:bCs w:val="1"/>
                <w:color w:val="auto"/>
              </w:rPr>
              <w:t>LIABILITIES AND STOCKHOLDERS’ EQUITY</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94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2,115</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940" w:type="dxa"/>
            <w:vAlign w:val="bottom"/>
          </w:tcPr>
          <w:p>
            <w:pPr>
              <w:ind w:left="220"/>
              <w:spacing w:after="0"/>
              <w:rPr>
                <w:sz w:val="20"/>
                <w:szCs w:val="20"/>
                <w:color w:val="auto"/>
              </w:rPr>
            </w:pPr>
            <w:r>
              <w:rPr>
                <w:rFonts w:ascii="Arial" w:cs="Arial" w:eastAsia="Arial" w:hAnsi="Arial"/>
                <w:sz w:val="17"/>
                <w:szCs w:val="17"/>
                <w:color w:val="auto"/>
              </w:rPr>
              <w:t>Accrued expenses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5,590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5,147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Accrued research and development</w:t>
            </w: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396</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940" w:type="dxa"/>
            <w:vAlign w:val="bottom"/>
          </w:tcPr>
          <w:p>
            <w:pPr>
              <w:ind w:left="220"/>
              <w:spacing w:after="0"/>
              <w:rPr>
                <w:sz w:val="20"/>
                <w:szCs w:val="20"/>
                <w:color w:val="auto"/>
              </w:rPr>
            </w:pPr>
            <w:r>
              <w:rPr>
                <w:rFonts w:ascii="Arial" w:cs="Arial" w:eastAsia="Arial" w:hAnsi="Arial"/>
                <w:sz w:val="17"/>
                <w:szCs w:val="17"/>
                <w:color w:val="auto"/>
              </w:rPr>
              <w:t>Deferred revenue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Deferred rent, current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7940" w:type="dxa"/>
            <w:vAlign w:val="bottom"/>
          </w:tcPr>
          <w:p>
            <w:pPr>
              <w:ind w:left="420"/>
              <w:spacing w:after="0"/>
              <w:rPr>
                <w:sz w:val="20"/>
                <w:szCs w:val="20"/>
                <w:color w:val="auto"/>
              </w:rPr>
            </w:pPr>
            <w:r>
              <w:rPr>
                <w:rFonts w:ascii="Arial" w:cs="Arial" w:eastAsia="Arial" w:hAnsi="Arial"/>
                <w:sz w:val="17"/>
                <w:szCs w:val="17"/>
                <w:color w:val="auto"/>
              </w:rPr>
              <w:t>Total current liabilities</w:t>
            </w: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8,355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rent, net of current portion</w:t>
            </w: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1,899</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940" w:type="dxa"/>
            <w:vAlign w:val="bottom"/>
          </w:tcPr>
          <w:p>
            <w:pPr>
              <w:ind w:left="20"/>
              <w:spacing w:after="0"/>
              <w:rPr>
                <w:sz w:val="20"/>
                <w:szCs w:val="20"/>
                <w:color w:val="auto"/>
              </w:rPr>
            </w:pPr>
            <w:r>
              <w:rPr>
                <w:rFonts w:ascii="Arial" w:cs="Arial" w:eastAsia="Arial" w:hAnsi="Arial"/>
                <w:sz w:val="17"/>
                <w:szCs w:val="17"/>
                <w:color w:val="auto"/>
              </w:rPr>
              <w:t>Other noncurrent liabilities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Total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10,710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7940" w:type="dxa"/>
            <w:vAlign w:val="bottom"/>
          </w:tcPr>
          <w:p>
            <w:pPr>
              <w:ind w:left="20"/>
              <w:spacing w:after="0"/>
              <w:rPr>
                <w:sz w:val="20"/>
                <w:szCs w:val="20"/>
                <w:color w:val="auto"/>
              </w:rPr>
            </w:pPr>
            <w:r>
              <w:rPr>
                <w:rFonts w:ascii="Arial" w:cs="Arial" w:eastAsia="Arial" w:hAnsi="Arial"/>
                <w:sz w:val="17"/>
                <w:szCs w:val="17"/>
                <w:color w:val="auto"/>
              </w:rPr>
              <w:t>Commitments (Note 8)</w:t>
            </w: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7940" w:type="dxa"/>
            <w:vAlign w:val="bottom"/>
          </w:tcPr>
          <w:p>
            <w:pPr>
              <w:ind w:left="220"/>
              <w:spacing w:after="0" w:line="164" w:lineRule="exact"/>
              <w:rPr>
                <w:sz w:val="20"/>
                <w:szCs w:val="20"/>
                <w:color w:val="auto"/>
              </w:rPr>
            </w:pPr>
            <w:r>
              <w:rPr>
                <w:rFonts w:ascii="Arial" w:cs="Arial" w:eastAsia="Arial" w:hAnsi="Arial"/>
                <w:sz w:val="17"/>
                <w:szCs w:val="17"/>
                <w:color w:val="auto"/>
                <w:w w:val="91"/>
              </w:rPr>
              <w:t>Preferred stock, $0.00001 par value; 5,000,000 shares authorized as of June 30, 2021 and December 31, 2020;</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940" w:type="dxa"/>
            <w:vAlign w:val="bottom"/>
          </w:tcPr>
          <w:p>
            <w:pPr>
              <w:ind w:left="380"/>
              <w:spacing w:after="0"/>
              <w:rPr>
                <w:sz w:val="20"/>
                <w:szCs w:val="20"/>
                <w:color w:val="auto"/>
              </w:rPr>
            </w:pPr>
            <w:r>
              <w:rPr>
                <w:rFonts w:ascii="Arial" w:cs="Arial" w:eastAsia="Arial" w:hAnsi="Arial"/>
                <w:sz w:val="17"/>
                <w:szCs w:val="17"/>
                <w:color w:val="auto"/>
              </w:rPr>
              <w:t>zero shares issued and outstanding as of June 30, 2021 and December 31, 2020</w:t>
            </w:r>
          </w:p>
        </w:tc>
        <w:tc>
          <w:tcPr>
            <w:tcW w:w="320" w:type="dxa"/>
            <w:vAlign w:val="bottom"/>
          </w:tcPr>
          <w:p>
            <w:pPr>
              <w:spacing w:after="0"/>
              <w:rPr>
                <w:sz w:val="18"/>
                <w:szCs w:val="18"/>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26"/>
        </w:trPr>
        <w:tc>
          <w:tcPr>
            <w:tcW w:w="7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7940" w:type="dxa"/>
            <w:vAlign w:val="bottom"/>
            <w:shd w:val="clear" w:color="auto" w:fill="CCEEFF"/>
          </w:tcPr>
          <w:p>
            <w:pPr>
              <w:ind w:left="220"/>
              <w:spacing w:after="0" w:line="164" w:lineRule="exact"/>
              <w:rPr>
                <w:sz w:val="20"/>
                <w:szCs w:val="20"/>
                <w:color w:val="auto"/>
              </w:rPr>
            </w:pPr>
            <w:r>
              <w:rPr>
                <w:rFonts w:ascii="Arial" w:cs="Arial" w:eastAsia="Arial" w:hAnsi="Arial"/>
                <w:sz w:val="17"/>
                <w:szCs w:val="17"/>
                <w:color w:val="auto"/>
                <w:w w:val="89"/>
              </w:rPr>
              <w:t>Class A common stock, $0.00001 par value; 94,000,000 shares authorized as of June 30, 2021 and December 31,</w:t>
            </w: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940" w:type="dxa"/>
            <w:vAlign w:val="bottom"/>
            <w:shd w:val="clear" w:color="auto" w:fill="CCEEFF"/>
          </w:tcPr>
          <w:p>
            <w:pPr>
              <w:ind w:left="380"/>
              <w:spacing w:after="0" w:line="164" w:lineRule="exact"/>
              <w:rPr>
                <w:sz w:val="20"/>
                <w:szCs w:val="20"/>
                <w:color w:val="auto"/>
              </w:rPr>
            </w:pPr>
            <w:r>
              <w:rPr>
                <w:rFonts w:ascii="Arial" w:cs="Arial" w:eastAsia="Arial" w:hAnsi="Arial"/>
                <w:sz w:val="17"/>
                <w:szCs w:val="17"/>
                <w:color w:val="auto"/>
                <w:w w:val="90"/>
              </w:rPr>
              <w:t>2020; 56,722,925 and 53,395,319 shares issued and outstanding as of June 30, 2021 and December 31, 2020,</w:t>
            </w:r>
          </w:p>
        </w:tc>
        <w:tc>
          <w:tcPr>
            <w:tcW w:w="3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9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respectively;</w:t>
            </w:r>
          </w:p>
        </w:tc>
        <w:tc>
          <w:tcPr>
            <w:tcW w:w="3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940" w:type="dxa"/>
            <w:vAlign w:val="bottom"/>
          </w:tcPr>
          <w:p>
            <w:pPr>
              <w:ind w:left="220"/>
              <w:spacing w:after="0" w:line="164" w:lineRule="exact"/>
              <w:rPr>
                <w:sz w:val="20"/>
                <w:szCs w:val="20"/>
                <w:color w:val="auto"/>
              </w:rPr>
            </w:pPr>
            <w:r>
              <w:rPr>
                <w:rFonts w:ascii="Arial" w:cs="Arial" w:eastAsia="Arial" w:hAnsi="Arial"/>
                <w:sz w:val="17"/>
                <w:szCs w:val="17"/>
                <w:color w:val="auto"/>
                <w:w w:val="90"/>
              </w:rPr>
              <w:t>Class B common stock, $0.00001 par value; 6,000,000 shares authorized as of June 30, 2021 and December 31,</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940" w:type="dxa"/>
            <w:vAlign w:val="bottom"/>
          </w:tcPr>
          <w:p>
            <w:pPr>
              <w:ind w:left="380"/>
              <w:spacing w:after="0" w:line="164" w:lineRule="exact"/>
              <w:rPr>
                <w:sz w:val="20"/>
                <w:szCs w:val="20"/>
                <w:color w:val="auto"/>
              </w:rPr>
            </w:pPr>
            <w:r>
              <w:rPr>
                <w:rFonts w:ascii="Arial" w:cs="Arial" w:eastAsia="Arial" w:hAnsi="Arial"/>
                <w:sz w:val="17"/>
                <w:szCs w:val="17"/>
                <w:color w:val="auto"/>
                <w:w w:val="92"/>
              </w:rPr>
              <w:t>2020; 4,700,338 and 5,865,732 shares issued and outstanding as of June 30, 2021 and December 31, 2020,</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940" w:type="dxa"/>
            <w:vAlign w:val="bottom"/>
          </w:tcPr>
          <w:p>
            <w:pPr>
              <w:ind w:left="380"/>
              <w:spacing w:after="0"/>
              <w:rPr>
                <w:sz w:val="20"/>
                <w:szCs w:val="20"/>
                <w:color w:val="auto"/>
              </w:rPr>
            </w:pPr>
            <w:r>
              <w:rPr>
                <w:rFonts w:ascii="Arial" w:cs="Arial" w:eastAsia="Arial" w:hAnsi="Arial"/>
                <w:sz w:val="17"/>
                <w:szCs w:val="17"/>
                <w:color w:val="auto"/>
              </w:rPr>
              <w:t>respectively;</w:t>
            </w:r>
          </w:p>
        </w:tc>
        <w:tc>
          <w:tcPr>
            <w:tcW w:w="320" w:type="dxa"/>
            <w:vAlign w:val="bottom"/>
          </w:tcPr>
          <w:p>
            <w:pPr>
              <w:spacing w:after="0"/>
              <w:rPr>
                <w:sz w:val="18"/>
                <w:szCs w:val="18"/>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26"/>
        </w:trPr>
        <w:tc>
          <w:tcPr>
            <w:tcW w:w="7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614,483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486,915</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940" w:type="dxa"/>
            <w:vAlign w:val="bottom"/>
          </w:tcPr>
          <w:p>
            <w:pPr>
              <w:ind w:left="220"/>
              <w:spacing w:after="0"/>
              <w:rPr>
                <w:sz w:val="20"/>
                <w:szCs w:val="20"/>
                <w:color w:val="auto"/>
              </w:rPr>
            </w:pPr>
            <w:r>
              <w:rPr>
                <w:rFonts w:ascii="Arial" w:cs="Arial" w:eastAsia="Arial" w:hAnsi="Arial"/>
                <w:sz w:val="17"/>
                <w:szCs w:val="17"/>
                <w:color w:val="auto"/>
              </w:rPr>
              <w:t>Accumulated other comprehensive income (loss)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Accumulated deficit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(88,406)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(55,361)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7940" w:type="dxa"/>
            <w:vAlign w:val="bottom"/>
          </w:tcPr>
          <w:p>
            <w:pPr>
              <w:ind w:left="420"/>
              <w:spacing w:after="0"/>
              <w:rPr>
                <w:sz w:val="20"/>
                <w:szCs w:val="20"/>
                <w:color w:val="auto"/>
              </w:rPr>
            </w:pPr>
            <w:r>
              <w:rPr>
                <w:rFonts w:ascii="Arial" w:cs="Arial" w:eastAsia="Arial" w:hAnsi="Arial"/>
                <w:sz w:val="17"/>
                <w:szCs w:val="17"/>
                <w:color w:val="auto"/>
              </w:rPr>
              <w:t>Total stockholders’ equity</w:t>
            </w: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526,044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431,609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7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Total liabilities and stockholders’ equity</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537,049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442,319</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ectPr>
          <w:pgSz w:w="11900" w:h="16838" w:orient="portrait"/>
          <w:cols w:equalWidth="0" w:num="1">
            <w:col w:w="11240"/>
          </w:cols>
          <w:pgMar w:left="320" w:top="5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180975</wp:posOffset>
            </wp:positionV>
            <wp:extent cx="716661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01" w:right="339" w:bottom="1440" w:gutter="0" w:footer="0" w:header="0"/>
          <w:type w:val="continuous"/>
        </w:sectPr>
      </w:pPr>
    </w:p>
    <w:bookmarkStart w:id="5" w:name="page6"/>
    <w:bookmarkEnd w:id="5"/>
    <w:p>
      <w:pPr>
        <w:jc w:val="center"/>
        <w:ind w:right="-79"/>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(Unaudited)</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20" w:type="dxa"/>
            <w:vAlign w:val="bottom"/>
            <w:gridSpan w:val="5"/>
          </w:tcPr>
          <w:p>
            <w:pPr>
              <w:ind w:left="360"/>
              <w:spacing w:after="0"/>
              <w:rPr>
                <w:sz w:val="20"/>
                <w:szCs w:val="20"/>
                <w:color w:val="auto"/>
              </w:rPr>
            </w:pPr>
            <w:r>
              <w:rPr>
                <w:rFonts w:ascii="Arial" w:cs="Arial" w:eastAsia="Arial" w:hAnsi="Arial"/>
                <w:sz w:val="13"/>
                <w:szCs w:val="13"/>
                <w:b w:val="1"/>
                <w:bCs w:val="1"/>
                <w:color w:val="auto"/>
              </w:rPr>
              <w:t>Three Months Ended June 30,</w:t>
            </w:r>
          </w:p>
        </w:tc>
        <w:tc>
          <w:tcPr>
            <w:tcW w:w="340" w:type="dxa"/>
            <w:vAlign w:val="bottom"/>
          </w:tcPr>
          <w:p>
            <w:pPr>
              <w:spacing w:after="0"/>
              <w:rPr>
                <w:sz w:val="15"/>
                <w:szCs w:val="15"/>
                <w:color w:val="auto"/>
              </w:rPr>
            </w:pPr>
          </w:p>
        </w:tc>
        <w:tc>
          <w:tcPr>
            <w:tcW w:w="2780" w:type="dxa"/>
            <w:vAlign w:val="bottom"/>
            <w:gridSpan w:val="4"/>
          </w:tcPr>
          <w:p>
            <w:pPr>
              <w:jc w:val="right"/>
              <w:ind w:right="697"/>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32"/>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760" w:type="dxa"/>
            <w:vAlign w:val="bottom"/>
          </w:tcPr>
          <w:p>
            <w:pPr>
              <w:ind w:left="220"/>
              <w:spacing w:after="0"/>
              <w:rPr>
                <w:sz w:val="20"/>
                <w:szCs w:val="20"/>
                <w:color w:val="auto"/>
              </w:rPr>
            </w:pPr>
            <w:r>
              <w:rPr>
                <w:rFonts w:ascii="Arial" w:cs="Arial" w:eastAsia="Arial" w:hAnsi="Arial"/>
                <w:sz w:val="17"/>
                <w:szCs w:val="17"/>
                <w:color w:val="auto"/>
              </w:rPr>
              <w:t>Product</w:t>
            </w: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837</w:t>
            </w:r>
          </w:p>
        </w:tc>
        <w:tc>
          <w:tcPr>
            <w:tcW w:w="100" w:type="dxa"/>
            <w:vAlign w:val="bottom"/>
          </w:tcPr>
          <w:p>
            <w:pPr>
              <w:spacing w:after="0"/>
              <w:rPr>
                <w:sz w:val="21"/>
                <w:szCs w:val="21"/>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837</w:t>
            </w:r>
          </w:p>
        </w:tc>
        <w:tc>
          <w:tcPr>
            <w:tcW w:w="80" w:type="dxa"/>
            <w:vAlign w:val="bottom"/>
          </w:tcPr>
          <w:p>
            <w:pPr>
              <w:spacing w:after="0"/>
              <w:rPr>
                <w:sz w:val="21"/>
                <w:szCs w:val="21"/>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Related party</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760" w:type="dxa"/>
            <w:vAlign w:val="bottom"/>
          </w:tcPr>
          <w:p>
            <w:pPr>
              <w:ind w:left="220"/>
              <w:spacing w:after="0"/>
              <w:rPr>
                <w:sz w:val="20"/>
                <w:szCs w:val="20"/>
                <w:color w:val="auto"/>
              </w:rPr>
            </w:pPr>
            <w:r>
              <w:rPr>
                <w:rFonts w:ascii="Arial" w:cs="Arial" w:eastAsia="Arial" w:hAnsi="Arial"/>
                <w:sz w:val="17"/>
                <w:szCs w:val="17"/>
                <w:color w:val="auto"/>
              </w:rPr>
              <w:t>Grant</w:t>
            </w:r>
          </w:p>
        </w:tc>
        <w:tc>
          <w:tcPr>
            <w:tcW w:w="360" w:type="dxa"/>
            <w:vAlign w:val="bottom"/>
          </w:tcPr>
          <w:p>
            <w:pPr>
              <w:spacing w:after="0"/>
              <w:rPr>
                <w:sz w:val="19"/>
                <w:szCs w:val="19"/>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179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177"/>
        </w:trPr>
        <w:tc>
          <w:tcPr>
            <w:tcW w:w="47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7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revenue</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227"/>
        </w:trPr>
        <w:tc>
          <w:tcPr>
            <w:tcW w:w="476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Product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7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Related party</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47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cost of revenue</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Gross profit</w:t>
            </w: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748</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810</w:t>
            </w:r>
          </w:p>
        </w:tc>
        <w:tc>
          <w:tcPr>
            <w:tcW w:w="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21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76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6,935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4,536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13,162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8,758</w:t>
            </w:r>
          </w:p>
        </w:tc>
        <w:tc>
          <w:tcPr>
            <w:tcW w:w="0" w:type="dxa"/>
            <w:vAlign w:val="bottom"/>
          </w:tcPr>
          <w:p>
            <w:pPr>
              <w:spacing w:after="0"/>
              <w:rPr>
                <w:sz w:val="1"/>
                <w:szCs w:val="1"/>
                <w:color w:val="auto"/>
              </w:rPr>
            </w:pPr>
          </w:p>
        </w:tc>
      </w:tr>
      <w:tr>
        <w:trPr>
          <w:trHeight w:val="252"/>
        </w:trPr>
        <w:tc>
          <w:tcPr>
            <w:tcW w:w="4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Selling, general and administrative</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10,484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20,816</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3,682</w:t>
            </w:r>
          </w:p>
        </w:tc>
        <w:tc>
          <w:tcPr>
            <w:tcW w:w="0" w:type="dxa"/>
            <w:vAlign w:val="bottom"/>
          </w:tcPr>
          <w:p>
            <w:pPr>
              <w:spacing w:after="0"/>
              <w:rPr>
                <w:sz w:val="1"/>
                <w:szCs w:val="1"/>
                <w:color w:val="auto"/>
              </w:rPr>
            </w:pPr>
          </w:p>
        </w:tc>
      </w:tr>
      <w:tr>
        <w:trPr>
          <w:trHeight w:val="245"/>
        </w:trPr>
        <w:tc>
          <w:tcPr>
            <w:tcW w:w="476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Total operating expenses</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17,419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6,438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33,978</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12,440</w:t>
            </w:r>
          </w:p>
        </w:tc>
        <w:tc>
          <w:tcPr>
            <w:tcW w:w="0" w:type="dxa"/>
            <w:vAlign w:val="bottom"/>
          </w:tcPr>
          <w:p>
            <w:pPr>
              <w:spacing w:after="0"/>
              <w:rPr>
                <w:sz w:val="1"/>
                <w:szCs w:val="1"/>
                <w:color w:val="auto"/>
              </w:rPr>
            </w:pPr>
          </w:p>
        </w:tc>
      </w:tr>
      <w:tr>
        <w:trPr>
          <w:trHeight w:val="245"/>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(16,671)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(33,168)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(12,192)</w:t>
            </w:r>
          </w:p>
        </w:tc>
        <w:tc>
          <w:tcPr>
            <w:tcW w:w="0" w:type="dxa"/>
            <w:vAlign w:val="bottom"/>
          </w:tcPr>
          <w:p>
            <w:pPr>
              <w:spacing w:after="0"/>
              <w:rPr>
                <w:sz w:val="1"/>
                <w:szCs w:val="1"/>
                <w:color w:val="auto"/>
              </w:rPr>
            </w:pPr>
          </w:p>
        </w:tc>
      </w:tr>
      <w:tr>
        <w:trPr>
          <w:trHeight w:val="227"/>
        </w:trPr>
        <w:tc>
          <w:tcPr>
            <w:tcW w:w="476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income</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0" w:type="dxa"/>
            <w:vAlign w:val="bottom"/>
          </w:tcPr>
          <w:p>
            <w:pPr>
              <w:spacing w:after="0"/>
              <w:rPr>
                <w:sz w:val="1"/>
                <w:szCs w:val="1"/>
                <w:color w:val="auto"/>
              </w:rPr>
            </w:pPr>
          </w:p>
        </w:tc>
      </w:tr>
      <w:tr>
        <w:trPr>
          <w:trHeight w:val="245"/>
        </w:trPr>
        <w:tc>
          <w:tcPr>
            <w:tcW w:w="476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Total other income (expense)</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582</w:t>
            </w:r>
          </w:p>
        </w:tc>
        <w:tc>
          <w:tcPr>
            <w:tcW w:w="0" w:type="dxa"/>
            <w:vAlign w:val="bottom"/>
          </w:tcPr>
          <w:p>
            <w:pPr>
              <w:spacing w:after="0"/>
              <w:rPr>
                <w:sz w:val="1"/>
                <w:szCs w:val="1"/>
                <w:color w:val="auto"/>
              </w:rPr>
            </w:pPr>
          </w:p>
        </w:tc>
      </w:tr>
      <w:tr>
        <w:trPr>
          <w:trHeight w:val="245"/>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(16,616)</w:t>
            </w: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(6,117)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(33,045)</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(11,610)</w:t>
            </w:r>
          </w:p>
        </w:tc>
        <w:tc>
          <w:tcPr>
            <w:tcW w:w="0" w:type="dxa"/>
            <w:vAlign w:val="bottom"/>
          </w:tcPr>
          <w:p>
            <w:pPr>
              <w:spacing w:after="0"/>
              <w:rPr>
                <w:sz w:val="1"/>
                <w:szCs w:val="1"/>
                <w:color w:val="auto"/>
              </w:rPr>
            </w:pPr>
          </w:p>
        </w:tc>
      </w:tr>
      <w:tr>
        <w:trPr>
          <w:trHeight w:val="207"/>
        </w:trPr>
        <w:tc>
          <w:tcPr>
            <w:tcW w:w="4760" w:type="dxa"/>
            <w:vAlign w:val="bottom"/>
          </w:tcPr>
          <w:p>
            <w:pPr>
              <w:ind w:left="20"/>
              <w:spacing w:after="0"/>
              <w:rPr>
                <w:sz w:val="20"/>
                <w:szCs w:val="20"/>
                <w:color w:val="auto"/>
              </w:rPr>
            </w:pPr>
            <w:r>
              <w:rPr>
                <w:rFonts w:ascii="Arial" w:cs="Arial" w:eastAsia="Arial" w:hAnsi="Arial"/>
                <w:sz w:val="17"/>
                <w:szCs w:val="17"/>
                <w:color w:val="auto"/>
              </w:rPr>
              <w:t>Other comprehensive loss: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Unrealized gain (loss) on available-for-sale securities</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45"/>
        </w:trPr>
        <w:tc>
          <w:tcPr>
            <w:tcW w:w="4760" w:type="dxa"/>
            <w:vAlign w:val="bottom"/>
          </w:tcPr>
          <w:p>
            <w:pPr>
              <w:ind w:left="20"/>
              <w:spacing w:after="0"/>
              <w:rPr>
                <w:sz w:val="20"/>
                <w:szCs w:val="20"/>
                <w:color w:val="auto"/>
              </w:rPr>
            </w:pPr>
            <w:r>
              <w:rPr>
                <w:rFonts w:ascii="Arial" w:cs="Arial" w:eastAsia="Arial" w:hAnsi="Arial"/>
                <w:sz w:val="17"/>
                <w:szCs w:val="17"/>
                <w:color w:val="auto"/>
              </w:rPr>
              <w:t>Comprehensive loss</w:t>
            </w: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(16,678)</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(6,372)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(33,133)</w:t>
            </w:r>
          </w:p>
        </w:tc>
        <w:tc>
          <w:tcPr>
            <w:tcW w:w="80" w:type="dxa"/>
            <w:vAlign w:val="bottom"/>
          </w:tcPr>
          <w:p>
            <w:pPr>
              <w:spacing w:after="0"/>
              <w:rPr>
                <w:sz w:val="21"/>
                <w:szCs w:val="21"/>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(11,332)</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6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w w:val="94"/>
              </w:rPr>
              <w:t>Net loss per share attributable to common stockholders, basic and</w:t>
            </w:r>
          </w:p>
        </w:tc>
        <w:tc>
          <w:tcPr>
            <w:tcW w:w="360" w:type="dxa"/>
            <w:vAlign w:val="bottom"/>
            <w:vMerge w:val="restart"/>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(0.27)</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(0.63)</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(0.55)</w:t>
            </w:r>
          </w:p>
        </w:tc>
        <w:tc>
          <w:tcPr>
            <w:tcW w:w="8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34"/>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diluted</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7"/>
                <w:szCs w:val="17"/>
                <w:color w:val="auto"/>
                <w:w w:val="95"/>
              </w:rPr>
              <w:t>Weighted-average common shares outstanding, basic and diluted</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60,841,657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9,718,393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60,367,433</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9,320,520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Changes in Stockholders’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3"/>
            <w:vMerge w:val="restart"/>
          </w:tcPr>
          <w:p>
            <w:pPr>
              <w:jc w:val="right"/>
              <w:ind w:right="107"/>
              <w:spacing w:after="0"/>
              <w:rPr>
                <w:sz w:val="20"/>
                <w:szCs w:val="20"/>
                <w:color w:val="auto"/>
              </w:rPr>
            </w:pPr>
            <w:r>
              <w:rPr>
                <w:rFonts w:ascii="Arial" w:cs="Arial" w:eastAsia="Arial" w:hAnsi="Arial"/>
                <w:sz w:val="13"/>
                <w:szCs w:val="13"/>
                <w:b w:val="1"/>
                <w:bCs w:val="1"/>
                <w:color w:val="auto"/>
              </w:rPr>
              <w:t>Class A and Class B</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Accumulated</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7"/>
              </w:rPr>
              <w:t>Other</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120" w:type="dxa"/>
            <w:vAlign w:val="bottom"/>
          </w:tcPr>
          <w:p>
            <w:pPr>
              <w:spacing w:after="0"/>
              <w:rPr>
                <w:sz w:val="13"/>
                <w:szCs w:val="13"/>
                <w:color w:val="auto"/>
              </w:rPr>
            </w:pPr>
          </w:p>
        </w:tc>
        <w:tc>
          <w:tcPr>
            <w:tcW w:w="1940" w:type="dxa"/>
            <w:vAlign w:val="bottom"/>
            <w:tcBorders>
              <w:bottom w:val="single" w:sz="8" w:color="auto"/>
            </w:tcBorders>
            <w:gridSpan w:val="5"/>
          </w:tcPr>
          <w:p>
            <w:pPr>
              <w:ind w:left="160"/>
              <w:spacing w:after="0" w:line="131" w:lineRule="exact"/>
              <w:rPr>
                <w:sz w:val="20"/>
                <w:szCs w:val="20"/>
                <w:color w:val="auto"/>
              </w:rPr>
            </w:pPr>
            <w:r>
              <w:rPr>
                <w:rFonts w:ascii="Arial" w:cs="Arial" w:eastAsia="Arial" w:hAnsi="Arial"/>
                <w:sz w:val="13"/>
                <w:szCs w:val="13"/>
                <w:b w:val="1"/>
                <w:bCs w:val="1"/>
                <w:color w:val="auto"/>
              </w:rPr>
              <w:t>Convertible Preferred Stock</w:t>
            </w:r>
          </w:p>
        </w:tc>
        <w:tc>
          <w:tcPr>
            <w:tcW w:w="80" w:type="dxa"/>
            <w:vAlign w:val="bottom"/>
          </w:tcPr>
          <w:p>
            <w:pPr>
              <w:spacing w:after="0"/>
              <w:rPr>
                <w:sz w:val="13"/>
                <w:szCs w:val="13"/>
                <w:color w:val="auto"/>
              </w:rPr>
            </w:pPr>
          </w:p>
        </w:tc>
        <w:tc>
          <w:tcPr>
            <w:tcW w:w="1740" w:type="dxa"/>
            <w:vAlign w:val="bottom"/>
            <w:tcBorders>
              <w:bottom w:val="single" w:sz="8" w:color="auto"/>
            </w:tcBorders>
            <w:gridSpan w:val="3"/>
          </w:tcPr>
          <w:p>
            <w:pPr>
              <w:jc w:val="right"/>
              <w:ind w:right="247"/>
              <w:spacing w:after="0" w:line="131" w:lineRule="exact"/>
              <w:rPr>
                <w:sz w:val="20"/>
                <w:szCs w:val="20"/>
                <w:color w:val="auto"/>
              </w:rPr>
            </w:pPr>
            <w:r>
              <w:rPr>
                <w:rFonts w:ascii="Arial" w:cs="Arial" w:eastAsia="Arial" w:hAnsi="Arial"/>
                <w:sz w:val="13"/>
                <w:szCs w:val="13"/>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40"/>
              <w:spacing w:after="0" w:line="131"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3"/>
                <w:szCs w:val="13"/>
                <w:color w:val="auto"/>
              </w:rPr>
            </w:pPr>
          </w:p>
        </w:tc>
        <w:tc>
          <w:tcPr>
            <w:tcW w:w="92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rPr>
              <w:t>Accumulated</w:t>
            </w:r>
          </w:p>
        </w:tc>
        <w:tc>
          <w:tcPr>
            <w:tcW w:w="1120" w:type="dxa"/>
            <w:vAlign w:val="bottom"/>
            <w:gridSpan w:val="3"/>
          </w:tcPr>
          <w:p>
            <w:pPr>
              <w:jc w:val="center"/>
              <w:ind w:right="80"/>
              <w:spacing w:after="0" w:line="131" w:lineRule="exact"/>
              <w:rPr>
                <w:sz w:val="20"/>
                <w:szCs w:val="20"/>
                <w:color w:val="auto"/>
              </w:rPr>
            </w:pPr>
            <w:r>
              <w:rPr>
                <w:rFonts w:ascii="Arial" w:cs="Arial" w:eastAsia="Arial" w:hAnsi="Arial"/>
                <w:sz w:val="13"/>
                <w:szCs w:val="13"/>
                <w:b w:val="1"/>
                <w:bCs w:val="1"/>
                <w:color w:val="auto"/>
                <w:w w:val="90"/>
              </w:rPr>
              <w:t>Comprehensive</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3"/>
                <w:szCs w:val="13"/>
                <w:b w:val="1"/>
                <w:bCs w:val="1"/>
                <w:color w:val="auto"/>
                <w:w w:val="92"/>
              </w:rPr>
              <w:t>Shares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02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3"/>
                <w:szCs w:val="13"/>
                <w:b w:val="1"/>
                <w:bCs w:val="1"/>
                <w:color w:val="auto"/>
              </w:rPr>
              <w:t>Paid in Capital</w:t>
            </w:r>
          </w:p>
        </w:tc>
        <w:tc>
          <w:tcPr>
            <w:tcW w:w="100" w:type="dxa"/>
            <w:vAlign w:val="bottom"/>
          </w:tcPr>
          <w:p>
            <w:pPr>
              <w:spacing w:after="0"/>
              <w:rPr>
                <w:sz w:val="14"/>
                <w:szCs w:val="14"/>
                <w:color w:val="auto"/>
              </w:rPr>
            </w:pPr>
          </w:p>
        </w:tc>
        <w:tc>
          <w:tcPr>
            <w:tcW w:w="920" w:type="dxa"/>
            <w:vAlign w:val="bottom"/>
            <w:gridSpan w:val="2"/>
          </w:tcPr>
          <w:p>
            <w:pPr>
              <w:ind w:left="18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Income</w:t>
            </w:r>
          </w:p>
        </w:tc>
        <w:tc>
          <w:tcPr>
            <w:tcW w:w="200" w:type="dxa"/>
            <w:vAlign w:val="bottom"/>
          </w:tcPr>
          <w:p>
            <w:pPr>
              <w:spacing w:after="0"/>
              <w:rPr>
                <w:sz w:val="14"/>
                <w:szCs w:val="14"/>
                <w:color w:val="auto"/>
              </w:rPr>
            </w:pPr>
          </w:p>
        </w:tc>
        <w:tc>
          <w:tcPr>
            <w:tcW w:w="720" w:type="dxa"/>
            <w:vAlign w:val="bottom"/>
          </w:tcPr>
          <w:p>
            <w:pPr>
              <w:jc w:val="right"/>
              <w:ind w:right="24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3"/>
        </w:trPr>
        <w:tc>
          <w:tcPr>
            <w:tcW w:w="3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 at December 31, 2020</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59,261,051</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47"/>
              <w:spacing w:after="0"/>
              <w:rPr>
                <w:sz w:val="20"/>
                <w:szCs w:val="20"/>
                <w:color w:val="auto"/>
              </w:rPr>
            </w:pPr>
            <w:r>
              <w:rPr>
                <w:rFonts w:ascii="Arial" w:cs="Arial" w:eastAsia="Arial" w:hAnsi="Arial"/>
                <w:sz w:val="15"/>
                <w:szCs w:val="15"/>
                <w:color w:val="auto"/>
                <w:w w:val="95"/>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486,915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ind w:left="300"/>
              <w:spacing w:after="0"/>
              <w:rPr>
                <w:sz w:val="20"/>
                <w:szCs w:val="20"/>
                <w:color w:val="auto"/>
              </w:rPr>
            </w:pPr>
            <w:r>
              <w:rPr>
                <w:rFonts w:ascii="Arial" w:cs="Arial" w:eastAsia="Arial" w:hAnsi="Arial"/>
                <w:sz w:val="15"/>
                <w:szCs w:val="15"/>
                <w:color w:val="auto"/>
                <w:w w:val="93"/>
              </w:rPr>
              <w:t>(55,361)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center"/>
              <w:ind w:left="566"/>
              <w:spacing w:after="0"/>
              <w:rPr>
                <w:sz w:val="20"/>
                <w:szCs w:val="20"/>
                <w:color w:val="auto"/>
              </w:rPr>
            </w:pPr>
            <w:r>
              <w:rPr>
                <w:rFonts w:ascii="Arial" w:cs="Arial" w:eastAsia="Arial" w:hAnsi="Arial"/>
                <w:sz w:val="15"/>
                <w:szCs w:val="15"/>
                <w:color w:val="auto"/>
                <w:w w:val="95"/>
              </w:rPr>
              <w:t>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431,609</w:t>
            </w:r>
          </w:p>
        </w:tc>
        <w:tc>
          <w:tcPr>
            <w:tcW w:w="0" w:type="dxa"/>
            <w:vAlign w:val="bottom"/>
          </w:tcPr>
          <w:p>
            <w:pPr>
              <w:spacing w:after="0"/>
              <w:rPr>
                <w:sz w:val="1"/>
                <w:szCs w:val="1"/>
                <w:color w:val="auto"/>
              </w:rPr>
            </w:pPr>
          </w:p>
        </w:tc>
      </w:tr>
      <w:tr>
        <w:trPr>
          <w:trHeight w:val="156"/>
        </w:trPr>
        <w:tc>
          <w:tcPr>
            <w:tcW w:w="3820" w:type="dxa"/>
            <w:vAlign w:val="bottom"/>
            <w:gridSpan w:val="2"/>
          </w:tcPr>
          <w:p>
            <w:pPr>
              <w:ind w:left="120"/>
              <w:spacing w:after="0" w:line="156" w:lineRule="exact"/>
              <w:rPr>
                <w:sz w:val="20"/>
                <w:szCs w:val="20"/>
                <w:color w:val="auto"/>
              </w:rPr>
            </w:pPr>
            <w:r>
              <w:rPr>
                <w:rFonts w:ascii="Arial" w:cs="Arial" w:eastAsia="Arial" w:hAnsi="Arial"/>
                <w:sz w:val="15"/>
                <w:szCs w:val="15"/>
                <w:color w:val="auto"/>
              </w:rPr>
              <w:t>Issuance of Class A common stock from exercise</w:t>
            </w:r>
          </w:p>
        </w:tc>
        <w:tc>
          <w:tcPr>
            <w:tcW w:w="320" w:type="dxa"/>
            <w:vAlign w:val="bottom"/>
            <w:gridSpan w:val="2"/>
            <w:vMerge w:val="restart"/>
          </w:tcPr>
          <w:p>
            <w:pPr>
              <w:ind w:left="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840" w:type="dxa"/>
            <w:vAlign w:val="bottom"/>
            <w:gridSpan w:val="2"/>
            <w:vMerge w:val="restart"/>
          </w:tcPr>
          <w:p>
            <w:pPr>
              <w:ind w:left="560"/>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ind w:right="6"/>
              <w:spacing w:after="0"/>
              <w:rPr>
                <w:sz w:val="20"/>
                <w:szCs w:val="20"/>
                <w:color w:val="auto"/>
              </w:rPr>
            </w:pPr>
            <w:r>
              <w:rPr>
                <w:rFonts w:ascii="Arial" w:cs="Arial" w:eastAsia="Arial" w:hAnsi="Arial"/>
                <w:sz w:val="15"/>
                <w:szCs w:val="15"/>
                <w:color w:val="auto"/>
              </w:rPr>
              <w:t>399,174</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171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000" w:type="dxa"/>
            <w:vAlign w:val="bottom"/>
            <w:gridSpan w:val="2"/>
            <w:vMerge w:val="restart"/>
          </w:tcPr>
          <w:p>
            <w:pPr>
              <w:jc w:val="center"/>
              <w:ind w:left="48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171</w:t>
            </w:r>
          </w:p>
        </w:tc>
        <w:tc>
          <w:tcPr>
            <w:tcW w:w="0" w:type="dxa"/>
            <w:vAlign w:val="bottom"/>
          </w:tcPr>
          <w:p>
            <w:pPr>
              <w:spacing w:after="0"/>
              <w:rPr>
                <w:sz w:val="1"/>
                <w:szCs w:val="1"/>
                <w:color w:val="auto"/>
              </w:rPr>
            </w:pPr>
          </w:p>
        </w:tc>
      </w:tr>
      <w:tr>
        <w:trPr>
          <w:trHeight w:val="194"/>
        </w:trPr>
        <w:tc>
          <w:tcPr>
            <w:tcW w:w="3820" w:type="dxa"/>
            <w:vAlign w:val="bottom"/>
            <w:gridSpan w:val="2"/>
          </w:tcPr>
          <w:p>
            <w:pPr>
              <w:ind w:left="260"/>
              <w:spacing w:after="0"/>
              <w:rPr>
                <w:sz w:val="20"/>
                <w:szCs w:val="20"/>
                <w:color w:val="auto"/>
              </w:rPr>
            </w:pPr>
            <w:r>
              <w:rPr>
                <w:rFonts w:ascii="Arial" w:cs="Arial" w:eastAsia="Arial" w:hAnsi="Arial"/>
                <w:sz w:val="15"/>
                <w:szCs w:val="15"/>
                <w:color w:val="auto"/>
              </w:rPr>
              <w:t>of options</w:t>
            </w:r>
          </w:p>
        </w:tc>
        <w:tc>
          <w:tcPr>
            <w:tcW w:w="3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Repurchase of Class A common stock</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(876)</w:t>
            </w: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center"/>
              <w:ind w:left="486"/>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3820" w:type="dxa"/>
            <w:vAlign w:val="bottom"/>
            <w:gridSpan w:val="2"/>
          </w:tcPr>
          <w:p>
            <w:pPr>
              <w:ind w:left="120"/>
              <w:spacing w:after="0" w:line="156" w:lineRule="exact"/>
              <w:rPr>
                <w:sz w:val="20"/>
                <w:szCs w:val="20"/>
                <w:color w:val="auto"/>
              </w:rPr>
            </w:pPr>
            <w:r>
              <w:rPr>
                <w:rFonts w:ascii="Arial" w:cs="Arial" w:eastAsia="Arial" w:hAnsi="Arial"/>
                <w:sz w:val="15"/>
                <w:szCs w:val="15"/>
                <w:color w:val="auto"/>
              </w:rPr>
              <w:t>Vesting of early exercised stock options and</w:t>
            </w:r>
          </w:p>
        </w:tc>
        <w:tc>
          <w:tcPr>
            <w:tcW w:w="320" w:type="dxa"/>
            <w:vAlign w:val="bottom"/>
            <w:gridSpan w:val="2"/>
            <w:vMerge w:val="restart"/>
          </w:tcPr>
          <w:p>
            <w:pPr>
              <w:ind w:left="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840" w:type="dxa"/>
            <w:vAlign w:val="bottom"/>
            <w:gridSpan w:val="2"/>
            <w:vMerge w:val="restart"/>
          </w:tcPr>
          <w:p>
            <w:pPr>
              <w:ind w:left="560"/>
              <w:spacing w:after="0"/>
              <w:rPr>
                <w:sz w:val="20"/>
                <w:szCs w:val="20"/>
                <w:color w:val="auto"/>
              </w:rPr>
            </w:pPr>
            <w:r>
              <w:rPr>
                <w:rFonts w:ascii="Arial" w:cs="Arial" w:eastAsia="Arial" w:hAnsi="Arial"/>
                <w:sz w:val="15"/>
                <w:szCs w:val="15"/>
                <w:color w:val="auto"/>
              </w:rPr>
              <w:t>—</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44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000" w:type="dxa"/>
            <w:vAlign w:val="bottom"/>
            <w:gridSpan w:val="2"/>
            <w:vMerge w:val="restart"/>
          </w:tcPr>
          <w:p>
            <w:pPr>
              <w:jc w:val="center"/>
              <w:ind w:left="48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94"/>
        </w:trPr>
        <w:tc>
          <w:tcPr>
            <w:tcW w:w="3820" w:type="dxa"/>
            <w:vAlign w:val="bottom"/>
            <w:gridSpan w:val="2"/>
          </w:tcPr>
          <w:p>
            <w:pPr>
              <w:ind w:left="260"/>
              <w:spacing w:after="0"/>
              <w:rPr>
                <w:sz w:val="20"/>
                <w:szCs w:val="20"/>
                <w:color w:val="auto"/>
              </w:rPr>
            </w:pPr>
            <w:r>
              <w:rPr>
                <w:rFonts w:ascii="Arial" w:cs="Arial" w:eastAsia="Arial" w:hAnsi="Arial"/>
                <w:sz w:val="15"/>
                <w:szCs w:val="15"/>
                <w:color w:val="auto"/>
              </w:rPr>
              <w:t>restricted common stock</w:t>
            </w:r>
          </w:p>
        </w:tc>
        <w:tc>
          <w:tcPr>
            <w:tcW w:w="3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8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5"/>
                <w:szCs w:val="15"/>
                <w:color w:val="auto"/>
              </w:rPr>
              <w:t>Issuance of Class A common stock upon follow-</w:t>
            </w: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96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1,650,000</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102,959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center"/>
              <w:ind w:left="486"/>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102,959</w:t>
            </w:r>
          </w:p>
        </w:tc>
        <w:tc>
          <w:tcPr>
            <w:tcW w:w="0" w:type="dxa"/>
            <w:vAlign w:val="bottom"/>
          </w:tcPr>
          <w:p>
            <w:pPr>
              <w:spacing w:after="0"/>
              <w:rPr>
                <w:sz w:val="1"/>
                <w:szCs w:val="1"/>
                <w:color w:val="auto"/>
              </w:rPr>
            </w:pPr>
          </w:p>
        </w:tc>
      </w:tr>
      <w:tr>
        <w:trPr>
          <w:trHeight w:val="197"/>
        </w:trPr>
        <w:tc>
          <w:tcPr>
            <w:tcW w:w="382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on offering, net of issuance costs of $7,591</w:t>
            </w:r>
          </w:p>
        </w:tc>
        <w:tc>
          <w:tcPr>
            <w:tcW w:w="3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20" w:type="dxa"/>
            <w:vAlign w:val="bottom"/>
            <w:gridSpan w:val="2"/>
          </w:tcPr>
          <w:p>
            <w:pPr>
              <w:ind w:left="120"/>
              <w:spacing w:after="0"/>
              <w:rPr>
                <w:sz w:val="20"/>
                <w:szCs w:val="20"/>
                <w:color w:val="auto"/>
              </w:rPr>
            </w:pPr>
            <w:r>
              <w:rPr>
                <w:rFonts w:ascii="Arial" w:cs="Arial" w:eastAsia="Arial" w:hAnsi="Arial"/>
                <w:sz w:val="15"/>
                <w:szCs w:val="15"/>
                <w:color w:val="auto"/>
              </w:rPr>
              <w:t>Return of profit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11,403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6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000" w:type="dxa"/>
            <w:vAlign w:val="bottom"/>
            <w:gridSpan w:val="2"/>
          </w:tcPr>
          <w:p>
            <w:pPr>
              <w:jc w:val="center"/>
              <w:ind w:left="48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11,403</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Stock-based compensation</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center"/>
              <w:ind w:left="486"/>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6,039</w:t>
            </w:r>
          </w:p>
        </w:tc>
        <w:tc>
          <w:tcPr>
            <w:tcW w:w="0" w:type="dxa"/>
            <w:vAlign w:val="bottom"/>
          </w:tcPr>
          <w:p>
            <w:pPr>
              <w:spacing w:after="0"/>
              <w:rPr>
                <w:sz w:val="1"/>
                <w:szCs w:val="1"/>
                <w:color w:val="auto"/>
              </w:rPr>
            </w:pPr>
          </w:p>
        </w:tc>
      </w:tr>
      <w:tr>
        <w:trPr>
          <w:trHeight w:val="224"/>
        </w:trPr>
        <w:tc>
          <w:tcPr>
            <w:tcW w:w="3820" w:type="dxa"/>
            <w:vAlign w:val="bottom"/>
            <w:gridSpan w:val="2"/>
          </w:tcPr>
          <w:p>
            <w:pPr>
              <w:ind w:left="120"/>
              <w:spacing w:after="0"/>
              <w:rPr>
                <w:sz w:val="20"/>
                <w:szCs w:val="20"/>
                <w:color w:val="auto"/>
              </w:rPr>
            </w:pPr>
            <w:r>
              <w:rPr>
                <w:rFonts w:ascii="Arial" w:cs="Arial" w:eastAsia="Arial" w:hAnsi="Arial"/>
                <w:sz w:val="15"/>
                <w:szCs w:val="15"/>
                <w:color w:val="auto"/>
              </w:rPr>
              <w:t>Other comprehensive income</w:t>
            </w: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8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920" w:type="dxa"/>
            <w:vAlign w:val="bottom"/>
            <w:gridSpan w:val="2"/>
          </w:tcPr>
          <w:p>
            <w:pPr>
              <w:ind w:left="6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920" w:type="dxa"/>
            <w:vAlign w:val="bottom"/>
          </w:tcPr>
          <w:p>
            <w:pPr>
              <w:jc w:val="center"/>
              <w:ind w:left="546"/>
              <w:spacing w:after="0"/>
              <w:rPr>
                <w:sz w:val="20"/>
                <w:szCs w:val="20"/>
                <w:color w:val="auto"/>
              </w:rPr>
            </w:pPr>
            <w:r>
              <w:rPr>
                <w:rFonts w:ascii="Arial" w:cs="Arial" w:eastAsia="Arial" w:hAnsi="Arial"/>
                <w:sz w:val="15"/>
                <w:szCs w:val="15"/>
                <w:color w:val="auto"/>
                <w:w w:val="97"/>
              </w:rPr>
              <w:t>(26)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27"/>
        </w:trPr>
        <w:tc>
          <w:tcPr>
            <w:tcW w:w="31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loss</w:t>
            </w:r>
          </w:p>
        </w:tc>
        <w:tc>
          <w:tcPr>
            <w:tcW w:w="7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3"/>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5"/>
                <w:szCs w:val="15"/>
                <w:color w:val="auto"/>
                <w:w w:val="93"/>
              </w:rPr>
              <w:t>(16,429)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566"/>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(16,429)</w:t>
            </w:r>
          </w:p>
        </w:tc>
        <w:tc>
          <w:tcPr>
            <w:tcW w:w="0" w:type="dxa"/>
            <w:vAlign w:val="bottom"/>
          </w:tcPr>
          <w:p>
            <w:pPr>
              <w:spacing w:after="0"/>
              <w:rPr>
                <w:sz w:val="1"/>
                <w:szCs w:val="1"/>
                <w:color w:val="auto"/>
              </w:rPr>
            </w:pPr>
          </w:p>
        </w:tc>
      </w:tr>
      <w:tr>
        <w:trPr>
          <w:trHeight w:val="213"/>
        </w:trPr>
        <w:tc>
          <w:tcPr>
            <w:tcW w:w="3820" w:type="dxa"/>
            <w:vAlign w:val="bottom"/>
            <w:gridSpan w:val="2"/>
          </w:tcPr>
          <w:p>
            <w:pPr>
              <w:ind w:left="20"/>
              <w:spacing w:after="0"/>
              <w:rPr>
                <w:sz w:val="20"/>
                <w:szCs w:val="20"/>
                <w:color w:val="auto"/>
              </w:rPr>
            </w:pPr>
            <w:r>
              <w:rPr>
                <w:rFonts w:ascii="Arial" w:cs="Arial" w:eastAsia="Arial" w:hAnsi="Arial"/>
                <w:sz w:val="15"/>
                <w:szCs w:val="15"/>
                <w:color w:val="auto"/>
              </w:rPr>
              <w:t>Balance at March 31, 2021</w:t>
            </w: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61,309,349</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607,531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ind w:left="300"/>
              <w:spacing w:after="0"/>
              <w:rPr>
                <w:sz w:val="20"/>
                <w:szCs w:val="20"/>
                <w:color w:val="auto"/>
              </w:rPr>
            </w:pPr>
            <w:r>
              <w:rPr>
                <w:rFonts w:ascii="Arial" w:cs="Arial" w:eastAsia="Arial" w:hAnsi="Arial"/>
                <w:sz w:val="15"/>
                <w:szCs w:val="15"/>
                <w:color w:val="auto"/>
                <w:w w:val="93"/>
              </w:rPr>
              <w:t>(71,790)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566"/>
              <w:spacing w:after="0"/>
              <w:rPr>
                <w:sz w:val="20"/>
                <w:szCs w:val="20"/>
                <w:color w:val="auto"/>
              </w:rPr>
            </w:pPr>
            <w:r>
              <w:rPr>
                <w:rFonts w:ascii="Arial" w:cs="Arial" w:eastAsia="Arial" w:hAnsi="Arial"/>
                <w:sz w:val="15"/>
                <w:szCs w:val="15"/>
                <w:color w:val="auto"/>
                <w:w w:val="95"/>
              </w:rPr>
              <w:t>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535,770</w:t>
            </w:r>
          </w:p>
        </w:tc>
        <w:tc>
          <w:tcPr>
            <w:tcW w:w="0" w:type="dxa"/>
            <w:vAlign w:val="bottom"/>
          </w:tcPr>
          <w:p>
            <w:pPr>
              <w:spacing w:after="0"/>
              <w:rPr>
                <w:sz w:val="1"/>
                <w:szCs w:val="1"/>
                <w:color w:val="auto"/>
              </w:rPr>
            </w:pPr>
          </w:p>
        </w:tc>
      </w:tr>
      <w:tr>
        <w:trPr>
          <w:trHeight w:val="165"/>
        </w:trPr>
        <w:tc>
          <w:tcPr>
            <w:tcW w:w="3820" w:type="dxa"/>
            <w:vAlign w:val="bottom"/>
            <w:gridSpan w:val="2"/>
            <w:shd w:val="clear" w:color="auto" w:fill="CCEEFF"/>
          </w:tcPr>
          <w:p>
            <w:pPr>
              <w:ind w:left="120"/>
              <w:spacing w:after="0" w:line="166" w:lineRule="exact"/>
              <w:rPr>
                <w:sz w:val="20"/>
                <w:szCs w:val="20"/>
                <w:color w:val="auto"/>
              </w:rPr>
            </w:pPr>
            <w:r>
              <w:rPr>
                <w:rFonts w:ascii="Arial" w:cs="Arial" w:eastAsia="Arial" w:hAnsi="Arial"/>
                <w:sz w:val="15"/>
                <w:szCs w:val="15"/>
                <w:color w:val="auto"/>
              </w:rPr>
              <w:t>Issuance of Class A common stock from exercise</w:t>
            </w: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96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132,766</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0" w:type="dxa"/>
            <w:vAlign w:val="bottom"/>
          </w:tcPr>
          <w:p>
            <w:pPr>
              <w:spacing w:after="0"/>
              <w:rPr>
                <w:sz w:val="1"/>
                <w:szCs w:val="1"/>
                <w:color w:val="auto"/>
              </w:rPr>
            </w:pPr>
          </w:p>
        </w:tc>
      </w:tr>
      <w:tr>
        <w:trPr>
          <w:trHeight w:val="197"/>
        </w:trPr>
        <w:tc>
          <w:tcPr>
            <w:tcW w:w="382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of options and release of restricted stock units</w:t>
            </w:r>
          </w:p>
        </w:tc>
        <w:tc>
          <w:tcPr>
            <w:tcW w:w="3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20" w:type="dxa"/>
            <w:vAlign w:val="bottom"/>
            <w:gridSpan w:val="2"/>
          </w:tcPr>
          <w:p>
            <w:pPr>
              <w:ind w:left="120"/>
              <w:spacing w:after="0"/>
              <w:rPr>
                <w:sz w:val="20"/>
                <w:szCs w:val="20"/>
                <w:color w:val="auto"/>
              </w:rPr>
            </w:pPr>
            <w:r>
              <w:rPr>
                <w:rFonts w:ascii="Arial" w:cs="Arial" w:eastAsia="Arial" w:hAnsi="Arial"/>
                <w:sz w:val="15"/>
                <w:szCs w:val="15"/>
                <w:color w:val="auto"/>
              </w:rPr>
              <w:t>Repurchase of Class A common stock</w:t>
            </w: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8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(18,852)</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920" w:type="dxa"/>
            <w:vAlign w:val="bottom"/>
            <w:gridSpan w:val="2"/>
          </w:tcPr>
          <w:p>
            <w:pPr>
              <w:ind w:left="6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9"/>
        </w:trPr>
        <w:tc>
          <w:tcPr>
            <w:tcW w:w="38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5"/>
                <w:szCs w:val="15"/>
                <w:color w:val="auto"/>
              </w:rPr>
              <w:t>Vesting of early exercised stock options and</w:t>
            </w: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285</w:t>
            </w:r>
          </w:p>
        </w:tc>
        <w:tc>
          <w:tcPr>
            <w:tcW w:w="0" w:type="dxa"/>
            <w:vAlign w:val="bottom"/>
          </w:tcPr>
          <w:p>
            <w:pPr>
              <w:spacing w:after="0"/>
              <w:rPr>
                <w:sz w:val="1"/>
                <w:szCs w:val="1"/>
                <w:color w:val="auto"/>
              </w:rPr>
            </w:pPr>
          </w:p>
        </w:tc>
      </w:tr>
      <w:tr>
        <w:trPr>
          <w:trHeight w:val="197"/>
        </w:trPr>
        <w:tc>
          <w:tcPr>
            <w:tcW w:w="382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restricted common stock</w:t>
            </w:r>
          </w:p>
        </w:tc>
        <w:tc>
          <w:tcPr>
            <w:tcW w:w="3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20" w:type="dxa"/>
            <w:vAlign w:val="bottom"/>
            <w:gridSpan w:val="2"/>
          </w:tcPr>
          <w:p>
            <w:pPr>
              <w:ind w:left="120"/>
              <w:spacing w:after="0"/>
              <w:rPr>
                <w:sz w:val="20"/>
                <w:szCs w:val="20"/>
                <w:color w:val="auto"/>
              </w:rPr>
            </w:pPr>
            <w:r>
              <w:rPr>
                <w:rFonts w:ascii="Arial" w:cs="Arial" w:eastAsia="Arial" w:hAnsi="Arial"/>
                <w:sz w:val="15"/>
                <w:szCs w:val="15"/>
                <w:color w:val="auto"/>
              </w:rPr>
              <w:t>Stock-based compensation</w:t>
            </w: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8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6,431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6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6,431</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Other comprehensive income</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center"/>
              <w:ind w:left="546"/>
              <w:spacing w:after="0"/>
              <w:rPr>
                <w:sz w:val="20"/>
                <w:szCs w:val="20"/>
                <w:color w:val="auto"/>
              </w:rPr>
            </w:pPr>
            <w:r>
              <w:rPr>
                <w:rFonts w:ascii="Arial" w:cs="Arial" w:eastAsia="Arial" w:hAnsi="Arial"/>
                <w:sz w:val="15"/>
                <w:szCs w:val="15"/>
                <w:color w:val="auto"/>
                <w:w w:val="97"/>
              </w:rPr>
              <w:t>(62)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224"/>
        </w:trPr>
        <w:tc>
          <w:tcPr>
            <w:tcW w:w="31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Net loss</w:t>
            </w: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3"/>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300"/>
              <w:spacing w:after="0"/>
              <w:rPr>
                <w:sz w:val="20"/>
                <w:szCs w:val="20"/>
                <w:color w:val="auto"/>
              </w:rPr>
            </w:pPr>
            <w:r>
              <w:rPr>
                <w:rFonts w:ascii="Arial" w:cs="Arial" w:eastAsia="Arial" w:hAnsi="Arial"/>
                <w:sz w:val="15"/>
                <w:szCs w:val="15"/>
                <w:color w:val="auto"/>
                <w:w w:val="93"/>
              </w:rPr>
              <w:t>(16,616)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(16,616)</w:t>
            </w:r>
          </w:p>
        </w:tc>
        <w:tc>
          <w:tcPr>
            <w:tcW w:w="0" w:type="dxa"/>
            <w:vAlign w:val="bottom"/>
          </w:tcPr>
          <w:p>
            <w:pPr>
              <w:spacing w:after="0"/>
              <w:rPr>
                <w:sz w:val="1"/>
                <w:szCs w:val="1"/>
                <w:color w:val="auto"/>
              </w:rPr>
            </w:pPr>
          </w:p>
        </w:tc>
      </w:tr>
      <w:tr>
        <w:trPr>
          <w:trHeight w:val="24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 at June 30, 2021</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61,423,263</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47"/>
              <w:spacing w:after="0"/>
              <w:rPr>
                <w:sz w:val="20"/>
                <w:szCs w:val="20"/>
                <w:color w:val="auto"/>
              </w:rPr>
            </w:pPr>
            <w:r>
              <w:rPr>
                <w:rFonts w:ascii="Arial" w:cs="Arial" w:eastAsia="Arial" w:hAnsi="Arial"/>
                <w:sz w:val="15"/>
                <w:szCs w:val="15"/>
                <w:color w:val="auto"/>
                <w:w w:val="95"/>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614,483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ind w:left="300"/>
              <w:spacing w:after="0"/>
              <w:rPr>
                <w:sz w:val="20"/>
                <w:szCs w:val="20"/>
                <w:color w:val="auto"/>
              </w:rPr>
            </w:pPr>
            <w:r>
              <w:rPr>
                <w:rFonts w:ascii="Arial" w:cs="Arial" w:eastAsia="Arial" w:hAnsi="Arial"/>
                <w:sz w:val="15"/>
                <w:szCs w:val="15"/>
                <w:color w:val="auto"/>
                <w:w w:val="93"/>
              </w:rPr>
              <w:t>(88,406)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center"/>
              <w:ind w:left="546"/>
              <w:spacing w:after="0"/>
              <w:rPr>
                <w:sz w:val="20"/>
                <w:szCs w:val="20"/>
                <w:color w:val="auto"/>
              </w:rPr>
            </w:pPr>
            <w:r>
              <w:rPr>
                <w:rFonts w:ascii="Arial" w:cs="Arial" w:eastAsia="Arial" w:hAnsi="Arial"/>
                <w:sz w:val="15"/>
                <w:szCs w:val="15"/>
                <w:color w:val="auto"/>
                <w:w w:val="97"/>
              </w:rPr>
              <w:t>(34)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526,044</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jc w:val="center"/>
        <w:ind w:right="400"/>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400"/>
        <w:spacing w:after="0"/>
        <w:rPr>
          <w:sz w:val="20"/>
          <w:szCs w:val="20"/>
          <w:color w:val="auto"/>
        </w:rPr>
      </w:pPr>
      <w:r>
        <w:rPr>
          <w:rFonts w:ascii="Arial" w:cs="Arial" w:eastAsia="Arial" w:hAnsi="Arial"/>
          <w:sz w:val="17"/>
          <w:szCs w:val="17"/>
          <w:b w:val="1"/>
          <w:bCs w:val="1"/>
          <w:color w:val="auto"/>
        </w:rPr>
        <w:t>Condensed Consolidated Statements of Changes in Stockholders’ Equity</w:t>
      </w:r>
    </w:p>
    <w:p>
      <w:pPr>
        <w:spacing w:after="0" w:line="6" w:lineRule="exact"/>
        <w:rPr>
          <w:sz w:val="20"/>
          <w:szCs w:val="20"/>
          <w:color w:val="auto"/>
        </w:rPr>
      </w:pPr>
    </w:p>
    <w:p>
      <w:pPr>
        <w:jc w:val="center"/>
        <w:ind w:right="400"/>
        <w:spacing w:after="0"/>
        <w:rPr>
          <w:sz w:val="20"/>
          <w:szCs w:val="20"/>
          <w:color w:val="auto"/>
        </w:rPr>
      </w:pPr>
      <w:r>
        <w:rPr>
          <w:rFonts w:ascii="Arial" w:cs="Arial" w:eastAsia="Arial" w:hAnsi="Arial"/>
          <w:sz w:val="17"/>
          <w:szCs w:val="17"/>
          <w:b w:val="1"/>
          <w:bCs w:val="1"/>
          <w:color w:val="auto"/>
        </w:rPr>
        <w:t>(Unaudited)</w:t>
      </w:r>
    </w:p>
    <w:p>
      <w:pPr>
        <w:spacing w:after="0" w:line="146" w:lineRule="exact"/>
        <w:rPr>
          <w:sz w:val="20"/>
          <w:szCs w:val="20"/>
          <w:color w:val="auto"/>
        </w:rPr>
      </w:pPr>
    </w:p>
    <w:p>
      <w:pPr>
        <w:jc w:val="center"/>
        <w:ind w:right="400"/>
        <w:spacing w:after="0"/>
        <w:rPr>
          <w:sz w:val="20"/>
          <w:szCs w:val="20"/>
          <w:color w:val="auto"/>
        </w:rPr>
      </w:pPr>
      <w:r>
        <w:rPr>
          <w:rFonts w:ascii="Arial" w:cs="Arial" w:eastAsia="Arial" w:hAnsi="Arial"/>
          <w:sz w:val="17"/>
          <w:szCs w:val="17"/>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Arial" w:cs="Arial" w:eastAsia="Arial" w:hAnsi="Arial"/>
                <w:sz w:val="13"/>
                <w:szCs w:val="13"/>
                <w:b w:val="1"/>
                <w:bCs w:val="1"/>
                <w:color w:val="auto"/>
              </w:rPr>
              <w:t>Class A and Class B</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b w:val="1"/>
                <w:bCs w:val="1"/>
                <w:color w:val="auto"/>
              </w:rPr>
              <w:t>Accumulated</w:t>
            </w: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60" w:type="dxa"/>
            <w:vAlign w:val="bottom"/>
          </w:tcPr>
          <w:p>
            <w:pPr>
              <w:spacing w:after="0"/>
              <w:rPr>
                <w:sz w:val="13"/>
                <w:szCs w:val="13"/>
                <w:color w:val="auto"/>
              </w:rPr>
            </w:pPr>
          </w:p>
        </w:tc>
        <w:tc>
          <w:tcPr>
            <w:tcW w:w="2380" w:type="dxa"/>
            <w:vAlign w:val="bottom"/>
            <w:tcBorders>
              <w:bottom w:val="single" w:sz="8" w:color="auto"/>
            </w:tcBorders>
            <w:gridSpan w:val="4"/>
          </w:tcPr>
          <w:p>
            <w:pPr>
              <w:jc w:val="right"/>
              <w:ind w:right="145"/>
              <w:spacing w:after="0" w:line="131" w:lineRule="exact"/>
              <w:rPr>
                <w:sz w:val="20"/>
                <w:szCs w:val="20"/>
                <w:color w:val="auto"/>
              </w:rPr>
            </w:pPr>
            <w:r>
              <w:rPr>
                <w:rFonts w:ascii="Arial" w:cs="Arial" w:eastAsia="Arial" w:hAnsi="Arial"/>
                <w:sz w:val="13"/>
                <w:szCs w:val="13"/>
                <w:b w:val="1"/>
                <w:bCs w:val="1"/>
                <w:color w:val="auto"/>
              </w:rPr>
              <w:t>Convertible Preferred Stock</w:t>
            </w:r>
          </w:p>
        </w:tc>
        <w:tc>
          <w:tcPr>
            <w:tcW w:w="80" w:type="dxa"/>
            <w:vAlign w:val="bottom"/>
          </w:tcPr>
          <w:p>
            <w:pPr>
              <w:spacing w:after="0"/>
              <w:rPr>
                <w:sz w:val="13"/>
                <w:szCs w:val="13"/>
                <w:color w:val="auto"/>
              </w:rPr>
            </w:pPr>
          </w:p>
        </w:tc>
        <w:tc>
          <w:tcPr>
            <w:tcW w:w="1820" w:type="dxa"/>
            <w:vAlign w:val="bottom"/>
            <w:tcBorders>
              <w:bottom w:val="single" w:sz="8" w:color="auto"/>
            </w:tcBorders>
            <w:gridSpan w:val="3"/>
          </w:tcPr>
          <w:p>
            <w:pPr>
              <w:jc w:val="right"/>
              <w:ind w:right="107"/>
              <w:spacing w:after="0" w:line="131" w:lineRule="exact"/>
              <w:rPr>
                <w:sz w:val="20"/>
                <w:szCs w:val="20"/>
                <w:color w:val="auto"/>
              </w:rPr>
            </w:pPr>
            <w:r>
              <w:rPr>
                <w:rFonts w:ascii="Arial" w:cs="Arial" w:eastAsia="Arial" w:hAnsi="Arial"/>
                <w:sz w:val="13"/>
                <w:szCs w:val="13"/>
                <w:b w:val="1"/>
                <w:bCs w:val="1"/>
                <w:color w:val="auto"/>
              </w:rPr>
              <w:t>Common Stock</w:t>
            </w: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rPr>
              <w:t>Additional</w:t>
            </w:r>
          </w:p>
        </w:tc>
        <w:tc>
          <w:tcPr>
            <w:tcW w:w="400" w:type="dxa"/>
            <w:vAlign w:val="bottom"/>
          </w:tcPr>
          <w:p>
            <w:pPr>
              <w:spacing w:after="0"/>
              <w:rPr>
                <w:sz w:val="13"/>
                <w:szCs w:val="13"/>
                <w:color w:val="auto"/>
              </w:rPr>
            </w:pPr>
          </w:p>
        </w:tc>
        <w:tc>
          <w:tcPr>
            <w:tcW w:w="94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rPr>
              <w:t>Accumulated</w:t>
            </w:r>
          </w:p>
        </w:tc>
        <w:tc>
          <w:tcPr>
            <w:tcW w:w="1460" w:type="dxa"/>
            <w:vAlign w:val="bottom"/>
            <w:gridSpan w:val="3"/>
          </w:tcPr>
          <w:p>
            <w:pPr>
              <w:ind w:left="60"/>
              <w:spacing w:after="0" w:line="131" w:lineRule="exact"/>
              <w:rPr>
                <w:sz w:val="20"/>
                <w:szCs w:val="20"/>
                <w:color w:val="auto"/>
              </w:rPr>
            </w:pPr>
            <w:r>
              <w:rPr>
                <w:rFonts w:ascii="Arial" w:cs="Arial" w:eastAsia="Arial" w:hAnsi="Arial"/>
                <w:sz w:val="13"/>
                <w:szCs w:val="13"/>
                <w:b w:val="1"/>
                <w:bCs w:val="1"/>
                <w:color w:val="auto"/>
              </w:rPr>
              <w:t>Other Comprehensive</w:t>
            </w: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1120" w:type="dxa"/>
            <w:vAlign w:val="bottom"/>
            <w:gridSpan w:val="2"/>
          </w:tcPr>
          <w:p>
            <w:pPr>
              <w:ind w:left="480"/>
              <w:spacing w:after="0"/>
              <w:rPr>
                <w:sz w:val="20"/>
                <w:szCs w:val="20"/>
                <w:color w:val="auto"/>
              </w:rPr>
            </w:pPr>
            <w:r>
              <w:rPr>
                <w:rFonts w:ascii="Arial" w:cs="Arial" w:eastAsia="Arial" w:hAnsi="Arial"/>
                <w:sz w:val="13"/>
                <w:szCs w:val="13"/>
                <w:b w:val="1"/>
                <w:bCs w:val="1"/>
                <w:color w:val="auto"/>
              </w:rPr>
              <w:t>Shares</w:t>
            </w:r>
          </w:p>
        </w:tc>
        <w:tc>
          <w:tcPr>
            <w:tcW w:w="48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Amount</w:t>
            </w:r>
          </w:p>
        </w:tc>
        <w:tc>
          <w:tcPr>
            <w:tcW w:w="1140" w:type="dxa"/>
            <w:vAlign w:val="bottom"/>
            <w:gridSpan w:val="2"/>
          </w:tcPr>
          <w:p>
            <w:pPr>
              <w:ind w:left="500"/>
              <w:spacing w:after="0"/>
              <w:rPr>
                <w:sz w:val="20"/>
                <w:szCs w:val="20"/>
                <w:color w:val="auto"/>
              </w:rPr>
            </w:pPr>
            <w:r>
              <w:rPr>
                <w:rFonts w:ascii="Arial" w:cs="Arial" w:eastAsia="Arial" w:hAnsi="Arial"/>
                <w:sz w:val="13"/>
                <w:szCs w:val="13"/>
                <w:b w:val="1"/>
                <w:bCs w:val="1"/>
                <w:color w:val="auto"/>
              </w:rPr>
              <w:t>Shares</w:t>
            </w:r>
          </w:p>
        </w:tc>
        <w:tc>
          <w:tcPr>
            <w:tcW w:w="1040" w:type="dxa"/>
            <w:vAlign w:val="bottom"/>
            <w:gridSpan w:val="3"/>
          </w:tcPr>
          <w:p>
            <w:pPr>
              <w:ind w:left="400"/>
              <w:spacing w:after="0"/>
              <w:rPr>
                <w:sz w:val="20"/>
                <w:szCs w:val="20"/>
                <w:color w:val="auto"/>
              </w:rPr>
            </w:pPr>
            <w:r>
              <w:rPr>
                <w:rFonts w:ascii="Arial" w:cs="Arial" w:eastAsia="Arial" w:hAnsi="Arial"/>
                <w:sz w:val="13"/>
                <w:szCs w:val="13"/>
                <w:b w:val="1"/>
                <w:bCs w:val="1"/>
                <w:color w:val="auto"/>
              </w:rPr>
              <w:t>Amount</w:t>
            </w:r>
          </w:p>
        </w:tc>
        <w:tc>
          <w:tcPr>
            <w:tcW w:w="1180" w:type="dxa"/>
            <w:vAlign w:val="bottom"/>
            <w:gridSpan w:val="3"/>
          </w:tcPr>
          <w:p>
            <w:pPr>
              <w:ind w:left="120"/>
              <w:spacing w:after="0"/>
              <w:rPr>
                <w:sz w:val="20"/>
                <w:szCs w:val="20"/>
                <w:color w:val="auto"/>
              </w:rPr>
            </w:pPr>
            <w:r>
              <w:rPr>
                <w:rFonts w:ascii="Arial" w:cs="Arial" w:eastAsia="Arial" w:hAnsi="Arial"/>
                <w:sz w:val="13"/>
                <w:szCs w:val="13"/>
                <w:b w:val="1"/>
                <w:bCs w:val="1"/>
                <w:color w:val="auto"/>
              </w:rPr>
              <w:t>Paid in Capital</w:t>
            </w:r>
          </w:p>
        </w:tc>
        <w:tc>
          <w:tcPr>
            <w:tcW w:w="4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Deficit</w:t>
            </w:r>
          </w:p>
        </w:tc>
        <w:tc>
          <w:tcPr>
            <w:tcW w:w="42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3"/>
                <w:szCs w:val="13"/>
                <w:b w:val="1"/>
                <w:bCs w:val="1"/>
                <w:color w:val="auto"/>
              </w:rPr>
              <w:t>Income</w:t>
            </w:r>
          </w:p>
        </w:tc>
        <w:tc>
          <w:tcPr>
            <w:tcW w:w="520" w:type="dxa"/>
            <w:vAlign w:val="bottom"/>
          </w:tcPr>
          <w:p>
            <w:pPr>
              <w:spacing w:after="0"/>
              <w:rPr>
                <w:sz w:val="14"/>
                <w:szCs w:val="14"/>
                <w:color w:val="auto"/>
              </w:rPr>
            </w:pPr>
          </w:p>
        </w:tc>
        <w:tc>
          <w:tcPr>
            <w:tcW w:w="540" w:type="dxa"/>
            <w:vAlign w:val="bottom"/>
          </w:tcPr>
          <w:p>
            <w:pPr>
              <w:jc w:val="right"/>
              <w:ind w:right="4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3"/>
        </w:trPr>
        <w:tc>
          <w:tcPr>
            <w:tcW w:w="13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3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Balance at</w:t>
            </w: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 31, 2019</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22,173,216</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107,953</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12,193,677</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rPr>
              <w:t>$</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2,288</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(22,586)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87,6</w:t>
            </w:r>
          </w:p>
        </w:tc>
        <w:tc>
          <w:tcPr>
            <w:tcW w:w="0" w:type="dxa"/>
            <w:vAlign w:val="bottom"/>
          </w:tcPr>
          <w:p>
            <w:pPr>
              <w:spacing w:after="0"/>
              <w:rPr>
                <w:sz w:val="1"/>
                <w:szCs w:val="1"/>
                <w:color w:val="auto"/>
              </w:rPr>
            </w:pPr>
          </w:p>
        </w:tc>
      </w:tr>
      <w:tr>
        <w:trPr>
          <w:trHeight w:val="156"/>
        </w:trPr>
        <w:tc>
          <w:tcPr>
            <w:tcW w:w="1360" w:type="dxa"/>
            <w:vAlign w:val="bottom"/>
          </w:tcPr>
          <w:p>
            <w:pPr>
              <w:ind w:left="120"/>
              <w:spacing w:after="0" w:line="156" w:lineRule="exact"/>
              <w:rPr>
                <w:sz w:val="20"/>
                <w:szCs w:val="20"/>
                <w:color w:val="auto"/>
              </w:rPr>
            </w:pPr>
            <w:r>
              <w:rPr>
                <w:rFonts w:ascii="Arial" w:cs="Arial" w:eastAsia="Arial" w:hAnsi="Arial"/>
                <w:sz w:val="15"/>
                <w:szCs w:val="15"/>
                <w:color w:val="auto"/>
                <w:w w:val="91"/>
              </w:rPr>
              <w:t>Issuance of Class A</w:t>
            </w: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60" w:type="dxa"/>
            <w:vAlign w:val="bottom"/>
          </w:tcPr>
          <w:p>
            <w:pPr>
              <w:ind w:left="280"/>
              <w:spacing w:after="0" w:line="151" w:lineRule="exact"/>
              <w:rPr>
                <w:sz w:val="20"/>
                <w:szCs w:val="20"/>
                <w:color w:val="auto"/>
              </w:rPr>
            </w:pPr>
            <w:r>
              <w:rPr>
                <w:rFonts w:ascii="Arial" w:cs="Arial" w:eastAsia="Arial" w:hAnsi="Arial"/>
                <w:sz w:val="15"/>
                <w:szCs w:val="15"/>
                <w:color w:val="auto"/>
              </w:rPr>
              <w:t>common stock</w:t>
            </w: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60" w:type="dxa"/>
            <w:vAlign w:val="bottom"/>
          </w:tcPr>
          <w:p>
            <w:pPr>
              <w:ind w:left="280"/>
              <w:spacing w:after="0" w:line="151" w:lineRule="exact"/>
              <w:rPr>
                <w:sz w:val="20"/>
                <w:szCs w:val="20"/>
                <w:color w:val="auto"/>
              </w:rPr>
            </w:pPr>
            <w:r>
              <w:rPr>
                <w:rFonts w:ascii="Arial" w:cs="Arial" w:eastAsia="Arial" w:hAnsi="Arial"/>
                <w:sz w:val="15"/>
                <w:szCs w:val="15"/>
                <w:color w:val="auto"/>
                <w:w w:val="99"/>
              </w:rPr>
              <w:t>from exercise of</w:t>
            </w: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40,207</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24</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3"/>
                <w:szCs w:val="13"/>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360" w:type="dxa"/>
            <w:vAlign w:val="bottom"/>
          </w:tcPr>
          <w:p>
            <w:pPr>
              <w:ind w:left="280"/>
              <w:spacing w:after="0"/>
              <w:rPr>
                <w:sz w:val="20"/>
                <w:szCs w:val="20"/>
                <w:color w:val="auto"/>
              </w:rPr>
            </w:pPr>
            <w:r>
              <w:rPr>
                <w:rFonts w:ascii="Arial" w:cs="Arial" w:eastAsia="Arial" w:hAnsi="Arial"/>
                <w:sz w:val="15"/>
                <w:szCs w:val="15"/>
                <w:color w:val="auto"/>
              </w:rPr>
              <w:t>options</w:t>
            </w:r>
          </w:p>
        </w:tc>
        <w:tc>
          <w:tcPr>
            <w:tcW w:w="11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360" w:type="dxa"/>
            <w:vAlign w:val="bottom"/>
            <w:shd w:val="clear" w:color="auto" w:fill="CCEEFF"/>
          </w:tcPr>
          <w:p>
            <w:pPr>
              <w:ind w:left="80"/>
              <w:spacing w:after="0" w:line="159" w:lineRule="exact"/>
              <w:rPr>
                <w:sz w:val="20"/>
                <w:szCs w:val="20"/>
                <w:color w:val="auto"/>
              </w:rPr>
            </w:pPr>
            <w:r>
              <w:rPr>
                <w:rFonts w:ascii="Arial" w:cs="Arial" w:eastAsia="Arial" w:hAnsi="Arial"/>
                <w:sz w:val="15"/>
                <w:szCs w:val="15"/>
                <w:color w:val="auto"/>
              </w:rPr>
              <w:t>Vesting of early</w:t>
            </w: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60" w:type="dxa"/>
            <w:vAlign w:val="bottom"/>
            <w:shd w:val="clear" w:color="auto" w:fill="CCEEFF"/>
          </w:tcPr>
          <w:p>
            <w:pPr>
              <w:ind w:left="220"/>
              <w:spacing w:after="0" w:line="151" w:lineRule="exact"/>
              <w:rPr>
                <w:sz w:val="20"/>
                <w:szCs w:val="20"/>
                <w:color w:val="auto"/>
              </w:rPr>
            </w:pPr>
            <w:r>
              <w:rPr>
                <w:rFonts w:ascii="Arial" w:cs="Arial" w:eastAsia="Arial" w:hAnsi="Arial"/>
                <w:sz w:val="15"/>
                <w:szCs w:val="15"/>
                <w:color w:val="auto"/>
              </w:rPr>
              <w:t>exercised stock</w:t>
            </w: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60" w:type="dxa"/>
            <w:vAlign w:val="bottom"/>
            <w:shd w:val="clear" w:color="auto" w:fill="CCEEFF"/>
          </w:tcPr>
          <w:p>
            <w:pPr>
              <w:ind w:left="220"/>
              <w:spacing w:after="0" w:line="151" w:lineRule="exact"/>
              <w:rPr>
                <w:sz w:val="20"/>
                <w:szCs w:val="20"/>
                <w:color w:val="auto"/>
              </w:rPr>
            </w:pPr>
            <w:r>
              <w:rPr>
                <w:rFonts w:ascii="Arial" w:cs="Arial" w:eastAsia="Arial" w:hAnsi="Arial"/>
                <w:sz w:val="15"/>
                <w:szCs w:val="15"/>
                <w:color w:val="auto"/>
              </w:rPr>
              <w:t>options and</w:t>
            </w: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60" w:type="dxa"/>
            <w:vAlign w:val="bottom"/>
            <w:shd w:val="clear" w:color="auto" w:fill="CCEEFF"/>
          </w:tcPr>
          <w:p>
            <w:pPr>
              <w:ind w:left="220"/>
              <w:spacing w:after="0" w:line="151" w:lineRule="exact"/>
              <w:rPr>
                <w:sz w:val="20"/>
                <w:szCs w:val="20"/>
                <w:color w:val="auto"/>
              </w:rPr>
            </w:pPr>
            <w:r>
              <w:rPr>
                <w:rFonts w:ascii="Arial" w:cs="Arial" w:eastAsia="Arial" w:hAnsi="Arial"/>
                <w:sz w:val="15"/>
                <w:szCs w:val="15"/>
                <w:color w:val="auto"/>
              </w:rPr>
              <w:t>restricted</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common stock</w:t>
            </w:r>
          </w:p>
        </w:tc>
        <w:tc>
          <w:tcPr>
            <w:tcW w:w="1120" w:type="dxa"/>
            <w:vAlign w:val="bottom"/>
            <w:gridSpan w:val="2"/>
            <w:vMerge w:val="continue"/>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60" w:type="dxa"/>
            <w:vAlign w:val="bottom"/>
          </w:tcPr>
          <w:p>
            <w:pPr>
              <w:ind w:left="420"/>
              <w:spacing w:after="0" w:line="156" w:lineRule="exact"/>
              <w:rPr>
                <w:sz w:val="20"/>
                <w:szCs w:val="20"/>
                <w:color w:val="auto"/>
              </w:rPr>
            </w:pPr>
            <w:r>
              <w:rPr>
                <w:rFonts w:ascii="Arial" w:cs="Arial" w:eastAsia="Arial" w:hAnsi="Arial"/>
                <w:sz w:val="15"/>
                <w:szCs w:val="15"/>
                <w:color w:val="auto"/>
              </w:rPr>
              <w:t>Stock-based</w:t>
            </w: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680" w:type="dxa"/>
            <w:vAlign w:val="bottom"/>
          </w:tcPr>
          <w:p>
            <w:pPr>
              <w:spacing w:after="0"/>
              <w:rPr>
                <w:sz w:val="13"/>
                <w:szCs w:val="13"/>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579</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3"/>
                <w:szCs w:val="13"/>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94"/>
        </w:trPr>
        <w:tc>
          <w:tcPr>
            <w:tcW w:w="1360" w:type="dxa"/>
            <w:vAlign w:val="bottom"/>
          </w:tcPr>
          <w:p>
            <w:pPr>
              <w:ind w:left="120"/>
              <w:spacing w:after="0"/>
              <w:rPr>
                <w:sz w:val="20"/>
                <w:szCs w:val="20"/>
                <w:color w:val="auto"/>
              </w:rPr>
            </w:pPr>
            <w:r>
              <w:rPr>
                <w:rFonts w:ascii="Arial" w:cs="Arial" w:eastAsia="Arial" w:hAnsi="Arial"/>
                <w:sz w:val="15"/>
                <w:szCs w:val="15"/>
                <w:color w:val="auto"/>
              </w:rPr>
              <w:t>compensation</w:t>
            </w:r>
          </w:p>
        </w:tc>
        <w:tc>
          <w:tcPr>
            <w:tcW w:w="11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360" w:type="dxa"/>
            <w:vAlign w:val="bottom"/>
            <w:shd w:val="clear" w:color="auto" w:fill="CCEEFF"/>
          </w:tcPr>
          <w:p>
            <w:pPr>
              <w:ind w:left="420"/>
              <w:spacing w:after="0" w:line="159" w:lineRule="exact"/>
              <w:rPr>
                <w:sz w:val="20"/>
                <w:szCs w:val="20"/>
                <w:color w:val="auto"/>
              </w:rPr>
            </w:pPr>
            <w:r>
              <w:rPr>
                <w:rFonts w:ascii="Arial" w:cs="Arial" w:eastAsia="Arial" w:hAnsi="Arial"/>
                <w:sz w:val="15"/>
                <w:szCs w:val="15"/>
                <w:color w:val="auto"/>
              </w:rPr>
              <w:t>Other</w:t>
            </w: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60" w:type="dxa"/>
            <w:vAlign w:val="bottom"/>
            <w:shd w:val="clear" w:color="auto" w:fill="CCEEFF"/>
          </w:tcPr>
          <w:p>
            <w:pPr>
              <w:ind w:left="120"/>
              <w:spacing w:after="0" w:line="151" w:lineRule="exact"/>
              <w:rPr>
                <w:sz w:val="20"/>
                <w:szCs w:val="20"/>
                <w:color w:val="auto"/>
              </w:rPr>
            </w:pPr>
            <w:r>
              <w:rPr>
                <w:rFonts w:ascii="Arial" w:cs="Arial" w:eastAsia="Arial" w:hAnsi="Arial"/>
                <w:sz w:val="15"/>
                <w:szCs w:val="15"/>
                <w:color w:val="auto"/>
              </w:rPr>
              <w:t>comprehensive</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533</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97"/>
        </w:trPr>
        <w:tc>
          <w:tcPr>
            <w:tcW w:w="1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income</w:t>
            </w:r>
          </w:p>
        </w:tc>
        <w:tc>
          <w:tcPr>
            <w:tcW w:w="1120" w:type="dxa"/>
            <w:vAlign w:val="bottom"/>
            <w:gridSpan w:val="2"/>
            <w:vMerge w:val="continue"/>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60" w:type="dxa"/>
            <w:vAlign w:val="bottom"/>
          </w:tcPr>
          <w:p>
            <w:pPr>
              <w:ind w:left="420"/>
              <w:spacing w:after="0"/>
              <w:rPr>
                <w:sz w:val="20"/>
                <w:szCs w:val="20"/>
                <w:color w:val="auto"/>
              </w:rPr>
            </w:pPr>
            <w:r>
              <w:rPr>
                <w:rFonts w:ascii="Arial" w:cs="Arial" w:eastAsia="Arial" w:hAnsi="Arial"/>
                <w:sz w:val="15"/>
                <w:szCs w:val="15"/>
                <w:color w:val="auto"/>
              </w:rPr>
              <w:t>Net loss</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80" w:type="dxa"/>
            <w:vAlign w:val="bottom"/>
          </w:tcPr>
          <w:p>
            <w:pPr>
              <w:spacing w:after="0"/>
              <w:rPr>
                <w:sz w:val="19"/>
                <w:szCs w:val="19"/>
                <w:color w:val="auto"/>
              </w:rPr>
            </w:pPr>
          </w:p>
        </w:tc>
        <w:tc>
          <w:tcPr>
            <w:tcW w:w="36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(5,493)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77"/>
        </w:trPr>
        <w:tc>
          <w:tcPr>
            <w:tcW w:w="13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Balance at</w:t>
            </w:r>
          </w:p>
        </w:tc>
        <w:tc>
          <w:tcPr>
            <w:tcW w:w="10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March 31, 2020</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22,173,216</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107,953</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12,233,884</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2,895</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(28,079)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557</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83,3</w:t>
            </w:r>
          </w:p>
        </w:tc>
        <w:tc>
          <w:tcPr>
            <w:tcW w:w="0" w:type="dxa"/>
            <w:vAlign w:val="bottom"/>
          </w:tcPr>
          <w:p>
            <w:pPr>
              <w:spacing w:after="0"/>
              <w:rPr>
                <w:sz w:val="1"/>
                <w:szCs w:val="1"/>
                <w:color w:val="auto"/>
              </w:rPr>
            </w:pPr>
          </w:p>
        </w:tc>
      </w:tr>
      <w:tr>
        <w:trPr>
          <w:trHeight w:val="156"/>
        </w:trPr>
        <w:tc>
          <w:tcPr>
            <w:tcW w:w="1360" w:type="dxa"/>
            <w:vAlign w:val="bottom"/>
          </w:tcPr>
          <w:p>
            <w:pPr>
              <w:ind w:left="120"/>
              <w:spacing w:after="0" w:line="156" w:lineRule="exact"/>
              <w:rPr>
                <w:sz w:val="20"/>
                <w:szCs w:val="20"/>
                <w:color w:val="auto"/>
              </w:rPr>
            </w:pPr>
            <w:r>
              <w:rPr>
                <w:rFonts w:ascii="Arial" w:cs="Arial" w:eastAsia="Arial" w:hAnsi="Arial"/>
                <w:sz w:val="15"/>
                <w:szCs w:val="15"/>
                <w:color w:val="auto"/>
                <w:w w:val="91"/>
              </w:rPr>
              <w:t>Issuance of Class A</w:t>
            </w: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60" w:type="dxa"/>
            <w:vAlign w:val="bottom"/>
          </w:tcPr>
          <w:p>
            <w:pPr>
              <w:ind w:left="280"/>
              <w:spacing w:after="0" w:line="151" w:lineRule="exact"/>
              <w:rPr>
                <w:sz w:val="20"/>
                <w:szCs w:val="20"/>
                <w:color w:val="auto"/>
              </w:rPr>
            </w:pPr>
            <w:r>
              <w:rPr>
                <w:rFonts w:ascii="Arial" w:cs="Arial" w:eastAsia="Arial" w:hAnsi="Arial"/>
                <w:sz w:val="15"/>
                <w:szCs w:val="15"/>
                <w:color w:val="auto"/>
              </w:rPr>
              <w:t>common stock</w:t>
            </w: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60" w:type="dxa"/>
            <w:vAlign w:val="bottom"/>
          </w:tcPr>
          <w:p>
            <w:pPr>
              <w:ind w:left="280"/>
              <w:spacing w:after="0" w:line="151" w:lineRule="exact"/>
              <w:rPr>
                <w:sz w:val="20"/>
                <w:szCs w:val="20"/>
                <w:color w:val="auto"/>
              </w:rPr>
            </w:pPr>
            <w:r>
              <w:rPr>
                <w:rFonts w:ascii="Arial" w:cs="Arial" w:eastAsia="Arial" w:hAnsi="Arial"/>
                <w:sz w:val="15"/>
                <w:szCs w:val="15"/>
                <w:color w:val="auto"/>
                <w:w w:val="99"/>
              </w:rPr>
              <w:t>from exercise of</w:t>
            </w: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11,877</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28</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3"/>
                <w:szCs w:val="13"/>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360" w:type="dxa"/>
            <w:vAlign w:val="bottom"/>
          </w:tcPr>
          <w:p>
            <w:pPr>
              <w:ind w:left="280"/>
              <w:spacing w:after="0"/>
              <w:rPr>
                <w:sz w:val="20"/>
                <w:szCs w:val="20"/>
                <w:color w:val="auto"/>
              </w:rPr>
            </w:pPr>
            <w:r>
              <w:rPr>
                <w:rFonts w:ascii="Arial" w:cs="Arial" w:eastAsia="Arial" w:hAnsi="Arial"/>
                <w:sz w:val="15"/>
                <w:szCs w:val="15"/>
                <w:color w:val="auto"/>
              </w:rPr>
              <w:t>options</w:t>
            </w:r>
          </w:p>
        </w:tc>
        <w:tc>
          <w:tcPr>
            <w:tcW w:w="11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360" w:type="dxa"/>
            <w:vAlign w:val="bottom"/>
            <w:shd w:val="clear" w:color="auto" w:fill="CCEEFF"/>
          </w:tcPr>
          <w:p>
            <w:pPr>
              <w:ind w:left="420"/>
              <w:spacing w:after="0" w:line="159" w:lineRule="exact"/>
              <w:rPr>
                <w:sz w:val="20"/>
                <w:szCs w:val="20"/>
                <w:color w:val="auto"/>
              </w:rPr>
            </w:pPr>
            <w:r>
              <w:rPr>
                <w:rFonts w:ascii="Arial" w:cs="Arial" w:eastAsia="Arial" w:hAnsi="Arial"/>
                <w:sz w:val="15"/>
                <w:szCs w:val="15"/>
                <w:color w:val="auto"/>
                <w:w w:val="94"/>
              </w:rPr>
              <w:t>Repurchase of</w:t>
            </w: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60" w:type="dxa"/>
            <w:vAlign w:val="bottom"/>
            <w:shd w:val="clear" w:color="auto" w:fill="CCEEFF"/>
          </w:tcPr>
          <w:p>
            <w:pPr>
              <w:ind w:left="120"/>
              <w:spacing w:after="0" w:line="151" w:lineRule="exact"/>
              <w:rPr>
                <w:sz w:val="20"/>
                <w:szCs w:val="20"/>
                <w:color w:val="auto"/>
              </w:rPr>
            </w:pPr>
            <w:r>
              <w:rPr>
                <w:rFonts w:ascii="Arial" w:cs="Arial" w:eastAsia="Arial" w:hAnsi="Arial"/>
                <w:sz w:val="15"/>
                <w:szCs w:val="15"/>
                <w:color w:val="auto"/>
              </w:rPr>
              <w:t>Class A common</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(215,245)</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stock</w:t>
            </w:r>
          </w:p>
        </w:tc>
        <w:tc>
          <w:tcPr>
            <w:tcW w:w="1120" w:type="dxa"/>
            <w:vAlign w:val="bottom"/>
            <w:gridSpan w:val="2"/>
            <w:vMerge w:val="continue"/>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60" w:type="dxa"/>
            <w:vAlign w:val="bottom"/>
          </w:tcPr>
          <w:p>
            <w:pPr>
              <w:ind w:left="100"/>
              <w:spacing w:after="0" w:line="156" w:lineRule="exact"/>
              <w:rPr>
                <w:sz w:val="20"/>
                <w:szCs w:val="20"/>
                <w:color w:val="auto"/>
              </w:rPr>
            </w:pPr>
            <w:r>
              <w:rPr>
                <w:rFonts w:ascii="Arial" w:cs="Arial" w:eastAsia="Arial" w:hAnsi="Arial"/>
                <w:sz w:val="15"/>
                <w:szCs w:val="15"/>
                <w:color w:val="auto"/>
              </w:rPr>
              <w:t>Vesting of early</w:t>
            </w: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60" w:type="dxa"/>
            <w:vAlign w:val="bottom"/>
          </w:tcPr>
          <w:p>
            <w:pPr>
              <w:ind w:left="240"/>
              <w:spacing w:after="0" w:line="151" w:lineRule="exact"/>
              <w:rPr>
                <w:sz w:val="20"/>
                <w:szCs w:val="20"/>
                <w:color w:val="auto"/>
              </w:rPr>
            </w:pPr>
            <w:r>
              <w:rPr>
                <w:rFonts w:ascii="Arial" w:cs="Arial" w:eastAsia="Arial" w:hAnsi="Arial"/>
                <w:sz w:val="15"/>
                <w:szCs w:val="15"/>
                <w:color w:val="auto"/>
              </w:rPr>
              <w:t>exercised stock</w:t>
            </w: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60" w:type="dxa"/>
            <w:vAlign w:val="bottom"/>
          </w:tcPr>
          <w:p>
            <w:pPr>
              <w:ind w:left="240"/>
              <w:spacing w:after="0" w:line="151" w:lineRule="exact"/>
              <w:rPr>
                <w:sz w:val="20"/>
                <w:szCs w:val="20"/>
                <w:color w:val="auto"/>
              </w:rPr>
            </w:pPr>
            <w:r>
              <w:rPr>
                <w:rFonts w:ascii="Arial" w:cs="Arial" w:eastAsia="Arial" w:hAnsi="Arial"/>
                <w:sz w:val="15"/>
                <w:szCs w:val="15"/>
                <w:color w:val="auto"/>
              </w:rPr>
              <w:t>options and</w:t>
            </w: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60" w:type="dxa"/>
            <w:vAlign w:val="bottom"/>
          </w:tcPr>
          <w:p>
            <w:pPr>
              <w:ind w:left="240"/>
              <w:spacing w:after="0" w:line="151" w:lineRule="exact"/>
              <w:rPr>
                <w:sz w:val="20"/>
                <w:szCs w:val="20"/>
                <w:color w:val="auto"/>
              </w:rPr>
            </w:pPr>
            <w:r>
              <w:rPr>
                <w:rFonts w:ascii="Arial" w:cs="Arial" w:eastAsia="Arial" w:hAnsi="Arial"/>
                <w:sz w:val="15"/>
                <w:szCs w:val="15"/>
                <w:color w:val="auto"/>
              </w:rPr>
              <w:t>restricted</w:t>
            </w: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680" w:type="dxa"/>
            <w:vAlign w:val="bottom"/>
          </w:tcPr>
          <w:p>
            <w:pPr>
              <w:spacing w:after="0"/>
              <w:rPr>
                <w:sz w:val="13"/>
                <w:szCs w:val="13"/>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10</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3"/>
                <w:szCs w:val="13"/>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360" w:type="dxa"/>
            <w:vAlign w:val="bottom"/>
          </w:tcPr>
          <w:p>
            <w:pPr>
              <w:ind w:left="240"/>
              <w:spacing w:after="0"/>
              <w:rPr>
                <w:sz w:val="20"/>
                <w:szCs w:val="20"/>
                <w:color w:val="auto"/>
              </w:rPr>
            </w:pPr>
            <w:r>
              <w:rPr>
                <w:rFonts w:ascii="Arial" w:cs="Arial" w:eastAsia="Arial" w:hAnsi="Arial"/>
                <w:sz w:val="15"/>
                <w:szCs w:val="15"/>
                <w:color w:val="auto"/>
              </w:rPr>
              <w:t>common stock</w:t>
            </w:r>
          </w:p>
        </w:tc>
        <w:tc>
          <w:tcPr>
            <w:tcW w:w="11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360" w:type="dxa"/>
            <w:vAlign w:val="bottom"/>
            <w:shd w:val="clear" w:color="auto" w:fill="CCEEFF"/>
          </w:tcPr>
          <w:p>
            <w:pPr>
              <w:ind w:left="100"/>
              <w:spacing w:after="0" w:line="159" w:lineRule="exact"/>
              <w:rPr>
                <w:sz w:val="20"/>
                <w:szCs w:val="20"/>
                <w:color w:val="auto"/>
              </w:rPr>
            </w:pPr>
            <w:r>
              <w:rPr>
                <w:rFonts w:ascii="Arial" w:cs="Arial" w:eastAsia="Arial" w:hAnsi="Arial"/>
                <w:sz w:val="15"/>
                <w:szCs w:val="15"/>
                <w:color w:val="auto"/>
              </w:rPr>
              <w:t>Issuance of Series</w:t>
            </w: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60" w:type="dxa"/>
            <w:vAlign w:val="bottom"/>
            <w:shd w:val="clear" w:color="auto" w:fill="CCEEFF"/>
          </w:tcPr>
          <w:p>
            <w:pPr>
              <w:ind w:left="240"/>
              <w:spacing w:after="0" w:line="151" w:lineRule="exact"/>
              <w:rPr>
                <w:sz w:val="20"/>
                <w:szCs w:val="20"/>
                <w:color w:val="auto"/>
              </w:rPr>
            </w:pPr>
            <w:r>
              <w:rPr>
                <w:rFonts w:ascii="Arial" w:cs="Arial" w:eastAsia="Arial" w:hAnsi="Arial"/>
                <w:sz w:val="15"/>
                <w:szCs w:val="15"/>
                <w:color w:val="auto"/>
              </w:rPr>
              <w:t>D-1 convertible</w:t>
            </w: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60" w:type="dxa"/>
            <w:vAlign w:val="bottom"/>
            <w:shd w:val="clear" w:color="auto" w:fill="CCEEFF"/>
          </w:tcPr>
          <w:p>
            <w:pPr>
              <w:ind w:left="240"/>
              <w:spacing w:after="0" w:line="151" w:lineRule="exact"/>
              <w:rPr>
                <w:sz w:val="20"/>
                <w:szCs w:val="20"/>
                <w:color w:val="auto"/>
              </w:rPr>
            </w:pPr>
            <w:r>
              <w:rPr>
                <w:rFonts w:ascii="Arial" w:cs="Arial" w:eastAsia="Arial" w:hAnsi="Arial"/>
                <w:sz w:val="15"/>
                <w:szCs w:val="15"/>
                <w:color w:val="auto"/>
              </w:rPr>
              <w:t>preferred stock,</w:t>
            </w: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60" w:type="dxa"/>
            <w:vAlign w:val="bottom"/>
            <w:shd w:val="clear" w:color="auto" w:fill="CCEEFF"/>
          </w:tcPr>
          <w:p>
            <w:pPr>
              <w:ind w:left="240"/>
              <w:spacing w:after="0" w:line="151" w:lineRule="exact"/>
              <w:rPr>
                <w:sz w:val="20"/>
                <w:szCs w:val="20"/>
                <w:color w:val="auto"/>
              </w:rPr>
            </w:pPr>
            <w:r>
              <w:rPr>
                <w:rFonts w:ascii="Arial" w:cs="Arial" w:eastAsia="Arial" w:hAnsi="Arial"/>
                <w:sz w:val="15"/>
                <w:szCs w:val="15"/>
                <w:color w:val="auto"/>
              </w:rPr>
              <w:t>net of issuance</w:t>
            </w:r>
          </w:p>
        </w:tc>
        <w:tc>
          <w:tcPr>
            <w:tcW w:w="10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6,853,571</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54,896</w:t>
            </w:r>
          </w:p>
        </w:tc>
        <w:tc>
          <w:tcPr>
            <w:tcW w:w="8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54,8</w:t>
            </w:r>
          </w:p>
        </w:tc>
        <w:tc>
          <w:tcPr>
            <w:tcW w:w="0" w:type="dxa"/>
            <w:vAlign w:val="bottom"/>
          </w:tcPr>
          <w:p>
            <w:pPr>
              <w:spacing w:after="0"/>
              <w:rPr>
                <w:sz w:val="1"/>
                <w:szCs w:val="1"/>
                <w:color w:val="auto"/>
              </w:rPr>
            </w:pPr>
          </w:p>
        </w:tc>
      </w:tr>
      <w:tr>
        <w:trPr>
          <w:trHeight w:val="197"/>
        </w:trPr>
        <w:tc>
          <w:tcPr>
            <w:tcW w:w="13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costs of $104</w:t>
            </w:r>
          </w:p>
        </w:tc>
        <w:tc>
          <w:tcPr>
            <w:tcW w:w="10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60" w:type="dxa"/>
            <w:vAlign w:val="bottom"/>
          </w:tcPr>
          <w:p>
            <w:pPr>
              <w:ind w:left="420"/>
              <w:spacing w:after="0" w:line="156" w:lineRule="exact"/>
              <w:rPr>
                <w:sz w:val="20"/>
                <w:szCs w:val="20"/>
                <w:color w:val="auto"/>
              </w:rPr>
            </w:pPr>
            <w:r>
              <w:rPr>
                <w:rFonts w:ascii="Arial" w:cs="Arial" w:eastAsia="Arial" w:hAnsi="Arial"/>
                <w:sz w:val="15"/>
                <w:szCs w:val="15"/>
                <w:color w:val="auto"/>
              </w:rPr>
              <w:t>Stock-based</w:t>
            </w: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680" w:type="dxa"/>
            <w:vAlign w:val="bottom"/>
          </w:tcPr>
          <w:p>
            <w:pPr>
              <w:spacing w:after="0"/>
              <w:rPr>
                <w:sz w:val="13"/>
                <w:szCs w:val="13"/>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808</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3"/>
                <w:szCs w:val="13"/>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94"/>
        </w:trPr>
        <w:tc>
          <w:tcPr>
            <w:tcW w:w="1360" w:type="dxa"/>
            <w:vAlign w:val="bottom"/>
          </w:tcPr>
          <w:p>
            <w:pPr>
              <w:ind w:left="120"/>
              <w:spacing w:after="0"/>
              <w:rPr>
                <w:sz w:val="20"/>
                <w:szCs w:val="20"/>
                <w:color w:val="auto"/>
              </w:rPr>
            </w:pPr>
            <w:r>
              <w:rPr>
                <w:rFonts w:ascii="Arial" w:cs="Arial" w:eastAsia="Arial" w:hAnsi="Arial"/>
                <w:sz w:val="15"/>
                <w:szCs w:val="15"/>
                <w:color w:val="auto"/>
              </w:rPr>
              <w:t>compensation</w:t>
            </w:r>
          </w:p>
        </w:tc>
        <w:tc>
          <w:tcPr>
            <w:tcW w:w="11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360" w:type="dxa"/>
            <w:vAlign w:val="bottom"/>
            <w:shd w:val="clear" w:color="auto" w:fill="CCEEFF"/>
          </w:tcPr>
          <w:p>
            <w:pPr>
              <w:ind w:left="100"/>
              <w:spacing w:after="0" w:line="159" w:lineRule="exact"/>
              <w:rPr>
                <w:sz w:val="20"/>
                <w:szCs w:val="20"/>
                <w:color w:val="auto"/>
              </w:rPr>
            </w:pPr>
            <w:r>
              <w:rPr>
                <w:rFonts w:ascii="Arial" w:cs="Arial" w:eastAsia="Arial" w:hAnsi="Arial"/>
                <w:sz w:val="15"/>
                <w:szCs w:val="15"/>
                <w:color w:val="auto"/>
              </w:rPr>
              <w:t>Other</w:t>
            </w: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60" w:type="dxa"/>
            <w:vAlign w:val="bottom"/>
            <w:shd w:val="clear" w:color="auto" w:fill="CCEEFF"/>
          </w:tcPr>
          <w:p>
            <w:pPr>
              <w:ind w:left="240"/>
              <w:spacing w:after="0" w:line="151" w:lineRule="exact"/>
              <w:rPr>
                <w:sz w:val="20"/>
                <w:szCs w:val="20"/>
                <w:color w:val="auto"/>
              </w:rPr>
            </w:pPr>
            <w:r>
              <w:rPr>
                <w:rFonts w:ascii="Arial" w:cs="Arial" w:eastAsia="Arial" w:hAnsi="Arial"/>
                <w:sz w:val="15"/>
                <w:szCs w:val="15"/>
                <w:color w:val="auto"/>
              </w:rPr>
              <w:t>comprehensive</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(255)</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7"/>
        </w:trPr>
        <w:tc>
          <w:tcPr>
            <w:tcW w:w="13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income</w:t>
            </w:r>
          </w:p>
        </w:tc>
        <w:tc>
          <w:tcPr>
            <w:tcW w:w="1120" w:type="dxa"/>
            <w:vAlign w:val="bottom"/>
            <w:gridSpan w:val="2"/>
            <w:vMerge w:val="continue"/>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6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Net loss</w:t>
            </w: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(6,117)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77"/>
        </w:trPr>
        <w:tc>
          <w:tcPr>
            <w:tcW w:w="1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4"/>
              </w:rPr>
              <w:t>Balance at June</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29,026,787</w:t>
            </w:r>
          </w:p>
        </w:tc>
        <w:tc>
          <w:tcPr>
            <w:tcW w:w="6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162,849</w:t>
            </w:r>
          </w:p>
        </w:tc>
        <w:tc>
          <w:tcPr>
            <w:tcW w:w="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12,030,516</w:t>
            </w:r>
          </w:p>
        </w:tc>
        <w:tc>
          <w:tcPr>
            <w:tcW w:w="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207"/>
              <w:spacing w:after="0"/>
              <w:rPr>
                <w:sz w:val="20"/>
                <w:szCs w:val="20"/>
                <w:color w:val="auto"/>
              </w:rPr>
            </w:pPr>
            <w:r>
              <w:rPr>
                <w:rFonts w:ascii="Arial" w:cs="Arial" w:eastAsia="Arial" w:hAnsi="Arial"/>
                <w:sz w:val="15"/>
                <w:szCs w:val="15"/>
                <w:color w:val="auto"/>
              </w:rPr>
              <w:t>$</w:t>
            </w: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3,741</w:t>
            </w:r>
          </w:p>
        </w:tc>
        <w:tc>
          <w:tcPr>
            <w:tcW w:w="6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(34,196)</w:t>
            </w:r>
          </w:p>
        </w:tc>
        <w:tc>
          <w:tcPr>
            <w:tcW w:w="8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302</w:t>
            </w:r>
          </w:p>
        </w:tc>
        <w:tc>
          <w:tcPr>
            <w:tcW w:w="6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132,6</w:t>
            </w:r>
          </w:p>
        </w:tc>
        <w:tc>
          <w:tcPr>
            <w:tcW w:w="0" w:type="dxa"/>
            <w:vAlign w:val="bottom"/>
          </w:tcPr>
          <w:p>
            <w:pPr>
              <w:spacing w:after="0"/>
              <w:rPr>
                <w:sz w:val="1"/>
                <w:szCs w:val="1"/>
                <w:color w:val="auto"/>
              </w:rPr>
            </w:pPr>
          </w:p>
        </w:tc>
      </w:tr>
      <w:tr>
        <w:trPr>
          <w:trHeight w:val="205"/>
        </w:trPr>
        <w:tc>
          <w:tcPr>
            <w:tcW w:w="1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30, 2020</w:t>
            </w:r>
          </w:p>
        </w:tc>
        <w:tc>
          <w:tcPr>
            <w:tcW w:w="10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1620"/>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159385</wp:posOffset>
            </wp:positionV>
            <wp:extent cx="716661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040"/>
          </w:cols>
          <w:pgMar w:left="620" w:top="123"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60" w:type="dxa"/>
            <w:vAlign w:val="bottom"/>
          </w:tcPr>
          <w:p>
            <w:pPr>
              <w:spacing w:after="0"/>
              <w:rPr>
                <w:sz w:val="15"/>
                <w:szCs w:val="15"/>
                <w:color w:val="auto"/>
              </w:rPr>
            </w:pPr>
          </w:p>
        </w:tc>
        <w:tc>
          <w:tcPr>
            <w:tcW w:w="2620" w:type="dxa"/>
            <w:vAlign w:val="bottom"/>
            <w:gridSpan w:val="4"/>
          </w:tcPr>
          <w:p>
            <w:pPr>
              <w:jc w:val="right"/>
              <w:ind w:right="173"/>
              <w:spacing w:after="0"/>
              <w:rPr>
                <w:sz w:val="20"/>
                <w:szCs w:val="20"/>
                <w:color w:val="auto"/>
              </w:rPr>
            </w:pPr>
            <w:r>
              <w:rPr>
                <w:rFonts w:ascii="Arial" w:cs="Arial" w:eastAsia="Arial" w:hAnsi="Arial"/>
                <w:sz w:val="13"/>
                <w:szCs w:val="13"/>
                <w:b w:val="1"/>
                <w:bCs w:val="1"/>
                <w:color w:val="auto"/>
              </w:rPr>
              <w:t>Six Months Ended June 30,</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
        </w:trPr>
        <w:tc>
          <w:tcPr>
            <w:tcW w:w="78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1"/>
        </w:trPr>
        <w:tc>
          <w:tcPr>
            <w:tcW w:w="78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3"/>
              <w:spacing w:after="0"/>
              <w:rPr>
                <w:sz w:val="20"/>
                <w:szCs w:val="20"/>
                <w:color w:val="auto"/>
              </w:rPr>
            </w:pPr>
            <w:r>
              <w:rPr>
                <w:rFonts w:ascii="Arial" w:cs="Arial" w:eastAsia="Arial" w:hAnsi="Arial"/>
                <w:sz w:val="13"/>
                <w:szCs w:val="13"/>
                <w:b w:val="1"/>
                <w:bCs w:val="1"/>
                <w:color w:val="auto"/>
              </w:rPr>
              <w:t>2020</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
        </w:trPr>
        <w:tc>
          <w:tcPr>
            <w:tcW w:w="78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79"/>
        </w:trPr>
        <w:tc>
          <w:tcPr>
            <w:tcW w:w="7860" w:type="dxa"/>
            <w:vAlign w:val="bottom"/>
          </w:tcPr>
          <w:p>
            <w:pPr>
              <w:ind w:left="20"/>
              <w:spacing w:after="0"/>
              <w:rPr>
                <w:sz w:val="20"/>
                <w:szCs w:val="20"/>
                <w:color w:val="auto"/>
              </w:rPr>
            </w:pPr>
            <w:r>
              <w:rPr>
                <w:rFonts w:ascii="Arial" w:cs="Arial" w:eastAsia="Arial" w:hAnsi="Arial"/>
                <w:sz w:val="13"/>
                <w:szCs w:val="13"/>
                <w:color w:val="auto"/>
              </w:rPr>
              <w:t>Net loss</w:t>
            </w:r>
          </w:p>
        </w:tc>
        <w:tc>
          <w:tcPr>
            <w:tcW w:w="940" w:type="dxa"/>
            <w:vAlign w:val="bottom"/>
          </w:tcPr>
          <w:p>
            <w:pPr>
              <w:jc w:val="right"/>
              <w:ind w:right="793"/>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(33,045)</w:t>
            </w:r>
          </w:p>
        </w:tc>
        <w:tc>
          <w:tcPr>
            <w:tcW w:w="100" w:type="dxa"/>
            <w:vAlign w:val="bottom"/>
          </w:tcPr>
          <w:p>
            <w:pPr>
              <w:spacing w:after="0"/>
              <w:rPr>
                <w:sz w:val="15"/>
                <w:szCs w:val="15"/>
                <w:color w:val="auto"/>
              </w:rPr>
            </w:pPr>
          </w:p>
        </w:tc>
        <w:tc>
          <w:tcPr>
            <w:tcW w:w="980" w:type="dxa"/>
            <w:vAlign w:val="bottom"/>
          </w:tcPr>
          <w:p>
            <w:pPr>
              <w:jc w:val="right"/>
              <w:ind w:right="833"/>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(11,610)</w:t>
            </w:r>
          </w:p>
        </w:tc>
        <w:tc>
          <w:tcPr>
            <w:tcW w:w="100" w:type="dxa"/>
            <w:vAlign w:val="bottom"/>
          </w:tcPr>
          <w:p>
            <w:pPr>
              <w:spacing w:after="0"/>
              <w:rPr>
                <w:sz w:val="15"/>
                <w:szCs w:val="15"/>
                <w:color w:val="auto"/>
              </w:rPr>
            </w:pPr>
          </w:p>
        </w:tc>
      </w:tr>
      <w:tr>
        <w:trPr>
          <w:trHeight w:val="23"/>
        </w:trPr>
        <w:tc>
          <w:tcPr>
            <w:tcW w:w="7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79"/>
        </w:trPr>
        <w:tc>
          <w:tcPr>
            <w:tcW w:w="7860" w:type="dxa"/>
            <w:vAlign w:val="bottom"/>
          </w:tcPr>
          <w:p>
            <w:pPr>
              <w:ind w:left="220"/>
              <w:spacing w:after="0"/>
              <w:rPr>
                <w:sz w:val="20"/>
                <w:szCs w:val="20"/>
                <w:color w:val="auto"/>
              </w:rPr>
            </w:pPr>
            <w:r>
              <w:rPr>
                <w:rFonts w:ascii="Arial" w:cs="Arial" w:eastAsia="Arial" w:hAnsi="Arial"/>
                <w:sz w:val="13"/>
                <w:szCs w:val="13"/>
                <w:color w:val="auto"/>
              </w:rPr>
              <w:t>Stock-based compensation</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12,470</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1,387</w:t>
            </w:r>
          </w:p>
        </w:tc>
        <w:tc>
          <w:tcPr>
            <w:tcW w:w="100" w:type="dxa"/>
            <w:vAlign w:val="bottom"/>
          </w:tcPr>
          <w:p>
            <w:pPr>
              <w:spacing w:after="0"/>
              <w:rPr>
                <w:sz w:val="15"/>
                <w:szCs w:val="15"/>
                <w:color w:val="auto"/>
              </w:rPr>
            </w:pPr>
          </w:p>
        </w:tc>
      </w:tr>
      <w:tr>
        <w:trPr>
          <w:trHeight w:val="23"/>
        </w:trPr>
        <w:tc>
          <w:tcPr>
            <w:tcW w:w="7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Depreciation and amortization</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1,042</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701</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9"/>
        </w:trPr>
        <w:tc>
          <w:tcPr>
            <w:tcW w:w="7860" w:type="dxa"/>
            <w:vAlign w:val="bottom"/>
          </w:tcPr>
          <w:p>
            <w:pPr>
              <w:ind w:left="220"/>
              <w:spacing w:after="0"/>
              <w:rPr>
                <w:sz w:val="20"/>
                <w:szCs w:val="20"/>
                <w:color w:val="auto"/>
              </w:rPr>
            </w:pPr>
            <w:r>
              <w:rPr>
                <w:rFonts w:ascii="Arial" w:cs="Arial" w:eastAsia="Arial" w:hAnsi="Arial"/>
                <w:sz w:val="13"/>
                <w:szCs w:val="13"/>
                <w:color w:val="auto"/>
              </w:rPr>
              <w:t>Net amortization of premium on available-for-sale securities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412</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5"/>
                <w:szCs w:val="15"/>
                <w:color w:val="auto"/>
              </w:rPr>
            </w:pPr>
          </w:p>
        </w:tc>
      </w:tr>
      <w:tr>
        <w:trPr>
          <w:trHeight w:val="23"/>
        </w:trPr>
        <w:tc>
          <w:tcPr>
            <w:tcW w:w="7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Changes in operating assets and liabilities:</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79"/>
        </w:trPr>
        <w:tc>
          <w:tcPr>
            <w:tcW w:w="7860" w:type="dxa"/>
            <w:vAlign w:val="bottom"/>
          </w:tcPr>
          <w:p>
            <w:pPr>
              <w:ind w:left="420"/>
              <w:spacing w:after="0"/>
              <w:rPr>
                <w:sz w:val="20"/>
                <w:szCs w:val="20"/>
                <w:color w:val="auto"/>
              </w:rPr>
            </w:pPr>
            <w:r>
              <w:rPr>
                <w:rFonts w:ascii="Arial" w:cs="Arial" w:eastAsia="Arial" w:hAnsi="Arial"/>
                <w:sz w:val="13"/>
                <w:szCs w:val="13"/>
                <w:color w:val="auto"/>
              </w:rPr>
              <w:t>Accounts receivable, net</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(896)</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23"/>
        </w:trPr>
        <w:tc>
          <w:tcPr>
            <w:tcW w:w="7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Related party receivables</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179"/>
        </w:trPr>
        <w:tc>
          <w:tcPr>
            <w:tcW w:w="7860" w:type="dxa"/>
            <w:vAlign w:val="bottom"/>
          </w:tcPr>
          <w:p>
            <w:pPr>
              <w:ind w:left="420"/>
              <w:spacing w:after="0"/>
              <w:rPr>
                <w:sz w:val="20"/>
                <w:szCs w:val="20"/>
                <w:color w:val="auto"/>
              </w:rPr>
            </w:pPr>
            <w:r>
              <w:rPr>
                <w:rFonts w:ascii="Arial" w:cs="Arial" w:eastAsia="Arial" w:hAnsi="Arial"/>
                <w:sz w:val="13"/>
                <w:szCs w:val="13"/>
                <w:color w:val="auto"/>
              </w:rPr>
              <w:t>Other receivables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(177)</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(315)</w:t>
            </w:r>
          </w:p>
        </w:tc>
        <w:tc>
          <w:tcPr>
            <w:tcW w:w="100" w:type="dxa"/>
            <w:vAlign w:val="bottom"/>
          </w:tcPr>
          <w:p>
            <w:pPr>
              <w:spacing w:after="0"/>
              <w:rPr>
                <w:sz w:val="15"/>
                <w:szCs w:val="15"/>
                <w:color w:val="auto"/>
              </w:rPr>
            </w:pPr>
          </w:p>
        </w:tc>
      </w:tr>
      <w:tr>
        <w:trPr>
          <w:trHeight w:val="23"/>
        </w:trPr>
        <w:tc>
          <w:tcPr>
            <w:tcW w:w="7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Prepaid expenses and other current assets</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(2,756)</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9"/>
        </w:trPr>
        <w:tc>
          <w:tcPr>
            <w:tcW w:w="7860" w:type="dxa"/>
            <w:vAlign w:val="bottom"/>
          </w:tcPr>
          <w:p>
            <w:pPr>
              <w:ind w:left="420"/>
              <w:spacing w:after="0"/>
              <w:rPr>
                <w:sz w:val="20"/>
                <w:szCs w:val="20"/>
                <w:color w:val="auto"/>
              </w:rPr>
            </w:pPr>
            <w:r>
              <w:rPr>
                <w:rFonts w:ascii="Arial" w:cs="Arial" w:eastAsia="Arial" w:hAnsi="Arial"/>
                <w:sz w:val="13"/>
                <w:szCs w:val="13"/>
                <w:color w:val="auto"/>
              </w:rPr>
              <w:t>Inventory</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(2,119)</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23"/>
        </w:trPr>
        <w:tc>
          <w:tcPr>
            <w:tcW w:w="7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Other assets</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9"/>
        </w:trPr>
        <w:tc>
          <w:tcPr>
            <w:tcW w:w="7860" w:type="dxa"/>
            <w:vAlign w:val="bottom"/>
          </w:tcPr>
          <w:p>
            <w:pPr>
              <w:ind w:left="420"/>
              <w:spacing w:after="0"/>
              <w:rPr>
                <w:sz w:val="20"/>
                <w:szCs w:val="20"/>
                <w:color w:val="auto"/>
              </w:rPr>
            </w:pPr>
            <w:r>
              <w:rPr>
                <w:rFonts w:ascii="Arial" w:cs="Arial" w:eastAsia="Arial" w:hAnsi="Arial"/>
                <w:sz w:val="13"/>
                <w:szCs w:val="13"/>
                <w:color w:val="auto"/>
              </w:rPr>
              <w:t>Accounts payable</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(644)</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5"/>
                <w:szCs w:val="15"/>
                <w:color w:val="auto"/>
              </w:rPr>
            </w:pPr>
          </w:p>
        </w:tc>
      </w:tr>
      <w:tr>
        <w:trPr>
          <w:trHeight w:val="23"/>
        </w:trPr>
        <w:tc>
          <w:tcPr>
            <w:tcW w:w="7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Deferred revenue</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9"/>
        </w:trPr>
        <w:tc>
          <w:tcPr>
            <w:tcW w:w="7860" w:type="dxa"/>
            <w:vAlign w:val="bottom"/>
          </w:tcPr>
          <w:p>
            <w:pPr>
              <w:ind w:left="420"/>
              <w:spacing w:after="0"/>
              <w:rPr>
                <w:sz w:val="20"/>
                <w:szCs w:val="20"/>
                <w:color w:val="auto"/>
              </w:rPr>
            </w:pPr>
            <w:r>
              <w:rPr>
                <w:rFonts w:ascii="Arial" w:cs="Arial" w:eastAsia="Arial" w:hAnsi="Arial"/>
                <w:sz w:val="13"/>
                <w:szCs w:val="13"/>
                <w:color w:val="auto"/>
              </w:rPr>
              <w:t>Deferred rent</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391</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269</w:t>
            </w:r>
          </w:p>
        </w:tc>
        <w:tc>
          <w:tcPr>
            <w:tcW w:w="100" w:type="dxa"/>
            <w:vAlign w:val="bottom"/>
          </w:tcPr>
          <w:p>
            <w:pPr>
              <w:spacing w:after="0"/>
              <w:rPr>
                <w:sz w:val="15"/>
                <w:szCs w:val="15"/>
                <w:color w:val="auto"/>
              </w:rPr>
            </w:pPr>
          </w:p>
        </w:tc>
      </w:tr>
      <w:tr>
        <w:trPr>
          <w:trHeight w:val="23"/>
        </w:trPr>
        <w:tc>
          <w:tcPr>
            <w:tcW w:w="7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Accrued expenses</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(477)</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9"/>
        </w:trPr>
        <w:tc>
          <w:tcPr>
            <w:tcW w:w="7860" w:type="dxa"/>
            <w:vAlign w:val="bottom"/>
          </w:tcPr>
          <w:p>
            <w:pPr>
              <w:ind w:left="420"/>
              <w:spacing w:after="0"/>
              <w:rPr>
                <w:sz w:val="20"/>
                <w:szCs w:val="20"/>
                <w:color w:val="auto"/>
              </w:rPr>
            </w:pPr>
            <w:r>
              <w:rPr>
                <w:rFonts w:ascii="Arial" w:cs="Arial" w:eastAsia="Arial" w:hAnsi="Arial"/>
                <w:sz w:val="13"/>
                <w:szCs w:val="13"/>
                <w:color w:val="auto"/>
              </w:rPr>
              <w:t>Accrued research and development</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5"/>
                <w:szCs w:val="15"/>
                <w:color w:val="auto"/>
              </w:rPr>
            </w:pPr>
          </w:p>
        </w:tc>
      </w:tr>
      <w:tr>
        <w:trPr>
          <w:trHeight w:val="23"/>
        </w:trPr>
        <w:tc>
          <w:tcPr>
            <w:tcW w:w="7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2"/>
        </w:trPr>
        <w:tc>
          <w:tcPr>
            <w:tcW w:w="78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Other noncurrent liabilities</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171"/>
        </w:trPr>
        <w:tc>
          <w:tcPr>
            <w:tcW w:w="7860" w:type="dxa"/>
            <w:vAlign w:val="bottom"/>
          </w:tcPr>
          <w:p>
            <w:pPr>
              <w:ind w:left="620"/>
              <w:spacing w:after="0"/>
              <w:rPr>
                <w:sz w:val="20"/>
                <w:szCs w:val="20"/>
                <w:color w:val="auto"/>
              </w:rPr>
            </w:pPr>
            <w:r>
              <w:rPr>
                <w:rFonts w:ascii="Arial" w:cs="Arial" w:eastAsia="Arial" w:hAnsi="Arial"/>
                <w:sz w:val="13"/>
                <w:szCs w:val="13"/>
                <w:color w:val="auto"/>
              </w:rPr>
              <w:t>Net cash used in operating activities</w:t>
            </w:r>
          </w:p>
        </w:tc>
        <w:tc>
          <w:tcPr>
            <w:tcW w:w="9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(25,222)</w:t>
            </w: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(9,853)</w:t>
            </w:r>
          </w:p>
        </w:tc>
        <w:tc>
          <w:tcPr>
            <w:tcW w:w="100" w:type="dxa"/>
            <w:vAlign w:val="bottom"/>
          </w:tcPr>
          <w:p>
            <w:pPr>
              <w:spacing w:after="0"/>
              <w:rPr>
                <w:sz w:val="14"/>
                <w:szCs w:val="14"/>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16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9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r>
      <w:tr>
        <w:trPr>
          <w:trHeight w:val="179"/>
        </w:trPr>
        <w:tc>
          <w:tcPr>
            <w:tcW w:w="7860" w:type="dxa"/>
            <w:vAlign w:val="bottom"/>
          </w:tcPr>
          <w:p>
            <w:pPr>
              <w:ind w:left="20"/>
              <w:spacing w:after="0"/>
              <w:rPr>
                <w:sz w:val="20"/>
                <w:szCs w:val="20"/>
                <w:color w:val="auto"/>
              </w:rPr>
            </w:pPr>
            <w:r>
              <w:rPr>
                <w:rFonts w:ascii="Arial" w:cs="Arial" w:eastAsia="Arial" w:hAnsi="Arial"/>
                <w:sz w:val="13"/>
                <w:szCs w:val="13"/>
                <w:color w:val="auto"/>
              </w:rPr>
              <w:t>Purchases of property and equipment</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(2,943)</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(3,542)</w:t>
            </w:r>
          </w:p>
        </w:tc>
        <w:tc>
          <w:tcPr>
            <w:tcW w:w="100" w:type="dxa"/>
            <w:vAlign w:val="bottom"/>
          </w:tcPr>
          <w:p>
            <w:pPr>
              <w:spacing w:after="0"/>
              <w:rPr>
                <w:sz w:val="15"/>
                <w:szCs w:val="15"/>
                <w:color w:val="auto"/>
              </w:rPr>
            </w:pPr>
          </w:p>
        </w:tc>
      </w:tr>
      <w:tr>
        <w:trPr>
          <w:trHeight w:val="23"/>
        </w:trPr>
        <w:tc>
          <w:tcPr>
            <w:tcW w:w="7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Purchase of available-for-sale securities</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(129,320)</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(3,437)</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9"/>
        </w:trPr>
        <w:tc>
          <w:tcPr>
            <w:tcW w:w="7860" w:type="dxa"/>
            <w:vAlign w:val="bottom"/>
          </w:tcPr>
          <w:p>
            <w:pPr>
              <w:ind w:left="20"/>
              <w:spacing w:after="0"/>
              <w:rPr>
                <w:sz w:val="20"/>
                <w:szCs w:val="20"/>
                <w:color w:val="auto"/>
              </w:rPr>
            </w:pPr>
            <w:r>
              <w:rPr>
                <w:rFonts w:ascii="Arial" w:cs="Arial" w:eastAsia="Arial" w:hAnsi="Arial"/>
                <w:sz w:val="13"/>
                <w:szCs w:val="13"/>
                <w:color w:val="auto"/>
              </w:rPr>
              <w:t>Proceeds from maturities of available-for-sale securities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80,000</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17,250</w:t>
            </w:r>
          </w:p>
        </w:tc>
        <w:tc>
          <w:tcPr>
            <w:tcW w:w="100" w:type="dxa"/>
            <w:vAlign w:val="bottom"/>
          </w:tcPr>
          <w:p>
            <w:pPr>
              <w:spacing w:after="0"/>
              <w:rPr>
                <w:sz w:val="15"/>
                <w:szCs w:val="15"/>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194"/>
        </w:trPr>
        <w:tc>
          <w:tcPr>
            <w:tcW w:w="7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3"/>
                <w:szCs w:val="13"/>
                <w:color w:val="auto"/>
              </w:rPr>
              <w:t>Net cash provided by (used in) investing activities</w:t>
            </w:r>
          </w:p>
        </w:tc>
        <w:tc>
          <w:tcPr>
            <w:tcW w:w="9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(52,263)</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10,271</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59"/>
        </w:trPr>
        <w:tc>
          <w:tcPr>
            <w:tcW w:w="786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9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
        </w:trPr>
        <w:tc>
          <w:tcPr>
            <w:tcW w:w="7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Proceeds from issuance of common stock upon follow-on public offering, net of issuance costs</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102,959</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197"/>
        </w:trPr>
        <w:tc>
          <w:tcPr>
            <w:tcW w:w="7860" w:type="dxa"/>
            <w:vAlign w:val="bottom"/>
          </w:tcPr>
          <w:p>
            <w:pPr>
              <w:ind w:left="20"/>
              <w:spacing w:after="0"/>
              <w:rPr>
                <w:sz w:val="20"/>
                <w:szCs w:val="20"/>
                <w:color w:val="auto"/>
              </w:rPr>
            </w:pPr>
            <w:r>
              <w:rPr>
                <w:rFonts w:ascii="Arial" w:cs="Arial" w:eastAsia="Arial" w:hAnsi="Arial"/>
                <w:sz w:val="13"/>
                <w:szCs w:val="13"/>
                <w:color w:val="auto"/>
              </w:rPr>
              <w:t>Proceeds from return of profit</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11,403</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18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Repurchase of Class A common stock</w:t>
            </w:r>
          </w:p>
        </w:tc>
        <w:tc>
          <w:tcPr>
            <w:tcW w:w="9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79"/>
        </w:trPr>
        <w:tc>
          <w:tcPr>
            <w:tcW w:w="7860" w:type="dxa"/>
            <w:vAlign w:val="bottom"/>
          </w:tcPr>
          <w:p>
            <w:pPr>
              <w:ind w:left="20"/>
              <w:spacing w:after="0"/>
              <w:rPr>
                <w:sz w:val="20"/>
                <w:szCs w:val="20"/>
                <w:color w:val="auto"/>
              </w:rPr>
            </w:pPr>
            <w:r>
              <w:rPr>
                <w:rFonts w:ascii="Arial" w:cs="Arial" w:eastAsia="Arial" w:hAnsi="Arial"/>
                <w:sz w:val="13"/>
                <w:szCs w:val="13"/>
                <w:color w:val="auto"/>
              </w:rPr>
              <w:t>Proceeds from stock option exercises including early exercised options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407</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5"/>
                <w:szCs w:val="15"/>
                <w:color w:val="auto"/>
              </w:rPr>
            </w:pPr>
          </w:p>
        </w:tc>
      </w:tr>
      <w:tr>
        <w:trPr>
          <w:trHeight w:val="23"/>
        </w:trPr>
        <w:tc>
          <w:tcPr>
            <w:tcW w:w="7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Proceeds from issuance of Series D-1 preferred stock, net of issuance costs</w:t>
            </w:r>
          </w:p>
        </w:tc>
        <w:tc>
          <w:tcPr>
            <w:tcW w:w="9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54,975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71"/>
        </w:trPr>
        <w:tc>
          <w:tcPr>
            <w:tcW w:w="7860" w:type="dxa"/>
            <w:vAlign w:val="bottom"/>
          </w:tcPr>
          <w:p>
            <w:pPr>
              <w:ind w:left="620"/>
              <w:spacing w:after="0"/>
              <w:rPr>
                <w:sz w:val="20"/>
                <w:szCs w:val="20"/>
                <w:color w:val="auto"/>
              </w:rPr>
            </w:pPr>
            <w:r>
              <w:rPr>
                <w:rFonts w:ascii="Arial" w:cs="Arial" w:eastAsia="Arial" w:hAnsi="Arial"/>
                <w:sz w:val="13"/>
                <w:szCs w:val="13"/>
                <w:color w:val="auto"/>
              </w:rPr>
              <w:t>Net cash provided by financing activities</w:t>
            </w:r>
          </w:p>
        </w:tc>
        <w:tc>
          <w:tcPr>
            <w:tcW w:w="9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114,756</w:t>
            </w: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55,040</w:t>
            </w:r>
          </w:p>
        </w:tc>
        <w:tc>
          <w:tcPr>
            <w:tcW w:w="100" w:type="dxa"/>
            <w:vAlign w:val="bottom"/>
          </w:tcPr>
          <w:p>
            <w:pPr>
              <w:spacing w:after="0"/>
              <w:rPr>
                <w:sz w:val="14"/>
                <w:szCs w:val="14"/>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17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increase in cash, cash equivalents and restricted cash</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37,271</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55,458</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9"/>
        </w:trPr>
        <w:tc>
          <w:tcPr>
            <w:tcW w:w="786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 beginning of period</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333,928</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17,828</w:t>
            </w:r>
          </w:p>
        </w:tc>
        <w:tc>
          <w:tcPr>
            <w:tcW w:w="100" w:type="dxa"/>
            <w:vAlign w:val="bottom"/>
          </w:tcPr>
          <w:p>
            <w:pPr>
              <w:spacing w:after="0"/>
              <w:rPr>
                <w:sz w:val="15"/>
                <w:szCs w:val="15"/>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1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end of period</w:t>
            </w:r>
          </w:p>
        </w:tc>
        <w:tc>
          <w:tcPr>
            <w:tcW w:w="94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371,199</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73,286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34"/>
        </w:trPr>
        <w:tc>
          <w:tcPr>
            <w:tcW w:w="7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3"/>
                <w:szCs w:val="13"/>
                <w:color w:val="auto"/>
              </w:rPr>
              <w:t>Cash paid for income taxes</w:t>
            </w:r>
          </w:p>
        </w:tc>
        <w:tc>
          <w:tcPr>
            <w:tcW w:w="940" w:type="dxa"/>
            <w:vAlign w:val="bottom"/>
          </w:tcPr>
          <w:p>
            <w:pPr>
              <w:jc w:val="right"/>
              <w:ind w:right="793"/>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441</w:t>
            </w:r>
          </w:p>
        </w:tc>
        <w:tc>
          <w:tcPr>
            <w:tcW w:w="100" w:type="dxa"/>
            <w:vAlign w:val="bottom"/>
          </w:tcPr>
          <w:p>
            <w:pPr>
              <w:spacing w:after="0"/>
              <w:rPr>
                <w:sz w:val="17"/>
                <w:szCs w:val="17"/>
                <w:color w:val="auto"/>
              </w:rPr>
            </w:pPr>
          </w:p>
        </w:tc>
        <w:tc>
          <w:tcPr>
            <w:tcW w:w="980" w:type="dxa"/>
            <w:vAlign w:val="bottom"/>
          </w:tcPr>
          <w:p>
            <w:pPr>
              <w:jc w:val="right"/>
              <w:ind w:right="833"/>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54"/>
        </w:trPr>
        <w:tc>
          <w:tcPr>
            <w:tcW w:w="78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9"/>
        </w:trPr>
        <w:tc>
          <w:tcPr>
            <w:tcW w:w="786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7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Property and equipment purchases included in accounts payable</w:t>
            </w:r>
          </w:p>
        </w:tc>
        <w:tc>
          <w:tcPr>
            <w:tcW w:w="94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72"/>
        </w:trPr>
        <w:tc>
          <w:tcPr>
            <w:tcW w:w="7860" w:type="dxa"/>
            <w:vAlign w:val="bottom"/>
          </w:tcPr>
          <w:p>
            <w:pPr>
              <w:ind w:left="20"/>
              <w:spacing w:after="0"/>
              <w:rPr>
                <w:sz w:val="20"/>
                <w:szCs w:val="20"/>
                <w:color w:val="auto"/>
              </w:rPr>
            </w:pPr>
            <w:r>
              <w:rPr>
                <w:rFonts w:ascii="Arial" w:cs="Arial" w:eastAsia="Arial" w:hAnsi="Arial"/>
                <w:sz w:val="13"/>
                <w:szCs w:val="13"/>
                <w:color w:val="auto"/>
              </w:rPr>
              <w:t>Property and equipment purchases included in accrued expenses</w:t>
            </w:r>
          </w:p>
        </w:tc>
        <w:tc>
          <w:tcPr>
            <w:tcW w:w="940" w:type="dxa"/>
            <w:vAlign w:val="bottom"/>
            <w:tcBorders>
              <w:bottom w:val="single" w:sz="8" w:color="auto"/>
            </w:tcBorders>
          </w:tcPr>
          <w:p>
            <w:pPr>
              <w:jc w:val="right"/>
              <w:ind w:right="793"/>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833"/>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Convertible preferred stock issuance costs included in accounts payable</w:t>
            </w:r>
          </w:p>
        </w:tc>
        <w:tc>
          <w:tcPr>
            <w:tcW w:w="940" w:type="dxa"/>
            <w:vAlign w:val="bottom"/>
            <w:shd w:val="clear" w:color="auto" w:fill="CCEEFF"/>
          </w:tcPr>
          <w:p>
            <w:pPr>
              <w:jc w:val="right"/>
              <w:ind w:right="793"/>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833"/>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8"/>
                <w:szCs w:val="18"/>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159385</wp:posOffset>
            </wp:positionV>
            <wp:extent cx="716661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40"/>
          </w:cols>
          <w:pgMar w:left="380" w:top="123" w:right="3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0" w:hanging="599"/>
        <w:spacing w:after="0"/>
        <w:tabs>
          <w:tab w:leader="none" w:pos="6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DESCRIPTION OF THE BUSINESS</w:t>
      </w:r>
    </w:p>
    <w:p>
      <w:pPr>
        <w:spacing w:after="0" w:line="162" w:lineRule="exact"/>
        <w:rPr>
          <w:sz w:val="20"/>
          <w:szCs w:val="20"/>
          <w:color w:val="auto"/>
        </w:rPr>
      </w:pPr>
    </w:p>
    <w:p>
      <w:pPr>
        <w:ind w:right="160" w:firstLine="303"/>
        <w:spacing w:after="0" w:line="253" w:lineRule="auto"/>
        <w:rPr>
          <w:sz w:val="20"/>
          <w:szCs w:val="20"/>
          <w:color w:val="auto"/>
        </w:rPr>
      </w:pPr>
      <w:r>
        <w:rPr>
          <w:rFonts w:ascii="Arial" w:cs="Arial" w:eastAsia="Arial" w:hAnsi="Arial"/>
          <w:sz w:val="17"/>
          <w:szCs w:val="17"/>
          <w:color w:val="auto"/>
        </w:rPr>
        <w:t>Seer, Inc. (the Company) was incorporated in Delaware on March 16, 2017, and is based in Redwood City, California. In December 2020, the Company formed the wholly-owned subsidiary, Seer Securities Corporation, located in Massachusetts. The Company is a life sciences company focused on capturing deep molecular insights from the proteome to enable novel insights and breakthroughs in the understanding of biology and disease. Since inception, the Company has devoted its efforts principally to research and development of its technology and product candidates, recruiting management and technical staff, acquiring operating assets, and raising capital.</w:t>
      </w:r>
    </w:p>
    <w:p>
      <w:pPr>
        <w:spacing w:after="0" w:line="130" w:lineRule="exact"/>
        <w:rPr>
          <w:sz w:val="20"/>
          <w:szCs w:val="20"/>
          <w:color w:val="auto"/>
        </w:rPr>
      </w:pPr>
    </w:p>
    <w:p>
      <w:pPr>
        <w:ind w:right="220" w:firstLine="303"/>
        <w:spacing w:after="0" w:line="258" w:lineRule="auto"/>
        <w:rPr>
          <w:sz w:val="20"/>
          <w:szCs w:val="20"/>
          <w:color w:val="auto"/>
        </w:rPr>
      </w:pPr>
      <w:r>
        <w:rPr>
          <w:rFonts w:ascii="Arial" w:cs="Arial" w:eastAsia="Arial" w:hAnsi="Arial"/>
          <w:sz w:val="17"/>
          <w:szCs w:val="17"/>
          <w:color w:val="auto"/>
        </w:rPr>
        <w:t>The Company is subject to a number of risks, similar to other early-stage life science companies, including, but not limited to, development and commercialization of its products, market acceptance of its products, development by its competitors of new technological innovations, protection of its intellectual property, and raising additional capital.</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Public Offering</w:t>
      </w:r>
    </w:p>
    <w:p>
      <w:pPr>
        <w:spacing w:after="0" w:line="158" w:lineRule="exact"/>
        <w:rPr>
          <w:sz w:val="20"/>
          <w:szCs w:val="20"/>
          <w:color w:val="auto"/>
        </w:rPr>
      </w:pPr>
    </w:p>
    <w:p>
      <w:pPr>
        <w:jc w:val="both"/>
        <w:ind w:right="380" w:firstLine="303"/>
        <w:spacing w:after="0" w:line="338" w:lineRule="auto"/>
        <w:rPr>
          <w:sz w:val="20"/>
          <w:szCs w:val="20"/>
          <w:color w:val="auto"/>
        </w:rPr>
      </w:pPr>
      <w:r>
        <w:rPr>
          <w:rFonts w:ascii="Arial" w:cs="Arial" w:eastAsia="Arial" w:hAnsi="Arial"/>
          <w:sz w:val="15"/>
          <w:szCs w:val="15"/>
          <w:color w:val="auto"/>
        </w:rPr>
        <w:t>On February 1, 2021, the Company completed an underwritten public offering of 1,650,000 shares of its Class A common stock at a public offering price of $67.00 per share. The Company received net proceeds of $103.0 million after deducting offering costs, underwriting discounts, and commissions of $7.6 million.</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158" w:lineRule="exact"/>
        <w:rPr>
          <w:sz w:val="20"/>
          <w:szCs w:val="20"/>
          <w:color w:val="auto"/>
        </w:rPr>
      </w:pPr>
    </w:p>
    <w:p>
      <w:pPr>
        <w:ind w:right="100" w:firstLine="303"/>
        <w:spacing w:after="0" w:line="295" w:lineRule="auto"/>
        <w:rPr>
          <w:sz w:val="20"/>
          <w:szCs w:val="20"/>
          <w:color w:val="auto"/>
        </w:rPr>
      </w:pPr>
      <w:r>
        <w:rPr>
          <w:rFonts w:ascii="Arial" w:cs="Arial" w:eastAsia="Arial" w:hAnsi="Arial"/>
          <w:sz w:val="15"/>
          <w:szCs w:val="15"/>
          <w:color w:val="auto"/>
        </w:rPr>
        <w:t>In November 2020, the Company’s board of directors approved an amended and restated certificate of incorporation to effect a reverse split of shares of the Company’s common stock and convertible preferred stock on a 1-for-2.14 basis (the Reverse Stock Split) effective as of November 25, 2020. The par values of the common stock and convertible preferred stock were not adjusted as a result of the Reverse Stock Split. All references to common stock, options to purchase common stock, restricted stock awards, restricted stock units, convertible preferred stock, share data, per share data, and related information contained in the unaudited condensed consolidated financial statements have been retrospectively adjusted to reflect the effect of the Reverse Stock Split for all periods presented.</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Liquidity</w:t>
      </w:r>
    </w:p>
    <w:p>
      <w:pPr>
        <w:spacing w:after="0" w:line="158" w:lineRule="exact"/>
        <w:rPr>
          <w:sz w:val="20"/>
          <w:szCs w:val="20"/>
          <w:color w:val="auto"/>
        </w:rPr>
      </w:pPr>
    </w:p>
    <w:p>
      <w:pPr>
        <w:ind w:right="40" w:firstLine="303"/>
        <w:spacing w:after="0" w:line="272" w:lineRule="auto"/>
        <w:rPr>
          <w:sz w:val="20"/>
          <w:szCs w:val="20"/>
          <w:color w:val="auto"/>
        </w:rPr>
      </w:pPr>
      <w:r>
        <w:rPr>
          <w:rFonts w:ascii="Arial" w:cs="Arial" w:eastAsia="Arial" w:hAnsi="Arial"/>
          <w:sz w:val="16"/>
          <w:szCs w:val="16"/>
          <w:color w:val="auto"/>
        </w:rPr>
        <w:t>As of June 30, 2021, the Company has incurred significant losses and has had negative cash flows from operations. As of June 30, 2021, the Company had cash, cash equivalents and investments of $517.8 million and an accumulated deficit of $88.4 million. Management expects to continue to incur significant expenses for the foreseeable future and to incur operating losses in the near term while the Company makes investments to support its anticipated growth. The Company believes that its cash and cash equivalents balance as of June 30, 2021 provides sufficient capital resources to continue its operations for at least 12 months from the issuance date of the accompanying unaudited condensed consolidated financial statements.</w:t>
      </w:r>
    </w:p>
    <w:p>
      <w:pPr>
        <w:spacing w:after="0" w:line="113" w:lineRule="exact"/>
        <w:rPr>
          <w:sz w:val="20"/>
          <w:szCs w:val="20"/>
          <w:color w:val="auto"/>
        </w:rPr>
      </w:pPr>
    </w:p>
    <w:p>
      <w:pPr>
        <w:ind w:left="600" w:hanging="599"/>
        <w:spacing w:after="0"/>
        <w:tabs>
          <w:tab w:leader="none" w:pos="6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AND BASIS OF PRESENTATION</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58" w:lineRule="exact"/>
        <w:rPr>
          <w:sz w:val="20"/>
          <w:szCs w:val="20"/>
          <w:color w:val="auto"/>
        </w:rPr>
      </w:pPr>
    </w:p>
    <w:p>
      <w:pPr>
        <w:ind w:right="120" w:firstLine="303"/>
        <w:spacing w:after="0" w:line="299" w:lineRule="auto"/>
        <w:rPr>
          <w:sz w:val="20"/>
          <w:szCs w:val="20"/>
          <w:color w:val="auto"/>
        </w:rPr>
      </w:pPr>
      <w:r>
        <w:rPr>
          <w:rFonts w:ascii="Arial" w:cs="Arial" w:eastAsia="Arial" w:hAnsi="Arial"/>
          <w:sz w:val="15"/>
          <w:szCs w:val="15"/>
          <w:color w:val="auto"/>
        </w:rPr>
        <w:t>The unaudited condensed consolidated financial statements have been prepared in accordance with accounting principles generally accepted in the United States of America (U.S. GAAP). The Company has issued shares of Class A common stock, herein referred to as “Class A common stock” or “Class A,” and Class B common stock, herein referred to as “Class B common stock” or “Class B,” and collectively as “common stock.” The unaudited condensed consolidated financial statements include the accounts of Seer, Inc. and its wholly-owned subsidiary. All intercompany transactions and balances have been eliminated.</w:t>
      </w:r>
    </w:p>
    <w:p>
      <w:pPr>
        <w:spacing w:after="0" w:line="99" w:lineRule="exact"/>
        <w:rPr>
          <w:sz w:val="20"/>
          <w:szCs w:val="20"/>
          <w:color w:val="auto"/>
        </w:rPr>
      </w:pPr>
    </w:p>
    <w:p>
      <w:pPr>
        <w:ind w:firstLine="303"/>
        <w:spacing w:after="0" w:line="255" w:lineRule="auto"/>
        <w:rPr>
          <w:sz w:val="20"/>
          <w:szCs w:val="20"/>
          <w:color w:val="auto"/>
        </w:rPr>
      </w:pPr>
      <w:r>
        <w:rPr>
          <w:rFonts w:ascii="Arial" w:cs="Arial" w:eastAsia="Arial" w:hAnsi="Arial"/>
          <w:sz w:val="17"/>
          <w:szCs w:val="17"/>
          <w:color w:val="auto"/>
        </w:rPr>
        <w:t>The condensed consolidated balance sheet at December 31, 2020 has been derived from the audited consolidated financial statements of the Company at that date. Certain information and footnote disclosures typically included in the Company’s audited consolidated financial statements have been condensed or omitted. The accompanying unaudited condensed consolidated financial statements have been prepared on the same basis as the annual consolidated financial statements and, in the opinion of management, reflect all adjustments, which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only normal recurring adjustments, necessary to state fairly the Company’s financial position, results of operations, comprehensive loss and cash flows for the periods presented, but are not necessarily indicative of the results of operations to be anticipated for any future annual or interim period.</w:t>
      </w:r>
    </w:p>
    <w:p>
      <w:pPr>
        <w:spacing w:after="0" w:line="115" w:lineRule="exact"/>
        <w:rPr>
          <w:sz w:val="20"/>
          <w:szCs w:val="20"/>
          <w:color w:val="auto"/>
        </w:rPr>
      </w:pPr>
    </w:p>
    <w:p>
      <w:pPr>
        <w:ind w:right="520" w:firstLine="303"/>
        <w:spacing w:after="0" w:line="338" w:lineRule="auto"/>
        <w:rPr>
          <w:sz w:val="20"/>
          <w:szCs w:val="20"/>
          <w:color w:val="auto"/>
        </w:rPr>
      </w:pPr>
      <w:r>
        <w:rPr>
          <w:rFonts w:ascii="Arial" w:cs="Arial" w:eastAsia="Arial" w:hAnsi="Arial"/>
          <w:sz w:val="15"/>
          <w:szCs w:val="15"/>
          <w:color w:val="auto"/>
        </w:rPr>
        <w:t>The accompanying unaudited condensed consolidated financial statements and notes should be read in conjunction with the audited consolidated financial statements and related notes for the year ended December 31, 2020 included in the Annual Report on Form 10-K filed with the SEC on March 29, 2021.</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58" w:lineRule="exact"/>
        <w:rPr>
          <w:sz w:val="20"/>
          <w:szCs w:val="20"/>
          <w:color w:val="auto"/>
        </w:rPr>
      </w:pPr>
    </w:p>
    <w:p>
      <w:pPr>
        <w:ind w:right="220" w:firstLine="303"/>
        <w:spacing w:after="0" w:line="270" w:lineRule="auto"/>
        <w:rPr>
          <w:sz w:val="20"/>
          <w:szCs w:val="20"/>
          <w:color w:val="auto"/>
        </w:rPr>
      </w:pPr>
      <w:r>
        <w:rPr>
          <w:rFonts w:ascii="Arial" w:cs="Arial" w:eastAsia="Arial" w:hAnsi="Arial"/>
          <w:sz w:val="16"/>
          <w:szCs w:val="16"/>
          <w:color w:val="auto"/>
        </w:rPr>
        <w:t>The preparation of unaudited condensed consolidated financial statements in conformity with U.S. GAAP requires management to make estimates and assumptions that affect the reported amounts of assets, liabilities, and the disclosure of contingent assets and liabilities at the date of the unaudited condensed consolidated financial statements and the reported amounts of expenses during the reporting period. On an ongoing basis, the Company evaluates its estimates and assumptions, including, but not limited to, those related to the determination of stand-alone selling price for revenue recognition, the fair value of common stock, stock-based compensation, accrued research and development expenses, allowance for credit losses, inventory valuation, useful lives and valuation of property and equipment, income tax uncertainties, and tax valuation allowances.</w:t>
      </w:r>
    </w:p>
    <w:p>
      <w:pPr>
        <w:spacing w:after="0" w:line="120" w:lineRule="exact"/>
        <w:rPr>
          <w:sz w:val="20"/>
          <w:szCs w:val="20"/>
          <w:color w:val="auto"/>
        </w:rPr>
      </w:pPr>
    </w:p>
    <w:p>
      <w:pPr>
        <w:ind w:right="80" w:firstLine="303"/>
        <w:spacing w:after="0" w:line="258" w:lineRule="auto"/>
        <w:rPr>
          <w:sz w:val="20"/>
          <w:szCs w:val="20"/>
          <w:color w:val="auto"/>
        </w:rPr>
      </w:pPr>
      <w:r>
        <w:rPr>
          <w:rFonts w:ascii="Arial" w:cs="Arial" w:eastAsia="Arial" w:hAnsi="Arial"/>
          <w:sz w:val="17"/>
          <w:szCs w:val="17"/>
          <w:color w:val="auto"/>
        </w:rPr>
        <w:t>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Impact of the COVID-19 Pandemic</w:t>
      </w:r>
    </w:p>
    <w:p>
      <w:pPr>
        <w:spacing w:after="0" w:line="158" w:lineRule="exact"/>
        <w:rPr>
          <w:sz w:val="20"/>
          <w:szCs w:val="20"/>
          <w:color w:val="auto"/>
        </w:rPr>
      </w:pPr>
    </w:p>
    <w:p>
      <w:pPr>
        <w:ind w:firstLine="303"/>
        <w:spacing w:after="0" w:line="251" w:lineRule="auto"/>
        <w:rPr>
          <w:sz w:val="20"/>
          <w:szCs w:val="20"/>
          <w:color w:val="auto"/>
        </w:rPr>
      </w:pPr>
      <w:r>
        <w:rPr>
          <w:rFonts w:ascii="Arial" w:cs="Arial" w:eastAsia="Arial" w:hAnsi="Arial"/>
          <w:sz w:val="17"/>
          <w:szCs w:val="17"/>
          <w:color w:val="auto"/>
        </w:rPr>
        <w:t>As a result of the COVID-19 pandemic (COVID-19), the Company’s operations experienced disruptions and restrictions on employees’ ability to work and on the hiring of additional personnel, particularly as a result of preventive and precautionary measures taken by the Company and some of its suppliers and other service providers. In particular, some of the Company’s laboratory material and equipment suppliers, collaborators, and service providers used in the performance of its research activities and phased commercial launch plan have been similarly impacted by COVID-19, which may limit the Company’s ability to achieve its planned progress. COVID-19 has adversely affected the broader economy, which could affect the Company’s financing prospects. Continued disruptions from COVID-19 could harm the Company’s operations and the Company cannot anticipate all the ways in which it could be adversely impacted by health epidemics such as COVID-19.</w:t>
      </w:r>
    </w:p>
    <w:p>
      <w:pPr>
        <w:spacing w:after="0" w:line="132" w:lineRule="exact"/>
        <w:rPr>
          <w:sz w:val="20"/>
          <w:szCs w:val="20"/>
          <w:color w:val="auto"/>
        </w:rPr>
      </w:pPr>
    </w:p>
    <w:p>
      <w:pPr>
        <w:ind w:firstLine="303"/>
        <w:spacing w:after="0" w:line="276" w:lineRule="auto"/>
        <w:rPr>
          <w:sz w:val="20"/>
          <w:szCs w:val="20"/>
          <w:color w:val="auto"/>
        </w:rPr>
      </w:pPr>
      <w:r>
        <w:rPr>
          <w:rFonts w:ascii="Arial" w:cs="Arial" w:eastAsia="Arial" w:hAnsi="Arial"/>
          <w:sz w:val="16"/>
          <w:szCs w:val="16"/>
          <w:color w:val="auto"/>
        </w:rPr>
        <w:t>The COVID-19 pandemic has mainly impacted the progress of research and development activities due to the limited ability of the Company’s employees to access laboratories during times of statewide quarantine and on some of its suppliers who have experienced a surge in demand for their products resulting in supply delays for critical hardware, instrumentation and medical and testing supplies used for product development. The Company continues to monitor and assess the effects of the COVID-19 pandemic on its business, financial condition, results of operations and cash flows.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58" w:lineRule="exact"/>
        <w:rPr>
          <w:sz w:val="20"/>
          <w:szCs w:val="20"/>
          <w:color w:val="auto"/>
        </w:rPr>
      </w:pPr>
    </w:p>
    <w:p>
      <w:pPr>
        <w:ind w:right="480" w:firstLine="303"/>
        <w:spacing w:after="0" w:line="338" w:lineRule="auto"/>
        <w:rPr>
          <w:sz w:val="20"/>
          <w:szCs w:val="20"/>
          <w:color w:val="auto"/>
        </w:rPr>
      </w:pPr>
      <w:r>
        <w:rPr>
          <w:rFonts w:ascii="Arial" w:cs="Arial" w:eastAsia="Arial" w:hAnsi="Arial"/>
          <w:sz w:val="15"/>
          <w:szCs w:val="15"/>
          <w:color w:val="auto"/>
        </w:rPr>
        <w:t>The Company considers all highly liquid investments with an original maturity of three months or less at the date of purchase to be cash equivalents. As of June 30, 2021 and December 31, 2020, all amounts recorded as cash and cash equivalents consist of money market funds and are stated at fair value.</w:t>
      </w:r>
    </w:p>
    <w:p>
      <w:pPr>
        <w:spacing w:after="0" w:line="69" w:lineRule="exact"/>
        <w:rPr>
          <w:sz w:val="20"/>
          <w:szCs w:val="20"/>
          <w:color w:val="auto"/>
        </w:rPr>
      </w:pPr>
    </w:p>
    <w:p>
      <w:pPr>
        <w:ind w:right="140" w:firstLine="303"/>
        <w:spacing w:after="0" w:line="270" w:lineRule="auto"/>
        <w:rPr>
          <w:sz w:val="20"/>
          <w:szCs w:val="20"/>
          <w:color w:val="auto"/>
        </w:rPr>
      </w:pPr>
      <w:r>
        <w:rPr>
          <w:rFonts w:ascii="Arial" w:cs="Arial" w:eastAsia="Arial" w:hAnsi="Arial"/>
          <w:sz w:val="17"/>
          <w:szCs w:val="17"/>
          <w:color w:val="auto"/>
        </w:rPr>
        <w:t>Restricted cash as of June 30, 2021 and December 31, 2020 represents cash held by a financial institution as security for a letter of credit issued to the lessor for one of the Company’s operating leases and is classified as non-current.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80" w:firstLine="303"/>
        <w:spacing w:after="0" w:line="301"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unaudited condensed consolidated balance sheets that sum to the total of the same amounts shown in the unaudited condensed consolidated statements of cash flows (in thousands):</w:t>
      </w:r>
    </w:p>
    <w:p>
      <w:pPr>
        <w:spacing w:after="0" w:line="13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gridSpan w:val="2"/>
          </w:tcPr>
          <w:p>
            <w:pPr>
              <w:ind w:left="200"/>
              <w:spacing w:after="0"/>
              <w:rPr>
                <w:sz w:val="20"/>
                <w:szCs w:val="20"/>
                <w:color w:val="auto"/>
              </w:rPr>
            </w:pPr>
            <w:r>
              <w:rPr>
                <w:rFonts w:ascii="Arial" w:cs="Arial" w:eastAsia="Arial" w:hAnsi="Arial"/>
                <w:sz w:val="13"/>
                <w:szCs w:val="13"/>
                <w:b w:val="1"/>
                <w:bCs w:val="1"/>
                <w:color w:val="auto"/>
              </w:rPr>
              <w:t>June 30,</w:t>
            </w:r>
          </w:p>
        </w:tc>
        <w:tc>
          <w:tcPr>
            <w:tcW w:w="540" w:type="dxa"/>
            <w:vAlign w:val="bottom"/>
          </w:tcPr>
          <w:p>
            <w:pPr>
              <w:spacing w:after="0"/>
              <w:rPr>
                <w:sz w:val="16"/>
                <w:szCs w:val="16"/>
                <w:color w:val="auto"/>
              </w:rPr>
            </w:pPr>
          </w:p>
        </w:tc>
        <w:tc>
          <w:tcPr>
            <w:tcW w:w="1300" w:type="dxa"/>
            <w:vAlign w:val="bottom"/>
          </w:tcPr>
          <w:p>
            <w:pPr>
              <w:jc w:val="right"/>
              <w:ind w:right="303"/>
              <w:spacing w:after="0"/>
              <w:rPr>
                <w:sz w:val="20"/>
                <w:szCs w:val="20"/>
                <w:color w:val="auto"/>
              </w:rPr>
            </w:pPr>
            <w:r>
              <w:rPr>
                <w:rFonts w:ascii="Arial" w:cs="Arial" w:eastAsia="Arial" w:hAnsi="Arial"/>
                <w:sz w:val="13"/>
                <w:szCs w:val="13"/>
                <w:b w:val="1"/>
                <w:bCs w:val="1"/>
                <w:color w:val="auto"/>
              </w:rPr>
              <w:t>December 31,</w:t>
            </w:r>
          </w:p>
        </w:tc>
      </w:tr>
      <w:tr>
        <w:trPr>
          <w:trHeight w:val="182"/>
        </w:trPr>
        <w:tc>
          <w:tcPr>
            <w:tcW w:w="58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2020</w:t>
            </w:r>
          </w:p>
        </w:tc>
      </w:tr>
      <w:tr>
        <w:trPr>
          <w:trHeight w:val="225"/>
        </w:trPr>
        <w:tc>
          <w:tcPr>
            <w:tcW w:w="5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4"/>
        </w:trPr>
        <w:tc>
          <w:tcPr>
            <w:tcW w:w="5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6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370,675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333,585</w:t>
            </w:r>
          </w:p>
        </w:tc>
      </w:tr>
      <w:tr>
        <w:trPr>
          <w:trHeight w:val="214"/>
        </w:trPr>
        <w:tc>
          <w:tcPr>
            <w:tcW w:w="58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Restricted cash</w:t>
            </w: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w:t>
            </w:r>
          </w:p>
        </w:tc>
      </w:tr>
      <w:tr>
        <w:trPr>
          <w:trHeight w:val="232"/>
        </w:trPr>
        <w:tc>
          <w:tcPr>
            <w:tcW w:w="5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cash, cash equivalents and restricted cash</w:t>
            </w:r>
          </w:p>
        </w:tc>
        <w:tc>
          <w:tcPr>
            <w:tcW w:w="6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371,199</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333,928</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Accounts Receivable, Net</w:t>
      </w:r>
    </w:p>
    <w:p>
      <w:pPr>
        <w:spacing w:after="0" w:line="158" w:lineRule="exact"/>
        <w:rPr>
          <w:sz w:val="20"/>
          <w:szCs w:val="20"/>
          <w:color w:val="auto"/>
        </w:rPr>
      </w:pPr>
    </w:p>
    <w:p>
      <w:pPr>
        <w:ind w:right="280" w:firstLine="303"/>
        <w:spacing w:after="0" w:line="270" w:lineRule="auto"/>
        <w:rPr>
          <w:sz w:val="20"/>
          <w:szCs w:val="20"/>
          <w:color w:val="auto"/>
        </w:rPr>
      </w:pPr>
      <w:r>
        <w:rPr>
          <w:rFonts w:ascii="Arial" w:cs="Arial" w:eastAsia="Arial" w:hAnsi="Arial"/>
          <w:sz w:val="16"/>
          <w:szCs w:val="16"/>
          <w:color w:val="auto"/>
        </w:rPr>
        <w:t>Accounts receivable consist of amounts due from customers for the sales of products and services, net of any allowance for credit losses. The Company’s expected loss allowance methodology for receivables is developed using its historical collection experience, current and future economic market conditions and a review of the current aging status and financial condition of its customers. Specific allowance amounts are established to record the appropriate allowance for customers that have an identified risk of default. General allowance amounts are established based upon an assessment of expected credit losses for the Company’s receivables by aging category. Balances are written off when they are ultimately determined to be uncollectible. There was no allowance for credit losses related to accounts receivable as of June 30, 2021 and December 31, 2020.</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Inventory</w:t>
      </w:r>
    </w:p>
    <w:p>
      <w:pPr>
        <w:spacing w:after="0" w:line="158" w:lineRule="exact"/>
        <w:rPr>
          <w:sz w:val="20"/>
          <w:szCs w:val="20"/>
          <w:color w:val="auto"/>
        </w:rPr>
      </w:pPr>
    </w:p>
    <w:p>
      <w:pPr>
        <w:jc w:val="both"/>
        <w:ind w:right="340" w:firstLine="303"/>
        <w:spacing w:after="0" w:line="258" w:lineRule="auto"/>
        <w:rPr>
          <w:sz w:val="20"/>
          <w:szCs w:val="20"/>
          <w:color w:val="auto"/>
        </w:rPr>
      </w:pPr>
      <w:r>
        <w:rPr>
          <w:rFonts w:ascii="Arial" w:cs="Arial" w:eastAsia="Arial" w:hAnsi="Arial"/>
          <w:sz w:val="17"/>
          <w:szCs w:val="17"/>
          <w:color w:val="auto"/>
        </w:rPr>
        <w:t>Inventory is recorded at the lower of standard cost, which approximates actual cost on a weighted-average basis, or net realizable value. Provisions for slow-moving, excess or obsolete inventories are recorded when required to reduce inventory values to their estimated net realizable values based on product expiration, development plans, or quality issues.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Product and Service Revenue</w:t>
      </w:r>
    </w:p>
    <w:p>
      <w:pPr>
        <w:spacing w:after="0" w:line="158" w:lineRule="exact"/>
        <w:rPr>
          <w:sz w:val="20"/>
          <w:szCs w:val="20"/>
          <w:color w:val="auto"/>
        </w:rPr>
      </w:pPr>
    </w:p>
    <w:p>
      <w:pPr>
        <w:jc w:val="both"/>
        <w:ind w:right="360" w:firstLine="303"/>
        <w:spacing w:after="0" w:line="270" w:lineRule="auto"/>
        <w:rPr>
          <w:sz w:val="20"/>
          <w:szCs w:val="20"/>
          <w:color w:val="auto"/>
        </w:rPr>
      </w:pPr>
      <w:r>
        <w:rPr>
          <w:rFonts w:ascii="Arial" w:cs="Arial" w:eastAsia="Arial" w:hAnsi="Arial"/>
          <w:sz w:val="17"/>
          <w:szCs w:val="17"/>
          <w:color w:val="auto"/>
        </w:rPr>
        <w:t>The Company generates revenue from sales of products and services. The Company’s products consist of instruments and consumables. The Company began shipping its Proteograph Product Suite and consumable kits during the second quarter of 2021.</w:t>
      </w:r>
    </w:p>
    <w:p>
      <w:pPr>
        <w:spacing w:after="0" w:line="115" w:lineRule="exact"/>
        <w:rPr>
          <w:sz w:val="20"/>
          <w:szCs w:val="20"/>
          <w:color w:val="auto"/>
        </w:rPr>
      </w:pPr>
    </w:p>
    <w:p>
      <w:pPr>
        <w:ind w:right="20" w:firstLine="303"/>
        <w:spacing w:after="0" w:line="268" w:lineRule="auto"/>
        <w:rPr>
          <w:sz w:val="20"/>
          <w:szCs w:val="20"/>
          <w:color w:val="auto"/>
        </w:rPr>
      </w:pPr>
      <w:r>
        <w:rPr>
          <w:rFonts w:ascii="Arial" w:cs="Arial" w:eastAsia="Arial" w:hAnsi="Arial"/>
          <w:sz w:val="16"/>
          <w:szCs w:val="16"/>
          <w:color w:val="auto"/>
        </w:rPr>
        <w:t>The Company recognizes revenue when control of the products and services is transferred to its customers in an amount that reflects the consideration it expects to receive from its customers in exchange for those products and services.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The Company considers a performance obligation satisfied once it has transferred control of a good or service to the customer, meaning the customer has the ability to use and obtain the benefit of the good or service. The Company elected to account for shipping and handling activities that occur after the customer has obtained control as a fulfillment activity and not a separate performance obligation.</w:t>
      </w:r>
    </w:p>
    <w:p>
      <w:pPr>
        <w:spacing w:after="0" w:line="122" w:lineRule="exact"/>
        <w:rPr>
          <w:sz w:val="20"/>
          <w:szCs w:val="20"/>
          <w:color w:val="auto"/>
        </w:rPr>
      </w:pPr>
    </w:p>
    <w:p>
      <w:pPr>
        <w:ind w:firstLine="303"/>
        <w:spacing w:after="0" w:line="255" w:lineRule="auto"/>
        <w:rPr>
          <w:sz w:val="20"/>
          <w:szCs w:val="20"/>
          <w:color w:val="auto"/>
        </w:rPr>
      </w:pPr>
      <w:r>
        <w:rPr>
          <w:rFonts w:ascii="Arial" w:cs="Arial" w:eastAsia="Arial" w:hAnsi="Arial"/>
          <w:sz w:val="17"/>
          <w:szCs w:val="17"/>
          <w:color w:val="auto"/>
        </w:rPr>
        <w:t>Revenue from product sales is recognized when control of the product is transferred, which is generally upon shipment to the customer. In instances where right of payment or transfer of title is contingent upon the customer’s acceptance of the product, revenue is deferred until all acceptance criteria have been met. Revenue is recorded net of discounts and sales taxes collected on behalf of governmental authorities. Customers are invoiced generally upon shipment, or upon order for services, and payment is typically due within 30 or 60 days. Cash received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520"/>
        <w:spacing w:after="0" w:line="270" w:lineRule="auto"/>
        <w:rPr>
          <w:sz w:val="20"/>
          <w:szCs w:val="20"/>
          <w:color w:val="auto"/>
        </w:rPr>
      </w:pPr>
      <w:r>
        <w:rPr>
          <w:rFonts w:ascii="Arial" w:cs="Arial" w:eastAsia="Arial" w:hAnsi="Arial"/>
          <w:sz w:val="17"/>
          <w:szCs w:val="17"/>
          <w:color w:val="auto"/>
        </w:rPr>
        <w:t>customers in advance of product shipment or providing services is recorded as a contract liability. The Company’s contracts with its customers generally do not include rights of return or a significant financing component.</w:t>
      </w:r>
    </w:p>
    <w:p>
      <w:pPr>
        <w:spacing w:after="0" w:line="115" w:lineRule="exact"/>
        <w:rPr>
          <w:sz w:val="20"/>
          <w:szCs w:val="20"/>
          <w:color w:val="auto"/>
        </w:rPr>
      </w:pPr>
    </w:p>
    <w:p>
      <w:pPr>
        <w:ind w:right="20" w:firstLine="303"/>
        <w:spacing w:after="0" w:line="276" w:lineRule="auto"/>
        <w:rPr>
          <w:sz w:val="20"/>
          <w:szCs w:val="20"/>
          <w:color w:val="auto"/>
        </w:rPr>
      </w:pPr>
      <w:r>
        <w:rPr>
          <w:rFonts w:ascii="Arial" w:cs="Arial" w:eastAsia="Arial" w:hAnsi="Arial"/>
          <w:sz w:val="16"/>
          <w:szCs w:val="16"/>
          <w:color w:val="auto"/>
        </w:rPr>
        <w:t>The Company regularly enters into contracts that include various combinations of products and services which are generally distinct and accounted for as separate performance obligations. The transaction price is allocated to each performance obligation in proportion to its standalone selling price. The Company determines standalone selling price using average selling prices with consideration of current market conditions. If the product or service has no history of sales or if the sales volume is not sufficient, the Company relies upon prices set by management, adjusted for applicable discounts.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Grant Revenue</w:t>
      </w:r>
    </w:p>
    <w:p>
      <w:pPr>
        <w:spacing w:after="0" w:line="158" w:lineRule="exact"/>
        <w:rPr>
          <w:sz w:val="20"/>
          <w:szCs w:val="20"/>
          <w:color w:val="auto"/>
        </w:rPr>
      </w:pPr>
    </w:p>
    <w:p>
      <w:pPr>
        <w:ind w:right="120" w:firstLine="303"/>
        <w:spacing w:after="0" w:line="272" w:lineRule="auto"/>
        <w:rPr>
          <w:sz w:val="20"/>
          <w:szCs w:val="20"/>
          <w:color w:val="auto"/>
        </w:rPr>
      </w:pPr>
      <w:r>
        <w:rPr>
          <w:rFonts w:ascii="Arial" w:cs="Arial" w:eastAsia="Arial" w:hAnsi="Arial"/>
          <w:sz w:val="16"/>
          <w:szCs w:val="16"/>
          <w:color w:val="auto"/>
        </w:rPr>
        <w:t>Grant revenue represents funding under cost reimbursement programs from federal foundation sources for qualified research and development activities performed by the Company and are not based on estimates that are subject to change. Grants received are assessed to determine if the agreement should be accounted for as an exchange transaction or a contribution. An agreement is accounted for as a contribution if the resource provider does not receive commensurate value in return for the assets transferred. Such amounts are recorded as revenue as grant-funded activities are performed up to the amount of expenses incurred. Any advance funding payments are recorded as deferred revenue until the activities are performed.</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Shipping and Handling Costs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Shipping and handling costs are included in cost of revenue.</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58" w:lineRule="exact"/>
        <w:rPr>
          <w:sz w:val="20"/>
          <w:szCs w:val="20"/>
          <w:color w:val="auto"/>
        </w:rPr>
      </w:pPr>
    </w:p>
    <w:p>
      <w:pPr>
        <w:ind w:firstLine="303"/>
        <w:spacing w:after="0" w:line="267" w:lineRule="auto"/>
        <w:rPr>
          <w:sz w:val="20"/>
          <w:szCs w:val="20"/>
          <w:color w:val="auto"/>
        </w:rPr>
      </w:pPr>
      <w:r>
        <w:rPr>
          <w:rFonts w:ascii="Arial" w:cs="Arial" w:eastAsia="Arial" w:hAnsi="Arial"/>
          <w:sz w:val="16"/>
          <w:szCs w:val="16"/>
          <w:color w:val="auto"/>
        </w:rPr>
        <w:t>The Company accounts for stock-based compensation, including from restricted common stock awards (RSAs), grants of restricted stock units (RSUs), and stock options that may be settled in shares of our common stock, based on the fair values of the equity instruments issued. The fair value is determined on the measurement date, which is generally the date of grant. The fair value of RSAs is the difference between the fair value of the underlying stock at the measurement date and the purchase price. The fair value of RSUs is the fair value of the underlying stock at the measurement date. The fair value for our stock option awards is determined at the grant date using the Black-Scholes valuation model. For share-based payment awards that vest subject to the satisfaction of a service requirement, the fair value of the awards is recognized as expense on a straight-line basis over the requisite service period in which the awards are expected to vest. For share-based payment awards with performance-based vesting conditions, the fair value of the awards is recognized as expense using the accelerated attribution method over the vesting period. Forfeitures are accounted for in the period in which they occur. Share-based payment awards that include a service condition and a performance condition are expected to vest when the performance condition is probable of being met.</w:t>
      </w:r>
    </w:p>
    <w:p>
      <w:pPr>
        <w:spacing w:after="0" w:line="125" w:lineRule="exact"/>
        <w:rPr>
          <w:sz w:val="20"/>
          <w:szCs w:val="20"/>
          <w:color w:val="auto"/>
        </w:rPr>
      </w:pPr>
    </w:p>
    <w:p>
      <w:pPr>
        <w:ind w:right="20" w:firstLine="303"/>
        <w:spacing w:after="0" w:line="309" w:lineRule="auto"/>
        <w:rPr>
          <w:sz w:val="20"/>
          <w:szCs w:val="20"/>
          <w:color w:val="auto"/>
        </w:rPr>
      </w:pPr>
      <w:r>
        <w:rPr>
          <w:rFonts w:ascii="Arial" w:cs="Arial" w:eastAsia="Arial" w:hAnsi="Arial"/>
          <w:sz w:val="15"/>
          <w:szCs w:val="15"/>
          <w:color w:val="auto"/>
        </w:rPr>
        <w:t>The Black-Scholes model considers several variables and assumptions in estimating the fair value of stock-based awards that require judgment, for which changes if they occur can materially affect the resulting estimates of fair value. These assumptions include the per share fair value of the underlying common stock, exercise price, expected term, risk-free interest rate, expected annual dividend yield, and the expected stock price volatility over the expected term as follows:</w:t>
      </w:r>
    </w:p>
    <w:p>
      <w:pPr>
        <w:spacing w:after="0" w:line="90"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Fair Value of Common Stock</w:t>
      </w:r>
    </w:p>
    <w:p>
      <w:pPr>
        <w:spacing w:after="0" w:line="158" w:lineRule="exact"/>
        <w:rPr>
          <w:sz w:val="20"/>
          <w:szCs w:val="20"/>
          <w:color w:val="auto"/>
        </w:rPr>
      </w:pPr>
    </w:p>
    <w:p>
      <w:pPr>
        <w:ind w:firstLine="303"/>
        <w:spacing w:after="0" w:line="270" w:lineRule="auto"/>
        <w:rPr>
          <w:sz w:val="20"/>
          <w:szCs w:val="20"/>
          <w:color w:val="auto"/>
        </w:rPr>
      </w:pPr>
      <w:r>
        <w:rPr>
          <w:rFonts w:ascii="Arial" w:cs="Arial" w:eastAsia="Arial" w:hAnsi="Arial"/>
          <w:sz w:val="16"/>
          <w:szCs w:val="16"/>
          <w:color w:val="auto"/>
        </w:rPr>
        <w:t>For grants prior to the Company’s initial public offering (IPO) in December 2020, the grant-date fair market value of the shares of common stock underlying stock options was determined by the Company’s Board of Directors with assistance of third-party valuation specialists. Because there was no public market for the Company’s common stock, the Board of Directors exercised reasonable judgment and considered a number of objective and subjective factors to determine the best estimate of the fair market value, which include important developments in the Company’s operations, the prices at which the Company sold shares of its convertible preferred stock, the rights, preferences and privileges of the Company’s convertible preferred stock relative to those of the Company’s common stock, actual operating results, financial performance, external market conditions in the life sciences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jc w:val="center"/>
        <w:ind w:right="-79"/>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general U.S. market conditions, equity market conditions of comparable public companies, and the lack of marketability of the Company’s common stock. For all grants subsequent to the IPO, the fair value of common stock was determined by using the closing price per share of common stock as reported on the Nasdaq Global Select Market.</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Expected Volatility</w:t>
      </w:r>
    </w:p>
    <w:p>
      <w:pPr>
        <w:spacing w:after="0" w:line="158" w:lineRule="exact"/>
        <w:rPr>
          <w:sz w:val="20"/>
          <w:szCs w:val="20"/>
          <w:color w:val="auto"/>
        </w:rPr>
      </w:pPr>
    </w:p>
    <w:p>
      <w:pPr>
        <w:jc w:val="both"/>
        <w:ind w:right="80" w:firstLine="303"/>
        <w:spacing w:after="0" w:line="258" w:lineRule="auto"/>
        <w:rPr>
          <w:sz w:val="20"/>
          <w:szCs w:val="20"/>
          <w:color w:val="auto"/>
        </w:rPr>
      </w:pPr>
      <w:r>
        <w:rPr>
          <w:rFonts w:ascii="Arial" w:cs="Arial" w:eastAsia="Arial" w:hAnsi="Arial"/>
          <w:sz w:val="17"/>
          <w:szCs w:val="17"/>
          <w:color w:val="auto"/>
        </w:rPr>
        <w:t>The Company had no publicly available stock price information prior to its IPO and limited publicly available stock price information subsequent to its IPO and therefore the Company has used the historical volatility of the stock price of similar publicly traded peer companies. The historical volatility is calculated based on a period of time commensurate with the expected term assumptions.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Expected Term</w:t>
      </w:r>
    </w:p>
    <w:p>
      <w:pPr>
        <w:spacing w:after="0" w:line="158" w:lineRule="exact"/>
        <w:rPr>
          <w:sz w:val="20"/>
          <w:szCs w:val="20"/>
          <w:color w:val="auto"/>
        </w:rPr>
      </w:pPr>
    </w:p>
    <w:p>
      <w:pPr>
        <w:ind w:right="220" w:firstLine="303"/>
        <w:spacing w:after="0" w:line="270" w:lineRule="auto"/>
        <w:rPr>
          <w:sz w:val="20"/>
          <w:szCs w:val="20"/>
          <w:color w:val="auto"/>
        </w:rPr>
      </w:pPr>
      <w:r>
        <w:rPr>
          <w:rFonts w:ascii="Arial" w:cs="Arial" w:eastAsia="Arial" w:hAnsi="Arial"/>
          <w:sz w:val="17"/>
          <w:szCs w:val="17"/>
          <w:color w:val="auto"/>
        </w:rPr>
        <w:t>For stock options granted to employees and directors, the expected term is calculated using the simplified method for “plain vanilla” stock option awards. The expected term for stock options granted to non-employees is the contractual term.</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Risk-Free Interest Rate</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risk-free interest rate is based on the yield available on U.S. Treasury issues similar in duration to the expected term of the equity-settled award.</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Expected Dividends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expected dividend yield is assumed to be zero as the Company has never paid dividends and has no current plans to pay dividends on its common stock.</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Net Loss Per Share Attributable to Common Stockholders</w:t>
      </w:r>
    </w:p>
    <w:p>
      <w:pPr>
        <w:spacing w:after="0" w:line="158" w:lineRule="exact"/>
        <w:rPr>
          <w:sz w:val="20"/>
          <w:szCs w:val="20"/>
          <w:color w:val="auto"/>
        </w:rPr>
      </w:pPr>
    </w:p>
    <w:p>
      <w:pPr>
        <w:ind w:right="20" w:firstLine="303"/>
        <w:spacing w:after="0" w:line="272" w:lineRule="auto"/>
        <w:rPr>
          <w:sz w:val="20"/>
          <w:szCs w:val="20"/>
          <w:color w:val="auto"/>
        </w:rPr>
      </w:pPr>
      <w:r>
        <w:rPr>
          <w:rFonts w:ascii="Arial" w:cs="Arial" w:eastAsia="Arial" w:hAnsi="Arial"/>
          <w:sz w:val="16"/>
          <w:szCs w:val="16"/>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117" w:lineRule="exact"/>
        <w:rPr>
          <w:sz w:val="20"/>
          <w:szCs w:val="20"/>
          <w:color w:val="auto"/>
        </w:rPr>
      </w:pPr>
    </w:p>
    <w:p>
      <w:pPr>
        <w:ind w:firstLine="303"/>
        <w:spacing w:after="0" w:line="272" w:lineRule="auto"/>
        <w:rPr>
          <w:sz w:val="20"/>
          <w:szCs w:val="20"/>
          <w:color w:val="auto"/>
        </w:rPr>
      </w:pPr>
      <w:r>
        <w:rPr>
          <w:rFonts w:ascii="Arial" w:cs="Arial" w:eastAsia="Arial" w:hAnsi="Arial"/>
          <w:sz w:val="16"/>
          <w:szCs w:val="16"/>
          <w:color w:val="auto"/>
        </w:rPr>
        <w:t>The Company’s participating securities include the Company’s convertible preferred stock that was outstanding prior to the completion of the Company’s IPO, as the holders were entitled to receive noncumulative dividends on a pari passu basis in the event that a dividend is paid on common stock. The Company also considers any shares issued on the early exercise of stock options subject to repurchase to be participating securities because holders of such shares have non-forfeitable dividend rights in the event a dividend is paid on common stock. The holders of convertible preferred stock, as well as the holders of early exercised shares subject to repurchase, do not have a contractual obligation to share in losses.</w:t>
      </w:r>
    </w:p>
    <w:p>
      <w:pPr>
        <w:spacing w:after="0" w:line="117" w:lineRule="exact"/>
        <w:rPr>
          <w:sz w:val="20"/>
          <w:szCs w:val="20"/>
          <w:color w:val="auto"/>
        </w:rPr>
      </w:pPr>
    </w:p>
    <w:p>
      <w:pPr>
        <w:ind w:right="100" w:firstLine="303"/>
        <w:spacing w:after="0" w:line="301"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pacing w:after="0" w:line="93" w:lineRule="exact"/>
        <w:rPr>
          <w:sz w:val="20"/>
          <w:szCs w:val="20"/>
          <w:color w:val="auto"/>
        </w:rPr>
      </w:pPr>
    </w:p>
    <w:p>
      <w:pPr>
        <w:ind w:right="220" w:firstLine="303"/>
        <w:spacing w:after="0" w:line="255" w:lineRule="auto"/>
        <w:rPr>
          <w:sz w:val="20"/>
          <w:szCs w:val="20"/>
          <w:color w:val="auto"/>
        </w:rPr>
      </w:pPr>
      <w:r>
        <w:rPr>
          <w:rFonts w:ascii="Arial" w:cs="Arial" w:eastAsia="Arial" w:hAnsi="Arial"/>
          <w:sz w:val="17"/>
          <w:szCs w:val="17"/>
          <w:color w:val="auto"/>
        </w:rPr>
        <w:t>Diluted net loss per share is computed by giving effect to all potentially dilutive securities outstanding for the period using the treasury stock method or the if-converted method based on the nature of such securities.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58" w:lineRule="exact"/>
        <w:rPr>
          <w:sz w:val="20"/>
          <w:szCs w:val="20"/>
          <w:color w:val="auto"/>
        </w:rPr>
      </w:pPr>
    </w:p>
    <w:p>
      <w:pPr>
        <w:ind w:firstLine="303"/>
        <w:spacing w:after="0" w:line="255"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which is intended to simplify the accounting for income taxes. This standard removes certain exceptions to the general principles in Topic 740 and also clarifies and amends existing standards to improve consistent application. The Company adopted this standard as of January 1, 2021, which did not have a material impact on its financial statements as of the adoption date.</w:t>
      </w:r>
    </w:p>
    <w:p>
      <w:pPr>
        <w:spacing w:after="0" w:line="127" w:lineRule="exact"/>
        <w:rPr>
          <w:sz w:val="20"/>
          <w:szCs w:val="20"/>
          <w:color w:val="auto"/>
        </w:rPr>
      </w:pPr>
    </w:p>
    <w:p>
      <w:pPr>
        <w:ind w:firstLine="303"/>
        <w:spacing w:after="0" w:line="255" w:lineRule="auto"/>
        <w:rPr>
          <w:sz w:val="20"/>
          <w:szCs w:val="20"/>
          <w:color w:val="auto"/>
        </w:rPr>
      </w:pPr>
      <w:r>
        <w:rPr>
          <w:rFonts w:ascii="Arial" w:cs="Arial" w:eastAsia="Arial" w:hAnsi="Arial"/>
          <w:sz w:val="17"/>
          <w:szCs w:val="17"/>
          <w:color w:val="auto"/>
        </w:rPr>
        <w:t xml:space="preserve">In January 2020, the FASB issued ASU No. 2020-01, </w:t>
      </w:r>
      <w:r>
        <w:rPr>
          <w:rFonts w:ascii="Arial" w:cs="Arial" w:eastAsia="Arial" w:hAnsi="Arial"/>
          <w:sz w:val="17"/>
          <w:szCs w:val="17"/>
          <w:i w:val="1"/>
          <w:iCs w:val="1"/>
          <w:color w:val="auto"/>
        </w:rPr>
        <w:t>Investments—Equity Securities (Topic 321), Investments—Equity Method and Joint Ventures (Topic 323),</w:t>
      </w:r>
      <w:r>
        <w:rPr>
          <w:rFonts w:ascii="Arial" w:cs="Arial" w:eastAsia="Arial" w:hAnsi="Arial"/>
          <w:sz w:val="17"/>
          <w:szCs w:val="17"/>
          <w:color w:val="auto"/>
        </w:rPr>
        <w:t xml:space="preserve"> </w:t>
      </w:r>
      <w:r>
        <w:rPr>
          <w:rFonts w:ascii="Arial" w:cs="Arial" w:eastAsia="Arial" w:hAnsi="Arial"/>
          <w:sz w:val="17"/>
          <w:szCs w:val="17"/>
          <w:i w:val="1"/>
          <w:iCs w:val="1"/>
          <w:color w:val="auto"/>
        </w:rPr>
        <w:t>and Derivatives and Hedging (Topic 815)</w:t>
      </w:r>
      <w:r>
        <w:rPr>
          <w:rFonts w:ascii="Arial" w:cs="Arial" w:eastAsia="Arial" w:hAnsi="Arial"/>
          <w:sz w:val="17"/>
          <w:szCs w:val="17"/>
          <w:color w:val="auto"/>
        </w:rPr>
        <w:t>. This standard clarifies the interaction between accounting standards related to equity securities, equity method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certain derivative instruments. The Company adopted this standard as of January 1, 2021, which did not have a material impact on its financial statements as of the adoption date.</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Recently Issued Accounting Pronouncements Not Yet Adopted</w:t>
      </w:r>
    </w:p>
    <w:p>
      <w:pPr>
        <w:spacing w:after="0" w:line="158" w:lineRule="exact"/>
        <w:rPr>
          <w:sz w:val="20"/>
          <w:szCs w:val="20"/>
          <w:color w:val="auto"/>
        </w:rPr>
      </w:pPr>
    </w:p>
    <w:p>
      <w:pPr>
        <w:ind w:right="40" w:firstLine="303"/>
        <w:spacing w:after="0" w:line="272"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This standard clarifies the definition of a lease and requires a lessee to recognize in the statement of financial position a liability to make lease payments (the lease liability) and a right-to-use asset representing its right to use the underlying asset for the lease term. The Company anticipates that it will no longer qualify as an emerging growth company as of December 31, 2021, and will first present the application of this standard in its annual financial statements for the year ended December 31, 2021. While the Company has not yet quantified the impact, these adjustments will increase total assets and total liabilities relative to such amounts reported prior to adoption.</w:t>
      </w:r>
    </w:p>
    <w:p>
      <w:pPr>
        <w:spacing w:after="0" w:line="113" w:lineRule="exact"/>
        <w:rPr>
          <w:sz w:val="20"/>
          <w:szCs w:val="20"/>
          <w:color w:val="auto"/>
        </w:rPr>
      </w:pPr>
    </w:p>
    <w:p>
      <w:pPr>
        <w:ind w:left="600" w:hanging="599"/>
        <w:spacing w:after="0"/>
        <w:tabs>
          <w:tab w:leader="none" w:pos="6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 AND FAIR VALUE OF FINANCIAL INSTRUMENTS</w:t>
      </w:r>
    </w:p>
    <w:p>
      <w:pPr>
        <w:spacing w:after="0" w:line="162" w:lineRule="exact"/>
        <w:rPr>
          <w:sz w:val="20"/>
          <w:szCs w:val="20"/>
          <w:color w:val="auto"/>
        </w:rPr>
      </w:pPr>
    </w:p>
    <w:p>
      <w:pPr>
        <w:ind w:right="180" w:firstLine="303"/>
        <w:spacing w:after="0" w:line="270" w:lineRule="auto"/>
        <w:rPr>
          <w:sz w:val="20"/>
          <w:szCs w:val="20"/>
          <w:color w:val="auto"/>
        </w:rPr>
      </w:pPr>
      <w:r>
        <w:rPr>
          <w:rFonts w:ascii="Arial" w:cs="Arial" w:eastAsia="Arial" w:hAnsi="Arial"/>
          <w:sz w:val="17"/>
          <w:szCs w:val="17"/>
          <w:color w:val="auto"/>
        </w:rPr>
        <w:t>The following tables set forth the fair value of the Company’s financial assets that were measured at fair value on a recurring basis by level within the fair value hierarchy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6"/>
          </w:tcPr>
          <w:p>
            <w:pPr>
              <w:ind w:left="400"/>
              <w:spacing w:after="0"/>
              <w:rPr>
                <w:sz w:val="20"/>
                <w:szCs w:val="20"/>
                <w:color w:val="auto"/>
              </w:rPr>
            </w:pPr>
            <w:r>
              <w:rPr>
                <w:rFonts w:ascii="Arial" w:cs="Arial" w:eastAsia="Arial" w:hAnsi="Arial"/>
                <w:sz w:val="13"/>
                <w:szCs w:val="13"/>
                <w:b w:val="1"/>
                <w:bCs w:val="1"/>
                <w:color w:val="auto"/>
                <w:w w:val="89"/>
              </w:rPr>
              <w:t>June 30, 2021</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
        </w:trPr>
        <w:tc>
          <w:tcPr>
            <w:tcW w:w="26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1"/>
        </w:trPr>
        <w:tc>
          <w:tcPr>
            <w:tcW w:w="2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3"/>
          </w:tcPr>
          <w:p>
            <w:pPr>
              <w:ind w:left="140"/>
              <w:spacing w:after="0"/>
              <w:rPr>
                <w:sz w:val="20"/>
                <w:szCs w:val="20"/>
                <w:color w:val="auto"/>
              </w:rPr>
            </w:pPr>
            <w:r>
              <w:rPr>
                <w:rFonts w:ascii="Arial" w:cs="Arial" w:eastAsia="Arial" w:hAnsi="Arial"/>
                <w:sz w:val="13"/>
                <w:szCs w:val="13"/>
                <w:b w:val="1"/>
                <w:bCs w:val="1"/>
                <w:color w:val="auto"/>
              </w:rPr>
              <w:t>Level 1</w:t>
            </w:r>
          </w:p>
        </w:tc>
        <w:tc>
          <w:tcPr>
            <w:tcW w:w="600" w:type="dxa"/>
            <w:vAlign w:val="bottom"/>
          </w:tcPr>
          <w:p>
            <w:pPr>
              <w:spacing w:after="0"/>
              <w:rPr>
                <w:sz w:val="14"/>
                <w:szCs w:val="14"/>
                <w:color w:val="auto"/>
              </w:rPr>
            </w:pPr>
          </w:p>
        </w:tc>
        <w:tc>
          <w:tcPr>
            <w:tcW w:w="800" w:type="dxa"/>
            <w:vAlign w:val="bottom"/>
            <w:gridSpan w:val="3"/>
          </w:tcPr>
          <w:p>
            <w:pPr>
              <w:jc w:val="right"/>
              <w:ind w:right="241"/>
              <w:spacing w:after="0"/>
              <w:rPr>
                <w:sz w:val="20"/>
                <w:szCs w:val="20"/>
                <w:color w:val="auto"/>
              </w:rPr>
            </w:pPr>
            <w:r>
              <w:rPr>
                <w:rFonts w:ascii="Arial" w:cs="Arial" w:eastAsia="Arial" w:hAnsi="Arial"/>
                <w:sz w:val="13"/>
                <w:szCs w:val="13"/>
                <w:b w:val="1"/>
                <w:bCs w:val="1"/>
                <w:color w:val="auto"/>
              </w:rPr>
              <w:t>Level 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ind w:left="180"/>
              <w:spacing w:after="0"/>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340"/>
              <w:spacing w:after="0"/>
              <w:rPr>
                <w:sz w:val="20"/>
                <w:szCs w:val="20"/>
                <w:color w:val="auto"/>
              </w:rPr>
            </w:pPr>
            <w:r>
              <w:rPr>
                <w:rFonts w:ascii="Arial" w:cs="Arial" w:eastAsia="Arial" w:hAnsi="Arial"/>
                <w:sz w:val="13"/>
                <w:szCs w:val="13"/>
                <w:b w:val="1"/>
                <w:bCs w:val="1"/>
                <w:color w:val="auto"/>
              </w:rPr>
              <w:t>Total</w:t>
            </w:r>
          </w:p>
        </w:tc>
      </w:tr>
      <w:tr>
        <w:trPr>
          <w:trHeight w:val="23"/>
        </w:trPr>
        <w:tc>
          <w:tcPr>
            <w:tcW w:w="268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2"/>
        </w:trPr>
        <w:tc>
          <w:tcPr>
            <w:tcW w:w="2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Assets:</w:t>
            </w:r>
          </w:p>
        </w:tc>
        <w:tc>
          <w:tcPr>
            <w:tcW w:w="2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Classification:</w:t>
            </w:r>
          </w:p>
        </w:tc>
        <w:tc>
          <w:tcPr>
            <w:tcW w:w="5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52"/>
        </w:trPr>
        <w:tc>
          <w:tcPr>
            <w:tcW w:w="2680" w:type="dxa"/>
            <w:vAlign w:val="bottom"/>
          </w:tcPr>
          <w:p>
            <w:pPr>
              <w:ind w:left="320"/>
              <w:spacing w:after="0"/>
              <w:rPr>
                <w:sz w:val="20"/>
                <w:szCs w:val="20"/>
                <w:color w:val="auto"/>
              </w:rPr>
            </w:pPr>
            <w:r>
              <w:rPr>
                <w:rFonts w:ascii="Arial" w:cs="Arial" w:eastAsia="Arial" w:hAnsi="Arial"/>
                <w:sz w:val="17"/>
                <w:szCs w:val="17"/>
                <w:color w:val="auto"/>
              </w:rPr>
              <w:t>Money market funds</w:t>
            </w:r>
          </w:p>
        </w:tc>
        <w:tc>
          <w:tcPr>
            <w:tcW w:w="2540" w:type="dxa"/>
            <w:vAlign w:val="bottom"/>
          </w:tcPr>
          <w:p>
            <w:pPr>
              <w:ind w:left="340"/>
              <w:spacing w:after="0"/>
              <w:rPr>
                <w:sz w:val="20"/>
                <w:szCs w:val="20"/>
                <w:color w:val="auto"/>
              </w:rPr>
            </w:pPr>
            <w:r>
              <w:rPr>
                <w:rFonts w:ascii="Arial" w:cs="Arial" w:eastAsia="Arial" w:hAnsi="Arial"/>
                <w:sz w:val="17"/>
                <w:szCs w:val="17"/>
                <w:color w:val="auto"/>
              </w:rPr>
              <w:t>Cash and cash equivalents</w:t>
            </w:r>
          </w:p>
        </w:tc>
        <w:tc>
          <w:tcPr>
            <w:tcW w:w="5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369,580</w:t>
            </w:r>
          </w:p>
        </w:tc>
        <w:tc>
          <w:tcPr>
            <w:tcW w:w="100" w:type="dxa"/>
            <w:vAlign w:val="bottom"/>
          </w:tcPr>
          <w:p>
            <w:pPr>
              <w:spacing w:after="0"/>
              <w:rPr>
                <w:sz w:val="21"/>
                <w:szCs w:val="21"/>
                <w:color w:val="auto"/>
              </w:rPr>
            </w:pPr>
          </w:p>
        </w:tc>
        <w:tc>
          <w:tcPr>
            <w:tcW w:w="60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920" w:type="dxa"/>
            <w:vAlign w:val="bottom"/>
          </w:tcPr>
          <w:p>
            <w:pPr>
              <w:ind w:left="6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369,580</w:t>
            </w:r>
          </w:p>
        </w:tc>
      </w:tr>
      <w:tr>
        <w:trPr>
          <w:trHeight w:val="252"/>
        </w:trPr>
        <w:tc>
          <w:tcPr>
            <w:tcW w:w="2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U.S. Treasury securities</w:t>
            </w:r>
          </w:p>
        </w:tc>
        <w:tc>
          <w:tcPr>
            <w:tcW w:w="2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Investments</w:t>
            </w:r>
          </w:p>
        </w:tc>
        <w:tc>
          <w:tcPr>
            <w:tcW w:w="5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147,098</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147,098</w:t>
            </w:r>
          </w:p>
        </w:tc>
      </w:tr>
      <w:tr>
        <w:trPr>
          <w:trHeight w:val="245"/>
        </w:trPr>
        <w:tc>
          <w:tcPr>
            <w:tcW w:w="2680" w:type="dxa"/>
            <w:vAlign w:val="bottom"/>
          </w:tcPr>
          <w:p>
            <w:pPr>
              <w:ind w:left="20"/>
              <w:spacing w:after="0"/>
              <w:rPr>
                <w:sz w:val="20"/>
                <w:szCs w:val="20"/>
                <w:color w:val="auto"/>
              </w:rPr>
            </w:pPr>
            <w:r>
              <w:rPr>
                <w:rFonts w:ascii="Arial" w:cs="Arial" w:eastAsia="Arial" w:hAnsi="Arial"/>
                <w:sz w:val="17"/>
                <w:szCs w:val="17"/>
                <w:color w:val="auto"/>
                <w:w w:val="99"/>
              </w:rPr>
              <w:t>Total assets measured at fair value</w:t>
            </w:r>
          </w:p>
        </w:tc>
        <w:tc>
          <w:tcPr>
            <w:tcW w:w="2540" w:type="dxa"/>
            <w:vAlign w:val="bottom"/>
          </w:tcPr>
          <w:p>
            <w:pPr>
              <w:spacing w:after="0"/>
              <w:rPr>
                <w:sz w:val="21"/>
                <w:szCs w:val="21"/>
                <w:color w:val="auto"/>
              </w:rPr>
            </w:pPr>
          </w:p>
        </w:tc>
        <w:tc>
          <w:tcPr>
            <w:tcW w:w="5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369,580</w:t>
            </w:r>
          </w:p>
        </w:tc>
        <w:tc>
          <w:tcPr>
            <w:tcW w:w="100" w:type="dxa"/>
            <w:vAlign w:val="bottom"/>
          </w:tcPr>
          <w:p>
            <w:pPr>
              <w:spacing w:after="0"/>
              <w:rPr>
                <w:sz w:val="21"/>
                <w:szCs w:val="21"/>
                <w:color w:val="auto"/>
              </w:rPr>
            </w:pPr>
          </w:p>
        </w:tc>
        <w:tc>
          <w:tcPr>
            <w:tcW w:w="60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87"/>
              </w:rPr>
              <w:t>147,098</w:t>
            </w:r>
          </w:p>
        </w:tc>
        <w:tc>
          <w:tcPr>
            <w:tcW w:w="58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920" w:type="dxa"/>
            <w:vAlign w:val="bottom"/>
          </w:tcPr>
          <w:p>
            <w:pPr>
              <w:ind w:left="6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516,678</w:t>
            </w:r>
          </w:p>
        </w:tc>
      </w:tr>
      <w:tr>
        <w:trPr>
          <w:trHeight w:val="20"/>
        </w:trPr>
        <w:tc>
          <w:tcPr>
            <w:tcW w:w="26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434"/>
        </w:trPr>
        <w:tc>
          <w:tcPr>
            <w:tcW w:w="26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gridSpan w:val="6"/>
          </w:tcPr>
          <w:p>
            <w:pPr>
              <w:jc w:val="right"/>
              <w:ind w:right="364"/>
              <w:spacing w:after="0"/>
              <w:rPr>
                <w:sz w:val="20"/>
                <w:szCs w:val="20"/>
                <w:color w:val="auto"/>
              </w:rPr>
            </w:pPr>
            <w:r>
              <w:rPr>
                <w:rFonts w:ascii="Arial" w:cs="Arial" w:eastAsia="Arial" w:hAnsi="Arial"/>
                <w:sz w:val="13"/>
                <w:szCs w:val="13"/>
                <w:b w:val="1"/>
                <w:bCs w:val="1"/>
                <w:color w:val="auto"/>
                <w:w w:val="90"/>
              </w:rPr>
              <w:t>December 31, 2020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
        </w:trPr>
        <w:tc>
          <w:tcPr>
            <w:tcW w:w="26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6"/>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1"/>
        </w:trPr>
        <w:tc>
          <w:tcPr>
            <w:tcW w:w="2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3"/>
          </w:tcPr>
          <w:p>
            <w:pPr>
              <w:jc w:val="right"/>
              <w:ind w:right="296"/>
              <w:spacing w:after="0"/>
              <w:rPr>
                <w:sz w:val="20"/>
                <w:szCs w:val="20"/>
                <w:color w:val="auto"/>
              </w:rPr>
            </w:pPr>
            <w:r>
              <w:rPr>
                <w:rFonts w:ascii="Arial" w:cs="Arial" w:eastAsia="Arial" w:hAnsi="Arial"/>
                <w:sz w:val="13"/>
                <w:szCs w:val="13"/>
                <w:b w:val="1"/>
                <w:bCs w:val="1"/>
                <w:color w:val="auto"/>
              </w:rPr>
              <w:t>Level 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6"/>
          </w:tcPr>
          <w:p>
            <w:pPr>
              <w:ind w:left="260"/>
              <w:spacing w:after="0"/>
              <w:rPr>
                <w:sz w:val="20"/>
                <w:szCs w:val="20"/>
                <w:color w:val="auto"/>
              </w:rPr>
            </w:pPr>
            <w:r>
              <w:rPr>
                <w:rFonts w:ascii="Arial" w:cs="Arial" w:eastAsia="Arial" w:hAnsi="Arial"/>
                <w:sz w:val="13"/>
                <w:szCs w:val="13"/>
                <w:b w:val="1"/>
                <w:bCs w:val="1"/>
                <w:color w:val="auto"/>
              </w:rPr>
              <w:t>Level 2</w:t>
            </w:r>
          </w:p>
        </w:tc>
        <w:tc>
          <w:tcPr>
            <w:tcW w:w="920" w:type="dxa"/>
            <w:vAlign w:val="bottom"/>
          </w:tcPr>
          <w:p>
            <w:pPr>
              <w:ind w:left="380"/>
              <w:spacing w:after="0"/>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360"/>
              <w:spacing w:after="0"/>
              <w:rPr>
                <w:sz w:val="20"/>
                <w:szCs w:val="20"/>
                <w:color w:val="auto"/>
              </w:rPr>
            </w:pPr>
            <w:r>
              <w:rPr>
                <w:rFonts w:ascii="Arial" w:cs="Arial" w:eastAsia="Arial" w:hAnsi="Arial"/>
                <w:sz w:val="13"/>
                <w:szCs w:val="13"/>
                <w:b w:val="1"/>
                <w:bCs w:val="1"/>
                <w:color w:val="auto"/>
              </w:rPr>
              <w:t>Total</w:t>
            </w:r>
          </w:p>
        </w:tc>
      </w:tr>
      <w:tr>
        <w:trPr>
          <w:trHeight w:val="23"/>
        </w:trPr>
        <w:tc>
          <w:tcPr>
            <w:tcW w:w="268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2"/>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5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Classification:</w:t>
            </w:r>
          </w:p>
        </w:tc>
        <w:tc>
          <w:tcPr>
            <w:tcW w:w="5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52"/>
        </w:trPr>
        <w:tc>
          <w:tcPr>
            <w:tcW w:w="2680" w:type="dxa"/>
            <w:vAlign w:val="bottom"/>
          </w:tcPr>
          <w:p>
            <w:pPr>
              <w:ind w:left="20"/>
              <w:spacing w:after="0"/>
              <w:rPr>
                <w:sz w:val="20"/>
                <w:szCs w:val="20"/>
                <w:color w:val="auto"/>
              </w:rPr>
            </w:pPr>
            <w:r>
              <w:rPr>
                <w:rFonts w:ascii="Arial" w:cs="Arial" w:eastAsia="Arial" w:hAnsi="Arial"/>
                <w:sz w:val="17"/>
                <w:szCs w:val="17"/>
                <w:color w:val="auto"/>
              </w:rPr>
              <w:t>Money market funds</w:t>
            </w:r>
          </w:p>
        </w:tc>
        <w:tc>
          <w:tcPr>
            <w:tcW w:w="2540" w:type="dxa"/>
            <w:vAlign w:val="bottom"/>
          </w:tcPr>
          <w:p>
            <w:pPr>
              <w:ind w:left="660"/>
              <w:spacing w:after="0"/>
              <w:rPr>
                <w:sz w:val="20"/>
                <w:szCs w:val="20"/>
                <w:color w:val="auto"/>
              </w:rPr>
            </w:pPr>
            <w:r>
              <w:rPr>
                <w:rFonts w:ascii="Arial" w:cs="Arial" w:eastAsia="Arial" w:hAnsi="Arial"/>
                <w:sz w:val="17"/>
                <w:szCs w:val="17"/>
                <w:color w:val="auto"/>
                <w:w w:val="91"/>
              </w:rPr>
              <w:t>Cash and cash equivalents</w:t>
            </w:r>
          </w:p>
        </w:tc>
        <w:tc>
          <w:tcPr>
            <w:tcW w:w="540" w:type="dxa"/>
            <w:vAlign w:val="bottom"/>
          </w:tcPr>
          <w:p>
            <w:pPr>
              <w:spacing w:after="0"/>
              <w:rPr>
                <w:sz w:val="21"/>
                <w:szCs w:val="21"/>
                <w:color w:val="auto"/>
              </w:rPr>
            </w:pPr>
          </w:p>
        </w:tc>
        <w:tc>
          <w:tcPr>
            <w:tcW w:w="920" w:type="dxa"/>
            <w:vAlign w:val="bottom"/>
            <w:gridSpan w:val="2"/>
          </w:tcPr>
          <w:p>
            <w:pPr>
              <w:jc w:val="right"/>
              <w:ind w:right="30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84"/>
              </w:rPr>
              <w:t>333,585</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764"/>
              <w:spacing w:after="0"/>
              <w:rPr>
                <w:sz w:val="20"/>
                <w:szCs w:val="20"/>
                <w:color w:val="auto"/>
              </w:rPr>
            </w:pPr>
            <w:r>
              <w:rPr>
                <w:rFonts w:ascii="Arial" w:cs="Arial" w:eastAsia="Arial" w:hAnsi="Arial"/>
                <w:sz w:val="15"/>
                <w:szCs w:val="15"/>
                <w:color w:val="auto"/>
                <w:w w:val="71"/>
              </w:rPr>
              <w:t>$</w:t>
            </w:r>
          </w:p>
        </w:tc>
        <w:tc>
          <w:tcPr>
            <w:tcW w:w="340" w:type="dxa"/>
            <w:vAlign w:val="bottom"/>
            <w:gridSpan w:val="3"/>
          </w:tcPr>
          <w:p>
            <w:pPr>
              <w:ind w:left="2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333,585</w:t>
            </w:r>
          </w:p>
        </w:tc>
      </w:tr>
      <w:tr>
        <w:trPr>
          <w:trHeight w:val="252"/>
        </w:trPr>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25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Investments</w:t>
            </w:r>
          </w:p>
        </w:tc>
        <w:tc>
          <w:tcPr>
            <w:tcW w:w="5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98,278</w:t>
            </w: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98,278</w:t>
            </w:r>
          </w:p>
        </w:tc>
      </w:tr>
      <w:tr>
        <w:trPr>
          <w:trHeight w:val="245"/>
        </w:trPr>
        <w:tc>
          <w:tcPr>
            <w:tcW w:w="2680" w:type="dxa"/>
            <w:vAlign w:val="bottom"/>
          </w:tcPr>
          <w:p>
            <w:pPr>
              <w:ind w:left="20"/>
              <w:spacing w:after="0"/>
              <w:rPr>
                <w:sz w:val="20"/>
                <w:szCs w:val="20"/>
                <w:color w:val="auto"/>
              </w:rPr>
            </w:pPr>
            <w:r>
              <w:rPr>
                <w:rFonts w:ascii="Arial" w:cs="Arial" w:eastAsia="Arial" w:hAnsi="Arial"/>
                <w:sz w:val="17"/>
                <w:szCs w:val="17"/>
                <w:color w:val="auto"/>
                <w:w w:val="99"/>
              </w:rPr>
              <w:t>Total assets measured at fair value</w:t>
            </w:r>
          </w:p>
        </w:tc>
        <w:tc>
          <w:tcPr>
            <w:tcW w:w="2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gridSpan w:val="2"/>
          </w:tcPr>
          <w:p>
            <w:pPr>
              <w:jc w:val="right"/>
              <w:ind w:right="30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84"/>
              </w:rPr>
              <w:t>333,585</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gridSpan w:val="4"/>
          </w:tcPr>
          <w:p>
            <w:pPr>
              <w:jc w:val="right"/>
              <w:spacing w:after="0"/>
              <w:rPr>
                <w:sz w:val="20"/>
                <w:szCs w:val="20"/>
                <w:color w:val="auto"/>
              </w:rPr>
            </w:pPr>
            <w:r>
              <w:rPr>
                <w:rFonts w:ascii="Arial" w:cs="Arial" w:eastAsia="Arial" w:hAnsi="Arial"/>
                <w:sz w:val="17"/>
                <w:szCs w:val="17"/>
                <w:color w:val="auto"/>
              </w:rPr>
              <w:t>98,278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jc w:val="right"/>
              <w:ind w:right="764"/>
              <w:spacing w:after="0"/>
              <w:rPr>
                <w:sz w:val="20"/>
                <w:szCs w:val="20"/>
                <w:color w:val="auto"/>
              </w:rPr>
            </w:pPr>
            <w:r>
              <w:rPr>
                <w:rFonts w:ascii="Arial" w:cs="Arial" w:eastAsia="Arial" w:hAnsi="Arial"/>
                <w:sz w:val="15"/>
                <w:szCs w:val="15"/>
                <w:color w:val="auto"/>
                <w:w w:val="71"/>
              </w:rPr>
              <w:t>$</w:t>
            </w:r>
          </w:p>
        </w:tc>
        <w:tc>
          <w:tcPr>
            <w:tcW w:w="340" w:type="dxa"/>
            <w:vAlign w:val="bottom"/>
            <w:gridSpan w:val="3"/>
          </w:tcPr>
          <w:p>
            <w:pPr>
              <w:ind w:left="2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431,863</w:t>
            </w:r>
          </w:p>
        </w:tc>
      </w:tr>
      <w:tr>
        <w:trPr>
          <w:trHeight w:val="20"/>
        </w:trPr>
        <w:tc>
          <w:tcPr>
            <w:tcW w:w="26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right="60" w:firstLine="303"/>
        <w:spacing w:after="0" w:line="255" w:lineRule="auto"/>
        <w:rPr>
          <w:sz w:val="20"/>
          <w:szCs w:val="20"/>
          <w:color w:val="auto"/>
        </w:rPr>
      </w:pPr>
      <w:r>
        <w:rPr>
          <w:rFonts w:ascii="Arial" w:cs="Arial" w:eastAsia="Arial" w:hAnsi="Arial"/>
          <w:sz w:val="17"/>
          <w:szCs w:val="17"/>
          <w:color w:val="auto"/>
        </w:rPr>
        <w:t>There were no financial liabilities measured at fair value. The Company classifies money market funds within Level 1 of the fair value hierarchy because they are valued using quoted market prices. The Company classifies its investments in U.S. Treasury securities (Treasury bills, Treasury notes, and Treasury bonds)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spacing w:after="0" w:line="127" w:lineRule="exact"/>
        <w:rPr>
          <w:sz w:val="20"/>
          <w:szCs w:val="20"/>
          <w:color w:val="auto"/>
        </w:rPr>
      </w:pPr>
    </w:p>
    <w:p>
      <w:pPr>
        <w:ind w:right="300" w:firstLine="303"/>
        <w:spacing w:after="0" w:line="270" w:lineRule="auto"/>
        <w:rPr>
          <w:sz w:val="20"/>
          <w:szCs w:val="20"/>
          <w:color w:val="auto"/>
        </w:rPr>
      </w:pPr>
      <w:r>
        <w:rPr>
          <w:rFonts w:ascii="Arial" w:cs="Arial" w:eastAsia="Arial" w:hAnsi="Arial"/>
          <w:sz w:val="17"/>
          <w:szCs w:val="17"/>
          <w:color w:val="auto"/>
        </w:rPr>
        <w:t>The carrying amount of the Company’s accounts receivable, other receivables, prepaid expenses, other current assets, accounts payable, and accrued expenses approximate fair value due to their short maturities.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jc w:val="center"/>
        <w:ind w:right="100"/>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is a summary of the Company’s cash equivalents and investments and the gross unrealized holding gains and losses (in thousands):</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4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20" w:type="dxa"/>
            <w:vAlign w:val="bottom"/>
            <w:gridSpan w:val="7"/>
          </w:tcPr>
          <w:p>
            <w:pPr>
              <w:ind w:left="1020"/>
              <w:spacing w:after="0"/>
              <w:rPr>
                <w:sz w:val="20"/>
                <w:szCs w:val="20"/>
                <w:color w:val="auto"/>
              </w:rPr>
            </w:pPr>
            <w:r>
              <w:rPr>
                <w:rFonts w:ascii="Arial" w:cs="Arial" w:eastAsia="Arial" w:hAnsi="Arial"/>
                <w:sz w:val="13"/>
                <w:szCs w:val="13"/>
                <w:b w:val="1"/>
                <w:bCs w:val="1"/>
                <w:color w:val="auto"/>
              </w:rPr>
              <w:t>June 30, 2021</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
        </w:trPr>
        <w:tc>
          <w:tcPr>
            <w:tcW w:w="4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68"/>
        </w:trPr>
        <w:tc>
          <w:tcPr>
            <w:tcW w:w="4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5"/>
          </w:tcPr>
          <w:p>
            <w:pPr>
              <w:jc w:val="right"/>
              <w:ind w:right="140"/>
              <w:spacing w:after="0"/>
              <w:rPr>
                <w:sz w:val="20"/>
                <w:szCs w:val="20"/>
                <w:color w:val="auto"/>
              </w:rPr>
            </w:pPr>
            <w:r>
              <w:rPr>
                <w:rFonts w:ascii="Arial" w:cs="Arial" w:eastAsia="Arial" w:hAnsi="Arial"/>
                <w:sz w:val="13"/>
                <w:szCs w:val="13"/>
                <w:b w:val="1"/>
                <w:bCs w:val="1"/>
                <w:color w:val="auto"/>
              </w:rPr>
              <w:t>Amortized Cost Basis</w:t>
            </w:r>
          </w:p>
        </w:tc>
        <w:tc>
          <w:tcPr>
            <w:tcW w:w="420" w:type="dxa"/>
            <w:vAlign w:val="bottom"/>
          </w:tcPr>
          <w:p>
            <w:pPr>
              <w:spacing w:after="0"/>
              <w:rPr>
                <w:sz w:val="14"/>
                <w:szCs w:val="14"/>
                <w:color w:val="auto"/>
              </w:rPr>
            </w:pPr>
          </w:p>
        </w:tc>
        <w:tc>
          <w:tcPr>
            <w:tcW w:w="1340" w:type="dxa"/>
            <w:vAlign w:val="bottom"/>
            <w:gridSpan w:val="4"/>
          </w:tcPr>
          <w:p>
            <w:pPr>
              <w:ind w:left="80"/>
              <w:spacing w:after="0"/>
              <w:rPr>
                <w:sz w:val="20"/>
                <w:szCs w:val="20"/>
                <w:color w:val="auto"/>
              </w:rPr>
            </w:pPr>
            <w:r>
              <w:rPr>
                <w:rFonts w:ascii="Arial" w:cs="Arial" w:eastAsia="Arial" w:hAnsi="Arial"/>
                <w:sz w:val="13"/>
                <w:szCs w:val="13"/>
                <w:b w:val="1"/>
                <w:bCs w:val="1"/>
                <w:color w:val="auto"/>
              </w:rPr>
              <w:t>Unrealized Gains</w:t>
            </w:r>
          </w:p>
        </w:tc>
        <w:tc>
          <w:tcPr>
            <w:tcW w:w="40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3"/>
                <w:szCs w:val="13"/>
                <w:b w:val="1"/>
                <w:bCs w:val="1"/>
                <w:color w:val="auto"/>
              </w:rPr>
              <w:t>Unrealized Losses</w:t>
            </w:r>
          </w:p>
        </w:tc>
        <w:tc>
          <w:tcPr>
            <w:tcW w:w="540" w:type="dxa"/>
            <w:vAlign w:val="bottom"/>
          </w:tcPr>
          <w:p>
            <w:pPr>
              <w:spacing w:after="0"/>
              <w:rPr>
                <w:sz w:val="14"/>
                <w:szCs w:val="14"/>
                <w:color w:val="auto"/>
              </w:rPr>
            </w:pPr>
          </w:p>
        </w:tc>
        <w:tc>
          <w:tcPr>
            <w:tcW w:w="920" w:type="dxa"/>
            <w:vAlign w:val="bottom"/>
          </w:tcPr>
          <w:p>
            <w:pPr>
              <w:jc w:val="right"/>
              <w:ind w:right="80"/>
              <w:spacing w:after="0"/>
              <w:rPr>
                <w:sz w:val="20"/>
                <w:szCs w:val="20"/>
                <w:color w:val="auto"/>
              </w:rPr>
            </w:pPr>
            <w:r>
              <w:rPr>
                <w:rFonts w:ascii="Arial" w:cs="Arial" w:eastAsia="Arial" w:hAnsi="Arial"/>
                <w:sz w:val="13"/>
                <w:szCs w:val="13"/>
                <w:b w:val="1"/>
                <w:bCs w:val="1"/>
                <w:color w:val="auto"/>
              </w:rPr>
              <w:t>Fair Value</w:t>
            </w:r>
          </w:p>
        </w:tc>
      </w:tr>
      <w:tr>
        <w:trPr>
          <w:trHeight w:val="196"/>
        </w:trPr>
        <w:tc>
          <w:tcPr>
            <w:tcW w:w="440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Assets:</w:t>
            </w:r>
          </w:p>
        </w:tc>
        <w:tc>
          <w:tcPr>
            <w:tcW w:w="7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52"/>
        </w:trPr>
        <w:tc>
          <w:tcPr>
            <w:tcW w:w="4400" w:type="dxa"/>
            <w:vAlign w:val="bottom"/>
            <w:gridSpan w:val="2"/>
          </w:tcPr>
          <w:p>
            <w:pPr>
              <w:ind w:left="320"/>
              <w:spacing w:after="0"/>
              <w:rPr>
                <w:sz w:val="20"/>
                <w:szCs w:val="20"/>
                <w:color w:val="auto"/>
              </w:rPr>
            </w:pPr>
            <w:r>
              <w:rPr>
                <w:rFonts w:ascii="Arial" w:cs="Arial" w:eastAsia="Arial" w:hAnsi="Arial"/>
                <w:sz w:val="17"/>
                <w:szCs w:val="17"/>
                <w:color w:val="auto"/>
              </w:rPr>
              <w:t>Money market funds</w:t>
            </w:r>
          </w:p>
        </w:tc>
        <w:tc>
          <w:tcPr>
            <w:tcW w:w="700" w:type="dxa"/>
            <w:vAlign w:val="bottom"/>
          </w:tcPr>
          <w:p>
            <w:pPr>
              <w:ind w:left="3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369,580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4"/>
          </w:tcPr>
          <w:p>
            <w:pPr>
              <w:ind w:left="1020"/>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369,5</w:t>
            </w:r>
          </w:p>
        </w:tc>
      </w:tr>
      <w:tr>
        <w:trPr>
          <w:trHeight w:val="214"/>
        </w:trPr>
        <w:tc>
          <w:tcPr>
            <w:tcW w:w="44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U.S. Treasury securities</w:t>
            </w:r>
          </w:p>
        </w:tc>
        <w:tc>
          <w:tcPr>
            <w:tcW w:w="7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147,132</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7"/>
                <w:szCs w:val="17"/>
                <w:color w:val="auto"/>
                <w:w w:val="73"/>
              </w:rPr>
              <w:t>10</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147,0</w:t>
            </w:r>
          </w:p>
        </w:tc>
      </w:tr>
      <w:tr>
        <w:trPr>
          <w:trHeight w:val="207"/>
        </w:trPr>
        <w:tc>
          <w:tcPr>
            <w:tcW w:w="4400" w:type="dxa"/>
            <w:vAlign w:val="bottom"/>
            <w:gridSpan w:val="2"/>
          </w:tcPr>
          <w:p>
            <w:pPr>
              <w:ind w:left="320"/>
              <w:spacing w:after="0"/>
              <w:rPr>
                <w:sz w:val="20"/>
                <w:szCs w:val="20"/>
                <w:color w:val="auto"/>
              </w:rPr>
            </w:pPr>
            <w:r>
              <w:rPr>
                <w:rFonts w:ascii="Arial" w:cs="Arial" w:eastAsia="Arial" w:hAnsi="Arial"/>
                <w:sz w:val="17"/>
                <w:szCs w:val="17"/>
                <w:color w:val="auto"/>
              </w:rPr>
              <w:t>Total</w:t>
            </w:r>
          </w:p>
        </w:tc>
        <w:tc>
          <w:tcPr>
            <w:tcW w:w="70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516,712</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ind w:left="1020"/>
              <w:spacing w:after="0"/>
              <w:rPr>
                <w:sz w:val="20"/>
                <w:szCs w:val="20"/>
                <w:color w:val="auto"/>
              </w:rPr>
            </w:pPr>
            <w:r>
              <w:rPr>
                <w:rFonts w:ascii="Arial" w:cs="Arial" w:eastAsia="Arial" w:hAnsi="Arial"/>
                <w:sz w:val="17"/>
                <w:szCs w:val="17"/>
                <w:color w:val="auto"/>
                <w:w w:val="73"/>
              </w:rPr>
              <w:t>10</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516,6</w:t>
            </w:r>
          </w:p>
        </w:tc>
      </w:tr>
      <w:tr>
        <w:trPr>
          <w:trHeight w:val="20"/>
        </w:trPr>
        <w:tc>
          <w:tcPr>
            <w:tcW w:w="4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34"/>
        </w:trPr>
        <w:tc>
          <w:tcPr>
            <w:tcW w:w="4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20" w:type="dxa"/>
            <w:vAlign w:val="bottom"/>
            <w:gridSpan w:val="7"/>
          </w:tcPr>
          <w:p>
            <w:pPr>
              <w:ind w:left="840"/>
              <w:spacing w:after="0"/>
              <w:rPr>
                <w:sz w:val="20"/>
                <w:szCs w:val="20"/>
                <w:color w:val="auto"/>
              </w:rPr>
            </w:pPr>
            <w:r>
              <w:rPr>
                <w:rFonts w:ascii="Arial" w:cs="Arial" w:eastAsia="Arial" w:hAnsi="Arial"/>
                <w:sz w:val="13"/>
                <w:szCs w:val="13"/>
                <w:b w:val="1"/>
                <w:bCs w:val="1"/>
                <w:color w:val="auto"/>
              </w:rPr>
              <w:t>December 31, 2020</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
        </w:trPr>
        <w:tc>
          <w:tcPr>
            <w:tcW w:w="43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68"/>
        </w:trPr>
        <w:tc>
          <w:tcPr>
            <w:tcW w:w="4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5"/>
          </w:tcPr>
          <w:p>
            <w:pPr>
              <w:ind w:left="300"/>
              <w:spacing w:after="0"/>
              <w:rPr>
                <w:sz w:val="20"/>
                <w:szCs w:val="20"/>
                <w:color w:val="auto"/>
              </w:rPr>
            </w:pPr>
            <w:r>
              <w:rPr>
                <w:rFonts w:ascii="Arial" w:cs="Arial" w:eastAsia="Arial" w:hAnsi="Arial"/>
                <w:sz w:val="13"/>
                <w:szCs w:val="13"/>
                <w:b w:val="1"/>
                <w:bCs w:val="1"/>
                <w:color w:val="auto"/>
              </w:rPr>
              <w:t>Amortized Cost Basis</w:t>
            </w:r>
          </w:p>
        </w:tc>
        <w:tc>
          <w:tcPr>
            <w:tcW w:w="420" w:type="dxa"/>
            <w:vAlign w:val="bottom"/>
          </w:tcPr>
          <w:p>
            <w:pPr>
              <w:spacing w:after="0"/>
              <w:rPr>
                <w:sz w:val="14"/>
                <w:szCs w:val="14"/>
                <w:color w:val="auto"/>
              </w:rPr>
            </w:pPr>
          </w:p>
        </w:tc>
        <w:tc>
          <w:tcPr>
            <w:tcW w:w="1340" w:type="dxa"/>
            <w:vAlign w:val="bottom"/>
            <w:gridSpan w:val="4"/>
          </w:tcPr>
          <w:p>
            <w:pPr>
              <w:ind w:left="20"/>
              <w:spacing w:after="0"/>
              <w:rPr>
                <w:sz w:val="20"/>
                <w:szCs w:val="20"/>
                <w:color w:val="auto"/>
              </w:rPr>
            </w:pPr>
            <w:r>
              <w:rPr>
                <w:rFonts w:ascii="Arial" w:cs="Arial" w:eastAsia="Arial" w:hAnsi="Arial"/>
                <w:sz w:val="13"/>
                <w:szCs w:val="13"/>
                <w:b w:val="1"/>
                <w:bCs w:val="1"/>
                <w:color w:val="auto"/>
              </w:rPr>
              <w:t>Unrealized Gains</w:t>
            </w:r>
          </w:p>
        </w:tc>
        <w:tc>
          <w:tcPr>
            <w:tcW w:w="40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3"/>
                <w:szCs w:val="13"/>
                <w:b w:val="1"/>
                <w:bCs w:val="1"/>
                <w:color w:val="auto"/>
              </w:rPr>
              <w:t>Unrealized Losses</w:t>
            </w:r>
          </w:p>
        </w:tc>
        <w:tc>
          <w:tcPr>
            <w:tcW w:w="540" w:type="dxa"/>
            <w:vAlign w:val="bottom"/>
          </w:tcPr>
          <w:p>
            <w:pPr>
              <w:spacing w:after="0"/>
              <w:rPr>
                <w:sz w:val="14"/>
                <w:szCs w:val="14"/>
                <w:color w:val="auto"/>
              </w:rPr>
            </w:pPr>
          </w:p>
        </w:tc>
        <w:tc>
          <w:tcPr>
            <w:tcW w:w="920" w:type="dxa"/>
            <w:vAlign w:val="bottom"/>
          </w:tcPr>
          <w:p>
            <w:pPr>
              <w:jc w:val="right"/>
              <w:ind w:right="80"/>
              <w:spacing w:after="0"/>
              <w:rPr>
                <w:sz w:val="20"/>
                <w:szCs w:val="20"/>
                <w:color w:val="auto"/>
              </w:rPr>
            </w:pPr>
            <w:r>
              <w:rPr>
                <w:rFonts w:ascii="Arial" w:cs="Arial" w:eastAsia="Arial" w:hAnsi="Arial"/>
                <w:sz w:val="13"/>
                <w:szCs w:val="13"/>
                <w:b w:val="1"/>
                <w:bCs w:val="1"/>
                <w:color w:val="auto"/>
              </w:rPr>
              <w:t>Fair Value</w:t>
            </w:r>
          </w:p>
        </w:tc>
      </w:tr>
      <w:tr>
        <w:trPr>
          <w:trHeight w:val="196"/>
        </w:trPr>
        <w:tc>
          <w:tcPr>
            <w:tcW w:w="43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Assets:</w:t>
            </w:r>
          </w:p>
        </w:tc>
        <w:tc>
          <w:tcPr>
            <w:tcW w:w="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52"/>
        </w:trPr>
        <w:tc>
          <w:tcPr>
            <w:tcW w:w="4400" w:type="dxa"/>
            <w:vAlign w:val="bottom"/>
            <w:gridSpan w:val="2"/>
          </w:tcPr>
          <w:p>
            <w:pPr>
              <w:ind w:left="320"/>
              <w:spacing w:after="0"/>
              <w:rPr>
                <w:sz w:val="20"/>
                <w:szCs w:val="20"/>
                <w:color w:val="auto"/>
              </w:rPr>
            </w:pPr>
            <w:r>
              <w:rPr>
                <w:rFonts w:ascii="Arial" w:cs="Arial" w:eastAsia="Arial" w:hAnsi="Arial"/>
                <w:sz w:val="17"/>
                <w:szCs w:val="17"/>
                <w:color w:val="auto"/>
              </w:rPr>
              <w:t>Money market funds</w:t>
            </w:r>
          </w:p>
        </w:tc>
        <w:tc>
          <w:tcPr>
            <w:tcW w:w="700" w:type="dxa"/>
            <w:vAlign w:val="bottom"/>
          </w:tcPr>
          <w:p>
            <w:pPr>
              <w:jc w:val="right"/>
              <w:ind w:right="282"/>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333,585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4"/>
          </w:tcPr>
          <w:p>
            <w:pPr>
              <w:ind w:left="940"/>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333,5</w:t>
            </w:r>
          </w:p>
        </w:tc>
      </w:tr>
      <w:tr>
        <w:trPr>
          <w:trHeight w:val="214"/>
        </w:trPr>
        <w:tc>
          <w:tcPr>
            <w:tcW w:w="43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U.S. Treasury securities</w:t>
            </w:r>
          </w:p>
        </w:tc>
        <w:tc>
          <w:tcPr>
            <w:tcW w:w="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98,223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7"/>
                <w:szCs w:val="17"/>
                <w:color w:val="auto"/>
              </w:rPr>
              <w:t>57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w:t>
            </w:r>
          </w:p>
        </w:tc>
      </w:tr>
      <w:tr>
        <w:trPr>
          <w:trHeight w:val="207"/>
        </w:trPr>
        <w:tc>
          <w:tcPr>
            <w:tcW w:w="4400" w:type="dxa"/>
            <w:vAlign w:val="bottom"/>
            <w:gridSpan w:val="2"/>
          </w:tcPr>
          <w:p>
            <w:pPr>
              <w:ind w:left="320"/>
              <w:spacing w:after="0"/>
              <w:rPr>
                <w:sz w:val="20"/>
                <w:szCs w:val="20"/>
                <w:color w:val="auto"/>
              </w:rPr>
            </w:pPr>
            <w:r>
              <w:rPr>
                <w:rFonts w:ascii="Arial" w:cs="Arial" w:eastAsia="Arial" w:hAnsi="Arial"/>
                <w:sz w:val="17"/>
                <w:szCs w:val="17"/>
                <w:color w:val="auto"/>
              </w:rPr>
              <w:t>Total</w:t>
            </w:r>
          </w:p>
        </w:tc>
        <w:tc>
          <w:tcPr>
            <w:tcW w:w="700" w:type="dxa"/>
            <w:vAlign w:val="bottom"/>
          </w:tcPr>
          <w:p>
            <w:pPr>
              <w:jc w:val="right"/>
              <w:ind w:right="282"/>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431,808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ind w:left="940"/>
              <w:spacing w:after="0"/>
              <w:rPr>
                <w:sz w:val="20"/>
                <w:szCs w:val="20"/>
                <w:color w:val="auto"/>
              </w:rPr>
            </w:pPr>
            <w:r>
              <w:rPr>
                <w:rFonts w:ascii="Arial" w:cs="Arial" w:eastAsia="Arial" w:hAnsi="Arial"/>
                <w:sz w:val="17"/>
                <w:szCs w:val="17"/>
                <w:color w:val="auto"/>
              </w:rPr>
              <w:t>57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5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431,8</w:t>
            </w:r>
          </w:p>
        </w:tc>
      </w:tr>
      <w:tr>
        <w:trPr>
          <w:trHeight w:val="20"/>
        </w:trPr>
        <w:tc>
          <w:tcPr>
            <w:tcW w:w="4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right="220" w:firstLine="303"/>
        <w:spacing w:after="0" w:line="299" w:lineRule="auto"/>
        <w:rPr>
          <w:sz w:val="20"/>
          <w:szCs w:val="20"/>
          <w:color w:val="auto"/>
        </w:rPr>
      </w:pPr>
      <w:r>
        <w:rPr>
          <w:rFonts w:ascii="Arial" w:cs="Arial" w:eastAsia="Arial" w:hAnsi="Arial"/>
          <w:sz w:val="15"/>
          <w:szCs w:val="15"/>
          <w:color w:val="auto"/>
        </w:rPr>
        <w:t>As of June 30, 2021 and December 31, 2020, unrealized losses on available-for-sale investments are not attributable to credit risk and are considered to be temporary. The Company believes it is more likely than not that investments in an unrealized loss position will be held until maturity or the recovery of the cost basis of the investment. To date, the Company has not recorded any impairment charges on marketable securities related to other-than-temporary declines in market value. As of June 30, 2021 and December 31, 2020, the weighted-average remaining maturity of the Company’s investment portfolio was less than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16" w:name="page17"/>
    <w:bookmarkEnd w:id="16"/>
    <w:p>
      <w:pPr>
        <w:jc w:val="center"/>
        <w:ind w:right="-139"/>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0" w:type="dxa"/>
            <w:vAlign w:val="bottom"/>
          </w:tcPr>
          <w:p>
            <w:pPr>
              <w:jc w:val="right"/>
              <w:ind w:right="16"/>
              <w:spacing w:after="0"/>
              <w:rPr>
                <w:sz w:val="20"/>
                <w:szCs w:val="20"/>
                <w:color w:val="auto"/>
              </w:rPr>
            </w:pPr>
            <w:r>
              <w:rPr>
                <w:rFonts w:ascii="Arial" w:cs="Arial" w:eastAsia="Arial" w:hAnsi="Arial"/>
                <w:sz w:val="17"/>
                <w:szCs w:val="17"/>
                <w:b w:val="1"/>
                <w:bCs w:val="1"/>
                <w:color w:val="auto"/>
                <w:w w:val="70"/>
              </w:rPr>
              <w:t>4.</w:t>
            </w:r>
          </w:p>
        </w:tc>
        <w:tc>
          <w:tcPr>
            <w:tcW w:w="80" w:type="dxa"/>
            <w:vAlign w:val="bottom"/>
          </w:tcPr>
          <w:p>
            <w:pPr>
              <w:spacing w:after="0"/>
              <w:rPr>
                <w:sz w:val="18"/>
                <w:szCs w:val="18"/>
                <w:color w:val="auto"/>
              </w:rPr>
            </w:pPr>
          </w:p>
        </w:tc>
        <w:tc>
          <w:tcPr>
            <w:tcW w:w="5880" w:type="dxa"/>
            <w:vAlign w:val="bottom"/>
          </w:tcPr>
          <w:p>
            <w:pPr>
              <w:ind w:left="300"/>
              <w:spacing w:after="0"/>
              <w:rPr>
                <w:sz w:val="20"/>
                <w:szCs w:val="20"/>
                <w:color w:val="auto"/>
              </w:rPr>
            </w:pPr>
            <w:r>
              <w:rPr>
                <w:rFonts w:ascii="Arial" w:cs="Arial" w:eastAsia="Arial" w:hAnsi="Arial"/>
                <w:sz w:val="17"/>
                <w:szCs w:val="17"/>
                <w:b w:val="1"/>
                <w:bCs w:val="1"/>
                <w:color w:val="auto"/>
              </w:rPr>
              <w:t>OTHER FINANCIAL STATEMENT INFORMATION</w:t>
            </w: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53"/>
        </w:trPr>
        <w:tc>
          <w:tcPr>
            <w:tcW w:w="220" w:type="dxa"/>
            <w:vAlign w:val="bottom"/>
          </w:tcPr>
          <w:p>
            <w:pPr>
              <w:spacing w:after="0"/>
              <w:rPr>
                <w:sz w:val="24"/>
                <w:szCs w:val="24"/>
                <w:color w:val="auto"/>
              </w:rPr>
            </w:pPr>
          </w:p>
        </w:tc>
        <w:tc>
          <w:tcPr>
            <w:tcW w:w="5960" w:type="dxa"/>
            <w:vAlign w:val="bottom"/>
            <w:gridSpan w:val="2"/>
          </w:tcPr>
          <w:p>
            <w:pPr>
              <w:ind w:left="80"/>
              <w:spacing w:after="0"/>
              <w:rPr>
                <w:sz w:val="20"/>
                <w:szCs w:val="20"/>
                <w:color w:val="auto"/>
              </w:rPr>
            </w:pPr>
            <w:r>
              <w:rPr>
                <w:rFonts w:ascii="Arial" w:cs="Arial" w:eastAsia="Arial" w:hAnsi="Arial"/>
                <w:sz w:val="17"/>
                <w:szCs w:val="17"/>
                <w:b w:val="1"/>
                <w:bCs w:val="1"/>
                <w:i w:val="1"/>
                <w:iCs w:val="1"/>
                <w:color w:val="auto"/>
              </w:rPr>
              <w:t>Inventory</w:t>
            </w: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3"/>
        </w:trPr>
        <w:tc>
          <w:tcPr>
            <w:tcW w:w="220" w:type="dxa"/>
            <w:vAlign w:val="bottom"/>
          </w:tcPr>
          <w:p>
            <w:pPr>
              <w:spacing w:after="0"/>
              <w:rPr>
                <w:sz w:val="24"/>
                <w:szCs w:val="24"/>
                <w:color w:val="auto"/>
              </w:rPr>
            </w:pPr>
          </w:p>
        </w:tc>
        <w:tc>
          <w:tcPr>
            <w:tcW w:w="5960" w:type="dxa"/>
            <w:vAlign w:val="bottom"/>
            <w:gridSpan w:val="2"/>
          </w:tcPr>
          <w:p>
            <w:pPr>
              <w:ind w:left="80"/>
              <w:spacing w:after="0"/>
              <w:rPr>
                <w:sz w:val="20"/>
                <w:szCs w:val="20"/>
                <w:color w:val="auto"/>
              </w:rPr>
            </w:pPr>
            <w:r>
              <w:rPr>
                <w:rFonts w:ascii="Arial" w:cs="Arial" w:eastAsia="Arial" w:hAnsi="Arial"/>
                <w:sz w:val="17"/>
                <w:szCs w:val="17"/>
                <w:color w:val="auto"/>
              </w:rPr>
              <w:t>Inventory consists of the following (in thousands):</w:t>
            </w: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68"/>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June 30,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jc w:val="right"/>
              <w:ind w:right="283"/>
              <w:spacing w:after="0"/>
              <w:rPr>
                <w:sz w:val="20"/>
                <w:szCs w:val="20"/>
                <w:color w:val="auto"/>
              </w:rPr>
            </w:pPr>
            <w:r>
              <w:rPr>
                <w:rFonts w:ascii="Arial" w:cs="Arial" w:eastAsia="Arial" w:hAnsi="Arial"/>
                <w:sz w:val="13"/>
                <w:szCs w:val="13"/>
                <w:b w:val="1"/>
                <w:bCs w:val="1"/>
                <w:color w:val="auto"/>
              </w:rPr>
              <w:t>December 31,</w:t>
            </w:r>
          </w:p>
        </w:tc>
      </w:tr>
      <w:tr>
        <w:trPr>
          <w:trHeight w:val="207"/>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64"/>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2020</w:t>
            </w:r>
          </w:p>
        </w:tc>
      </w:tr>
      <w:tr>
        <w:trPr>
          <w:trHeight w:val="225"/>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4"/>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80" w:type="dxa"/>
            <w:vAlign w:val="bottom"/>
          </w:tcPr>
          <w:p>
            <w:pPr>
              <w:ind w:left="320"/>
              <w:spacing w:after="0"/>
              <w:rPr>
                <w:sz w:val="20"/>
                <w:szCs w:val="20"/>
                <w:color w:val="auto"/>
              </w:rPr>
            </w:pPr>
            <w:r>
              <w:rPr>
                <w:rFonts w:ascii="Arial" w:cs="Arial" w:eastAsia="Arial" w:hAnsi="Arial"/>
                <w:sz w:val="17"/>
                <w:szCs w:val="17"/>
                <w:color w:val="auto"/>
              </w:rPr>
              <w:t>Raw materials</w:t>
            </w:r>
          </w:p>
        </w:tc>
        <w:tc>
          <w:tcPr>
            <w:tcW w:w="1340" w:type="dxa"/>
            <w:vAlign w:val="bottom"/>
          </w:tcPr>
          <w:p>
            <w:pPr>
              <w:jc w:val="right"/>
              <w:ind w:right="864"/>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9"/>
              </w:rPr>
              <w:t>1,833</w:t>
            </w:r>
          </w:p>
        </w:tc>
        <w:tc>
          <w:tcPr>
            <w:tcW w:w="100" w:type="dxa"/>
            <w:vAlign w:val="bottom"/>
          </w:tcPr>
          <w:p>
            <w:pPr>
              <w:spacing w:after="0"/>
              <w:rPr>
                <w:sz w:val="18"/>
                <w:szCs w:val="18"/>
                <w:color w:val="auto"/>
              </w:rPr>
            </w:pPr>
          </w:p>
        </w:tc>
        <w:tc>
          <w:tcPr>
            <w:tcW w:w="5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Finished goods</w:t>
            </w:r>
          </w:p>
        </w:tc>
        <w:tc>
          <w:tcPr>
            <w:tcW w:w="13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837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w:t>
            </w:r>
          </w:p>
        </w:tc>
      </w:tr>
      <w:tr>
        <w:trPr>
          <w:trHeight w:val="207"/>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80" w:type="dxa"/>
            <w:vAlign w:val="bottom"/>
          </w:tcPr>
          <w:p>
            <w:pPr>
              <w:ind w:left="320"/>
              <w:spacing w:after="0"/>
              <w:rPr>
                <w:sz w:val="20"/>
                <w:szCs w:val="20"/>
                <w:color w:val="auto"/>
              </w:rPr>
            </w:pPr>
            <w:r>
              <w:rPr>
                <w:rFonts w:ascii="Arial" w:cs="Arial" w:eastAsia="Arial" w:hAnsi="Arial"/>
                <w:sz w:val="17"/>
                <w:szCs w:val="17"/>
                <w:color w:val="auto"/>
              </w:rPr>
              <w:t>Total inventory</w:t>
            </w:r>
          </w:p>
        </w:tc>
        <w:tc>
          <w:tcPr>
            <w:tcW w:w="1340" w:type="dxa"/>
            <w:vAlign w:val="bottom"/>
            <w:tcBorders>
              <w:bottom w:val="single" w:sz="8" w:color="auto"/>
            </w:tcBorders>
          </w:tcPr>
          <w:p>
            <w:pPr>
              <w:jc w:val="right"/>
              <w:ind w:right="864"/>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2,670</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w:t>
            </w:r>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Property and equipment, net consists of the following (in thousands):</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5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00" w:type="dxa"/>
            <w:vAlign w:val="bottom"/>
            <w:gridSpan w:val="2"/>
          </w:tcPr>
          <w:p>
            <w:pPr>
              <w:ind w:left="200"/>
              <w:spacing w:after="0"/>
              <w:rPr>
                <w:sz w:val="20"/>
                <w:szCs w:val="20"/>
                <w:color w:val="auto"/>
              </w:rPr>
            </w:pPr>
            <w:r>
              <w:rPr>
                <w:rFonts w:ascii="Arial" w:cs="Arial" w:eastAsia="Arial" w:hAnsi="Arial"/>
                <w:sz w:val="13"/>
                <w:szCs w:val="13"/>
                <w:b w:val="1"/>
                <w:bCs w:val="1"/>
                <w:color w:val="auto"/>
              </w:rPr>
              <w:t>June 30,</w:t>
            </w:r>
          </w:p>
        </w:tc>
        <w:tc>
          <w:tcPr>
            <w:tcW w:w="540" w:type="dxa"/>
            <w:vAlign w:val="bottom"/>
          </w:tcPr>
          <w:p>
            <w:pPr>
              <w:spacing w:after="0"/>
              <w:rPr>
                <w:sz w:val="15"/>
                <w:szCs w:val="15"/>
                <w:color w:val="auto"/>
              </w:rPr>
            </w:pPr>
          </w:p>
        </w:tc>
        <w:tc>
          <w:tcPr>
            <w:tcW w:w="1280" w:type="dxa"/>
            <w:vAlign w:val="bottom"/>
          </w:tcPr>
          <w:p>
            <w:pPr>
              <w:jc w:val="right"/>
              <w:ind w:right="280"/>
              <w:spacing w:after="0"/>
              <w:rPr>
                <w:sz w:val="20"/>
                <w:szCs w:val="20"/>
                <w:color w:val="auto"/>
              </w:rPr>
            </w:pPr>
            <w:r>
              <w:rPr>
                <w:rFonts w:ascii="Arial" w:cs="Arial" w:eastAsia="Arial" w:hAnsi="Arial"/>
                <w:sz w:val="13"/>
                <w:szCs w:val="13"/>
                <w:b w:val="1"/>
                <w:bCs w:val="1"/>
                <w:color w:val="auto"/>
              </w:rPr>
              <w:t>December 31,</w:t>
            </w:r>
          </w:p>
        </w:tc>
      </w:tr>
      <w:tr>
        <w:trPr>
          <w:trHeight w:val="202"/>
        </w:trPr>
        <w:tc>
          <w:tcPr>
            <w:tcW w:w="5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jc w:val="right"/>
              <w:ind w:right="54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ind w:right="540"/>
              <w:spacing w:after="0"/>
              <w:rPr>
                <w:sz w:val="20"/>
                <w:szCs w:val="20"/>
                <w:color w:val="auto"/>
              </w:rPr>
            </w:pPr>
            <w:r>
              <w:rPr>
                <w:rFonts w:ascii="Arial" w:cs="Arial" w:eastAsia="Arial" w:hAnsi="Arial"/>
                <w:sz w:val="13"/>
                <w:szCs w:val="13"/>
                <w:b w:val="1"/>
                <w:bCs w:val="1"/>
                <w:color w:val="auto"/>
              </w:rPr>
              <w:t>2020</w:t>
            </w:r>
          </w:p>
        </w:tc>
      </w:tr>
      <w:tr>
        <w:trPr>
          <w:trHeight w:val="23"/>
        </w:trPr>
        <w:tc>
          <w:tcPr>
            <w:tcW w:w="58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0"/>
        </w:trPr>
        <w:tc>
          <w:tcPr>
            <w:tcW w:w="5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4"/>
        </w:trPr>
        <w:tc>
          <w:tcPr>
            <w:tcW w:w="5860" w:type="dxa"/>
            <w:vAlign w:val="bottom"/>
          </w:tcPr>
          <w:p>
            <w:pPr>
              <w:ind w:left="320"/>
              <w:spacing w:after="0"/>
              <w:rPr>
                <w:sz w:val="20"/>
                <w:szCs w:val="20"/>
                <w:color w:val="auto"/>
              </w:rPr>
            </w:pPr>
            <w:r>
              <w:rPr>
                <w:rFonts w:ascii="Arial" w:cs="Arial" w:eastAsia="Arial" w:hAnsi="Arial"/>
                <w:sz w:val="17"/>
                <w:szCs w:val="17"/>
                <w:color w:val="auto"/>
              </w:rPr>
              <w:t>Laboratory equipment</w:t>
            </w:r>
          </w:p>
        </w:tc>
        <w:tc>
          <w:tcPr>
            <w:tcW w:w="62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10,893</w:t>
            </w:r>
          </w:p>
        </w:tc>
        <w:tc>
          <w:tcPr>
            <w:tcW w:w="100" w:type="dxa"/>
            <w:vAlign w:val="bottom"/>
          </w:tcPr>
          <w:p>
            <w:pPr>
              <w:spacing w:after="0"/>
              <w:rPr>
                <w:sz w:val="18"/>
                <w:szCs w:val="18"/>
                <w:color w:val="auto"/>
              </w:rPr>
            </w:pPr>
          </w:p>
        </w:tc>
        <w:tc>
          <w:tcPr>
            <w:tcW w:w="5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8,075</w:t>
            </w:r>
          </w:p>
        </w:tc>
      </w:tr>
      <w:tr>
        <w:trPr>
          <w:trHeight w:val="215"/>
        </w:trPr>
        <w:tc>
          <w:tcPr>
            <w:tcW w:w="5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Computer equipment and software</w:t>
            </w: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r>
      <w:tr>
        <w:trPr>
          <w:trHeight w:val="214"/>
        </w:trPr>
        <w:tc>
          <w:tcPr>
            <w:tcW w:w="5860" w:type="dxa"/>
            <w:vAlign w:val="bottom"/>
          </w:tcPr>
          <w:p>
            <w:pPr>
              <w:ind w:left="320"/>
              <w:spacing w:after="0"/>
              <w:rPr>
                <w:sz w:val="20"/>
                <w:szCs w:val="20"/>
                <w:color w:val="auto"/>
              </w:rPr>
            </w:pPr>
            <w:r>
              <w:rPr>
                <w:rFonts w:ascii="Arial" w:cs="Arial" w:eastAsia="Arial" w:hAnsi="Arial"/>
                <w:sz w:val="17"/>
                <w:szCs w:val="17"/>
                <w:color w:val="auto"/>
              </w:rPr>
              <w:t>Furniture and fixtures</w:t>
            </w:r>
          </w:p>
        </w:tc>
        <w:tc>
          <w:tcPr>
            <w:tcW w:w="6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478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241</w:t>
            </w:r>
          </w:p>
        </w:tc>
      </w:tr>
      <w:tr>
        <w:trPr>
          <w:trHeight w:val="215"/>
        </w:trPr>
        <w:tc>
          <w:tcPr>
            <w:tcW w:w="5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Leasehold improvements</w:t>
            </w:r>
          </w:p>
        </w:tc>
        <w:tc>
          <w:tcPr>
            <w:tcW w:w="6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2,294</w:t>
            </w:r>
          </w:p>
        </w:tc>
      </w:tr>
      <w:tr>
        <w:trPr>
          <w:trHeight w:val="207"/>
        </w:trPr>
        <w:tc>
          <w:tcPr>
            <w:tcW w:w="5860" w:type="dxa"/>
            <w:vAlign w:val="bottom"/>
          </w:tcPr>
          <w:p>
            <w:pPr>
              <w:ind w:left="320"/>
              <w:spacing w:after="0"/>
              <w:rPr>
                <w:sz w:val="20"/>
                <w:szCs w:val="20"/>
                <w:color w:val="auto"/>
              </w:rPr>
            </w:pPr>
            <w:r>
              <w:rPr>
                <w:rFonts w:ascii="Arial" w:cs="Arial" w:eastAsia="Arial" w:hAnsi="Arial"/>
                <w:sz w:val="17"/>
                <w:szCs w:val="17"/>
                <w:color w:val="auto"/>
              </w:rPr>
              <w:t>Property and equipment</w:t>
            </w:r>
          </w:p>
        </w:tc>
        <w:tc>
          <w:tcPr>
            <w:tcW w:w="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14,169</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10,792</w:t>
            </w:r>
          </w:p>
        </w:tc>
      </w:tr>
      <w:tr>
        <w:trPr>
          <w:trHeight w:val="214"/>
        </w:trPr>
        <w:tc>
          <w:tcPr>
            <w:tcW w:w="5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Less: accumulated depreciation and amortization</w:t>
            </w:r>
          </w:p>
        </w:tc>
        <w:tc>
          <w:tcPr>
            <w:tcW w:w="6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3,393</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2,351</w:t>
            </w:r>
          </w:p>
        </w:tc>
      </w:tr>
      <w:tr>
        <w:trPr>
          <w:trHeight w:val="207"/>
        </w:trPr>
        <w:tc>
          <w:tcPr>
            <w:tcW w:w="5860" w:type="dxa"/>
            <w:vAlign w:val="bottom"/>
          </w:tcPr>
          <w:p>
            <w:pPr>
              <w:ind w:left="320"/>
              <w:spacing w:after="0"/>
              <w:rPr>
                <w:sz w:val="20"/>
                <w:szCs w:val="20"/>
                <w:color w:val="auto"/>
              </w:rPr>
            </w:pPr>
            <w:r>
              <w:rPr>
                <w:rFonts w:ascii="Arial" w:cs="Arial" w:eastAsia="Arial" w:hAnsi="Arial"/>
                <w:sz w:val="17"/>
                <w:szCs w:val="17"/>
                <w:color w:val="auto"/>
              </w:rPr>
              <w:t>Total property and equipment, net</w:t>
            </w: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10,776</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8,441</w:t>
            </w:r>
          </w:p>
        </w:tc>
      </w:tr>
      <w:tr>
        <w:trPr>
          <w:trHeight w:val="20"/>
        </w:trPr>
        <w:tc>
          <w:tcPr>
            <w:tcW w:w="58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both"/>
        <w:ind w:firstLine="303"/>
        <w:spacing w:after="0" w:line="258" w:lineRule="auto"/>
        <w:rPr>
          <w:sz w:val="20"/>
          <w:szCs w:val="20"/>
          <w:color w:val="auto"/>
        </w:rPr>
      </w:pPr>
      <w:r>
        <w:rPr>
          <w:rFonts w:ascii="Arial" w:cs="Arial" w:eastAsia="Arial" w:hAnsi="Arial"/>
          <w:sz w:val="17"/>
          <w:szCs w:val="17"/>
          <w:color w:val="auto"/>
        </w:rPr>
        <w:t>Depreciation and amortization expense related to property and equipment was $0.6 million and $0.4 million for the three months ended June 30, 2021 and 2020, respectively. Depreciation and amortization expense related to property and equipment was $1.0 million and $0.7 million for the six months ended June 30, 2021 and 2020, respectively.</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Accrued Expenses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Accrued expenses consist of the following (in thousands):</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58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June 30,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tcPr>
          <w:p>
            <w:pPr>
              <w:jc w:val="right"/>
              <w:ind w:right="280"/>
              <w:spacing w:after="0"/>
              <w:rPr>
                <w:sz w:val="20"/>
                <w:szCs w:val="20"/>
                <w:color w:val="auto"/>
              </w:rPr>
            </w:pPr>
            <w:r>
              <w:rPr>
                <w:rFonts w:ascii="Arial" w:cs="Arial" w:eastAsia="Arial" w:hAnsi="Arial"/>
                <w:sz w:val="13"/>
                <w:szCs w:val="13"/>
                <w:b w:val="1"/>
                <w:bCs w:val="1"/>
                <w:color w:val="auto"/>
              </w:rPr>
              <w:t>December 31,</w:t>
            </w:r>
          </w:p>
        </w:tc>
      </w:tr>
      <w:tr>
        <w:trPr>
          <w:trHeight w:val="202"/>
        </w:trPr>
        <w:tc>
          <w:tcPr>
            <w:tcW w:w="5860" w:type="dxa"/>
            <w:vAlign w:val="bottom"/>
          </w:tcPr>
          <w:p>
            <w:pPr>
              <w:spacing w:after="0"/>
              <w:rPr>
                <w:sz w:val="17"/>
                <w:szCs w:val="17"/>
                <w:color w:val="auto"/>
              </w:rPr>
            </w:pPr>
          </w:p>
        </w:tc>
        <w:tc>
          <w:tcPr>
            <w:tcW w:w="1340" w:type="dxa"/>
            <w:vAlign w:val="bottom"/>
          </w:tcPr>
          <w:p>
            <w:pPr>
              <w:jc w:val="right"/>
              <w:ind w:right="64"/>
              <w:spacing w:after="0"/>
              <w:rPr>
                <w:sz w:val="20"/>
                <w:szCs w:val="20"/>
                <w:color w:val="auto"/>
              </w:rPr>
            </w:pPr>
            <w:r>
              <w:rPr>
                <w:rFonts w:ascii="Arial" w:cs="Arial" w:eastAsia="Arial" w:hAnsi="Arial"/>
                <w:sz w:val="13"/>
                <w:szCs w:val="13"/>
                <w:b w:val="1"/>
                <w:bCs w:val="1"/>
                <w:color w:val="auto"/>
              </w:rPr>
              <w:t>2021</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ind w:right="540"/>
              <w:spacing w:after="0"/>
              <w:rPr>
                <w:sz w:val="20"/>
                <w:szCs w:val="20"/>
                <w:color w:val="auto"/>
              </w:rPr>
            </w:pPr>
            <w:r>
              <w:rPr>
                <w:rFonts w:ascii="Arial" w:cs="Arial" w:eastAsia="Arial" w:hAnsi="Arial"/>
                <w:sz w:val="13"/>
                <w:szCs w:val="13"/>
                <w:b w:val="1"/>
                <w:bCs w:val="1"/>
                <w:color w:val="auto"/>
              </w:rPr>
              <w:t>2020</w:t>
            </w:r>
          </w:p>
        </w:tc>
      </w:tr>
      <w:tr>
        <w:trPr>
          <w:trHeight w:val="23"/>
        </w:trPr>
        <w:tc>
          <w:tcPr>
            <w:tcW w:w="58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0"/>
        </w:trPr>
        <w:tc>
          <w:tcPr>
            <w:tcW w:w="58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4"/>
        </w:trPr>
        <w:tc>
          <w:tcPr>
            <w:tcW w:w="5860" w:type="dxa"/>
            <w:vAlign w:val="bottom"/>
          </w:tcPr>
          <w:p>
            <w:pPr>
              <w:ind w:left="320"/>
              <w:spacing w:after="0"/>
              <w:rPr>
                <w:sz w:val="20"/>
                <w:szCs w:val="20"/>
                <w:color w:val="auto"/>
              </w:rPr>
            </w:pPr>
            <w:r>
              <w:rPr>
                <w:rFonts w:ascii="Arial" w:cs="Arial" w:eastAsia="Arial" w:hAnsi="Arial"/>
                <w:sz w:val="17"/>
                <w:szCs w:val="17"/>
                <w:color w:val="auto"/>
              </w:rPr>
              <w:t>Accrued compensation</w:t>
            </w:r>
          </w:p>
        </w:tc>
        <w:tc>
          <w:tcPr>
            <w:tcW w:w="1340" w:type="dxa"/>
            <w:vAlign w:val="bottom"/>
          </w:tcPr>
          <w:p>
            <w:pPr>
              <w:jc w:val="right"/>
              <w:ind w:right="864"/>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93"/>
              </w:rPr>
              <w:t>2,486</w:t>
            </w:r>
          </w:p>
        </w:tc>
        <w:tc>
          <w:tcPr>
            <w:tcW w:w="100" w:type="dxa"/>
            <w:vAlign w:val="bottom"/>
          </w:tcPr>
          <w:p>
            <w:pPr>
              <w:spacing w:after="0"/>
              <w:rPr>
                <w:sz w:val="18"/>
                <w:szCs w:val="18"/>
                <w:color w:val="auto"/>
              </w:rPr>
            </w:pPr>
          </w:p>
        </w:tc>
        <w:tc>
          <w:tcPr>
            <w:tcW w:w="5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2,866</w:t>
            </w:r>
          </w:p>
        </w:tc>
      </w:tr>
      <w:tr>
        <w:trPr>
          <w:trHeight w:val="215"/>
        </w:trPr>
        <w:tc>
          <w:tcPr>
            <w:tcW w:w="5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professional services</w:t>
            </w: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w:t>
            </w:r>
          </w:p>
        </w:tc>
      </w:tr>
      <w:tr>
        <w:trPr>
          <w:trHeight w:val="214"/>
        </w:trPr>
        <w:tc>
          <w:tcPr>
            <w:tcW w:w="5860" w:type="dxa"/>
            <w:vAlign w:val="bottom"/>
          </w:tcPr>
          <w:p>
            <w:pPr>
              <w:ind w:left="320"/>
              <w:spacing w:after="0"/>
              <w:rPr>
                <w:sz w:val="20"/>
                <w:szCs w:val="20"/>
                <w:color w:val="auto"/>
              </w:rPr>
            </w:pPr>
            <w:r>
              <w:rPr>
                <w:rFonts w:ascii="Arial" w:cs="Arial" w:eastAsia="Arial" w:hAnsi="Arial"/>
                <w:sz w:val="17"/>
                <w:szCs w:val="17"/>
                <w:color w:val="auto"/>
              </w:rPr>
              <w:t>Accrued property and equipment</w:t>
            </w:r>
          </w:p>
        </w:tc>
        <w:tc>
          <w:tcPr>
            <w:tcW w:w="1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361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5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inventory purchases</w:t>
            </w: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1,037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5860" w:type="dxa"/>
            <w:vAlign w:val="bottom"/>
          </w:tcPr>
          <w:p>
            <w:pPr>
              <w:ind w:left="320"/>
              <w:spacing w:after="0"/>
              <w:rPr>
                <w:sz w:val="20"/>
                <w:szCs w:val="20"/>
                <w:color w:val="auto"/>
              </w:rPr>
            </w:pPr>
            <w:r>
              <w:rPr>
                <w:rFonts w:ascii="Arial" w:cs="Arial" w:eastAsia="Arial" w:hAnsi="Arial"/>
                <w:sz w:val="17"/>
                <w:szCs w:val="17"/>
                <w:color w:val="auto"/>
              </w:rPr>
              <w:t>Restricted stock liability, current</w:t>
            </w:r>
          </w:p>
        </w:tc>
        <w:tc>
          <w:tcPr>
            <w:tcW w:w="1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383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484</w:t>
            </w:r>
          </w:p>
        </w:tc>
      </w:tr>
      <w:tr>
        <w:trPr>
          <w:trHeight w:val="214"/>
        </w:trPr>
        <w:tc>
          <w:tcPr>
            <w:tcW w:w="5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13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723</w:t>
            </w:r>
          </w:p>
        </w:tc>
      </w:tr>
      <w:tr>
        <w:trPr>
          <w:trHeight w:val="207"/>
        </w:trPr>
        <w:tc>
          <w:tcPr>
            <w:tcW w:w="5860" w:type="dxa"/>
            <w:vAlign w:val="bottom"/>
          </w:tcPr>
          <w:p>
            <w:pPr>
              <w:ind w:left="320"/>
              <w:spacing w:after="0"/>
              <w:rPr>
                <w:sz w:val="20"/>
                <w:szCs w:val="20"/>
                <w:color w:val="auto"/>
              </w:rPr>
            </w:pPr>
            <w:r>
              <w:rPr>
                <w:rFonts w:ascii="Arial" w:cs="Arial" w:eastAsia="Arial" w:hAnsi="Arial"/>
                <w:sz w:val="17"/>
                <w:szCs w:val="17"/>
                <w:color w:val="auto"/>
              </w:rPr>
              <w:t>Total accrued expenses</w:t>
            </w:r>
          </w:p>
        </w:tc>
        <w:tc>
          <w:tcPr>
            <w:tcW w:w="1340" w:type="dxa"/>
            <w:vAlign w:val="bottom"/>
            <w:tcBorders>
              <w:bottom w:val="single" w:sz="8" w:color="auto"/>
            </w:tcBorders>
          </w:tcPr>
          <w:p>
            <w:pPr>
              <w:jc w:val="right"/>
              <w:ind w:right="864"/>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5,590</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5,147</w:t>
            </w:r>
          </w:p>
        </w:tc>
      </w:tr>
      <w:tr>
        <w:trPr>
          <w:trHeight w:val="20"/>
        </w:trPr>
        <w:tc>
          <w:tcPr>
            <w:tcW w:w="58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20"/>
          </w:cols>
          <w:pgMar w:left="320" w:top="123" w:right="4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0" w:hanging="599"/>
        <w:spacing w:after="0"/>
        <w:tabs>
          <w:tab w:leader="none" w:pos="60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REVENUE AND DEFERRED REVENUE</w:t>
      </w:r>
    </w:p>
    <w:p>
      <w:pPr>
        <w:spacing w:after="0" w:line="162" w:lineRule="exact"/>
        <w:rPr>
          <w:sz w:val="20"/>
          <w:szCs w:val="20"/>
          <w:color w:val="auto"/>
        </w:rPr>
      </w:pPr>
    </w:p>
    <w:p>
      <w:pPr>
        <w:ind w:right="240" w:firstLine="303"/>
        <w:spacing w:after="0" w:line="270" w:lineRule="auto"/>
        <w:rPr>
          <w:sz w:val="20"/>
          <w:szCs w:val="20"/>
          <w:color w:val="auto"/>
        </w:rPr>
      </w:pPr>
      <w:r>
        <w:rPr>
          <w:rFonts w:ascii="Arial" w:cs="Arial" w:eastAsia="Arial" w:hAnsi="Arial"/>
          <w:sz w:val="17"/>
          <w:szCs w:val="17"/>
          <w:color w:val="auto"/>
        </w:rPr>
        <w:t>Product revenue consists of instruments, consumables and platform evaluation agreements. Related party revenue is comprised of both the sale of products and services performed.</w:t>
      </w:r>
    </w:p>
    <w:p>
      <w:pPr>
        <w:spacing w:after="0" w:line="115" w:lineRule="exact"/>
        <w:rPr>
          <w:sz w:val="20"/>
          <w:szCs w:val="20"/>
          <w:color w:val="auto"/>
        </w:rPr>
      </w:pPr>
    </w:p>
    <w:p>
      <w:pPr>
        <w:ind w:right="120" w:firstLine="303"/>
        <w:spacing w:after="0" w:line="258" w:lineRule="auto"/>
        <w:rPr>
          <w:sz w:val="20"/>
          <w:szCs w:val="20"/>
          <w:color w:val="auto"/>
        </w:rPr>
      </w:pPr>
      <w:r>
        <w:rPr>
          <w:rFonts w:ascii="Arial" w:cs="Arial" w:eastAsia="Arial" w:hAnsi="Arial"/>
          <w:sz w:val="17"/>
          <w:szCs w:val="17"/>
          <w:color w:val="auto"/>
        </w:rPr>
        <w:t>As of June 30, 2021 and December 31, 2020, the Company recorded $0.4 million and $0.3 million of contract liabilities, consisting of deferred revenue. None of the revenue recorded in the six months ended June 30, 2021 was included in contract liabilities as of December 31, 2020. All contract liabilities are expected to be recognized as revenue in the next twelve months.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Research Agreements</w:t>
      </w:r>
    </w:p>
    <w:p>
      <w:pPr>
        <w:spacing w:after="0" w:line="158" w:lineRule="exact"/>
        <w:rPr>
          <w:sz w:val="20"/>
          <w:szCs w:val="20"/>
          <w:color w:val="auto"/>
        </w:rPr>
      </w:pPr>
    </w:p>
    <w:p>
      <w:pPr>
        <w:ind w:right="280" w:firstLine="303"/>
        <w:spacing w:after="0" w:line="309" w:lineRule="auto"/>
        <w:rPr>
          <w:sz w:val="20"/>
          <w:szCs w:val="20"/>
          <w:color w:val="auto"/>
        </w:rPr>
      </w:pPr>
      <w:r>
        <w:rPr>
          <w:rFonts w:ascii="Arial" w:cs="Arial" w:eastAsia="Arial" w:hAnsi="Arial"/>
          <w:sz w:val="15"/>
          <w:szCs w:val="15"/>
          <w:color w:val="auto"/>
        </w:rPr>
        <w:t>In February 2019 and March 2020, the Company entered into sponsored research agreements with a biotechnology company and a pharmaceutical company, respectively, under which the Company is required to execute certain research and development activities for total aggregate consideration payable of $0.9 million. During the three and six months ended June 30, 2021 and 2020, the Company did not recognize any revenue with respect to these agreements.</w:t>
      </w:r>
    </w:p>
    <w:p>
      <w:pPr>
        <w:spacing w:after="0" w:line="9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NIH Grant</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August 2019, the Company received a notice of a Small Business Innovation Research grant award from the National Institutes of Health, which will provide</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funding of approximately $1.1 million to the Company for its development of research applications. In June 2020, the Company received a notice that additional grant</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consideration of $0.9 million will be awarded. During the three months ended June 30, 2021 and 2020, the Company recognized grant revenue of $0.1 million and</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$0.1 million, respectively, with respect to the award. During the six months ended June 30, 2021 and 2020, the Company recognized grant revenue of $0.2 million and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$0.2 million, respectively, with respect to the award.</w:t>
      </w:r>
    </w:p>
    <w:p>
      <w:pPr>
        <w:spacing w:after="0" w:line="142" w:lineRule="exact"/>
        <w:rPr>
          <w:sz w:val="20"/>
          <w:szCs w:val="20"/>
          <w:color w:val="auto"/>
        </w:rPr>
      </w:pPr>
    </w:p>
    <w:p>
      <w:pPr>
        <w:ind w:left="600" w:hanging="599"/>
        <w:spacing w:after="0"/>
        <w:tabs>
          <w:tab w:leader="none" w:pos="60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CAPITAL STOCK AND STOCKHOLDERS’ EQUITY</w:t>
      </w:r>
    </w:p>
    <w:p>
      <w:pPr>
        <w:spacing w:after="0" w:line="162" w:lineRule="exact"/>
        <w:rPr>
          <w:sz w:val="20"/>
          <w:szCs w:val="20"/>
          <w:color w:val="auto"/>
        </w:rPr>
      </w:pPr>
    </w:p>
    <w:p>
      <w:pPr>
        <w:ind w:right="760" w:firstLine="303"/>
        <w:spacing w:after="0" w:line="270" w:lineRule="auto"/>
        <w:rPr>
          <w:sz w:val="20"/>
          <w:szCs w:val="20"/>
          <w:color w:val="auto"/>
        </w:rPr>
      </w:pPr>
      <w:r>
        <w:rPr>
          <w:rFonts w:ascii="Arial" w:cs="Arial" w:eastAsia="Arial" w:hAnsi="Arial"/>
          <w:sz w:val="17"/>
          <w:szCs w:val="17"/>
          <w:color w:val="auto"/>
        </w:rPr>
        <w:t>As of June 30, 2021, the Company is authorized to issue 105,000,000 shares of capital stock consisting of 94,000,000 shares of Class A common stock, 6,000,000 shares of Class B common stock, and 5,000,000 shares of preferred stock.</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Common Stock</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Common stock issued and outstanding is as follows:</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6380" w:type="dxa"/>
            <w:vAlign w:val="bottom"/>
          </w:tcPr>
          <w:p>
            <w:pPr>
              <w:spacing w:after="0"/>
              <w:rPr>
                <w:sz w:val="15"/>
                <w:szCs w:val="15"/>
                <w:color w:val="auto"/>
              </w:rPr>
            </w:pPr>
          </w:p>
        </w:tc>
        <w:tc>
          <w:tcPr>
            <w:tcW w:w="1660" w:type="dxa"/>
            <w:vAlign w:val="bottom"/>
            <w:gridSpan w:val="2"/>
          </w:tcPr>
          <w:p>
            <w:pPr>
              <w:ind w:left="680"/>
              <w:spacing w:after="0"/>
              <w:rPr>
                <w:sz w:val="20"/>
                <w:szCs w:val="20"/>
                <w:color w:val="auto"/>
              </w:rPr>
            </w:pPr>
            <w:r>
              <w:rPr>
                <w:rFonts w:ascii="Arial" w:cs="Arial" w:eastAsia="Arial" w:hAnsi="Arial"/>
                <w:sz w:val="13"/>
                <w:szCs w:val="13"/>
                <w:b w:val="1"/>
                <w:bCs w:val="1"/>
                <w:color w:val="auto"/>
              </w:rPr>
              <w:t>June 30,</w:t>
            </w:r>
          </w:p>
        </w:tc>
        <w:tc>
          <w:tcPr>
            <w:tcW w:w="1560" w:type="dxa"/>
            <w:vAlign w:val="bottom"/>
          </w:tcPr>
          <w:p>
            <w:pPr>
              <w:jc w:val="right"/>
              <w:ind w:right="163"/>
              <w:spacing w:after="0"/>
              <w:rPr>
                <w:sz w:val="20"/>
                <w:szCs w:val="20"/>
                <w:color w:val="auto"/>
              </w:rPr>
            </w:pPr>
            <w:r>
              <w:rPr>
                <w:rFonts w:ascii="Arial" w:cs="Arial" w:eastAsia="Arial" w:hAnsi="Arial"/>
                <w:sz w:val="13"/>
                <w:szCs w:val="13"/>
                <w:b w:val="1"/>
                <w:bCs w:val="1"/>
                <w:color w:val="auto"/>
              </w:rPr>
              <w:t>December 31,</w:t>
            </w:r>
          </w:p>
        </w:tc>
      </w:tr>
      <w:tr>
        <w:trPr>
          <w:trHeight w:val="202"/>
        </w:trPr>
        <w:tc>
          <w:tcPr>
            <w:tcW w:w="6380" w:type="dxa"/>
            <w:vAlign w:val="bottom"/>
          </w:tcPr>
          <w:p>
            <w:pPr>
              <w:spacing w:after="0"/>
              <w:rPr>
                <w:sz w:val="17"/>
                <w:szCs w:val="17"/>
                <w:color w:val="auto"/>
              </w:rPr>
            </w:pPr>
          </w:p>
        </w:tc>
        <w:tc>
          <w:tcPr>
            <w:tcW w:w="1560" w:type="dxa"/>
            <w:vAlign w:val="bottom"/>
          </w:tcPr>
          <w:p>
            <w:pPr>
              <w:jc w:val="right"/>
              <w:ind w:right="42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7"/>
                <w:szCs w:val="17"/>
                <w:color w:val="auto"/>
              </w:rPr>
            </w:pPr>
          </w:p>
        </w:tc>
        <w:tc>
          <w:tcPr>
            <w:tcW w:w="1560" w:type="dxa"/>
            <w:vAlign w:val="bottom"/>
          </w:tcPr>
          <w:p>
            <w:pPr>
              <w:jc w:val="right"/>
              <w:ind w:right="423"/>
              <w:spacing w:after="0"/>
              <w:rPr>
                <w:sz w:val="20"/>
                <w:szCs w:val="20"/>
                <w:color w:val="auto"/>
              </w:rPr>
            </w:pPr>
            <w:r>
              <w:rPr>
                <w:rFonts w:ascii="Arial" w:cs="Arial" w:eastAsia="Arial" w:hAnsi="Arial"/>
                <w:sz w:val="13"/>
                <w:szCs w:val="13"/>
                <w:b w:val="1"/>
                <w:bCs w:val="1"/>
                <w:color w:val="auto"/>
              </w:rPr>
              <w:t>2020</w:t>
            </w:r>
          </w:p>
        </w:tc>
      </w:tr>
      <w:tr>
        <w:trPr>
          <w:trHeight w:val="23"/>
        </w:trPr>
        <w:tc>
          <w:tcPr>
            <w:tcW w:w="63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0"/>
        </w:trPr>
        <w:tc>
          <w:tcPr>
            <w:tcW w:w="6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14"/>
        </w:trPr>
        <w:tc>
          <w:tcPr>
            <w:tcW w:w="6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Class A common stock</w:t>
            </w: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56,722,925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53,395,319</w:t>
            </w:r>
          </w:p>
        </w:tc>
      </w:tr>
      <w:tr>
        <w:trPr>
          <w:trHeight w:val="214"/>
        </w:trPr>
        <w:tc>
          <w:tcPr>
            <w:tcW w:w="63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Class B common stock</w:t>
            </w: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4,700,338</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5,865,732</w:t>
            </w:r>
          </w:p>
        </w:tc>
      </w:tr>
      <w:tr>
        <w:trPr>
          <w:trHeight w:val="232"/>
        </w:trPr>
        <w:tc>
          <w:tcPr>
            <w:tcW w:w="6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common stock issued and outstanding</w:t>
            </w: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61,423,263</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59,261,051</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firstLine="303"/>
        <w:spacing w:after="0" w:line="255" w:lineRule="auto"/>
        <w:rPr>
          <w:sz w:val="20"/>
          <w:szCs w:val="20"/>
          <w:color w:val="auto"/>
        </w:rPr>
      </w:pPr>
      <w:r>
        <w:rPr>
          <w:rFonts w:ascii="Arial" w:cs="Arial" w:eastAsia="Arial" w:hAnsi="Arial"/>
          <w:sz w:val="17"/>
          <w:szCs w:val="17"/>
          <w:color w:val="auto"/>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Holders of common stock are entitled to dividends as declared by the Board of Directors, subject to rights of holders of all classes of stock outstanding having priority rights as to dividends. There have been no dividends declared to date.</w:t>
      </w:r>
    </w:p>
    <w:p>
      <w:pPr>
        <w:spacing w:after="0" w:line="127" w:lineRule="exact"/>
        <w:rPr>
          <w:sz w:val="20"/>
          <w:szCs w:val="20"/>
          <w:color w:val="auto"/>
        </w:rPr>
      </w:pPr>
    </w:p>
    <w:p>
      <w:pPr>
        <w:ind w:right="120" w:firstLine="303"/>
        <w:spacing w:after="0" w:line="282" w:lineRule="auto"/>
        <w:rPr>
          <w:sz w:val="20"/>
          <w:szCs w:val="20"/>
          <w:color w:val="auto"/>
        </w:rPr>
      </w:pPr>
      <w:r>
        <w:rPr>
          <w:rFonts w:ascii="Arial" w:cs="Arial" w:eastAsia="Arial" w:hAnsi="Arial"/>
          <w:sz w:val="16"/>
          <w:szCs w:val="16"/>
          <w:color w:val="auto"/>
        </w:rPr>
        <w:t>In the first quarter of 2021, the Company received $11.4 million related to the return of short-swing profits from one of its beneficial owners. These proceeds are recognized as a capital contribution from stockholders as an increase to additional paid-in capital on the condensed consolidated statements of changes in stockholders’ equity and as cash provided by financing activities on the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jc w:val="center"/>
        <w:ind w:right="100"/>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0" w:hanging="599"/>
        <w:spacing w:after="0"/>
        <w:tabs>
          <w:tab w:leader="none" w:pos="6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EQUITY INCENTIVE PLANS</w:t>
      </w:r>
    </w:p>
    <w:p>
      <w:pPr>
        <w:spacing w:after="0" w:line="162" w:lineRule="exact"/>
        <w:rPr>
          <w:sz w:val="20"/>
          <w:szCs w:val="20"/>
          <w:color w:val="auto"/>
        </w:rPr>
      </w:pPr>
    </w:p>
    <w:p>
      <w:pPr>
        <w:ind w:right="240" w:firstLine="303"/>
        <w:spacing w:after="0" w:line="309" w:lineRule="auto"/>
        <w:rPr>
          <w:sz w:val="20"/>
          <w:szCs w:val="20"/>
          <w:color w:val="auto"/>
        </w:rPr>
      </w:pPr>
      <w:r>
        <w:rPr>
          <w:rFonts w:ascii="Arial" w:cs="Arial" w:eastAsia="Arial" w:hAnsi="Arial"/>
          <w:sz w:val="15"/>
          <w:szCs w:val="15"/>
          <w:color w:val="auto"/>
        </w:rPr>
        <w:t>In 2017, the Company adopted the 2017 Stock Incentive Plan (2017 Plan), which provided for the granting of awards to employees, directors, and consultants of the Company. Awards issuable under the Plan include incentive stock options (ISO), nonqualified stock options (NSO), and restricted stock awards. In 2020, the Company adopted the 2020 RSU Equity Incentive Plan (2020 RSU Plan), which provided for the granting of RSUs to certain employees of the Company.</w:t>
      </w:r>
    </w:p>
    <w:p>
      <w:pPr>
        <w:spacing w:after="0" w:line="90" w:lineRule="exact"/>
        <w:rPr>
          <w:sz w:val="20"/>
          <w:szCs w:val="20"/>
          <w:color w:val="auto"/>
        </w:rPr>
      </w:pPr>
    </w:p>
    <w:p>
      <w:pPr>
        <w:jc w:val="both"/>
        <w:ind w:right="320" w:firstLine="303"/>
        <w:spacing w:after="0" w:line="258" w:lineRule="auto"/>
        <w:rPr>
          <w:sz w:val="20"/>
          <w:szCs w:val="20"/>
          <w:color w:val="auto"/>
        </w:rPr>
      </w:pPr>
      <w:r>
        <w:rPr>
          <w:rFonts w:ascii="Arial" w:cs="Arial" w:eastAsia="Arial" w:hAnsi="Arial"/>
          <w:sz w:val="17"/>
          <w:szCs w:val="17"/>
          <w:color w:val="auto"/>
        </w:rPr>
        <w:t>In 2020, the Company adopted the 2020 Equity Incentive Plan (2020 Plan), which became effective in connection with the IPO. The Company’s 2017 Plan and 2020 RSU Plan were terminated in connection with the IPO and no further grants will be made under the 2017 Plan and 2020 RSU Plan from the date that the 2020 Plan became effective.</w:t>
      </w:r>
    </w:p>
    <w:p>
      <w:pPr>
        <w:spacing w:after="0" w:line="126" w:lineRule="exact"/>
        <w:rPr>
          <w:sz w:val="20"/>
          <w:szCs w:val="20"/>
          <w:color w:val="auto"/>
        </w:rPr>
      </w:pPr>
    </w:p>
    <w:p>
      <w:pPr>
        <w:ind w:right="280" w:firstLine="303"/>
        <w:spacing w:after="0" w:line="270" w:lineRule="auto"/>
        <w:rPr>
          <w:sz w:val="20"/>
          <w:szCs w:val="20"/>
          <w:color w:val="auto"/>
        </w:rPr>
      </w:pPr>
      <w:r>
        <w:rPr>
          <w:rFonts w:ascii="Arial" w:cs="Arial" w:eastAsia="Arial" w:hAnsi="Arial"/>
          <w:sz w:val="17"/>
          <w:szCs w:val="17"/>
          <w:color w:val="auto"/>
        </w:rPr>
        <w:t>As of June 30, 2021, there are 8,302,701 shares of Class A common stock reserved for issuance under the 2020 Plan of which 5,965,116 shares are available for issuance in connection with grants of future awards.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Stock option activity for the six months ended June 30, 2021 is as follows:</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65"/>
        </w:trPr>
        <w:tc>
          <w:tcPr>
            <w:tcW w:w="4460" w:type="dxa"/>
            <w:vAlign w:val="bottom"/>
          </w:tcPr>
          <w:p>
            <w:pPr>
              <w:spacing w:after="0"/>
              <w:rPr>
                <w:sz w:val="14"/>
                <w:szCs w:val="14"/>
                <w:color w:val="auto"/>
              </w:rPr>
            </w:pPr>
          </w:p>
        </w:tc>
        <w:tc>
          <w:tcPr>
            <w:tcW w:w="1640" w:type="dxa"/>
            <w:vAlign w:val="bottom"/>
            <w:gridSpan w:val="2"/>
          </w:tcPr>
          <w:p>
            <w:pPr>
              <w:ind w:left="700"/>
              <w:spacing w:after="0"/>
              <w:rPr>
                <w:sz w:val="20"/>
                <w:szCs w:val="20"/>
                <w:color w:val="auto"/>
              </w:rPr>
            </w:pPr>
            <w:r>
              <w:rPr>
                <w:rFonts w:ascii="Arial" w:cs="Arial" w:eastAsia="Arial" w:hAnsi="Arial"/>
                <w:sz w:val="13"/>
                <w:szCs w:val="13"/>
                <w:b w:val="1"/>
                <w:bCs w:val="1"/>
                <w:color w:val="auto"/>
              </w:rPr>
              <w:t>Options</w:t>
            </w:r>
          </w:p>
        </w:tc>
        <w:tc>
          <w:tcPr>
            <w:tcW w:w="460" w:type="dxa"/>
            <w:vAlign w:val="bottom"/>
          </w:tcPr>
          <w:p>
            <w:pPr>
              <w:spacing w:after="0"/>
              <w:rPr>
                <w:sz w:val="14"/>
                <w:szCs w:val="14"/>
                <w:color w:val="auto"/>
              </w:rPr>
            </w:pPr>
          </w:p>
        </w:tc>
        <w:tc>
          <w:tcPr>
            <w:tcW w:w="1400" w:type="dxa"/>
            <w:vAlign w:val="bottom"/>
          </w:tcPr>
          <w:p>
            <w:pPr>
              <w:jc w:val="right"/>
              <w:ind w:right="180"/>
              <w:spacing w:after="0"/>
              <w:rPr>
                <w:sz w:val="20"/>
                <w:szCs w:val="20"/>
                <w:color w:val="auto"/>
              </w:rPr>
            </w:pPr>
            <w:r>
              <w:rPr>
                <w:rFonts w:ascii="Arial" w:cs="Arial" w:eastAsia="Arial" w:hAnsi="Arial"/>
                <w:sz w:val="13"/>
                <w:szCs w:val="13"/>
                <w:b w:val="1"/>
                <w:bCs w:val="1"/>
                <w:color w:val="auto"/>
                <w:w w:val="98"/>
              </w:rPr>
              <w:t>Weighted Average</w:t>
            </w:r>
          </w:p>
        </w:tc>
      </w:tr>
      <w:tr>
        <w:trPr>
          <w:trHeight w:val="178"/>
        </w:trPr>
        <w:tc>
          <w:tcPr>
            <w:tcW w:w="4460" w:type="dxa"/>
            <w:vAlign w:val="bottom"/>
          </w:tcPr>
          <w:p>
            <w:pPr>
              <w:spacing w:after="0"/>
              <w:rPr>
                <w:sz w:val="15"/>
                <w:szCs w:val="15"/>
                <w:color w:val="auto"/>
              </w:rPr>
            </w:pPr>
          </w:p>
        </w:tc>
        <w:tc>
          <w:tcPr>
            <w:tcW w:w="1640" w:type="dxa"/>
            <w:vAlign w:val="bottom"/>
            <w:gridSpan w:val="2"/>
          </w:tcPr>
          <w:p>
            <w:pPr>
              <w:ind w:left="420"/>
              <w:spacing w:after="0"/>
              <w:rPr>
                <w:sz w:val="20"/>
                <w:szCs w:val="20"/>
                <w:color w:val="auto"/>
              </w:rPr>
            </w:pPr>
            <w:r>
              <w:rPr>
                <w:rFonts w:ascii="Arial" w:cs="Arial" w:eastAsia="Arial" w:hAnsi="Arial"/>
                <w:sz w:val="13"/>
                <w:szCs w:val="13"/>
                <w:b w:val="1"/>
                <w:bCs w:val="1"/>
                <w:color w:val="auto"/>
              </w:rPr>
              <w:t>Outstanding</w:t>
            </w:r>
          </w:p>
        </w:tc>
        <w:tc>
          <w:tcPr>
            <w:tcW w:w="460" w:type="dxa"/>
            <w:vAlign w:val="bottom"/>
          </w:tcPr>
          <w:p>
            <w:pPr>
              <w:spacing w:after="0"/>
              <w:rPr>
                <w:sz w:val="15"/>
                <w:szCs w:val="15"/>
                <w:color w:val="auto"/>
              </w:rPr>
            </w:pPr>
          </w:p>
        </w:tc>
        <w:tc>
          <w:tcPr>
            <w:tcW w:w="1400" w:type="dxa"/>
            <w:vAlign w:val="bottom"/>
          </w:tcPr>
          <w:p>
            <w:pPr>
              <w:jc w:val="right"/>
              <w:ind w:right="440"/>
              <w:spacing w:after="0"/>
              <w:rPr>
                <w:sz w:val="20"/>
                <w:szCs w:val="20"/>
                <w:color w:val="auto"/>
              </w:rPr>
            </w:pPr>
            <w:r>
              <w:rPr>
                <w:rFonts w:ascii="Arial" w:cs="Arial" w:eastAsia="Arial" w:hAnsi="Arial"/>
                <w:sz w:val="13"/>
                <w:szCs w:val="13"/>
                <w:b w:val="1"/>
                <w:bCs w:val="1"/>
                <w:color w:val="auto"/>
                <w:w w:val="96"/>
              </w:rPr>
              <w:t>Exercise Price</w:t>
            </w:r>
          </w:p>
        </w:tc>
      </w:tr>
      <w:tr>
        <w:trPr>
          <w:trHeight w:val="211"/>
        </w:trPr>
        <w:tc>
          <w:tcPr>
            <w:tcW w:w="44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Balance - December 31, 2020</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9,551,105</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5.55</w:t>
            </w:r>
          </w:p>
        </w:tc>
      </w:tr>
      <w:tr>
        <w:trPr>
          <w:trHeight w:val="214"/>
        </w:trPr>
        <w:tc>
          <w:tcPr>
            <w:tcW w:w="4460" w:type="dxa"/>
            <w:vAlign w:val="bottom"/>
          </w:tcPr>
          <w:p>
            <w:pPr>
              <w:ind w:left="320"/>
              <w:spacing w:after="0"/>
              <w:rPr>
                <w:sz w:val="20"/>
                <w:szCs w:val="20"/>
                <w:color w:val="auto"/>
              </w:rPr>
            </w:pPr>
            <w:r>
              <w:rPr>
                <w:rFonts w:ascii="Arial" w:cs="Arial" w:eastAsia="Arial" w:hAnsi="Arial"/>
                <w:sz w:val="17"/>
                <w:szCs w:val="17"/>
                <w:color w:val="auto"/>
              </w:rPr>
              <w:t>Options granted</w:t>
            </w:r>
          </w:p>
        </w:tc>
        <w:tc>
          <w:tcPr>
            <w:tcW w:w="1540" w:type="dxa"/>
            <w:vAlign w:val="bottom"/>
          </w:tcPr>
          <w:p>
            <w:pPr>
              <w:jc w:val="right"/>
              <w:spacing w:after="0"/>
              <w:rPr>
                <w:sz w:val="20"/>
                <w:szCs w:val="20"/>
                <w:color w:val="auto"/>
              </w:rPr>
            </w:pPr>
            <w:r>
              <w:rPr>
                <w:rFonts w:ascii="Arial" w:cs="Arial" w:eastAsia="Arial" w:hAnsi="Arial"/>
                <w:sz w:val="17"/>
                <w:szCs w:val="17"/>
                <w:color w:val="231F20"/>
              </w:rPr>
              <w:t>1,015,699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231F20"/>
              </w:rPr>
              <w:t>54.65</w:t>
            </w:r>
          </w:p>
        </w:tc>
      </w:tr>
      <w:tr>
        <w:trPr>
          <w:trHeight w:val="215"/>
        </w:trPr>
        <w:tc>
          <w:tcPr>
            <w:tcW w:w="4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Options exercised</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231F20"/>
              </w:rPr>
              <w:t>(530,178)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231F20"/>
              </w:rPr>
              <w:t>0.77</w:t>
            </w:r>
          </w:p>
        </w:tc>
      </w:tr>
      <w:tr>
        <w:trPr>
          <w:trHeight w:val="214"/>
        </w:trPr>
        <w:tc>
          <w:tcPr>
            <w:tcW w:w="44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Options cancelled and 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31F20"/>
              </w:rPr>
              <w:t>(139,424)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31F20"/>
              </w:rPr>
              <w:t>18.81</w:t>
            </w:r>
          </w:p>
        </w:tc>
      </w:tr>
      <w:tr>
        <w:trPr>
          <w:trHeight w:val="232"/>
        </w:trPr>
        <w:tc>
          <w:tcPr>
            <w:tcW w:w="4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Balance - June 30, 2021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9,897,202</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10.66</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85"/>
        </w:trPr>
        <w:tc>
          <w:tcPr>
            <w:tcW w:w="4460" w:type="dxa"/>
            <w:vAlign w:val="bottom"/>
          </w:tcPr>
          <w:p>
            <w:pPr>
              <w:ind w:left="20"/>
              <w:spacing w:after="0" w:line="185" w:lineRule="exact"/>
              <w:rPr>
                <w:sz w:val="20"/>
                <w:szCs w:val="20"/>
                <w:color w:val="auto"/>
              </w:rPr>
            </w:pPr>
            <w:r>
              <w:rPr>
                <w:rFonts w:ascii="Arial" w:cs="Arial" w:eastAsia="Arial" w:hAnsi="Arial"/>
                <w:sz w:val="17"/>
                <w:szCs w:val="17"/>
                <w:color w:val="auto"/>
              </w:rPr>
              <w:t>Vested and exercisable, June 30, 2021</w:t>
            </w:r>
          </w:p>
        </w:tc>
        <w:tc>
          <w:tcPr>
            <w:tcW w:w="154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2,128,772</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3.44</w:t>
            </w:r>
          </w:p>
        </w:tc>
      </w:tr>
      <w:tr>
        <w:trPr>
          <w:trHeight w:val="20"/>
        </w:trPr>
        <w:tc>
          <w:tcPr>
            <w:tcW w:w="44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Restricted Stock</w:t>
      </w:r>
    </w:p>
    <w:p>
      <w:pPr>
        <w:spacing w:after="0" w:line="158" w:lineRule="exact"/>
        <w:rPr>
          <w:sz w:val="20"/>
          <w:szCs w:val="20"/>
          <w:color w:val="auto"/>
        </w:rPr>
      </w:pPr>
    </w:p>
    <w:p>
      <w:pPr>
        <w:ind w:right="360" w:firstLine="303"/>
        <w:spacing w:after="0" w:line="338" w:lineRule="auto"/>
        <w:rPr>
          <w:sz w:val="20"/>
          <w:szCs w:val="20"/>
          <w:color w:val="auto"/>
        </w:rPr>
      </w:pPr>
      <w:r>
        <w:rPr>
          <w:rFonts w:ascii="Arial" w:cs="Arial" w:eastAsia="Arial" w:hAnsi="Arial"/>
          <w:sz w:val="15"/>
          <w:szCs w:val="15"/>
          <w:color w:val="auto"/>
        </w:rPr>
        <w:t>Certain stock options granted under the 2017 Plan provide stock option holders the right to exercise unvested stock options in exchange for restricted shares of Class A common stock. The Company has also issued restricted shares of Class A common stock to employees and directors under the 2017 Plan.</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activity of restricted shares of Class A common stock for the six months ended June 30, 2021 is as follows:</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70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Weighted-Average</w:t>
            </w:r>
          </w:p>
        </w:tc>
        <w:tc>
          <w:tcPr>
            <w:tcW w:w="0" w:type="dxa"/>
            <w:vAlign w:val="bottom"/>
          </w:tcPr>
          <w:p>
            <w:pPr>
              <w:spacing w:after="0"/>
              <w:rPr>
                <w:sz w:val="1"/>
                <w:szCs w:val="1"/>
                <w:color w:val="auto"/>
              </w:rPr>
            </w:pPr>
          </w:p>
        </w:tc>
      </w:tr>
      <w:tr>
        <w:trPr>
          <w:trHeight w:val="126"/>
        </w:trPr>
        <w:tc>
          <w:tcPr>
            <w:tcW w:w="7060" w:type="dxa"/>
            <w:vAlign w:val="bottom"/>
          </w:tcPr>
          <w:p>
            <w:pPr>
              <w:spacing w:after="0"/>
              <w:rPr>
                <w:sz w:val="10"/>
                <w:szCs w:val="10"/>
                <w:color w:val="auto"/>
              </w:rPr>
            </w:pPr>
          </w:p>
        </w:tc>
        <w:tc>
          <w:tcPr>
            <w:tcW w:w="2000" w:type="dxa"/>
            <w:vAlign w:val="bottom"/>
            <w:gridSpan w:val="2"/>
            <w:vMerge w:val="restart"/>
          </w:tcPr>
          <w:p>
            <w:pPr>
              <w:ind w:left="580"/>
              <w:spacing w:after="0"/>
              <w:rPr>
                <w:sz w:val="20"/>
                <w:szCs w:val="20"/>
                <w:color w:val="auto"/>
              </w:rPr>
            </w:pPr>
            <w:r>
              <w:rPr>
                <w:rFonts w:ascii="Arial" w:cs="Arial" w:eastAsia="Arial" w:hAnsi="Arial"/>
                <w:sz w:val="13"/>
                <w:szCs w:val="13"/>
                <w:b w:val="1"/>
                <w:bCs w:val="1"/>
                <w:color w:val="auto"/>
              </w:rPr>
              <w:t>Number of Shares</w:t>
            </w:r>
          </w:p>
        </w:tc>
        <w:tc>
          <w:tcPr>
            <w:tcW w:w="560" w:type="dxa"/>
            <w:vAlign w:val="bottom"/>
          </w:tcPr>
          <w:p>
            <w:pPr>
              <w:spacing w:after="0"/>
              <w:rPr>
                <w:sz w:val="10"/>
                <w:szCs w:val="10"/>
                <w:color w:val="auto"/>
              </w:rPr>
            </w:pPr>
          </w:p>
        </w:tc>
        <w:tc>
          <w:tcPr>
            <w:tcW w:w="14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9"/>
              </w:rPr>
              <w:t>Grant Date</w:t>
            </w:r>
          </w:p>
        </w:tc>
        <w:tc>
          <w:tcPr>
            <w:tcW w:w="0" w:type="dxa"/>
            <w:vAlign w:val="bottom"/>
          </w:tcPr>
          <w:p>
            <w:pPr>
              <w:spacing w:after="0"/>
              <w:rPr>
                <w:sz w:val="1"/>
                <w:szCs w:val="1"/>
                <w:color w:val="auto"/>
              </w:rPr>
            </w:pPr>
          </w:p>
        </w:tc>
      </w:tr>
      <w:tr>
        <w:trPr>
          <w:trHeight w:val="175"/>
        </w:trPr>
        <w:tc>
          <w:tcPr>
            <w:tcW w:w="706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208"/>
        </w:trPr>
        <w:tc>
          <w:tcPr>
            <w:tcW w:w="70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Unvested at December 31, 2020</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775,641</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4"/>
        </w:trPr>
        <w:tc>
          <w:tcPr>
            <w:tcW w:w="7060" w:type="dxa"/>
            <w:vAlign w:val="bottom"/>
          </w:tcPr>
          <w:p>
            <w:pPr>
              <w:ind w:left="320"/>
              <w:spacing w:after="0"/>
              <w:rPr>
                <w:sz w:val="20"/>
                <w:szCs w:val="20"/>
                <w:color w:val="auto"/>
              </w:rPr>
            </w:pPr>
            <w:r>
              <w:rPr>
                <w:rFonts w:ascii="Arial" w:cs="Arial" w:eastAsia="Arial" w:hAnsi="Arial"/>
                <w:sz w:val="17"/>
                <w:szCs w:val="17"/>
                <w:color w:val="auto"/>
              </w:rPr>
              <w:t>Granted</w:t>
            </w:r>
          </w:p>
        </w:tc>
        <w:tc>
          <w:tcPr>
            <w:tcW w:w="1900" w:type="dxa"/>
            <w:vAlign w:val="bottom"/>
          </w:tcPr>
          <w:p>
            <w:pPr>
              <w:jc w:val="right"/>
              <w:spacing w:after="0"/>
              <w:rPr>
                <w:sz w:val="20"/>
                <w:szCs w:val="20"/>
                <w:color w:val="auto"/>
              </w:rPr>
            </w:pPr>
            <w:r>
              <w:rPr>
                <w:rFonts w:ascii="Arial" w:cs="Arial" w:eastAsia="Arial" w:hAnsi="Arial"/>
                <w:sz w:val="17"/>
                <w:szCs w:val="17"/>
                <w:color w:val="auto"/>
              </w:rPr>
              <w:t>10,728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5"/>
        </w:trPr>
        <w:tc>
          <w:tcPr>
            <w:tcW w:w="7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Repurchased</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(19,728)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4"/>
        </w:trPr>
        <w:tc>
          <w:tcPr>
            <w:tcW w:w="70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Vested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(340,196)</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2"/>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Unvested at June 30, 2021</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426,445</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19" w:name="page20"/>
    <w:bookmarkEnd w:id="19"/>
    <w:p>
      <w:pPr>
        <w:jc w:val="center"/>
        <w:ind w:right="100"/>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RSUs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Company has granted RSUs under the 2020 RSU Plan and the 2020 Plan. RSU activity for the six months ended June 30, 2021 is as follows:</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70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Weighted-Average</w:t>
            </w:r>
          </w:p>
        </w:tc>
        <w:tc>
          <w:tcPr>
            <w:tcW w:w="0" w:type="dxa"/>
            <w:vAlign w:val="bottom"/>
          </w:tcPr>
          <w:p>
            <w:pPr>
              <w:spacing w:after="0"/>
              <w:rPr>
                <w:sz w:val="1"/>
                <w:szCs w:val="1"/>
                <w:color w:val="auto"/>
              </w:rPr>
            </w:pPr>
          </w:p>
        </w:tc>
      </w:tr>
      <w:tr>
        <w:trPr>
          <w:trHeight w:val="126"/>
        </w:trPr>
        <w:tc>
          <w:tcPr>
            <w:tcW w:w="7060" w:type="dxa"/>
            <w:vAlign w:val="bottom"/>
          </w:tcPr>
          <w:p>
            <w:pPr>
              <w:spacing w:after="0"/>
              <w:rPr>
                <w:sz w:val="10"/>
                <w:szCs w:val="10"/>
                <w:color w:val="auto"/>
              </w:rPr>
            </w:pPr>
          </w:p>
        </w:tc>
        <w:tc>
          <w:tcPr>
            <w:tcW w:w="2000" w:type="dxa"/>
            <w:vAlign w:val="bottom"/>
            <w:gridSpan w:val="2"/>
            <w:vMerge w:val="restart"/>
          </w:tcPr>
          <w:p>
            <w:pPr>
              <w:ind w:left="460"/>
              <w:spacing w:after="0"/>
              <w:rPr>
                <w:sz w:val="20"/>
                <w:szCs w:val="20"/>
                <w:color w:val="auto"/>
              </w:rPr>
            </w:pPr>
            <w:r>
              <w:rPr>
                <w:rFonts w:ascii="Arial" w:cs="Arial" w:eastAsia="Arial" w:hAnsi="Arial"/>
                <w:sz w:val="13"/>
                <w:szCs w:val="13"/>
                <w:b w:val="1"/>
                <w:bCs w:val="1"/>
                <w:color w:val="auto"/>
              </w:rPr>
              <w:t>Restricted Stock Units</w:t>
            </w:r>
          </w:p>
        </w:tc>
        <w:tc>
          <w:tcPr>
            <w:tcW w:w="560" w:type="dxa"/>
            <w:vAlign w:val="bottom"/>
          </w:tcPr>
          <w:p>
            <w:pPr>
              <w:spacing w:after="0"/>
              <w:rPr>
                <w:sz w:val="10"/>
                <w:szCs w:val="10"/>
                <w:color w:val="auto"/>
              </w:rPr>
            </w:pPr>
          </w:p>
        </w:tc>
        <w:tc>
          <w:tcPr>
            <w:tcW w:w="14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9"/>
              </w:rPr>
              <w:t>Grant Date</w:t>
            </w:r>
          </w:p>
        </w:tc>
        <w:tc>
          <w:tcPr>
            <w:tcW w:w="0" w:type="dxa"/>
            <w:vAlign w:val="bottom"/>
          </w:tcPr>
          <w:p>
            <w:pPr>
              <w:spacing w:after="0"/>
              <w:rPr>
                <w:sz w:val="1"/>
                <w:szCs w:val="1"/>
                <w:color w:val="auto"/>
              </w:rPr>
            </w:pPr>
          </w:p>
        </w:tc>
      </w:tr>
      <w:tr>
        <w:trPr>
          <w:trHeight w:val="175"/>
        </w:trPr>
        <w:tc>
          <w:tcPr>
            <w:tcW w:w="706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208"/>
        </w:trPr>
        <w:tc>
          <w:tcPr>
            <w:tcW w:w="70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Balance at December 31, 2020</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491,318</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4"/>
        </w:trPr>
        <w:tc>
          <w:tcPr>
            <w:tcW w:w="7060" w:type="dxa"/>
            <w:vAlign w:val="bottom"/>
          </w:tcPr>
          <w:p>
            <w:pPr>
              <w:ind w:left="320"/>
              <w:spacing w:after="0"/>
              <w:rPr>
                <w:sz w:val="20"/>
                <w:szCs w:val="20"/>
                <w:color w:val="auto"/>
              </w:rPr>
            </w:pPr>
            <w:r>
              <w:rPr>
                <w:rFonts w:ascii="Arial" w:cs="Arial" w:eastAsia="Arial" w:hAnsi="Arial"/>
                <w:sz w:val="17"/>
                <w:szCs w:val="17"/>
                <w:color w:val="auto"/>
              </w:rPr>
              <w:t>Granted</w:t>
            </w:r>
          </w:p>
        </w:tc>
        <w:tc>
          <w:tcPr>
            <w:tcW w:w="1900" w:type="dxa"/>
            <w:vAlign w:val="bottom"/>
          </w:tcPr>
          <w:p>
            <w:pPr>
              <w:jc w:val="right"/>
              <w:spacing w:after="0"/>
              <w:rPr>
                <w:sz w:val="20"/>
                <w:szCs w:val="20"/>
                <w:color w:val="auto"/>
              </w:rPr>
            </w:pPr>
            <w:r>
              <w:rPr>
                <w:rFonts w:ascii="Arial" w:cs="Arial" w:eastAsia="Arial" w:hAnsi="Arial"/>
                <w:sz w:val="17"/>
                <w:szCs w:val="17"/>
                <w:color w:val="auto"/>
              </w:rPr>
              <w:t>253,883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15"/>
        </w:trPr>
        <w:tc>
          <w:tcPr>
            <w:tcW w:w="7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4"/>
        </w:trPr>
        <w:tc>
          <w:tcPr>
            <w:tcW w:w="70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Cancelled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(3,543)</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32"/>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Balance at June 30, 2021</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739,896</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158" w:lineRule="exact"/>
        <w:rPr>
          <w:sz w:val="20"/>
          <w:szCs w:val="20"/>
          <w:color w:val="auto"/>
        </w:rPr>
      </w:pPr>
    </w:p>
    <w:p>
      <w:pPr>
        <w:ind w:right="140" w:firstLine="303"/>
        <w:spacing w:after="0" w:line="255" w:lineRule="auto"/>
        <w:rPr>
          <w:sz w:val="20"/>
          <w:szCs w:val="20"/>
          <w:color w:val="auto"/>
        </w:rPr>
      </w:pPr>
      <w:r>
        <w:rPr>
          <w:rFonts w:ascii="Arial" w:cs="Arial" w:eastAsia="Arial" w:hAnsi="Arial"/>
          <w:sz w:val="17"/>
          <w:szCs w:val="17"/>
          <w:color w:val="auto"/>
        </w:rPr>
        <w:t>In November 2020, the Company’s board of directors adopted the 2020 Employee Stock Purchase Plan (ESPP), which was subsequently approved by the Company’s stockholders and became effective in connection with the IPO. A total of 1,195,327 shares of Class A common stock are reserved for issuance under the ESPP as of June 30, 2021. The first offering period has not commenced as of June 30, 2021 and there is no stock-based compensation related to the ESPP for the three months ended June 30, 2021.</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58" w:lineRule="exact"/>
        <w:rPr>
          <w:sz w:val="20"/>
          <w:szCs w:val="20"/>
          <w:color w:val="auto"/>
        </w:rPr>
      </w:pPr>
    </w:p>
    <w:p>
      <w:pPr>
        <w:ind w:right="160" w:firstLine="303"/>
        <w:spacing w:after="0" w:line="270" w:lineRule="auto"/>
        <w:rPr>
          <w:sz w:val="20"/>
          <w:szCs w:val="20"/>
          <w:color w:val="auto"/>
        </w:rPr>
      </w:pPr>
      <w:r>
        <w:rPr>
          <w:rFonts w:ascii="Arial" w:cs="Arial" w:eastAsia="Arial" w:hAnsi="Arial"/>
          <w:sz w:val="17"/>
          <w:szCs w:val="17"/>
          <w:color w:val="auto"/>
        </w:rPr>
        <w:t>The following table summarizes the components of stock-based compensation recognized in the Company’s condensed consolidated statements of operations and comprehensive loss (in thousands):</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151"/>
        </w:trPr>
        <w:tc>
          <w:tcPr>
            <w:tcW w:w="3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20" w:type="dxa"/>
            <w:vAlign w:val="bottom"/>
            <w:gridSpan w:val="4"/>
          </w:tcPr>
          <w:p>
            <w:pPr>
              <w:jc w:val="right"/>
              <w:ind w:right="522"/>
              <w:spacing w:after="0"/>
              <w:rPr>
                <w:sz w:val="20"/>
                <w:szCs w:val="20"/>
                <w:color w:val="auto"/>
              </w:rPr>
            </w:pPr>
            <w:r>
              <w:rPr>
                <w:rFonts w:ascii="Arial" w:cs="Arial" w:eastAsia="Arial" w:hAnsi="Arial"/>
                <w:sz w:val="13"/>
                <w:szCs w:val="13"/>
                <w:b w:val="1"/>
                <w:bCs w:val="1"/>
                <w:color w:val="auto"/>
              </w:rPr>
              <w:t>Three Months Ended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900" w:type="dxa"/>
            <w:vAlign w:val="bottom"/>
            <w:gridSpan w:val="4"/>
          </w:tcPr>
          <w:p>
            <w:pPr>
              <w:jc w:val="right"/>
              <w:ind w:right="36"/>
              <w:spacing w:after="0"/>
              <w:rPr>
                <w:sz w:val="20"/>
                <w:szCs w:val="20"/>
                <w:color w:val="auto"/>
              </w:rPr>
            </w:pPr>
            <w:r>
              <w:rPr>
                <w:rFonts w:ascii="Arial" w:cs="Arial" w:eastAsia="Arial" w:hAnsi="Arial"/>
                <w:sz w:val="13"/>
                <w:szCs w:val="13"/>
                <w:b w:val="1"/>
                <w:bCs w:val="1"/>
                <w:color w:val="auto"/>
              </w:rPr>
              <w:t>Six Months Ended</w:t>
            </w:r>
          </w:p>
        </w:tc>
        <w:tc>
          <w:tcPr>
            <w:tcW w:w="840" w:type="dxa"/>
            <w:vAlign w:val="bottom"/>
          </w:tcPr>
          <w:p>
            <w:pPr>
              <w:spacing w:after="0"/>
              <w:rPr>
                <w:sz w:val="13"/>
                <w:szCs w:val="13"/>
                <w:color w:val="auto"/>
              </w:rPr>
            </w:pPr>
          </w:p>
        </w:tc>
      </w:tr>
      <w:tr>
        <w:trPr>
          <w:trHeight w:val="174"/>
        </w:trPr>
        <w:tc>
          <w:tcPr>
            <w:tcW w:w="3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00" w:type="dxa"/>
            <w:vAlign w:val="bottom"/>
            <w:gridSpan w:val="3"/>
          </w:tcPr>
          <w:p>
            <w:pPr>
              <w:ind w:left="420"/>
              <w:spacing w:after="0"/>
              <w:rPr>
                <w:sz w:val="20"/>
                <w:szCs w:val="20"/>
                <w:color w:val="auto"/>
              </w:rPr>
            </w:pPr>
            <w:r>
              <w:rPr>
                <w:rFonts w:ascii="Arial" w:cs="Arial" w:eastAsia="Arial" w:hAnsi="Arial"/>
                <w:sz w:val="13"/>
                <w:szCs w:val="13"/>
                <w:b w:val="1"/>
                <w:bCs w:val="1"/>
                <w:color w:val="auto"/>
                <w:w w:val="88"/>
              </w:rPr>
              <w:t>June 30,</w:t>
            </w: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20" w:type="dxa"/>
            <w:vAlign w:val="bottom"/>
            <w:gridSpan w:val="3"/>
          </w:tcPr>
          <w:p>
            <w:pPr>
              <w:ind w:left="860"/>
              <w:spacing w:after="0"/>
              <w:rPr>
                <w:sz w:val="20"/>
                <w:szCs w:val="20"/>
                <w:color w:val="auto"/>
              </w:rPr>
            </w:pPr>
            <w:r>
              <w:rPr>
                <w:rFonts w:ascii="Arial" w:cs="Arial" w:eastAsia="Arial" w:hAnsi="Arial"/>
                <w:sz w:val="13"/>
                <w:szCs w:val="13"/>
                <w:b w:val="1"/>
                <w:bCs w:val="1"/>
                <w:color w:val="auto"/>
              </w:rPr>
              <w:t>June 30,</w:t>
            </w: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
        </w:trPr>
        <w:tc>
          <w:tcPr>
            <w:tcW w:w="38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71"/>
        </w:trPr>
        <w:tc>
          <w:tcPr>
            <w:tcW w:w="38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102"/>
              <w:spacing w:after="0"/>
              <w:rPr>
                <w:sz w:val="20"/>
                <w:szCs w:val="20"/>
                <w:color w:val="auto"/>
              </w:rPr>
            </w:pPr>
            <w:r>
              <w:rPr>
                <w:rFonts w:ascii="Arial" w:cs="Arial" w:eastAsia="Arial" w:hAnsi="Arial"/>
                <w:sz w:val="13"/>
                <w:szCs w:val="13"/>
                <w:b w:val="1"/>
                <w:bCs w:val="1"/>
                <w:color w:val="auto"/>
              </w:rPr>
              <w:t>2020</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jc w:val="right"/>
              <w:ind w:right="523"/>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359"/>
              <w:spacing w:after="0"/>
              <w:rPr>
                <w:sz w:val="20"/>
                <w:szCs w:val="20"/>
                <w:color w:val="auto"/>
              </w:rPr>
            </w:pPr>
            <w:r>
              <w:rPr>
                <w:rFonts w:ascii="Arial" w:cs="Arial" w:eastAsia="Arial" w:hAnsi="Arial"/>
                <w:sz w:val="13"/>
                <w:szCs w:val="13"/>
                <w:b w:val="1"/>
                <w:bCs w:val="1"/>
                <w:color w:val="auto"/>
              </w:rPr>
              <w:t>2020</w:t>
            </w:r>
          </w:p>
        </w:tc>
      </w:tr>
      <w:tr>
        <w:trPr>
          <w:trHeight w:val="23"/>
        </w:trPr>
        <w:tc>
          <w:tcPr>
            <w:tcW w:w="38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2"/>
        </w:trPr>
        <w:tc>
          <w:tcPr>
            <w:tcW w:w="3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4"/>
        </w:trPr>
        <w:tc>
          <w:tcPr>
            <w:tcW w:w="3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 of revenue</w:t>
            </w:r>
          </w:p>
        </w:tc>
        <w:tc>
          <w:tcPr>
            <w:tcW w:w="1220" w:type="dxa"/>
            <w:vAlign w:val="bottom"/>
            <w:shd w:val="clear" w:color="auto" w:fill="CCEEFF"/>
          </w:tcPr>
          <w:p>
            <w:pPr>
              <w:jc w:val="right"/>
              <w:ind w:right="742"/>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22"/>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747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3820" w:type="dxa"/>
            <w:vAlign w:val="bottom"/>
          </w:tcPr>
          <w:p>
            <w:pPr>
              <w:ind w:left="320"/>
              <w:spacing w:after="0"/>
              <w:rPr>
                <w:sz w:val="20"/>
                <w:szCs w:val="20"/>
                <w:color w:val="auto"/>
              </w:rPr>
            </w:pPr>
            <w:r>
              <w:rPr>
                <w:rFonts w:ascii="Arial" w:cs="Arial" w:eastAsia="Arial" w:hAnsi="Arial"/>
                <w:sz w:val="17"/>
                <w:szCs w:val="17"/>
                <w:color w:val="auto"/>
              </w:rPr>
              <w:t>Research and development</w:t>
            </w:r>
          </w:p>
        </w:tc>
        <w:tc>
          <w:tcPr>
            <w:tcW w:w="1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170</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7"/>
                <w:szCs w:val="17"/>
                <w:color w:val="auto"/>
              </w:rPr>
              <w:t>2,187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351</w:t>
            </w:r>
          </w:p>
        </w:tc>
      </w:tr>
      <w:tr>
        <w:trPr>
          <w:trHeight w:val="214"/>
        </w:trPr>
        <w:tc>
          <w:tcPr>
            <w:tcW w:w="3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Selling, general and administrative</w:t>
            </w:r>
          </w:p>
        </w:tc>
        <w:tc>
          <w:tcPr>
            <w:tcW w:w="1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638</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9,535</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1,036</w:t>
            </w:r>
          </w:p>
        </w:tc>
      </w:tr>
      <w:tr>
        <w:trPr>
          <w:trHeight w:val="207"/>
        </w:trPr>
        <w:tc>
          <w:tcPr>
            <w:tcW w:w="3820" w:type="dxa"/>
            <w:vAlign w:val="bottom"/>
          </w:tcPr>
          <w:p>
            <w:pPr>
              <w:ind w:left="320"/>
              <w:spacing w:after="0"/>
              <w:rPr>
                <w:sz w:val="20"/>
                <w:szCs w:val="20"/>
                <w:color w:val="auto"/>
              </w:rPr>
            </w:pPr>
            <w:r>
              <w:rPr>
                <w:rFonts w:ascii="Arial" w:cs="Arial" w:eastAsia="Arial" w:hAnsi="Arial"/>
                <w:sz w:val="17"/>
                <w:szCs w:val="17"/>
                <w:color w:val="auto"/>
              </w:rPr>
              <w:t>Total stock-based compensation</w:t>
            </w:r>
          </w:p>
        </w:tc>
        <w:tc>
          <w:tcPr>
            <w:tcW w:w="1220" w:type="dxa"/>
            <w:vAlign w:val="bottom"/>
            <w:tcBorders>
              <w:bottom w:val="single" w:sz="8" w:color="auto"/>
            </w:tcBorders>
          </w:tcPr>
          <w:p>
            <w:pPr>
              <w:jc w:val="right"/>
              <w:ind w:right="742"/>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6,431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22"/>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w:t>
            </w:r>
          </w:p>
        </w:tc>
        <w:tc>
          <w:tcPr>
            <w:tcW w:w="80" w:type="dxa"/>
            <w:vAlign w:val="bottom"/>
          </w:tcPr>
          <w:p>
            <w:pPr>
              <w:spacing w:after="0"/>
              <w:rPr>
                <w:sz w:val="18"/>
                <w:szCs w:val="18"/>
                <w:color w:val="auto"/>
              </w:rPr>
            </w:pPr>
          </w:p>
        </w:tc>
        <w:tc>
          <w:tcPr>
            <w:tcW w:w="6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12,469</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1,387</w:t>
            </w:r>
          </w:p>
        </w:tc>
      </w:tr>
      <w:tr>
        <w:trPr>
          <w:trHeight w:val="20"/>
        </w:trPr>
        <w:tc>
          <w:tcPr>
            <w:tcW w:w="3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00" w:hanging="599"/>
        <w:spacing w:after="0"/>
        <w:tabs>
          <w:tab w:leader="none" w:pos="60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Facility Lease Agreement</w:t>
      </w:r>
    </w:p>
    <w:p>
      <w:pPr>
        <w:spacing w:after="0" w:line="158" w:lineRule="exact"/>
        <w:rPr>
          <w:sz w:val="20"/>
          <w:szCs w:val="20"/>
          <w:color w:val="auto"/>
        </w:rPr>
      </w:pPr>
    </w:p>
    <w:p>
      <w:pPr>
        <w:ind w:right="140" w:firstLine="303"/>
        <w:spacing w:after="0" w:line="255" w:lineRule="auto"/>
        <w:rPr>
          <w:sz w:val="20"/>
          <w:szCs w:val="20"/>
          <w:color w:val="auto"/>
        </w:rPr>
      </w:pPr>
      <w:r>
        <w:rPr>
          <w:rFonts w:ascii="Arial" w:cs="Arial" w:eastAsia="Arial" w:hAnsi="Arial"/>
          <w:sz w:val="17"/>
          <w:szCs w:val="17"/>
          <w:color w:val="auto"/>
        </w:rPr>
        <w:t>On January 4, 2019, the Company entered into a lease agreement for office and laboratory space in Redwood City, California. The lease term commenced in November 2019 and ends on September 30, 2029. In connection with the lease and its amendments, the Company maintains a letter of credit issued to the lessor in the amount of $0.5 million, which is secured by restricted cash that is classified as non-current at June 30, 2021 and December 31, 2020 based on the term of the underlying lease.</w:t>
      </w:r>
    </w:p>
    <w:p>
      <w:pPr>
        <w:spacing w:after="0" w:line="127" w:lineRule="exact"/>
        <w:rPr>
          <w:sz w:val="20"/>
          <w:szCs w:val="20"/>
          <w:color w:val="auto"/>
        </w:rPr>
      </w:pPr>
    </w:p>
    <w:p>
      <w:pPr>
        <w:ind w:right="440" w:firstLine="303"/>
        <w:spacing w:after="0" w:line="309" w:lineRule="auto"/>
        <w:rPr>
          <w:sz w:val="20"/>
          <w:szCs w:val="20"/>
          <w:color w:val="auto"/>
        </w:rPr>
      </w:pPr>
      <w:r>
        <w:rPr>
          <w:rFonts w:ascii="Arial" w:cs="Arial" w:eastAsia="Arial" w:hAnsi="Arial"/>
          <w:sz w:val="15"/>
          <w:szCs w:val="15"/>
          <w:color w:val="auto"/>
        </w:rPr>
        <w:t>The Company entered into an amendment to the lease agreement with respect to its facility in Redwood City, California in June 2020. The amendment makes certain changes to the original lease, including (i) additional office and laboratory space in the same building (Expansion Premises) and (ii) an extension of the expiration date of the original lease to 127.5 months following the delivery date of the Expansion Premises, which is estimated to be in the fourth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20" w:name="page21"/>
    <w:bookmarkEnd w:id="20"/>
    <w:p>
      <w:pPr>
        <w:jc w:val="center"/>
        <w:ind w:right="100"/>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20" w:firstLine="303"/>
        <w:spacing w:after="0" w:line="255" w:lineRule="auto"/>
        <w:rPr>
          <w:sz w:val="20"/>
          <w:szCs w:val="20"/>
          <w:color w:val="auto"/>
        </w:rPr>
      </w:pPr>
      <w:r>
        <w:rPr>
          <w:rFonts w:ascii="Arial" w:cs="Arial" w:eastAsia="Arial" w:hAnsi="Arial"/>
          <w:sz w:val="17"/>
          <w:szCs w:val="17"/>
          <w:color w:val="auto"/>
        </w:rPr>
        <w:t>The amendment provides for annual base rent for the Expansion Premises of approximately $0.9 million in the first year of the lease term (subject to an abatement period of nine months), which increases on an annual basis to approximately $1.2 million in the final year of the lease term. The amendment also provides for tenant incentives in the amount of $2.4 million. Under the amendment, the Company retains its original option to renew the lease for an additional five-year term, at then-current market rates.</w:t>
      </w:r>
    </w:p>
    <w:p>
      <w:pPr>
        <w:spacing w:after="0" w:line="127" w:lineRule="exact"/>
        <w:rPr>
          <w:sz w:val="20"/>
          <w:szCs w:val="20"/>
          <w:color w:val="auto"/>
        </w:rPr>
      </w:pPr>
    </w:p>
    <w:p>
      <w:pPr>
        <w:jc w:val="both"/>
        <w:ind w:right="340" w:firstLine="303"/>
        <w:spacing w:after="0" w:line="258" w:lineRule="auto"/>
        <w:rPr>
          <w:sz w:val="20"/>
          <w:szCs w:val="20"/>
          <w:color w:val="auto"/>
        </w:rPr>
      </w:pPr>
      <w:r>
        <w:rPr>
          <w:rFonts w:ascii="Arial" w:cs="Arial" w:eastAsia="Arial" w:hAnsi="Arial"/>
          <w:sz w:val="17"/>
          <w:szCs w:val="17"/>
          <w:color w:val="auto"/>
        </w:rPr>
        <w:t>During the period from the lease amendment commencement until the earlier of one month after occupancy of the Expansion Premises or September 2021, the Company will be provided with temporary space. The Company is not required to pay additional rent for the temporary space, but is required to pay property taxes, insurance and normal maintenance costs with respect to the temporary space.</w:t>
      </w:r>
    </w:p>
    <w:p>
      <w:pPr>
        <w:spacing w:after="0" w:line="126" w:lineRule="exact"/>
        <w:rPr>
          <w:sz w:val="20"/>
          <w:szCs w:val="20"/>
          <w:color w:val="auto"/>
        </w:rPr>
      </w:pPr>
    </w:p>
    <w:p>
      <w:pPr>
        <w:ind w:right="520" w:firstLine="303"/>
        <w:spacing w:after="0" w:line="338" w:lineRule="auto"/>
        <w:rPr>
          <w:sz w:val="20"/>
          <w:szCs w:val="20"/>
          <w:color w:val="auto"/>
        </w:rPr>
      </w:pPr>
      <w:r>
        <w:rPr>
          <w:rFonts w:ascii="Arial" w:cs="Arial" w:eastAsia="Arial" w:hAnsi="Arial"/>
          <w:sz w:val="15"/>
          <w:szCs w:val="15"/>
          <w:color w:val="auto"/>
        </w:rPr>
        <w:t>The Company entered into another amendment to the lease agreement with respect to its facility in Redwood City, California in April 2021. The amendment expanded the office and laboratory space by approximately 25,000 square feet, commenced in May 2021, and has a term of approximately 11 years.</w:t>
      </w:r>
    </w:p>
    <w:p>
      <w:pPr>
        <w:spacing w:after="0" w:line="69" w:lineRule="exact"/>
        <w:rPr>
          <w:sz w:val="20"/>
          <w:szCs w:val="20"/>
          <w:color w:val="auto"/>
        </w:rPr>
      </w:pPr>
    </w:p>
    <w:p>
      <w:pPr>
        <w:ind w:right="140" w:firstLine="303"/>
        <w:spacing w:after="0" w:line="258" w:lineRule="auto"/>
        <w:rPr>
          <w:sz w:val="20"/>
          <w:szCs w:val="20"/>
          <w:color w:val="auto"/>
        </w:rPr>
      </w:pPr>
      <w:r>
        <w:rPr>
          <w:rFonts w:ascii="Arial" w:cs="Arial" w:eastAsia="Arial" w:hAnsi="Arial"/>
          <w:sz w:val="17"/>
          <w:szCs w:val="17"/>
          <w:color w:val="auto"/>
        </w:rPr>
        <w:t>Rent expense was $0.6 million and $0.2 million for the three months ended June 30, 2021 and 2020, respectively. Rent expense was $0.8 million and $0.3 million for the six months ended June 30, 2021 and 2020, respectively. The Company is required to pay property taxes, insurance, and normal maintenance costs for the facility and will be required to pay any increases over the base year of these expenses.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June 30, 2021, future minimum commitments under the Company’s non-cancelable facility operating lease are as follows:</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79"/>
        </w:trPr>
        <w:tc>
          <w:tcPr>
            <w:tcW w:w="930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Years ending December 31,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(in thousands)</w:t>
            </w:r>
          </w:p>
        </w:tc>
      </w:tr>
      <w:tr>
        <w:trPr>
          <w:trHeight w:val="212"/>
        </w:trPr>
        <w:tc>
          <w:tcPr>
            <w:tcW w:w="94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2021 (six months remaining)</w:t>
            </w: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4"/>
        </w:trPr>
        <w:tc>
          <w:tcPr>
            <w:tcW w:w="9300" w:type="dxa"/>
            <w:vAlign w:val="bottom"/>
          </w:tcPr>
          <w:p>
            <w:pPr>
              <w:ind w:left="320"/>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5"/>
        </w:trPr>
        <w:tc>
          <w:tcPr>
            <w:tcW w:w="9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14"/>
        </w:trPr>
        <w:tc>
          <w:tcPr>
            <w:tcW w:w="9300" w:type="dxa"/>
            <w:vAlign w:val="bottom"/>
          </w:tcPr>
          <w:p>
            <w:pPr>
              <w:ind w:left="320"/>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15"/>
        </w:trPr>
        <w:tc>
          <w:tcPr>
            <w:tcW w:w="9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14"/>
        </w:trPr>
        <w:tc>
          <w:tcPr>
            <w:tcW w:w="9400" w:type="dxa"/>
            <w:vAlign w:val="bottom"/>
            <w:tcBorders>
              <w:bottom w:val="single" w:sz="8" w:color="CCEEFF"/>
            </w:tcBorders>
            <w:gridSpan w:val="2"/>
          </w:tcPr>
          <w:p>
            <w:pPr>
              <w:ind w:left="320"/>
              <w:spacing w:after="0"/>
              <w:rPr>
                <w:sz w:val="20"/>
                <w:szCs w:val="20"/>
                <w:color w:val="auto"/>
              </w:rPr>
            </w:pPr>
            <w:r>
              <w:rPr>
                <w:rFonts w:ascii="Arial" w:cs="Arial" w:eastAsia="Arial" w:hAnsi="Arial"/>
                <w:sz w:val="17"/>
                <w:szCs w:val="17"/>
                <w:color w:val="auto"/>
              </w:rPr>
              <w:t>Thereafter</w:t>
            </w: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w:t>
            </w:r>
          </w:p>
        </w:tc>
      </w:tr>
      <w:tr>
        <w:trPr>
          <w:trHeight w:val="232"/>
        </w:trPr>
        <w:tc>
          <w:tcPr>
            <w:tcW w:w="94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7"/>
                <w:szCs w:val="17"/>
                <w:color w:val="auto"/>
              </w:rPr>
              <w:t>Total</w:t>
            </w: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Purchase Commitments and Obligations</w:t>
      </w:r>
    </w:p>
    <w:p>
      <w:pPr>
        <w:spacing w:after="0" w:line="158" w:lineRule="exact"/>
        <w:rPr>
          <w:sz w:val="20"/>
          <w:szCs w:val="20"/>
          <w:color w:val="auto"/>
        </w:rPr>
      </w:pPr>
    </w:p>
    <w:p>
      <w:pPr>
        <w:ind w:right="120" w:firstLine="303"/>
        <w:spacing w:after="0" w:line="253" w:lineRule="auto"/>
        <w:rPr>
          <w:sz w:val="20"/>
          <w:szCs w:val="20"/>
          <w:color w:val="auto"/>
        </w:rPr>
      </w:pPr>
      <w:r>
        <w:rPr>
          <w:rFonts w:ascii="Arial" w:cs="Arial" w:eastAsia="Arial" w:hAnsi="Arial"/>
          <w:sz w:val="17"/>
          <w:szCs w:val="17"/>
          <w:color w:val="auto"/>
        </w:rPr>
        <w:t>The Company has certain purchase commitments related to its inventory management with certain manufacturing suppliers wherein the Company is required to purchase the amounts forecasted in a blanket purchase order within a certain time period.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$5.1 million and $3.1 million as of June 30, 2021 and December 31, 2020, respectively, and are excluded from the future minimum commitments table above.</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Guarantees and Indemnifications</w:t>
      </w:r>
    </w:p>
    <w:p>
      <w:pPr>
        <w:spacing w:after="0" w:line="158" w:lineRule="exact"/>
        <w:rPr>
          <w:sz w:val="20"/>
          <w:szCs w:val="20"/>
          <w:color w:val="auto"/>
        </w:rPr>
      </w:pPr>
    </w:p>
    <w:p>
      <w:pPr>
        <w:ind w:right="100" w:firstLine="303"/>
        <w:spacing w:after="0" w:line="270" w:lineRule="auto"/>
        <w:rPr>
          <w:sz w:val="20"/>
          <w:szCs w:val="20"/>
          <w:color w:val="auto"/>
        </w:rPr>
      </w:pPr>
      <w:r>
        <w:rPr>
          <w:rFonts w:ascii="Arial" w:cs="Arial" w:eastAsia="Arial" w:hAnsi="Arial"/>
          <w:sz w:val="16"/>
          <w:szCs w:val="16"/>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June 30, 2021 and December 31, 2020, the Company does not have any material indemnification claims that were probable or reasonably possible and consequently has not recorded related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21" w:name="page22"/>
    <w:bookmarkEnd w:id="21"/>
    <w:p>
      <w:pPr>
        <w:jc w:val="center"/>
        <w:ind w:right="100"/>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Contingencies</w:t>
      </w:r>
    </w:p>
    <w:p>
      <w:pPr>
        <w:spacing w:after="0" w:line="158" w:lineRule="exact"/>
        <w:rPr>
          <w:sz w:val="20"/>
          <w:szCs w:val="20"/>
          <w:color w:val="auto"/>
        </w:rPr>
      </w:pPr>
    </w:p>
    <w:p>
      <w:pPr>
        <w:ind w:right="340" w:firstLine="303"/>
        <w:spacing w:after="0" w:line="270" w:lineRule="auto"/>
        <w:rPr>
          <w:sz w:val="20"/>
          <w:szCs w:val="20"/>
          <w:color w:val="auto"/>
        </w:rPr>
      </w:pPr>
      <w:r>
        <w:rPr>
          <w:rFonts w:ascii="Arial" w:cs="Arial" w:eastAsia="Arial" w:hAnsi="Arial"/>
          <w:sz w:val="17"/>
          <w:szCs w:val="17"/>
          <w:color w:val="auto"/>
        </w:rPr>
        <w:t>From time to time, the Company may become involved in legal proceedings arising in the ordinary course of business. The Company is not currently a party to any material legal proceedings.</w:t>
      </w:r>
    </w:p>
    <w:p>
      <w:pPr>
        <w:spacing w:after="0" w:line="111" w:lineRule="exact"/>
        <w:rPr>
          <w:sz w:val="20"/>
          <w:szCs w:val="20"/>
          <w:color w:val="auto"/>
        </w:rPr>
      </w:pPr>
    </w:p>
    <w:p>
      <w:pPr>
        <w:ind w:left="600" w:hanging="599"/>
        <w:spacing w:after="0"/>
        <w:tabs>
          <w:tab w:leader="none" w:pos="60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PROGNOMIQ, INC.</w:t>
      </w:r>
    </w:p>
    <w:p>
      <w:pPr>
        <w:spacing w:after="0" w:line="162" w:lineRule="exact"/>
        <w:rPr>
          <w:sz w:val="20"/>
          <w:szCs w:val="20"/>
          <w:color w:val="auto"/>
        </w:rPr>
      </w:pPr>
    </w:p>
    <w:p>
      <w:pPr>
        <w:ind w:right="380" w:firstLine="303"/>
        <w:spacing w:after="0" w:line="309" w:lineRule="auto"/>
        <w:rPr>
          <w:sz w:val="20"/>
          <w:szCs w:val="20"/>
          <w:color w:val="auto"/>
        </w:rPr>
      </w:pPr>
      <w:r>
        <w:rPr>
          <w:rFonts w:ascii="Arial" w:cs="Arial" w:eastAsia="Arial" w:hAnsi="Arial"/>
          <w:sz w:val="15"/>
          <w:szCs w:val="15"/>
          <w:color w:val="auto"/>
        </w:rPr>
        <w:t>In August 2020, the Company formed a new entity, PrognomIQ, Inc. (PrognomIQ), and entered into a stock purchase agreement with PrognomIQ, pursuant to which the Company transferred to PrognomIQ certain assets that comprise the Company’s human diagnostics activities in exchange for all the outstanding equity interests of PrognomIQ. The Company subsequently completed a pro-rata distribution to its stockholders of most of the shares of capital stock of PrognomIQ.</w:t>
      </w:r>
    </w:p>
    <w:p>
      <w:pPr>
        <w:spacing w:after="0" w:line="90" w:lineRule="exact"/>
        <w:rPr>
          <w:sz w:val="20"/>
          <w:szCs w:val="20"/>
          <w:color w:val="auto"/>
        </w:rPr>
      </w:pPr>
    </w:p>
    <w:p>
      <w:pPr>
        <w:ind w:right="180" w:firstLine="303"/>
        <w:spacing w:after="0" w:line="295" w:lineRule="auto"/>
        <w:rPr>
          <w:sz w:val="20"/>
          <w:szCs w:val="20"/>
          <w:color w:val="auto"/>
        </w:rPr>
      </w:pPr>
      <w:r>
        <w:rPr>
          <w:rFonts w:ascii="Arial" w:cs="Arial" w:eastAsia="Arial" w:hAnsi="Arial"/>
          <w:sz w:val="15"/>
          <w:szCs w:val="15"/>
          <w:color w:val="auto"/>
        </w:rPr>
        <w:t>The Company has concluded that PrognomIQ is a VIE due to its reliance on future financing and insufficient equity investment at risk. However, the Company is not the primary beneficiary of the VIE as it does not have the power to direct the activities that most significantly impact the economic performance of PrognomIQ and does not have control over the PrognomIQ board of directors. The Company has determined that it has the ability to exercise significant influence over PrognomIQ and therefore has accounted for its investment in PrognomIQ using the equity method. During the year ended December 31, 2020, the carrying value of the Company’s investment in PrognomIQ was reduced to nil after recognizing net losses based on its percentage of ownership in PrognomIQ.</w:t>
      </w:r>
    </w:p>
    <w:p>
      <w:pPr>
        <w:spacing w:after="0" w:line="100" w:lineRule="exact"/>
        <w:rPr>
          <w:sz w:val="20"/>
          <w:szCs w:val="20"/>
          <w:color w:val="auto"/>
        </w:rPr>
      </w:pPr>
    </w:p>
    <w:p>
      <w:pPr>
        <w:ind w:right="300" w:firstLine="303"/>
        <w:spacing w:after="0" w:line="276" w:lineRule="auto"/>
        <w:rPr>
          <w:sz w:val="20"/>
          <w:szCs w:val="20"/>
          <w:color w:val="auto"/>
        </w:rPr>
      </w:pPr>
      <w:r>
        <w:rPr>
          <w:rFonts w:ascii="Arial" w:cs="Arial" w:eastAsia="Arial" w:hAnsi="Arial"/>
          <w:sz w:val="16"/>
          <w:szCs w:val="16"/>
          <w:color w:val="auto"/>
        </w:rPr>
        <w:t>PrognomIQ constitutes a related party and, as of June 30, 2021 and December 31, 2020, the Company recorded $0.4 million and $0.1 million in related party receivables, respectively, on the condensed consolidated balance sheets representing amounts due from product sales and services and for general transition services and support provided. Revenue received from PrognomIQ is recorded as related party revenue on the condensed consolidated statements of operations and comprehensive loss and is comprised of both the sale of consumables and services performed.</w:t>
      </w:r>
    </w:p>
    <w:p>
      <w:pPr>
        <w:spacing w:after="0" w:line="108" w:lineRule="exact"/>
        <w:rPr>
          <w:sz w:val="20"/>
          <w:szCs w:val="20"/>
          <w:color w:val="auto"/>
        </w:rPr>
      </w:pPr>
    </w:p>
    <w:p>
      <w:pPr>
        <w:ind w:left="600" w:hanging="599"/>
        <w:spacing w:after="0"/>
        <w:tabs>
          <w:tab w:leader="none" w:pos="60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NET LOSS PER SHARE ATTRIBUTABLE TO COMMON STOCKHOLDERS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shows the computation of basic and diluted net loss per share (in thousands, except share and per share data):</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0" w:type="dxa"/>
            <w:vAlign w:val="bottom"/>
            <w:gridSpan w:val="4"/>
          </w:tcPr>
          <w:p>
            <w:pPr>
              <w:jc w:val="right"/>
              <w:ind w:right="16"/>
              <w:spacing w:after="0"/>
              <w:rPr>
                <w:sz w:val="20"/>
                <w:szCs w:val="20"/>
                <w:color w:val="auto"/>
              </w:rPr>
            </w:pPr>
            <w:r>
              <w:rPr>
                <w:rFonts w:ascii="Arial" w:cs="Arial" w:eastAsia="Arial" w:hAnsi="Arial"/>
                <w:sz w:val="13"/>
                <w:szCs w:val="13"/>
                <w:b w:val="1"/>
                <w:bCs w:val="1"/>
                <w:color w:val="auto"/>
              </w:rPr>
              <w:t>Three Months Ended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940" w:type="dxa"/>
            <w:vAlign w:val="bottom"/>
            <w:gridSpan w:val="4"/>
          </w:tcPr>
          <w:p>
            <w:pPr>
              <w:jc w:val="right"/>
              <w:ind w:right="36"/>
              <w:spacing w:after="0"/>
              <w:rPr>
                <w:sz w:val="20"/>
                <w:szCs w:val="20"/>
                <w:color w:val="auto"/>
              </w:rPr>
            </w:pPr>
            <w:r>
              <w:rPr>
                <w:rFonts w:ascii="Arial" w:cs="Arial" w:eastAsia="Arial" w:hAnsi="Arial"/>
                <w:sz w:val="13"/>
                <w:szCs w:val="13"/>
                <w:b w:val="1"/>
                <w:bCs w:val="1"/>
                <w:color w:val="auto"/>
              </w:rPr>
              <w:t>Six Months Ended</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900"/>
              <w:spacing w:after="0"/>
              <w:rPr>
                <w:sz w:val="20"/>
                <w:szCs w:val="20"/>
                <w:color w:val="auto"/>
              </w:rPr>
            </w:pPr>
            <w:r>
              <w:rPr>
                <w:rFonts w:ascii="Arial" w:cs="Arial" w:eastAsia="Arial" w:hAnsi="Arial"/>
                <w:sz w:val="13"/>
                <w:szCs w:val="13"/>
                <w:b w:val="1"/>
                <w:bCs w:val="1"/>
                <w:color w:val="auto"/>
                <w:w w:val="99"/>
              </w:rPr>
              <w:t>June 30,</w:t>
            </w: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900"/>
              <w:spacing w:after="0"/>
              <w:rPr>
                <w:sz w:val="20"/>
                <w:szCs w:val="20"/>
                <w:color w:val="auto"/>
              </w:rPr>
            </w:pPr>
            <w:r>
              <w:rPr>
                <w:rFonts w:ascii="Arial" w:cs="Arial" w:eastAsia="Arial" w:hAnsi="Arial"/>
                <w:sz w:val="13"/>
                <w:szCs w:val="13"/>
                <w:b w:val="1"/>
                <w:bCs w:val="1"/>
                <w:color w:val="auto"/>
                <w:w w:val="99"/>
              </w:rPr>
              <w:t>June 30,</w:t>
            </w: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0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21"/>
        </w:trPr>
        <w:tc>
          <w:tcPr>
            <w:tcW w:w="4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Numerator:</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tcPr>
          <w:p>
            <w:pPr>
              <w:ind w:left="320"/>
              <w:spacing w:after="0"/>
              <w:rPr>
                <w:sz w:val="20"/>
                <w:szCs w:val="20"/>
                <w:color w:val="auto"/>
              </w:rPr>
            </w:pPr>
            <w:r>
              <w:rPr>
                <w:rFonts w:ascii="Arial" w:cs="Arial" w:eastAsia="Arial" w:hAnsi="Arial"/>
                <w:sz w:val="17"/>
                <w:szCs w:val="17"/>
                <w:color w:val="auto"/>
              </w:rPr>
              <w:t>Net loss attributable to common stockholders</w:t>
            </w: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(16,616)</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(6,117)</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(33,045)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40" w:type="dxa"/>
            <w:vAlign w:val="bottom"/>
            <w:shd w:val="clear" w:color="auto" w:fill="CCEEFF"/>
          </w:tcPr>
          <w:p>
            <w:pPr>
              <w:ind w:left="320"/>
              <w:spacing w:after="0" w:line="180" w:lineRule="exact"/>
              <w:rPr>
                <w:sz w:val="20"/>
                <w:szCs w:val="20"/>
                <w:color w:val="auto"/>
              </w:rPr>
            </w:pPr>
            <w:r>
              <w:rPr>
                <w:rFonts w:ascii="Arial" w:cs="Arial" w:eastAsia="Arial" w:hAnsi="Arial"/>
                <w:sz w:val="17"/>
                <w:szCs w:val="17"/>
                <w:color w:val="auto"/>
              </w:rPr>
              <w:t>Denominator:</w:t>
            </w:r>
          </w:p>
        </w:tc>
        <w:tc>
          <w:tcPr>
            <w:tcW w:w="6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040" w:type="dxa"/>
            <w:vAlign w:val="bottom"/>
          </w:tcPr>
          <w:p>
            <w:pPr>
              <w:ind w:left="20"/>
              <w:spacing w:after="0" w:line="164" w:lineRule="exact"/>
              <w:rPr>
                <w:sz w:val="20"/>
                <w:szCs w:val="20"/>
                <w:color w:val="auto"/>
              </w:rPr>
            </w:pPr>
            <w:r>
              <w:rPr>
                <w:rFonts w:ascii="Arial" w:cs="Arial" w:eastAsia="Arial" w:hAnsi="Arial"/>
                <w:sz w:val="17"/>
                <w:szCs w:val="17"/>
                <w:color w:val="auto"/>
                <w:w w:val="91"/>
              </w:rPr>
              <w:t>Weighted-average common shares used in computing net</w:t>
            </w: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040" w:type="dxa"/>
            <w:vAlign w:val="bottom"/>
          </w:tcPr>
          <w:p>
            <w:pPr>
              <w:ind w:left="180"/>
              <w:spacing w:after="0" w:line="164" w:lineRule="exact"/>
              <w:rPr>
                <w:sz w:val="20"/>
                <w:szCs w:val="20"/>
                <w:color w:val="auto"/>
              </w:rPr>
            </w:pPr>
            <w:r>
              <w:rPr>
                <w:rFonts w:ascii="Arial" w:cs="Arial" w:eastAsia="Arial" w:hAnsi="Arial"/>
                <w:sz w:val="17"/>
                <w:szCs w:val="17"/>
                <w:color w:val="auto"/>
                <w:w w:val="88"/>
              </w:rPr>
              <w:t>loss per share attributable to common stockholders, basic</w:t>
            </w:r>
          </w:p>
        </w:tc>
        <w:tc>
          <w:tcPr>
            <w:tcW w:w="640" w:type="dxa"/>
            <w:vAlign w:val="bottom"/>
          </w:tcPr>
          <w:p>
            <w:pPr>
              <w:spacing w:after="0"/>
              <w:rPr>
                <w:sz w:val="14"/>
                <w:szCs w:val="14"/>
                <w:color w:val="auto"/>
              </w:rPr>
            </w:pPr>
          </w:p>
        </w:tc>
        <w:tc>
          <w:tcPr>
            <w:tcW w:w="1120" w:type="dxa"/>
            <w:vAlign w:val="bottom"/>
            <w:vMerge w:val="restart"/>
          </w:tcPr>
          <w:p>
            <w:pPr>
              <w:jc w:val="right"/>
              <w:ind w:right="4"/>
              <w:spacing w:after="0"/>
              <w:rPr>
                <w:sz w:val="20"/>
                <w:szCs w:val="20"/>
                <w:color w:val="auto"/>
              </w:rPr>
            </w:pPr>
            <w:r>
              <w:rPr>
                <w:rFonts w:ascii="Arial" w:cs="Arial" w:eastAsia="Arial" w:hAnsi="Arial"/>
                <w:sz w:val="17"/>
                <w:szCs w:val="17"/>
                <w:color w:val="auto"/>
              </w:rPr>
              <w:t>60,841,657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9,718,393</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60,367,433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9,320,5</w:t>
            </w:r>
          </w:p>
        </w:tc>
        <w:tc>
          <w:tcPr>
            <w:tcW w:w="0" w:type="dxa"/>
            <w:vAlign w:val="bottom"/>
          </w:tcPr>
          <w:p>
            <w:pPr>
              <w:spacing w:after="0"/>
              <w:rPr>
                <w:sz w:val="1"/>
                <w:szCs w:val="1"/>
                <w:color w:val="auto"/>
              </w:rPr>
            </w:pPr>
          </w:p>
        </w:tc>
      </w:tr>
      <w:tr>
        <w:trPr>
          <w:trHeight w:val="189"/>
        </w:trPr>
        <w:tc>
          <w:tcPr>
            <w:tcW w:w="4040" w:type="dxa"/>
            <w:vAlign w:val="bottom"/>
          </w:tcPr>
          <w:p>
            <w:pPr>
              <w:ind w:left="180"/>
              <w:spacing w:after="0" w:line="189" w:lineRule="exact"/>
              <w:rPr>
                <w:sz w:val="20"/>
                <w:szCs w:val="20"/>
                <w:color w:val="auto"/>
              </w:rPr>
            </w:pPr>
            <w:r>
              <w:rPr>
                <w:rFonts w:ascii="Arial" w:cs="Arial" w:eastAsia="Arial" w:hAnsi="Arial"/>
                <w:sz w:val="17"/>
                <w:szCs w:val="17"/>
                <w:color w:val="auto"/>
              </w:rPr>
              <w:t>and diluted</w:t>
            </w: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Net loss per share attributable to common stockholders,</w:t>
            </w:r>
          </w:p>
        </w:tc>
        <w:tc>
          <w:tcPr>
            <w:tcW w:w="640" w:type="dxa"/>
            <w:vAlign w:val="bottom"/>
            <w:vMerge w:val="restart"/>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(0.27)</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(0.63)</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(0.55)</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9"/>
        </w:trPr>
        <w:tc>
          <w:tcPr>
            <w:tcW w:w="4040" w:type="dxa"/>
            <w:vAlign w:val="bottom"/>
            <w:tcBorders>
              <w:bottom w:val="single" w:sz="8" w:color="CCEEFF"/>
            </w:tcBorders>
            <w:shd w:val="clear" w:color="auto" w:fill="CCEEFF"/>
          </w:tcPr>
          <w:p>
            <w:pPr>
              <w:ind w:left="180"/>
              <w:spacing w:after="0" w:line="189" w:lineRule="exact"/>
              <w:rPr>
                <w:sz w:val="20"/>
                <w:szCs w:val="20"/>
                <w:color w:val="auto"/>
              </w:rPr>
            </w:pPr>
            <w:r>
              <w:rPr>
                <w:rFonts w:ascii="Arial" w:cs="Arial" w:eastAsia="Arial" w:hAnsi="Arial"/>
                <w:sz w:val="17"/>
                <w:szCs w:val="17"/>
                <w:color w:val="auto"/>
              </w:rPr>
              <w:t>basic and diluted</w:t>
            </w: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22" w:name="page23"/>
    <w:bookmarkEnd w:id="22"/>
    <w:p>
      <w:pPr>
        <w:jc w:val="center"/>
        <w:ind w:right="100"/>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0" w:firstLine="303"/>
        <w:spacing w:after="0" w:line="301" w:lineRule="auto"/>
        <w:rPr>
          <w:sz w:val="20"/>
          <w:szCs w:val="20"/>
          <w:color w:val="auto"/>
        </w:rPr>
      </w:pPr>
      <w:r>
        <w:rPr>
          <w:rFonts w:ascii="Arial" w:cs="Arial" w:eastAsia="Arial" w:hAnsi="Arial"/>
          <w:sz w:val="16"/>
          <w:szCs w:val="16"/>
          <w:color w:val="auto"/>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p>
      <w:pPr>
        <w:spacing w:after="0" w:line="108"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760" w:type="dxa"/>
            <w:vAlign w:val="bottom"/>
          </w:tcPr>
          <w:p>
            <w:pPr>
              <w:spacing w:after="0"/>
              <w:rPr>
                <w:sz w:val="13"/>
                <w:szCs w:val="13"/>
                <w:color w:val="auto"/>
              </w:rPr>
            </w:pPr>
          </w:p>
        </w:tc>
        <w:tc>
          <w:tcPr>
            <w:tcW w:w="2380" w:type="dxa"/>
            <w:vAlign w:val="bottom"/>
            <w:gridSpan w:val="3"/>
          </w:tcPr>
          <w:p>
            <w:pPr>
              <w:ind w:left="1140"/>
              <w:spacing w:after="0"/>
              <w:rPr>
                <w:sz w:val="20"/>
                <w:szCs w:val="20"/>
                <w:color w:val="auto"/>
              </w:rPr>
            </w:pPr>
            <w:r>
              <w:rPr>
                <w:rFonts w:ascii="Arial" w:cs="Arial" w:eastAsia="Arial" w:hAnsi="Arial"/>
                <w:sz w:val="13"/>
                <w:szCs w:val="13"/>
                <w:b w:val="1"/>
                <w:bCs w:val="1"/>
                <w:color w:val="auto"/>
                <w:w w:val="94"/>
              </w:rPr>
              <w:t>Three Months Ended</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gridSpan w:val="3"/>
          </w:tcPr>
          <w:p>
            <w:pPr>
              <w:ind w:left="1220"/>
              <w:spacing w:after="0"/>
              <w:rPr>
                <w:sz w:val="20"/>
                <w:szCs w:val="20"/>
                <w:color w:val="auto"/>
              </w:rPr>
            </w:pPr>
            <w:r>
              <w:rPr>
                <w:rFonts w:ascii="Arial" w:cs="Arial" w:eastAsia="Arial" w:hAnsi="Arial"/>
                <w:sz w:val="13"/>
                <w:szCs w:val="13"/>
                <w:b w:val="1"/>
                <w:bCs w:val="1"/>
                <w:color w:val="auto"/>
                <w:w w:val="97"/>
              </w:rPr>
              <w:t>Six Months Ended</w:t>
            </w:r>
          </w:p>
        </w:tc>
        <w:tc>
          <w:tcPr>
            <w:tcW w:w="660" w:type="dxa"/>
            <w:vAlign w:val="bottom"/>
          </w:tcPr>
          <w:p>
            <w:pPr>
              <w:spacing w:after="0"/>
              <w:rPr>
                <w:sz w:val="13"/>
                <w:szCs w:val="13"/>
                <w:color w:val="auto"/>
              </w:rPr>
            </w:pPr>
          </w:p>
        </w:tc>
      </w:tr>
      <w:tr>
        <w:trPr>
          <w:trHeight w:val="175"/>
        </w:trPr>
        <w:tc>
          <w:tcPr>
            <w:tcW w:w="4760" w:type="dxa"/>
            <w:vAlign w:val="bottom"/>
          </w:tcPr>
          <w:p>
            <w:pPr>
              <w:spacing w:after="0"/>
              <w:rPr>
                <w:sz w:val="15"/>
                <w:szCs w:val="15"/>
                <w:color w:val="auto"/>
              </w:rPr>
            </w:pPr>
          </w:p>
        </w:tc>
        <w:tc>
          <w:tcPr>
            <w:tcW w:w="2380" w:type="dxa"/>
            <w:vAlign w:val="bottom"/>
            <w:tcBorders>
              <w:bottom w:val="single" w:sz="8" w:color="auto"/>
            </w:tcBorders>
            <w:gridSpan w:val="3"/>
          </w:tcPr>
          <w:p>
            <w:pPr>
              <w:ind w:left="1360"/>
              <w:spacing w:after="0"/>
              <w:rPr>
                <w:sz w:val="20"/>
                <w:szCs w:val="20"/>
                <w:color w:val="auto"/>
              </w:rPr>
            </w:pPr>
            <w:r>
              <w:rPr>
                <w:rFonts w:ascii="Arial" w:cs="Arial" w:eastAsia="Arial" w:hAnsi="Arial"/>
                <w:sz w:val="13"/>
                <w:szCs w:val="13"/>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tcBorders>
              <w:bottom w:val="single" w:sz="8" w:color="auto"/>
            </w:tcBorders>
            <w:gridSpan w:val="3"/>
          </w:tcPr>
          <w:p>
            <w:pPr>
              <w:ind w:left="1360"/>
              <w:spacing w:after="0"/>
              <w:rPr>
                <w:sz w:val="20"/>
                <w:szCs w:val="20"/>
                <w:color w:val="auto"/>
              </w:rPr>
            </w:pPr>
            <w:r>
              <w:rPr>
                <w:rFonts w:ascii="Arial" w:cs="Arial" w:eastAsia="Arial" w:hAnsi="Arial"/>
                <w:sz w:val="13"/>
                <w:szCs w:val="13"/>
                <w:b w:val="1"/>
                <w:bCs w:val="1"/>
                <w:color w:val="auto"/>
              </w:rPr>
              <w:t>June 30,</w:t>
            </w:r>
          </w:p>
        </w:tc>
        <w:tc>
          <w:tcPr>
            <w:tcW w:w="660" w:type="dxa"/>
            <w:vAlign w:val="bottom"/>
            <w:tcBorders>
              <w:bottom w:val="single" w:sz="8" w:color="auto"/>
            </w:tcBorders>
          </w:tcPr>
          <w:p>
            <w:pPr>
              <w:spacing w:after="0"/>
              <w:rPr>
                <w:sz w:val="15"/>
                <w:szCs w:val="15"/>
                <w:color w:val="auto"/>
              </w:rPr>
            </w:pPr>
          </w:p>
        </w:tc>
      </w:tr>
      <w:tr>
        <w:trPr>
          <w:trHeight w:val="169"/>
        </w:trPr>
        <w:tc>
          <w:tcPr>
            <w:tcW w:w="4760" w:type="dxa"/>
            <w:vAlign w:val="bottom"/>
          </w:tcPr>
          <w:p>
            <w:pPr>
              <w:spacing w:after="0"/>
              <w:rPr>
                <w:sz w:val="14"/>
                <w:szCs w:val="14"/>
                <w:color w:val="auto"/>
              </w:rPr>
            </w:pPr>
          </w:p>
        </w:tc>
        <w:tc>
          <w:tcPr>
            <w:tcW w:w="156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c>
          <w:tcPr>
            <w:tcW w:w="1560" w:type="dxa"/>
            <w:vAlign w:val="bottom"/>
            <w:tcBorders>
              <w:bottom w:val="single" w:sz="8" w:color="auto"/>
            </w:tcBorders>
          </w:tcPr>
          <w:p>
            <w:pPr>
              <w:jc w:val="right"/>
              <w:ind w:right="422"/>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2020</w:t>
            </w:r>
          </w:p>
        </w:tc>
      </w:tr>
      <w:tr>
        <w:trPr>
          <w:trHeight w:val="221"/>
        </w:trPr>
        <w:tc>
          <w:tcPr>
            <w:tcW w:w="4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14"/>
        </w:trPr>
        <w:tc>
          <w:tcPr>
            <w:tcW w:w="4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Convertible preferred stock</w:t>
            </w:r>
          </w:p>
        </w:tc>
        <w:tc>
          <w:tcPr>
            <w:tcW w:w="2380" w:type="dxa"/>
            <w:vAlign w:val="bottom"/>
            <w:gridSpan w:val="3"/>
            <w:shd w:val="clear" w:color="auto" w:fill="CCEEFF"/>
          </w:tcPr>
          <w:p>
            <w:pPr>
              <w:jc w:val="right"/>
              <w:ind w:right="88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29,026,787</w:t>
            </w:r>
          </w:p>
        </w:tc>
        <w:tc>
          <w:tcPr>
            <w:tcW w:w="8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jc w:val="right"/>
              <w:ind w:right="8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29,026,7</w:t>
            </w:r>
          </w:p>
        </w:tc>
      </w:tr>
      <w:tr>
        <w:trPr>
          <w:trHeight w:val="214"/>
        </w:trPr>
        <w:tc>
          <w:tcPr>
            <w:tcW w:w="4760" w:type="dxa"/>
            <w:vAlign w:val="bottom"/>
          </w:tcPr>
          <w:p>
            <w:pPr>
              <w:ind w:left="20"/>
              <w:spacing w:after="0"/>
              <w:rPr>
                <w:sz w:val="20"/>
                <w:szCs w:val="20"/>
                <w:color w:val="auto"/>
              </w:rPr>
            </w:pPr>
            <w:r>
              <w:rPr>
                <w:rFonts w:ascii="Arial" w:cs="Arial" w:eastAsia="Arial" w:hAnsi="Arial"/>
                <w:sz w:val="17"/>
                <w:szCs w:val="17"/>
                <w:color w:val="auto"/>
              </w:rPr>
              <w:t>Class A common stock options issued and outstanding</w:t>
            </w:r>
          </w:p>
        </w:tc>
        <w:tc>
          <w:tcPr>
            <w:tcW w:w="1560" w:type="dxa"/>
            <w:vAlign w:val="bottom"/>
          </w:tcPr>
          <w:p>
            <w:pPr>
              <w:jc w:val="right"/>
              <w:spacing w:after="0"/>
              <w:rPr>
                <w:sz w:val="20"/>
                <w:szCs w:val="20"/>
                <w:color w:val="auto"/>
              </w:rPr>
            </w:pPr>
            <w:r>
              <w:rPr>
                <w:rFonts w:ascii="Arial" w:cs="Arial" w:eastAsia="Arial" w:hAnsi="Arial"/>
                <w:sz w:val="17"/>
                <w:szCs w:val="17"/>
                <w:color w:val="auto"/>
              </w:rPr>
              <w:t>9,897,202</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7"/>
              </w:rPr>
              <w:t>6,340,390</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9,897,202</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6,340,3</w:t>
            </w:r>
          </w:p>
        </w:tc>
      </w:tr>
      <w:tr>
        <w:trPr>
          <w:trHeight w:val="215"/>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common stock subject to future vesting</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426,445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1,886,297</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426,445</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1,886,2</w:t>
            </w:r>
          </w:p>
        </w:tc>
      </w:tr>
      <w:tr>
        <w:trPr>
          <w:trHeight w:val="214"/>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Restricted stock units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739,896</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101,510</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739,896</w:t>
            </w: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101,5</w:t>
            </w:r>
          </w:p>
        </w:tc>
      </w:tr>
      <w:tr>
        <w:trPr>
          <w:trHeight w:val="232"/>
        </w:trPr>
        <w:tc>
          <w:tcPr>
            <w:tcW w:w="4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11,063,543</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37,354,984</w:t>
            </w:r>
          </w:p>
        </w:tc>
        <w:tc>
          <w:tcPr>
            <w:tcW w:w="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11,063,543</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37,354,9</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23" w:name="page24"/>
    <w:bookmarkEnd w:id="23"/>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62" w:lineRule="exact"/>
        <w:rPr>
          <w:sz w:val="20"/>
          <w:szCs w:val="20"/>
          <w:color w:val="auto"/>
        </w:rPr>
      </w:pPr>
    </w:p>
    <w:p>
      <w:pPr>
        <w:ind w:right="180" w:firstLine="303"/>
        <w:spacing w:after="0" w:line="25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related notes included in Part I, Item 1 of this Quarterly Report.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62" w:lineRule="exact"/>
        <w:rPr>
          <w:sz w:val="20"/>
          <w:szCs w:val="20"/>
          <w:color w:val="auto"/>
        </w:rPr>
      </w:pPr>
    </w:p>
    <w:p>
      <w:pPr>
        <w:ind w:right="160" w:firstLine="303"/>
        <w:spacing w:after="0" w:line="287" w:lineRule="auto"/>
        <w:rPr>
          <w:sz w:val="20"/>
          <w:szCs w:val="20"/>
          <w:color w:val="auto"/>
        </w:rPr>
      </w:pPr>
      <w:r>
        <w:rPr>
          <w:rFonts w:ascii="Arial" w:cs="Arial" w:eastAsia="Arial" w:hAnsi="Arial"/>
          <w:sz w:val="15"/>
          <w:szCs w:val="15"/>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our SP100 automation instrument and the Proteograph Analysis Suite software. Our Proteograph solution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has the potential to enable researchers to perform proteomics studies at scale, similar to the manner in which next generation sequencing (NGS) technologies have transformed genomics.</w:t>
      </w:r>
    </w:p>
    <w:p>
      <w:pPr>
        <w:spacing w:after="0" w:line="106" w:lineRule="exact"/>
        <w:rPr>
          <w:sz w:val="20"/>
          <w:szCs w:val="20"/>
          <w:color w:val="auto"/>
        </w:rPr>
      </w:pPr>
    </w:p>
    <w:p>
      <w:pPr>
        <w:ind w:right="240" w:firstLine="303"/>
        <w:spacing w:after="0" w:line="258" w:lineRule="auto"/>
        <w:rPr>
          <w:sz w:val="20"/>
          <w:szCs w:val="20"/>
          <w:color w:val="auto"/>
        </w:rPr>
      </w:pPr>
      <w:r>
        <w:rPr>
          <w:rFonts w:ascii="Arial" w:cs="Arial" w:eastAsia="Arial" w:hAnsi="Arial"/>
          <w:sz w:val="17"/>
          <w:szCs w:val="17"/>
          <w:color w:val="auto"/>
        </w:rPr>
        <w:t>Since we were incorporated in 2017, we have devoted substantially all of our resources to research and development activities, including with respect to our Proteograph Product Suite, establishing and maintaining our intellectual property portfolio, hiring personnel, raising capital, building our commercial infrastructure and providing general and administrative support for these activities.</w:t>
      </w:r>
    </w:p>
    <w:p>
      <w:pPr>
        <w:spacing w:after="0" w:line="126" w:lineRule="exact"/>
        <w:rPr>
          <w:sz w:val="20"/>
          <w:szCs w:val="20"/>
          <w:color w:val="auto"/>
        </w:rPr>
      </w:pPr>
    </w:p>
    <w:p>
      <w:pPr>
        <w:ind w:firstLine="303"/>
        <w:spacing w:after="0" w:line="288" w:lineRule="auto"/>
        <w:rPr>
          <w:sz w:val="20"/>
          <w:szCs w:val="20"/>
          <w:color w:val="auto"/>
        </w:rPr>
      </w:pPr>
      <w:r>
        <w:rPr>
          <w:rFonts w:ascii="Arial" w:cs="Arial" w:eastAsia="Arial" w:hAnsi="Arial"/>
          <w:sz w:val="15"/>
          <w:szCs w:val="15"/>
          <w:color w:val="auto"/>
        </w:rPr>
        <w:t>Our ability to generate product revenue sufficient to achieve profitability, if ever, will depend on the successful commercialization of our Proteograph. We plan to commercialize our Proteograph utilizing a three phase commercialization plan that has been shown to be effective and optimal for introducing disruptive products in numerous life sciences technology markets, including NGS. We have completed the first Collaboration phase, during which we signed collaboration agreements with a small number of key opinion leaders in proteomics, whose assessment and validation of products can significantly influence other researchers in their respective markets. We recently commenced the second, or Limited Release, phase of our commercialization plan, and have generated our first revenues from product sales during the second quarter of 2021. We will continue to target sales of our Proteograph Product Suite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Release, in early 2022.</w:t>
      </w:r>
    </w:p>
    <w:p>
      <w:pPr>
        <w:spacing w:after="0" w:line="109" w:lineRule="exact"/>
        <w:rPr>
          <w:sz w:val="20"/>
          <w:szCs w:val="20"/>
          <w:color w:val="auto"/>
        </w:rPr>
      </w:pPr>
    </w:p>
    <w:p>
      <w:pPr>
        <w:ind w:right="40" w:firstLine="303"/>
        <w:spacing w:after="0" w:line="299" w:lineRule="auto"/>
        <w:rPr>
          <w:sz w:val="20"/>
          <w:szCs w:val="20"/>
          <w:color w:val="auto"/>
        </w:rPr>
      </w:pPr>
      <w:r>
        <w:rPr>
          <w:rFonts w:ascii="Arial" w:cs="Arial" w:eastAsia="Arial" w:hAnsi="Arial"/>
          <w:sz w:val="15"/>
          <w:szCs w:val="15"/>
          <w:color w:val="auto"/>
        </w:rPr>
        <w:t>We are commercializing our Proteograph Product Suite as an integrated solution comprising consumables, our SP100 automation instrument and software. Our commercial strategy will focus on growing adoption by the research community of our Proteograph, expanding the installed base and increasing utilization to generate revenue from the purchase of Proteograph consumables. We expect a highly efficient sales model since our Proteograph solution does not have a large capital expenditure component and our workflow integrates with most existing proteomics laboratories’ workflows and also complements large-scale genomics research.</w:t>
      </w:r>
    </w:p>
    <w:p>
      <w:pPr>
        <w:spacing w:after="0" w:line="99" w:lineRule="exact"/>
        <w:rPr>
          <w:sz w:val="20"/>
          <w:szCs w:val="20"/>
          <w:color w:val="auto"/>
        </w:rPr>
      </w:pPr>
    </w:p>
    <w:p>
      <w:pPr>
        <w:ind w:right="20" w:firstLine="303"/>
        <w:spacing w:after="0" w:line="258" w:lineRule="auto"/>
        <w:rPr>
          <w:sz w:val="20"/>
          <w:szCs w:val="20"/>
          <w:color w:val="auto"/>
        </w:rPr>
      </w:pPr>
      <w:r>
        <w:rPr>
          <w:rFonts w:ascii="Arial" w:cs="Arial" w:eastAsia="Arial" w:hAnsi="Arial"/>
          <w:sz w:val="17"/>
          <w:szCs w:val="17"/>
          <w:color w:val="auto"/>
        </w:rPr>
        <w:t>We intend to broadly commercialize our Proteograph Product Suite through a direct sales channel in the United States, and through both direct and distributor sales channels in regions outside the United States. Given our stage of commercialization, we are currently in the early stages of building sales, marketing, support and product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49" w:lineRule="exact"/>
        <w:rPr>
          <w:sz w:val="20"/>
          <w:szCs w:val="20"/>
          <w:color w:val="auto"/>
        </w:rPr>
      </w:pPr>
    </w:p>
    <w:p>
      <w:pPr>
        <w:ind w:right="480"/>
        <w:spacing w:after="0" w:line="301" w:lineRule="auto"/>
        <w:rPr>
          <w:sz w:val="20"/>
          <w:szCs w:val="20"/>
          <w:color w:val="auto"/>
        </w:rPr>
      </w:pPr>
      <w:r>
        <w:rPr>
          <w:rFonts w:ascii="Arial" w:cs="Arial" w:eastAsia="Arial" w:hAnsi="Arial"/>
          <w:sz w:val="16"/>
          <w:szCs w:val="16"/>
          <w:color w:val="auto"/>
        </w:rPr>
        <w:t>capabilities. We intend to build the necessary infrastructure for these activities in the United States, European Union, the United Kingdom, and potentially other countries and regions, including Asia-Pacific, as we execute on our three phase commercialization strategy for our Proteograph.</w:t>
      </w:r>
    </w:p>
    <w:p>
      <w:pPr>
        <w:spacing w:after="0" w:line="93" w:lineRule="exact"/>
        <w:rPr>
          <w:sz w:val="20"/>
          <w:szCs w:val="20"/>
          <w:color w:val="auto"/>
        </w:rPr>
      </w:pPr>
    </w:p>
    <w:p>
      <w:pPr>
        <w:ind w:firstLine="303"/>
        <w:spacing w:after="0" w:line="287" w:lineRule="auto"/>
        <w:rPr>
          <w:sz w:val="20"/>
          <w:szCs w:val="20"/>
          <w:color w:val="auto"/>
        </w:rPr>
      </w:pPr>
      <w:r>
        <w:rPr>
          <w:rFonts w:ascii="Arial" w:cs="Arial" w:eastAsia="Arial" w:hAnsi="Arial"/>
          <w:sz w:val="15"/>
          <w:szCs w:val="15"/>
          <w:color w:val="auto"/>
        </w:rPr>
        <w:t>We leverage well-established unit operations to formulate and manufacture our NPs and to assemble our assay kits at our facilities in Redwood City, California. We procure some of our consumables, including components of our NPs, from third-party manufacturers, which includes the commonly-available raw materials needed for manufacturing our proprietary engineered NPs. We are currently manufacturing using our pilot line and building out our manufacturing capabilities as we ramp towards broad release. We obtain some of the reagents and components used in our Proteograph Product Suite workflow from third-party suppliers. While some of these reagents and components are sourced from a single supplier, these products are readily available from numerous suppliers. While we currently handle packaging of our Proteograph assay and the related consumables, in the future, we may have our packaging outsourced to a third-party. While we currently plan to handle filling of our Proteograph assay reagents both internally and externally, in the future, we may have some of our internal filling outsourced to a third-party. We conduct vendor and component qualification for components provided by third-party suppliers and quality control tests on all of our NPs. We will need to substantially expand our NP manufacturing capabilities to enable the successful commercialization of our Proteograph.</w:t>
      </w:r>
    </w:p>
    <w:p>
      <w:pPr>
        <w:spacing w:after="0" w:line="110" w:lineRule="exact"/>
        <w:rPr>
          <w:sz w:val="20"/>
          <w:szCs w:val="20"/>
          <w:color w:val="auto"/>
        </w:rPr>
      </w:pPr>
    </w:p>
    <w:p>
      <w:pPr>
        <w:ind w:right="20" w:firstLine="303"/>
        <w:spacing w:after="0" w:line="253" w:lineRule="auto"/>
        <w:rPr>
          <w:sz w:val="20"/>
          <w:szCs w:val="20"/>
          <w:color w:val="auto"/>
        </w:rPr>
      </w:pPr>
      <w:r>
        <w:rPr>
          <w:rFonts w:ascii="Arial" w:cs="Arial" w:eastAsia="Arial" w:hAnsi="Arial"/>
          <w:sz w:val="17"/>
          <w:szCs w:val="17"/>
          <w:color w:val="auto"/>
        </w:rPr>
        <w:t>We have designed our SP100 automation instrument and have outsourced the manufacturing of our SP100 to Hamilton Company, a leading manufacturer of automated liquid handling workstations. We have entered into a non-exclusive agreement with Hamilton that covers the manufacturing of our SP100 and its continued supply on a purchase order basis. The agreement has an initial term that runs three years following our commercial launch. Pricing for the supply of our SP100 automation instrument is on a fixed schedule during the initial term of the agreement, with tiered pricing dependent upon the number of units purchased in a twelve-month period.</w:t>
      </w:r>
    </w:p>
    <w:p>
      <w:pPr>
        <w:spacing w:after="0" w:line="130" w:lineRule="exact"/>
        <w:rPr>
          <w:sz w:val="20"/>
          <w:szCs w:val="20"/>
          <w:color w:val="auto"/>
        </w:rPr>
      </w:pPr>
    </w:p>
    <w:p>
      <w:pPr>
        <w:ind w:right="20" w:firstLine="303"/>
        <w:spacing w:after="0" w:line="272" w:lineRule="auto"/>
        <w:rPr>
          <w:sz w:val="20"/>
          <w:szCs w:val="20"/>
          <w:color w:val="auto"/>
        </w:rPr>
      </w:pPr>
      <w:r>
        <w:rPr>
          <w:rFonts w:ascii="Arial" w:cs="Arial" w:eastAsia="Arial" w:hAnsi="Arial"/>
          <w:sz w:val="16"/>
          <w:szCs w:val="16"/>
          <w:color w:val="auto"/>
        </w:rPr>
        <w:t>On December 8, 2020, we completed our IPO, in which we sold 10,592,106 shares of Class A common stock at a price of $19.00 per share, resulting in net proceeds of $183.9 million after deducting offering costs, underwriting discounts and commissions. Concurrent with the IPO, we issued 7,105,262 shares of our common stock in a private placement for net proceeds of $130.3 million after deducting underwriting discounts and commissions. On February 1, 2021, we completed an underwritten public offering of 1,650,000 shares of our Class A common stock at a public offering price of $67.00 per share. We received net proceeds of $103.0 million after deducting offering costs, underwriting discounts and commissions of $7.6 million.</w:t>
      </w:r>
    </w:p>
    <w:p>
      <w:pPr>
        <w:spacing w:after="0" w:line="117" w:lineRule="exact"/>
        <w:rPr>
          <w:sz w:val="20"/>
          <w:szCs w:val="20"/>
          <w:color w:val="auto"/>
        </w:rPr>
      </w:pPr>
    </w:p>
    <w:p>
      <w:pPr>
        <w:ind w:right="220" w:firstLine="303"/>
        <w:spacing w:after="0" w:line="258" w:lineRule="auto"/>
        <w:rPr>
          <w:sz w:val="20"/>
          <w:szCs w:val="20"/>
          <w:color w:val="auto"/>
        </w:rPr>
      </w:pPr>
      <w:r>
        <w:rPr>
          <w:rFonts w:ascii="Arial" w:cs="Arial" w:eastAsia="Arial" w:hAnsi="Arial"/>
          <w:sz w:val="17"/>
          <w:szCs w:val="17"/>
          <w:color w:val="auto"/>
        </w:rPr>
        <w:t>During the six months ended June 30, 2021 and 2020, we incurred a net loss of $33.0 million and $11.6 million, respectively. As of June 30, 2021, we had an accumulated deficit of $88.4 million and cash, cash equivalents, and investments of $517.8 million. We expect to continue to incur significant and increasing losses and do not expect positive cash flows from operations for the foreseeable future.</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expect our expenses to increase significantly in connection with our ongoing activities, as we:</w:t>
      </w:r>
    </w:p>
    <w:p>
      <w:pPr>
        <w:spacing w:after="0" w:line="158" w:lineRule="exact"/>
        <w:rPr>
          <w:sz w:val="20"/>
          <w:szCs w:val="20"/>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continue to develop and commercialize our Proteograph Product Suite;</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attract, hire and retain qualified personnel;</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establish a sales, marketing, service, support and distribution infrastructure as part of our commercialization efforts;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build-out and expand our in-house NP manufacturing capabilities;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continue to engage in research and development of other products and enhancements to our Proteograph Product Suite;</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implement operational, financial and management information systems;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obtain, maintain, expand, and protect our intellectual property portfolio; and</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build the infrastructure to operate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4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PrognomIQ</w:t>
      </w:r>
    </w:p>
    <w:p>
      <w:pPr>
        <w:spacing w:after="0" w:line="158" w:lineRule="exact"/>
        <w:rPr>
          <w:sz w:val="20"/>
          <w:szCs w:val="20"/>
          <w:color w:val="auto"/>
        </w:rPr>
      </w:pPr>
    </w:p>
    <w:p>
      <w:pPr>
        <w:ind w:right="20" w:firstLine="303"/>
        <w:spacing w:after="0" w:line="255" w:lineRule="auto"/>
        <w:rPr>
          <w:sz w:val="20"/>
          <w:szCs w:val="20"/>
          <w:color w:val="auto"/>
        </w:rPr>
      </w:pPr>
      <w:r>
        <w:rPr>
          <w:rFonts w:ascii="Arial" w:cs="Arial" w:eastAsia="Arial" w:hAnsi="Arial"/>
          <w:sz w:val="17"/>
          <w:szCs w:val="17"/>
          <w:color w:val="auto"/>
        </w:rPr>
        <w:t>In August 2020, we transferred certain assets related to human disease testing to PrognomIQ, Inc. (PrognomIQ), a new wholly-owned subsidiary, in exchange for all of its outstanding equity interests. Following the transfer, we completed a pro-rata distribution to our stockholders of most of the shares of capital stock of PrognomIQ. Following the distribution and a subsequent $55.0 million equity financing of PrognomIQ, we hold approximately 19% of the outstanding capital stock in PrognomIQ.</w:t>
      </w:r>
    </w:p>
    <w:p>
      <w:pPr>
        <w:spacing w:after="0" w:line="127" w:lineRule="exact"/>
        <w:rPr>
          <w:sz w:val="20"/>
          <w:szCs w:val="20"/>
          <w:color w:val="auto"/>
        </w:rPr>
      </w:pPr>
    </w:p>
    <w:p>
      <w:pPr>
        <w:ind w:right="100" w:firstLine="303"/>
        <w:spacing w:after="0" w:line="288" w:lineRule="auto"/>
        <w:rPr>
          <w:sz w:val="20"/>
          <w:szCs w:val="20"/>
          <w:color w:val="auto"/>
        </w:rPr>
      </w:pPr>
      <w:r>
        <w:rPr>
          <w:rFonts w:ascii="Arial" w:cs="Arial" w:eastAsia="Arial" w:hAnsi="Arial"/>
          <w:sz w:val="15"/>
          <w:szCs w:val="15"/>
          <w:color w:val="auto"/>
        </w:rPr>
        <w:t>The rationale for this transaction was to enable the growth of ecosystems around new applications that leverage unbiased, deep and large-scale proteomic information. The transaction allows us to remain focused on our core strategy, which is to be a provider, rather than a consumer, of proteomics solutions to all customers across these ecosystems. By focusing on our role as a provider of proteomics solutions, we are no longer potentially competing with, or creating the perception that we are competing with, our customers. Our relationship with PrognomIQ does not preclude us from selling our Proteograph Product Suite to any customer in any geography, nor does it preclude our customers from using our Proteograph in any way. PrognomIQ has indicated that it plans to combine the protein data from our Proteograph solution with genomics and other -omics data, to create a multi-omics approach to health and disease testing. We believe PrognomIQ’s use of proteomics and the potential for other similar companies that use proteomics in their research and products will help us drive the adoption of our Proteograph Product Suite in these applications. We have entered into certain agreements with PrognomIQ.</w:t>
      </w:r>
    </w:p>
    <w:p>
      <w:pPr>
        <w:spacing w:after="0" w:line="109" w:lineRule="exact"/>
        <w:rPr>
          <w:sz w:val="20"/>
          <w:szCs w:val="20"/>
          <w:color w:val="auto"/>
        </w:rPr>
      </w:pPr>
    </w:p>
    <w:p>
      <w:pPr>
        <w:ind w:right="160" w:firstLine="303"/>
        <w:spacing w:after="0" w:line="299" w:lineRule="auto"/>
        <w:rPr>
          <w:sz w:val="20"/>
          <w:szCs w:val="20"/>
          <w:color w:val="auto"/>
        </w:rPr>
      </w:pPr>
      <w:r>
        <w:rPr>
          <w:rFonts w:ascii="Arial" w:cs="Arial" w:eastAsia="Arial" w:hAnsi="Arial"/>
          <w:sz w:val="15"/>
          <w:szCs w:val="15"/>
          <w:color w:val="auto"/>
        </w:rPr>
        <w:t>Omid Farokhzad, Chief Executive Officer and Chair of our board of directors, serves as the Chair of PrognomIQ’s board of directors. Philip Ma, Ph.D., our former Chief Business Officer, serves as the Chief Executive Officer of PrognomIQ. Dr. Ma has fully transitioned to PrognomIQ and remains our consultant through April 2022. In addition, three of our other employees have also transitioned to PrognomIQ. We will be providing general transition services and support, including laboratory and office space to PrognomIQ during the transition period. We anticipate these services to continue through the first half of 2021.</w:t>
      </w:r>
    </w:p>
    <w:p>
      <w:pPr>
        <w:spacing w:after="0" w:line="99" w:lineRule="exact"/>
        <w:rPr>
          <w:sz w:val="20"/>
          <w:szCs w:val="20"/>
          <w:color w:val="auto"/>
        </w:rPr>
      </w:pPr>
    </w:p>
    <w:p>
      <w:pPr>
        <w:ind w:firstLine="303"/>
        <w:spacing w:after="0" w:line="268" w:lineRule="auto"/>
        <w:rPr>
          <w:sz w:val="20"/>
          <w:szCs w:val="20"/>
          <w:color w:val="auto"/>
        </w:rPr>
      </w:pPr>
      <w:r>
        <w:rPr>
          <w:rFonts w:ascii="Arial" w:cs="Arial" w:eastAsia="Arial" w:hAnsi="Arial"/>
          <w:sz w:val="16"/>
          <w:szCs w:val="16"/>
          <w:color w:val="auto"/>
        </w:rPr>
        <w:t>We granted PrognomIQ a non-exclusive license to certain patents and patent applications that we own and a non-exclusive sublicense to certain patent applications we exclusively licensed from BWH, in each case relating to our core technology, to develop, manufacture and commercialize licensed products for the field of human diagnostics on a worldwide basis.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agreement. We do not view these amounts to be material to our financial condition and results of operations nor do we expect these amounts to be material to us in the future. In accordance with the non-exclusive license agreement with PrognomIQ, we entered into a supply agreement with PrognomIQ in June 2021. The PrognomIQ supply agreement provides that we will supply PrognomIQ with the Proteograph Product Suite and associated consumables.</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COVID-19 Pandemic</w:t>
      </w:r>
    </w:p>
    <w:p>
      <w:pPr>
        <w:spacing w:after="0" w:line="158" w:lineRule="exact"/>
        <w:rPr>
          <w:sz w:val="20"/>
          <w:szCs w:val="20"/>
          <w:color w:val="auto"/>
        </w:rPr>
      </w:pPr>
    </w:p>
    <w:p>
      <w:pPr>
        <w:ind w:right="20" w:firstLine="303"/>
        <w:spacing w:after="0" w:line="288" w:lineRule="auto"/>
        <w:rPr>
          <w:sz w:val="20"/>
          <w:szCs w:val="20"/>
          <w:color w:val="auto"/>
        </w:rPr>
      </w:pPr>
      <w:r>
        <w:rPr>
          <w:rFonts w:ascii="Arial" w:cs="Arial" w:eastAsia="Arial" w:hAnsi="Arial"/>
          <w:sz w:val="15"/>
          <w:szCs w:val="15"/>
          <w:color w:val="auto"/>
        </w:rPr>
        <w:t>As a result of the COVID-19 pandemic, we could experience disruptions that could severely impact our business. For example, we have experienced longer lead times from Hamilton for orders of our SP100 automation instruments and may experience delays and longer lead times from our other suppliers of critical hardware, instrumentation and consumables used for product development and manufacturing operations. Pandemic precautions and preventative measures may also impact our commercialization plans due to restrictions on our customers’ ability to access laboratories, causing delays in the delivery and installation of our Proteograph products, training such customers on our products, and their ability to conduct research. The ongoing build-out of our expansion facilities may also be delayed by COVID-related restrictions. Furthermore, COVID-19 has adversely affected the broader economy and financial markets, resulting in an economic downturn that could curtail the research and development budgets of our customers, our ability to hire additional personnel and our financing prospects. Any of the foregoing could harm our operations and we cannot anticipate all the ways in which it could be adversely impacted by health epidemics such as COVID-19.</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For additional details, see the section 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Results of Operations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Revenue</w:t>
      </w:r>
    </w:p>
    <w:p>
      <w:pPr>
        <w:spacing w:after="0" w:line="158" w:lineRule="exact"/>
        <w:rPr>
          <w:sz w:val="20"/>
          <w:szCs w:val="20"/>
          <w:color w:val="auto"/>
        </w:rPr>
      </w:pPr>
    </w:p>
    <w:p>
      <w:pPr>
        <w:ind w:right="160" w:firstLine="303"/>
        <w:spacing w:after="0" w:line="252" w:lineRule="auto"/>
        <w:rPr>
          <w:sz w:val="20"/>
          <w:szCs w:val="20"/>
          <w:color w:val="auto"/>
        </w:rPr>
      </w:pPr>
      <w:r>
        <w:rPr>
          <w:rFonts w:ascii="Arial" w:cs="Arial" w:eastAsia="Arial" w:hAnsi="Arial"/>
          <w:sz w:val="17"/>
          <w:szCs w:val="17"/>
          <w:color w:val="auto"/>
        </w:rPr>
        <w:t>We generate revenue from product sales, which includes sales of our Proteograph Product Suite and associated consumables as well as our platform evaluation agreements. In addition, we generate revenue from performing services and the receipt of grant revenue for the reimbursement of research-related expenses. Our revenue is primarily generated domestically. We intend to focus our commercial efforts in the United States and expect to grow our international presence. A portion of our revenue is generated by sales to a related party and we anticipate a portion of our revenue to continue to be generated by such related party. Our grant-funded activities are expected to decrease as a percentage of total revenue as we continue to ramp up commercialization of our Proteograph Product Suite and our product offerings.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58" w:lineRule="exact"/>
        <w:rPr>
          <w:sz w:val="20"/>
          <w:szCs w:val="20"/>
          <w:color w:val="auto"/>
        </w:rPr>
      </w:pPr>
    </w:p>
    <w:p>
      <w:pPr>
        <w:jc w:val="both"/>
        <w:ind w:right="180" w:firstLine="303"/>
        <w:spacing w:after="0" w:line="258" w:lineRule="auto"/>
        <w:rPr>
          <w:sz w:val="20"/>
          <w:szCs w:val="20"/>
          <w:color w:val="auto"/>
        </w:rPr>
      </w:pPr>
      <w:r>
        <w:rPr>
          <w:rFonts w:ascii="Arial" w:cs="Arial" w:eastAsia="Arial" w:hAnsi="Arial"/>
          <w:sz w:val="17"/>
          <w:szCs w:val="17"/>
          <w:color w:val="auto"/>
        </w:rPr>
        <w:t>We utilize third-party manufacturers for production of our SP100 instrument and we manufacture our NPs and assemble our assay kits internally. Cost of goods sold consists primarily of costs of the components of Proteograph Product Suite, including the SP100, consumables and software, and distribution-related expenses such as logistics and shipping costs.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58" w:lineRule="exact"/>
        <w:rPr>
          <w:sz w:val="20"/>
          <w:szCs w:val="20"/>
          <w:color w:val="auto"/>
        </w:rPr>
      </w:pPr>
    </w:p>
    <w:p>
      <w:pPr>
        <w:jc w:val="both"/>
        <w:ind w:right="200" w:firstLine="303"/>
        <w:spacing w:after="0" w:line="299" w:lineRule="auto"/>
        <w:rPr>
          <w:sz w:val="20"/>
          <w:szCs w:val="20"/>
          <w:color w:val="auto"/>
        </w:rPr>
      </w:pPr>
      <w:r>
        <w:rPr>
          <w:rFonts w:ascii="Arial" w:cs="Arial" w:eastAsia="Arial" w:hAnsi="Arial"/>
          <w:sz w:val="15"/>
          <w:szCs w:val="15"/>
          <w:color w:val="auto"/>
        </w:rPr>
        <w:t>Research and development, or R&amp;D, expenses include cost associated with performing services under research and development service contracts and research and development of our technology and product candidates. R&amp;D expenses consist primarily of employee compensation, including stock-based compensation, and related benefits, laboratory supplies used for in-house research, consulting costs, costs related to clinical studies for the collection of biological samples for research use, which relate to the assets transferred to PrognomIQ, and allocated overhead, including rent, depreciation, information technology and utilities.</w:t>
      </w:r>
    </w:p>
    <w:p>
      <w:pPr>
        <w:spacing w:after="0" w:line="99" w:lineRule="exact"/>
        <w:rPr>
          <w:sz w:val="20"/>
          <w:szCs w:val="20"/>
          <w:color w:val="auto"/>
        </w:rPr>
      </w:pPr>
    </w:p>
    <w:p>
      <w:pPr>
        <w:ind w:firstLine="303"/>
        <w:spacing w:after="0" w:line="255" w:lineRule="auto"/>
        <w:rPr>
          <w:sz w:val="20"/>
          <w:szCs w:val="20"/>
          <w:color w:val="auto"/>
        </w:rPr>
      </w:pPr>
      <w:r>
        <w:rPr>
          <w:rFonts w:ascii="Arial" w:cs="Arial" w:eastAsia="Arial" w:hAnsi="Arial"/>
          <w:sz w:val="17"/>
          <w:szCs w:val="17"/>
          <w:color w:val="auto"/>
        </w:rPr>
        <w:t>We plan to increase our investment in our R&amp;D efforts related to our Proteograph Product Suite, our product development pipeline and our proprietary engineered NP and other technologies. Therefore, we expect R&amp;D expenses will increase in absolute dollars in future periods as we incur expenses associated with hiring additional personnel, purchasing supplies and materials, and the allocation of facility expense associated with the ongoing build-out of our expansion facilities to support our R&amp;D efforts.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58" w:lineRule="exact"/>
        <w:rPr>
          <w:sz w:val="20"/>
          <w:szCs w:val="20"/>
          <w:color w:val="auto"/>
        </w:rPr>
      </w:pPr>
    </w:p>
    <w:p>
      <w:pPr>
        <w:jc w:val="both"/>
        <w:ind w:right="40" w:firstLine="303"/>
        <w:spacing w:after="0" w:line="258" w:lineRule="auto"/>
        <w:rPr>
          <w:sz w:val="20"/>
          <w:szCs w:val="20"/>
          <w:color w:val="auto"/>
        </w:rPr>
      </w:pPr>
      <w:r>
        <w:rPr>
          <w:rFonts w:ascii="Arial" w:cs="Arial" w:eastAsia="Arial" w:hAnsi="Arial"/>
          <w:sz w:val="17"/>
          <w:szCs w:val="17"/>
          <w:color w:val="auto"/>
        </w:rPr>
        <w:t>Selling, general and administrative expenses consist primarily of employee compensation, including stock-based compensation, and related benefits for executive management, sales and marketing, finance, administration and human resources, legal, allocated overhead, professional service fees and other general overhead costs to support our operations.</w:t>
      </w:r>
    </w:p>
    <w:p>
      <w:pPr>
        <w:spacing w:after="0" w:line="126" w:lineRule="exact"/>
        <w:rPr>
          <w:sz w:val="20"/>
          <w:szCs w:val="20"/>
          <w:color w:val="auto"/>
        </w:rPr>
      </w:pPr>
    </w:p>
    <w:p>
      <w:pPr>
        <w:ind w:firstLine="303"/>
        <w:spacing w:after="0" w:line="282" w:lineRule="auto"/>
        <w:rPr>
          <w:sz w:val="20"/>
          <w:szCs w:val="20"/>
          <w:color w:val="auto"/>
        </w:rPr>
      </w:pPr>
      <w:r>
        <w:rPr>
          <w:rFonts w:ascii="Arial" w:cs="Arial" w:eastAsia="Arial" w:hAnsi="Arial"/>
          <w:sz w:val="16"/>
          <w:szCs w:val="16"/>
          <w:color w:val="auto"/>
        </w:rPr>
        <w:t>We expect to incur additional selling, general and administrative expenses as we continue to invest in our personnel as we grow our commercial operations and with the additional costs incurred as a result of operating as a public company, including accounting, human resources, legal, insurance and investor relations costs. As a result, we expect selling, general and administrative expenses to increase in absolute dollars in future periods.</w:t>
      </w:r>
    </w:p>
    <w:p>
      <w:pPr>
        <w:spacing w:after="0" w:line="10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Interest Income</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Interest income consists of interest earned on cash, cash equivalents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Comparisons of the Three Months Ended June 30, 2021 and 2020</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our results of operations for the periods presented: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 June 30,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1020"/>
              <w:spacing w:after="0"/>
              <w:rPr>
                <w:sz w:val="20"/>
                <w:szCs w:val="20"/>
                <w:color w:val="auto"/>
              </w:rPr>
            </w:pPr>
            <w:r>
              <w:rPr>
                <w:rFonts w:ascii="Arial" w:cs="Arial" w:eastAsia="Arial" w:hAnsi="Arial"/>
                <w:sz w:val="13"/>
                <w:szCs w:val="13"/>
                <w:b w:val="1"/>
                <w:bCs w:val="1"/>
                <w:color w:val="auto"/>
              </w:rPr>
              <w:t>Change</w:t>
            </w:r>
          </w:p>
        </w:tc>
        <w:tc>
          <w:tcPr>
            <w:tcW w:w="1080" w:type="dxa"/>
            <w:vAlign w:val="bottom"/>
            <w:tcBorders>
              <w:bottom w:val="single" w:sz="8" w:color="auto"/>
            </w:tcBorders>
          </w:tcPr>
          <w:p>
            <w:pPr>
              <w:spacing w:after="0"/>
              <w:rPr>
                <w:sz w:val="15"/>
                <w:szCs w:val="15"/>
                <w:color w:val="auto"/>
              </w:rPr>
            </w:pPr>
          </w:p>
        </w:tc>
      </w:tr>
      <w:tr>
        <w:trPr>
          <w:trHeight w:val="177"/>
        </w:trPr>
        <w:tc>
          <w:tcPr>
            <w:tcW w:w="5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78"/>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3"/>
          </w:tcPr>
          <w:p>
            <w:pPr>
              <w:ind w:left="180"/>
              <w:spacing w:after="0"/>
              <w:rPr>
                <w:sz w:val="20"/>
                <w:szCs w:val="20"/>
                <w:color w:val="auto"/>
              </w:rPr>
            </w:pPr>
            <w:r>
              <w:rPr>
                <w:rFonts w:ascii="Arial" w:cs="Arial" w:eastAsia="Arial" w:hAnsi="Arial"/>
                <w:sz w:val="13"/>
                <w:szCs w:val="13"/>
                <w:b w:val="1"/>
                <w:bCs w:val="1"/>
                <w:color w:val="auto"/>
              </w:rPr>
              <w:t>Amount</w:t>
            </w:r>
          </w:p>
        </w:tc>
        <w:tc>
          <w:tcPr>
            <w:tcW w:w="1080" w:type="dxa"/>
            <w:vAlign w:val="bottom"/>
          </w:tcPr>
          <w:p>
            <w:pPr>
              <w:jc w:val="right"/>
              <w:ind w:right="617"/>
              <w:spacing w:after="0"/>
              <w:rPr>
                <w:sz w:val="20"/>
                <w:szCs w:val="20"/>
                <w:color w:val="auto"/>
              </w:rPr>
            </w:pPr>
            <w:r>
              <w:rPr>
                <w:rFonts w:ascii="Arial" w:cs="Arial" w:eastAsia="Arial" w:hAnsi="Arial"/>
                <w:sz w:val="13"/>
                <w:szCs w:val="13"/>
                <w:b w:val="1"/>
                <w:bCs w:val="1"/>
                <w:color w:val="auto"/>
              </w:rPr>
              <w:t>%</w:t>
            </w:r>
          </w:p>
        </w:tc>
      </w:tr>
      <w:tr>
        <w:trPr>
          <w:trHeight w:val="23"/>
        </w:trPr>
        <w:tc>
          <w:tcPr>
            <w:tcW w:w="5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6"/>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1"/>
        </w:trPr>
        <w:tc>
          <w:tcPr>
            <w:tcW w:w="5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i w:val="1"/>
                <w:iCs w:val="1"/>
                <w:color w:val="auto"/>
              </w:rPr>
              <w:t>(dollars in thousands)</w:t>
            </w:r>
          </w:p>
        </w:tc>
        <w:tc>
          <w:tcPr>
            <w:tcW w:w="1080" w:type="dxa"/>
            <w:vAlign w:val="bottom"/>
          </w:tcPr>
          <w:p>
            <w:pPr>
              <w:spacing w:after="0"/>
              <w:rPr>
                <w:sz w:val="14"/>
                <w:szCs w:val="14"/>
                <w:color w:val="auto"/>
              </w:rPr>
            </w:pPr>
          </w:p>
        </w:tc>
      </w:tr>
      <w:tr>
        <w:trPr>
          <w:trHeight w:val="23"/>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27"/>
        </w:trPr>
        <w:tc>
          <w:tcPr>
            <w:tcW w:w="5140" w:type="dxa"/>
            <w:vAlign w:val="bottom"/>
          </w:tcPr>
          <w:p>
            <w:pPr>
              <w:ind w:left="220"/>
              <w:spacing w:after="0"/>
              <w:rPr>
                <w:sz w:val="20"/>
                <w:szCs w:val="20"/>
                <w:color w:val="auto"/>
              </w:rPr>
            </w:pPr>
            <w:r>
              <w:rPr>
                <w:rFonts w:ascii="Arial" w:cs="Arial" w:eastAsia="Arial" w:hAnsi="Arial"/>
                <w:sz w:val="17"/>
                <w:szCs w:val="17"/>
                <w:color w:val="auto"/>
              </w:rPr>
              <w:t>Product</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837</w:t>
            </w:r>
          </w:p>
        </w:tc>
        <w:tc>
          <w:tcPr>
            <w:tcW w:w="100" w:type="dxa"/>
            <w:vAlign w:val="bottom"/>
          </w:tcPr>
          <w:p>
            <w:pPr>
              <w:spacing w:after="0"/>
              <w:rPr>
                <w:sz w:val="19"/>
                <w:szCs w:val="19"/>
                <w:color w:val="auto"/>
              </w:rPr>
            </w:pPr>
          </w:p>
        </w:tc>
        <w:tc>
          <w:tcPr>
            <w:tcW w:w="880" w:type="dxa"/>
            <w:vAlign w:val="bottom"/>
          </w:tcPr>
          <w:p>
            <w:pPr>
              <w:jc w:val="right"/>
              <w:ind w:right="702"/>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837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2"/>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Related party</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380</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380</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5140" w:type="dxa"/>
            <w:vAlign w:val="bottom"/>
          </w:tcPr>
          <w:p>
            <w:pPr>
              <w:ind w:left="220"/>
              <w:spacing w:after="0"/>
              <w:rPr>
                <w:sz w:val="20"/>
                <w:szCs w:val="20"/>
                <w:color w:val="auto"/>
              </w:rPr>
            </w:pPr>
            <w:r>
              <w:rPr>
                <w:rFonts w:ascii="Arial" w:cs="Arial" w:eastAsia="Arial" w:hAnsi="Arial"/>
                <w:sz w:val="17"/>
                <w:szCs w:val="17"/>
                <w:color w:val="auto"/>
              </w:rPr>
              <w:t>Grant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65 %</w:t>
            </w:r>
          </w:p>
        </w:tc>
      </w:tr>
      <w:tr>
        <w:trPr>
          <w:trHeight w:val="26"/>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5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Total revenue</w:t>
            </w: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1,334</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1,263</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1779 %</w:t>
            </w:r>
          </w:p>
        </w:tc>
      </w:tr>
      <w:tr>
        <w:trPr>
          <w:trHeight w:val="227"/>
        </w:trPr>
        <w:tc>
          <w:tcPr>
            <w:tcW w:w="514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6"/>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2"/>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Product</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5140" w:type="dxa"/>
            <w:vAlign w:val="bottom"/>
          </w:tcPr>
          <w:p>
            <w:pPr>
              <w:ind w:left="220"/>
              <w:spacing w:after="0"/>
              <w:rPr>
                <w:sz w:val="20"/>
                <w:szCs w:val="20"/>
                <w:color w:val="auto"/>
              </w:rPr>
            </w:pPr>
            <w:r>
              <w:rPr>
                <w:rFonts w:ascii="Arial" w:cs="Arial" w:eastAsia="Arial" w:hAnsi="Arial"/>
                <w:sz w:val="17"/>
                <w:szCs w:val="17"/>
                <w:color w:val="auto"/>
              </w:rPr>
              <w:t>Related party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5"/>
        </w:trPr>
        <w:tc>
          <w:tcPr>
            <w:tcW w:w="5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Total 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514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748</w:t>
            </w:r>
          </w:p>
        </w:tc>
        <w:tc>
          <w:tcPr>
            <w:tcW w:w="1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677</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954 %</w:t>
            </w:r>
          </w:p>
        </w:tc>
      </w:tr>
      <w:tr>
        <w:trPr>
          <w:trHeight w:val="26"/>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27"/>
        </w:trPr>
        <w:tc>
          <w:tcPr>
            <w:tcW w:w="514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6,935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4,536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2,399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53 %</w:t>
            </w:r>
          </w:p>
        </w:tc>
      </w:tr>
      <w:tr>
        <w:trPr>
          <w:trHeight w:val="26"/>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2"/>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10,484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8,582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451 %</w:t>
            </w:r>
          </w:p>
        </w:tc>
      </w:tr>
      <w:tr>
        <w:trPr>
          <w:trHeight w:val="219"/>
        </w:trPr>
        <w:tc>
          <w:tcPr>
            <w:tcW w:w="5140" w:type="dxa"/>
            <w:vAlign w:val="bottom"/>
          </w:tcPr>
          <w:p>
            <w:pPr>
              <w:ind w:left="42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17,419</w:t>
            </w:r>
          </w:p>
        </w:tc>
        <w:tc>
          <w:tcPr>
            <w:tcW w:w="1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6,438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10,981</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171 %</w:t>
            </w:r>
          </w:p>
        </w:tc>
      </w:tr>
      <w:tr>
        <w:trPr>
          <w:trHeight w:val="26"/>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(16,671)</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(6,367)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(10,304)</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162 %</w:t>
            </w:r>
          </w:p>
        </w:tc>
      </w:tr>
      <w:tr>
        <w:trPr>
          <w:trHeight w:val="227"/>
        </w:trPr>
        <w:tc>
          <w:tcPr>
            <w:tcW w:w="514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6"/>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2"/>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Interest income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w:t>
            </w:r>
          </w:p>
        </w:tc>
      </w:tr>
      <w:tr>
        <w:trPr>
          <w:trHeight w:val="227"/>
        </w:trPr>
        <w:tc>
          <w:tcPr>
            <w:tcW w:w="5140" w:type="dxa"/>
            <w:vAlign w:val="bottom"/>
          </w:tcPr>
          <w:p>
            <w:pPr>
              <w:ind w:left="220"/>
              <w:spacing w:after="0"/>
              <w:rPr>
                <w:sz w:val="20"/>
                <w:szCs w:val="20"/>
                <w:color w:val="auto"/>
              </w:rPr>
            </w:pPr>
            <w:r>
              <w:rPr>
                <w:rFonts w:ascii="Arial" w:cs="Arial" w:eastAsia="Arial" w:hAnsi="Arial"/>
                <w:sz w:val="17"/>
                <w:szCs w:val="17"/>
                <w:color w:val="auto"/>
              </w:rPr>
              <w:t>Interest expense</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700" w:type="dxa"/>
            <w:vAlign w:val="bottom"/>
            <w:gridSpan w:val="3"/>
          </w:tcPr>
          <w:p>
            <w:pPr>
              <w:jc w:val="right"/>
              <w:ind w:right="6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2"/>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Other expense</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5140" w:type="dxa"/>
            <w:vAlign w:val="bottom"/>
          </w:tcPr>
          <w:p>
            <w:pPr>
              <w:ind w:left="420"/>
              <w:spacing w:after="0"/>
              <w:rPr>
                <w:sz w:val="20"/>
                <w:szCs w:val="20"/>
                <w:color w:val="auto"/>
              </w:rPr>
            </w:pPr>
            <w:r>
              <w:rPr>
                <w:rFonts w:ascii="Arial" w:cs="Arial" w:eastAsia="Arial" w:hAnsi="Arial"/>
                <w:sz w:val="17"/>
                <w:szCs w:val="17"/>
                <w:color w:val="auto"/>
              </w:rPr>
              <w:t>Total other income</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(195)</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(78)%</w:t>
            </w:r>
          </w:p>
        </w:tc>
      </w:tr>
      <w:tr>
        <w:trPr>
          <w:trHeight w:val="26"/>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(16,616)</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(6,117)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(10,499)</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172 %</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00" w:right="9820" w:firstLine="3"/>
        <w:spacing w:after="0" w:line="512" w:lineRule="auto"/>
        <w:tabs>
          <w:tab w:leader="none" w:pos="426" w:val="left"/>
        </w:tabs>
        <w:numPr>
          <w:ilvl w:val="0"/>
          <w:numId w:val="1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Not meaningful Revenue</w:t>
      </w:r>
    </w:p>
    <w:tbl>
      <w:tblPr>
        <w:tblLayout w:type="fixed"/>
        <w:tblInd w:w="300" w:type="dxa"/>
        <w:tblCellMar>
          <w:top w:w="0" w:type="dxa"/>
          <w:left w:w="0" w:type="dxa"/>
          <w:bottom w:w="0" w:type="dxa"/>
          <w:right w:w="0" w:type="dxa"/>
        </w:tblCellMar>
      </w:tblPr>
      <w:tr>
        <w:trPr>
          <w:trHeight w:val="179"/>
        </w:trPr>
        <w:tc>
          <w:tcPr>
            <w:tcW w:w="4400" w:type="dxa"/>
            <w:vAlign w:val="bottom"/>
          </w:tcPr>
          <w:p>
            <w:pPr>
              <w:spacing w:after="0"/>
              <w:rPr>
                <w:sz w:val="15"/>
                <w:szCs w:val="15"/>
                <w:color w:val="auto"/>
              </w:rPr>
            </w:pPr>
          </w:p>
        </w:tc>
        <w:tc>
          <w:tcPr>
            <w:tcW w:w="288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3"/>
                <w:szCs w:val="13"/>
                <w:b w:val="1"/>
                <w:bCs w:val="1"/>
                <w:color w:val="auto"/>
              </w:rPr>
              <w:t>Three Months Ended June 30,</w:t>
            </w:r>
          </w:p>
        </w:tc>
        <w:tc>
          <w:tcPr>
            <w:tcW w:w="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1087"/>
              <w:spacing w:after="0"/>
              <w:rPr>
                <w:sz w:val="20"/>
                <w:szCs w:val="20"/>
                <w:color w:val="auto"/>
              </w:rPr>
            </w:pPr>
            <w:r>
              <w:rPr>
                <w:rFonts w:ascii="Arial" w:cs="Arial" w:eastAsia="Arial" w:hAnsi="Arial"/>
                <w:sz w:val="13"/>
                <w:szCs w:val="13"/>
                <w:b w:val="1"/>
                <w:bCs w:val="1"/>
                <w:color w:val="auto"/>
                <w:w w:val="96"/>
              </w:rPr>
              <w:t>Change</w:t>
            </w:r>
          </w:p>
        </w:tc>
      </w:tr>
      <w:tr>
        <w:trPr>
          <w:trHeight w:val="173"/>
        </w:trPr>
        <w:tc>
          <w:tcPr>
            <w:tcW w:w="44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Amount</w:t>
            </w:r>
          </w:p>
        </w:tc>
        <w:tc>
          <w:tcPr>
            <w:tcW w:w="1640" w:type="dxa"/>
            <w:vAlign w:val="bottom"/>
            <w:tcBorders>
              <w:bottom w:val="single" w:sz="8" w:color="auto"/>
            </w:tcBorders>
          </w:tcPr>
          <w:p>
            <w:pPr>
              <w:jc w:val="right"/>
              <w:ind w:right="367"/>
              <w:spacing w:after="0"/>
              <w:rPr>
                <w:sz w:val="20"/>
                <w:szCs w:val="20"/>
                <w:color w:val="auto"/>
              </w:rPr>
            </w:pPr>
            <w:r>
              <w:rPr>
                <w:rFonts w:ascii="Arial" w:cs="Arial" w:eastAsia="Arial" w:hAnsi="Arial"/>
                <w:sz w:val="13"/>
                <w:szCs w:val="13"/>
                <w:b w:val="1"/>
                <w:bCs w:val="1"/>
                <w:color w:val="auto"/>
              </w:rPr>
              <w:t>%</w:t>
            </w:r>
          </w:p>
        </w:tc>
      </w:tr>
      <w:tr>
        <w:trPr>
          <w:trHeight w:val="168"/>
        </w:trPr>
        <w:tc>
          <w:tcPr>
            <w:tcW w:w="4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20" w:type="dxa"/>
            <w:vAlign w:val="bottom"/>
            <w:gridSpan w:val="4"/>
          </w:tcPr>
          <w:p>
            <w:pPr>
              <w:jc w:val="right"/>
              <w:ind w:right="764"/>
              <w:spacing w:after="0"/>
              <w:rPr>
                <w:sz w:val="20"/>
                <w:szCs w:val="20"/>
                <w:color w:val="auto"/>
              </w:rPr>
            </w:pPr>
            <w:r>
              <w:rPr>
                <w:rFonts w:ascii="Arial" w:cs="Arial" w:eastAsia="Arial" w:hAnsi="Arial"/>
                <w:sz w:val="13"/>
                <w:szCs w:val="13"/>
                <w:i w:val="1"/>
                <w:iCs w:val="1"/>
                <w:color w:val="auto"/>
              </w:rPr>
              <w:t>(dollars in thousands)</w:t>
            </w:r>
          </w:p>
        </w:tc>
        <w:tc>
          <w:tcPr>
            <w:tcW w:w="1640" w:type="dxa"/>
            <w:vAlign w:val="bottom"/>
          </w:tcPr>
          <w:p>
            <w:pPr>
              <w:spacing w:after="0"/>
              <w:rPr>
                <w:sz w:val="14"/>
                <w:szCs w:val="14"/>
                <w:color w:val="auto"/>
              </w:rPr>
            </w:pPr>
          </w:p>
        </w:tc>
      </w:tr>
      <w:tr>
        <w:trPr>
          <w:trHeight w:val="217"/>
        </w:trPr>
        <w:tc>
          <w:tcPr>
            <w:tcW w:w="4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Revenue</w:t>
            </w:r>
          </w:p>
        </w:tc>
        <w:tc>
          <w:tcPr>
            <w:tcW w:w="1140" w:type="dxa"/>
            <w:vAlign w:val="bottom"/>
            <w:shd w:val="clear" w:color="auto" w:fill="CCEEFF"/>
          </w:tcPr>
          <w:p>
            <w:pPr>
              <w:jc w:val="right"/>
              <w:ind w:right="667"/>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93"/>
              </w:rPr>
              <w:t>1,334</w:t>
            </w:r>
          </w:p>
        </w:tc>
        <w:tc>
          <w:tcPr>
            <w:tcW w:w="1100" w:type="dxa"/>
            <w:vAlign w:val="bottom"/>
            <w:shd w:val="clear" w:color="auto" w:fill="CCEEFF"/>
          </w:tcPr>
          <w:p>
            <w:pPr>
              <w:jc w:val="right"/>
              <w:ind w:right="70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71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1,263</w:t>
            </w:r>
          </w:p>
        </w:tc>
        <w:tc>
          <w:tcPr>
            <w:tcW w:w="1640" w:type="dxa"/>
            <w:vAlign w:val="bottom"/>
            <w:shd w:val="clear" w:color="auto" w:fill="CCEEFF"/>
          </w:tcPr>
          <w:p>
            <w:pPr>
              <w:jc w:val="right"/>
              <w:ind w:right="227"/>
              <w:spacing w:after="0"/>
              <w:rPr>
                <w:sz w:val="20"/>
                <w:szCs w:val="20"/>
                <w:color w:val="auto"/>
              </w:rPr>
            </w:pPr>
            <w:r>
              <w:rPr>
                <w:rFonts w:ascii="Arial" w:cs="Arial" w:eastAsia="Arial" w:hAnsi="Arial"/>
                <w:sz w:val="17"/>
                <w:szCs w:val="17"/>
                <w:color w:val="auto"/>
              </w:rPr>
              <w:t>1779</w:t>
            </w:r>
          </w:p>
        </w:tc>
      </w:tr>
    </w:tbl>
    <w:p>
      <w:pPr>
        <w:spacing w:after="0" w:line="214" w:lineRule="exact"/>
        <w:rPr>
          <w:sz w:val="20"/>
          <w:szCs w:val="20"/>
          <w:color w:val="auto"/>
        </w:rPr>
      </w:pPr>
    </w:p>
    <w:p>
      <w:pPr>
        <w:ind w:right="240" w:firstLine="303"/>
        <w:spacing w:after="0" w:line="276" w:lineRule="auto"/>
        <w:rPr>
          <w:sz w:val="20"/>
          <w:szCs w:val="20"/>
          <w:color w:val="auto"/>
        </w:rPr>
      </w:pPr>
      <w:r>
        <w:rPr>
          <w:rFonts w:ascii="Arial" w:cs="Arial" w:eastAsia="Arial" w:hAnsi="Arial"/>
          <w:sz w:val="16"/>
          <w:szCs w:val="16"/>
          <w:color w:val="auto"/>
        </w:rPr>
        <w:t>Revenue increased by $1.3 million, or 1779%, from $0.1 million during the three months ended June 30, 2020 to $1.3 million during the three months ended June 30, 2021, due to sales of products related to our Proteograph Product Suite in the three-months ended June 30, 2021. Revenue recognized primarily consisted of sales of the Proteograph SP100 instrument and assay kits, platform evaluations, and services, of which $0.4 million was related to related parties. Revenue related to our grant-funded activities related to our SBIR grant from the NIH increased modestly between the two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8" w:name="page29"/>
    <w:bookmarkEnd w:id="28"/>
    <w:p>
      <w:pPr>
        <w:spacing w:after="0" w:line="4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79"/>
        </w:trPr>
        <w:tc>
          <w:tcPr>
            <w:tcW w:w="4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60" w:type="dxa"/>
            <w:vAlign w:val="bottom"/>
            <w:gridSpan w:val="4"/>
          </w:tcPr>
          <w:p>
            <w:pPr>
              <w:ind w:left="360"/>
              <w:spacing w:after="0"/>
              <w:rPr>
                <w:sz w:val="20"/>
                <w:szCs w:val="20"/>
                <w:color w:val="auto"/>
              </w:rPr>
            </w:pPr>
            <w:r>
              <w:rPr>
                <w:rFonts w:ascii="Arial" w:cs="Arial" w:eastAsia="Arial" w:hAnsi="Arial"/>
                <w:sz w:val="13"/>
                <w:szCs w:val="13"/>
                <w:b w:val="1"/>
                <w:bCs w:val="1"/>
                <w:color w:val="auto"/>
              </w:rPr>
              <w:t>Three Months Ended June 30,</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0" w:type="dxa"/>
            <w:vAlign w:val="bottom"/>
          </w:tcPr>
          <w:p>
            <w:pPr>
              <w:jc w:val="right"/>
              <w:ind w:right="887"/>
              <w:spacing w:after="0"/>
              <w:rPr>
                <w:sz w:val="20"/>
                <w:szCs w:val="20"/>
                <w:color w:val="auto"/>
              </w:rPr>
            </w:pPr>
            <w:r>
              <w:rPr>
                <w:rFonts w:ascii="Arial" w:cs="Arial" w:eastAsia="Arial" w:hAnsi="Arial"/>
                <w:sz w:val="13"/>
                <w:szCs w:val="13"/>
                <w:b w:val="1"/>
                <w:bCs w:val="1"/>
                <w:color w:val="auto"/>
              </w:rPr>
              <w:t>Change</w:t>
            </w:r>
          </w:p>
        </w:tc>
      </w:tr>
      <w:tr>
        <w:trPr>
          <w:trHeight w:val="173"/>
        </w:trPr>
        <w:tc>
          <w:tcPr>
            <w:tcW w:w="4680" w:type="dxa"/>
            <w:vAlign w:val="bottom"/>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627"/>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67"/>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auto"/>
              </w:rPr>
              <w:t>Amount</w:t>
            </w:r>
          </w:p>
        </w:tc>
        <w:tc>
          <w:tcPr>
            <w:tcW w:w="160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3"/>
                <w:szCs w:val="13"/>
                <w:b w:val="1"/>
                <w:bCs w:val="1"/>
                <w:color w:val="auto"/>
              </w:rPr>
              <w:t>%</w:t>
            </w:r>
          </w:p>
        </w:tc>
      </w:tr>
      <w:tr>
        <w:trPr>
          <w:trHeight w:val="168"/>
        </w:trPr>
        <w:tc>
          <w:tcPr>
            <w:tcW w:w="4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3"/>
                <w:szCs w:val="13"/>
                <w:i w:val="1"/>
                <w:iCs w:val="1"/>
                <w:color w:val="auto"/>
              </w:rPr>
              <w:t>(dollars in thousands)</w:t>
            </w:r>
          </w:p>
        </w:tc>
        <w:tc>
          <w:tcPr>
            <w:tcW w:w="6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17"/>
        </w:trPr>
        <w:tc>
          <w:tcPr>
            <w:tcW w:w="4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 of revenue</w:t>
            </w:r>
          </w:p>
        </w:tc>
        <w:tc>
          <w:tcPr>
            <w:tcW w:w="6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67"/>
              <w:spacing w:after="0"/>
              <w:rPr>
                <w:sz w:val="20"/>
                <w:szCs w:val="20"/>
                <w:color w:val="auto"/>
              </w:rPr>
            </w:pPr>
            <w:r>
              <w:rPr>
                <w:rFonts w:ascii="Arial" w:cs="Arial" w:eastAsia="Arial" w:hAnsi="Arial"/>
                <w:sz w:val="17"/>
                <w:szCs w:val="17"/>
                <w:color w:val="auto"/>
              </w:rPr>
              <w:t>586</w:t>
            </w:r>
          </w:p>
        </w:tc>
        <w:tc>
          <w:tcPr>
            <w:tcW w:w="5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207"/>
              <w:spacing w:after="0"/>
              <w:rPr>
                <w:sz w:val="20"/>
                <w:szCs w:val="20"/>
                <w:color w:val="auto"/>
              </w:rPr>
            </w:pPr>
            <w:r>
              <w:rPr>
                <w:rFonts w:ascii="Arial" w:cs="Arial" w:eastAsia="Arial" w:hAnsi="Arial"/>
                <w:sz w:val="17"/>
                <w:szCs w:val="17"/>
                <w:color w:val="auto"/>
              </w:rPr>
              <w:t>586</w:t>
            </w:r>
          </w:p>
        </w:tc>
      </w:tr>
    </w:tbl>
    <w:p>
      <w:pPr>
        <w:spacing w:after="0" w:line="227" w:lineRule="exact"/>
        <w:rPr>
          <w:sz w:val="20"/>
          <w:szCs w:val="20"/>
          <w:color w:val="auto"/>
        </w:rPr>
      </w:pPr>
    </w:p>
    <w:p>
      <w:pPr>
        <w:ind w:right="200" w:firstLine="303"/>
        <w:spacing w:after="0" w:line="258" w:lineRule="auto"/>
        <w:rPr>
          <w:sz w:val="20"/>
          <w:szCs w:val="20"/>
          <w:color w:val="auto"/>
        </w:rPr>
      </w:pPr>
      <w:r>
        <w:rPr>
          <w:rFonts w:ascii="Arial" w:cs="Arial" w:eastAsia="Arial" w:hAnsi="Arial"/>
          <w:sz w:val="17"/>
          <w:szCs w:val="17"/>
          <w:color w:val="auto"/>
        </w:rPr>
        <w:t>Cost of revenue for the three months ended June 30, 2021 was $0.6 million compared to $0 for the three months ended June 30, 2020, primarily due to the first sales of our Proteograph Product Suite. Cost of revenue related to our Proteograph Product Suite consist of costs of the SP100 instrument, assay kits and other related costs, including labor and overhead.</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84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3"/>
                <w:szCs w:val="13"/>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067"/>
              <w:spacing w:after="0"/>
              <w:rPr>
                <w:sz w:val="20"/>
                <w:szCs w:val="20"/>
                <w:color w:val="auto"/>
              </w:rPr>
            </w:pPr>
            <w:r>
              <w:rPr>
                <w:rFonts w:ascii="Arial" w:cs="Arial" w:eastAsia="Arial" w:hAnsi="Arial"/>
                <w:sz w:val="13"/>
                <w:szCs w:val="13"/>
                <w:b w:val="1"/>
                <w:bCs w:val="1"/>
                <w:color w:val="auto"/>
                <w:w w:val="96"/>
              </w:rPr>
              <w:t>Change</w:t>
            </w:r>
          </w:p>
        </w:tc>
      </w:tr>
      <w:tr>
        <w:trPr>
          <w:trHeight w:val="194"/>
        </w:trPr>
        <w:tc>
          <w:tcPr>
            <w:tcW w:w="440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rPr>
              <w:t>Amount</w:t>
            </w:r>
          </w:p>
        </w:tc>
        <w:tc>
          <w:tcPr>
            <w:tcW w:w="1620" w:type="dxa"/>
            <w:vAlign w:val="bottom"/>
            <w:tcBorders>
              <w:bottom w:val="single" w:sz="8" w:color="auto"/>
            </w:tcBorders>
          </w:tcPr>
          <w:p>
            <w:pPr>
              <w:jc w:val="right"/>
              <w:ind w:right="347"/>
              <w:spacing w:after="0"/>
              <w:rPr>
                <w:sz w:val="20"/>
                <w:szCs w:val="20"/>
                <w:color w:val="auto"/>
              </w:rPr>
            </w:pPr>
            <w:r>
              <w:rPr>
                <w:rFonts w:ascii="Arial" w:cs="Arial" w:eastAsia="Arial" w:hAnsi="Arial"/>
                <w:sz w:val="13"/>
                <w:szCs w:val="13"/>
                <w:b w:val="1"/>
                <w:bCs w:val="1"/>
                <w:color w:val="auto"/>
              </w:rPr>
              <w:t>%</w:t>
            </w:r>
          </w:p>
        </w:tc>
      </w:tr>
      <w:tr>
        <w:trPr>
          <w:trHeight w:val="172"/>
        </w:trPr>
        <w:tc>
          <w:tcPr>
            <w:tcW w:w="4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80" w:type="dxa"/>
            <w:vAlign w:val="bottom"/>
            <w:gridSpan w:val="4"/>
          </w:tcPr>
          <w:p>
            <w:pPr>
              <w:jc w:val="right"/>
              <w:ind w:right="784"/>
              <w:spacing w:after="0"/>
              <w:rPr>
                <w:sz w:val="20"/>
                <w:szCs w:val="20"/>
                <w:color w:val="auto"/>
              </w:rPr>
            </w:pPr>
            <w:r>
              <w:rPr>
                <w:rFonts w:ascii="Arial" w:cs="Arial" w:eastAsia="Arial" w:hAnsi="Arial"/>
                <w:sz w:val="13"/>
                <w:szCs w:val="13"/>
                <w:i w:val="1"/>
                <w:iCs w:val="1"/>
                <w:color w:val="auto"/>
              </w:rPr>
              <w:t>(dollars in thousands)</w:t>
            </w:r>
          </w:p>
        </w:tc>
        <w:tc>
          <w:tcPr>
            <w:tcW w:w="1620" w:type="dxa"/>
            <w:vAlign w:val="bottom"/>
          </w:tcPr>
          <w:p>
            <w:pPr>
              <w:spacing w:after="0"/>
              <w:rPr>
                <w:sz w:val="14"/>
                <w:szCs w:val="14"/>
                <w:color w:val="auto"/>
              </w:rPr>
            </w:pPr>
          </w:p>
        </w:tc>
      </w:tr>
      <w:tr>
        <w:trPr>
          <w:trHeight w:val="217"/>
        </w:trPr>
        <w:tc>
          <w:tcPr>
            <w:tcW w:w="4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and development</w:t>
            </w:r>
          </w:p>
        </w:tc>
        <w:tc>
          <w:tcPr>
            <w:tcW w:w="1140" w:type="dxa"/>
            <w:vAlign w:val="bottom"/>
            <w:shd w:val="clear" w:color="auto" w:fill="CCEEFF"/>
          </w:tcPr>
          <w:p>
            <w:pPr>
              <w:jc w:val="right"/>
              <w:ind w:right="667"/>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93"/>
              </w:rPr>
              <w:t>6,935</w:t>
            </w:r>
          </w:p>
        </w:tc>
        <w:tc>
          <w:tcPr>
            <w:tcW w:w="1060" w:type="dxa"/>
            <w:vAlign w:val="bottom"/>
            <w:shd w:val="clear" w:color="auto" w:fill="CCEEFF"/>
          </w:tcPr>
          <w:p>
            <w:pPr>
              <w:jc w:val="right"/>
              <w:ind w:right="66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w w:val="93"/>
              </w:rPr>
              <w:t>4,536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2,399</w:t>
            </w:r>
          </w:p>
        </w:tc>
        <w:tc>
          <w:tcPr>
            <w:tcW w:w="1620" w:type="dxa"/>
            <w:vAlign w:val="bottom"/>
            <w:shd w:val="clear" w:color="auto" w:fill="CCEEFF"/>
          </w:tcPr>
          <w:p>
            <w:pPr>
              <w:jc w:val="right"/>
              <w:ind w:right="227"/>
              <w:spacing w:after="0"/>
              <w:rPr>
                <w:sz w:val="20"/>
                <w:szCs w:val="20"/>
                <w:color w:val="auto"/>
              </w:rPr>
            </w:pPr>
            <w:r>
              <w:rPr>
                <w:rFonts w:ascii="Arial" w:cs="Arial" w:eastAsia="Arial" w:hAnsi="Arial"/>
                <w:sz w:val="17"/>
                <w:szCs w:val="17"/>
                <w:color w:val="auto"/>
              </w:rPr>
              <w:t>53</w:t>
            </w:r>
          </w:p>
        </w:tc>
      </w:tr>
    </w:tbl>
    <w:p>
      <w:pPr>
        <w:spacing w:after="0" w:line="214" w:lineRule="exact"/>
        <w:rPr>
          <w:sz w:val="20"/>
          <w:szCs w:val="20"/>
          <w:color w:val="auto"/>
        </w:rPr>
      </w:pPr>
    </w:p>
    <w:p>
      <w:pPr>
        <w:ind w:right="100" w:firstLine="303"/>
        <w:spacing w:after="0" w:line="270" w:lineRule="auto"/>
        <w:rPr>
          <w:sz w:val="20"/>
          <w:szCs w:val="20"/>
          <w:color w:val="auto"/>
        </w:rPr>
      </w:pPr>
      <w:r>
        <w:rPr>
          <w:rFonts w:ascii="Arial" w:cs="Arial" w:eastAsia="Arial" w:hAnsi="Arial"/>
          <w:sz w:val="16"/>
          <w:szCs w:val="16"/>
          <w:color w:val="auto"/>
        </w:rPr>
        <w:t>R&amp;D expenses increased by $2.4 million, or 53%, from $4.5 million during the three months ended June 30, 2020 to $6.9 million during the three months ended June 30, 2021. The increase was primarily due to an increase in product development efforts related to our Proteograph Product Suite, including $1.0 million in employee compensation costs and other related costs, $0.9 million in stock-based compensation due to growth in research and development personnel and $1.0 million related to the expansion of facilities and maintenance and depreciation of laboratory equipment. This was offset by a decrease in prototype materials of $(0.4) million and clinical study fees of $(0.2) million related to the costs associated with the ramp down of site enrollment for clinical studies related to the collection of biological samples for research use. These clinical studies are related to the assets transferred to PrognomIQ.</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3"/>
                <w:szCs w:val="13"/>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Change</w:t>
            </w:r>
          </w:p>
        </w:tc>
      </w:tr>
      <w:tr>
        <w:trPr>
          <w:trHeight w:val="194"/>
        </w:trPr>
        <w:tc>
          <w:tcPr>
            <w:tcW w:w="438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7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rPr>
              <w:t>Amount</w:t>
            </w:r>
          </w:p>
        </w:tc>
        <w:tc>
          <w:tcPr>
            <w:tcW w:w="1620" w:type="dxa"/>
            <w:vAlign w:val="bottom"/>
            <w:tcBorders>
              <w:bottom w:val="single" w:sz="8" w:color="auto"/>
            </w:tcBorders>
          </w:tcPr>
          <w:p>
            <w:pPr>
              <w:ind w:left="1060"/>
              <w:spacing w:after="0"/>
              <w:rPr>
                <w:sz w:val="20"/>
                <w:szCs w:val="20"/>
                <w:color w:val="auto"/>
              </w:rPr>
            </w:pPr>
            <w:r>
              <w:rPr>
                <w:rFonts w:ascii="Arial" w:cs="Arial" w:eastAsia="Arial" w:hAnsi="Arial"/>
                <w:sz w:val="13"/>
                <w:szCs w:val="13"/>
                <w:b w:val="1"/>
                <w:bCs w:val="1"/>
                <w:color w:val="auto"/>
              </w:rPr>
              <w:t>%</w:t>
            </w:r>
          </w:p>
        </w:tc>
      </w:tr>
      <w:tr>
        <w:trPr>
          <w:trHeight w:val="172"/>
        </w:trPr>
        <w:tc>
          <w:tcPr>
            <w:tcW w:w="4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80" w:type="dxa"/>
            <w:vAlign w:val="bottom"/>
            <w:gridSpan w:val="4"/>
          </w:tcPr>
          <w:p>
            <w:pPr>
              <w:jc w:val="right"/>
              <w:ind w:right="784"/>
              <w:spacing w:after="0"/>
              <w:rPr>
                <w:sz w:val="20"/>
                <w:szCs w:val="20"/>
                <w:color w:val="auto"/>
              </w:rPr>
            </w:pPr>
            <w:r>
              <w:rPr>
                <w:rFonts w:ascii="Arial" w:cs="Arial" w:eastAsia="Arial" w:hAnsi="Arial"/>
                <w:sz w:val="13"/>
                <w:szCs w:val="13"/>
                <w:i w:val="1"/>
                <w:iCs w:val="1"/>
                <w:color w:val="auto"/>
              </w:rPr>
              <w:t>(dollars in thousands)</w:t>
            </w:r>
          </w:p>
        </w:tc>
        <w:tc>
          <w:tcPr>
            <w:tcW w:w="1620" w:type="dxa"/>
            <w:vAlign w:val="bottom"/>
          </w:tcPr>
          <w:p>
            <w:pPr>
              <w:spacing w:after="0"/>
              <w:rPr>
                <w:sz w:val="14"/>
                <w:szCs w:val="14"/>
                <w:color w:val="auto"/>
              </w:rPr>
            </w:pPr>
          </w:p>
        </w:tc>
      </w:tr>
      <w:tr>
        <w:trPr>
          <w:trHeight w:val="217"/>
        </w:trPr>
        <w:tc>
          <w:tcPr>
            <w:tcW w:w="4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Selling, general and administrative</w:t>
            </w:r>
          </w:p>
        </w:tc>
        <w:tc>
          <w:tcPr>
            <w:tcW w:w="1100" w:type="dxa"/>
            <w:vAlign w:val="bottom"/>
            <w:shd w:val="clear" w:color="auto" w:fill="CCEEFF"/>
          </w:tcPr>
          <w:p>
            <w:pPr>
              <w:jc w:val="right"/>
              <w:ind w:right="627"/>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8"/>
              </w:rPr>
              <w:t>10,484</w:t>
            </w:r>
          </w:p>
        </w:tc>
        <w:tc>
          <w:tcPr>
            <w:tcW w:w="1060" w:type="dxa"/>
            <w:vAlign w:val="bottom"/>
            <w:shd w:val="clear" w:color="auto" w:fill="CCEEFF"/>
          </w:tcPr>
          <w:p>
            <w:pPr>
              <w:jc w:val="right"/>
              <w:ind w:right="66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w w:val="93"/>
              </w:rPr>
              <w:t>1,902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8,582</w:t>
            </w:r>
          </w:p>
        </w:tc>
        <w:tc>
          <w:tcPr>
            <w:tcW w:w="162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451</w:t>
            </w:r>
          </w:p>
        </w:tc>
      </w:tr>
    </w:tbl>
    <w:p>
      <w:pPr>
        <w:spacing w:after="0" w:line="227" w:lineRule="exact"/>
        <w:rPr>
          <w:sz w:val="20"/>
          <w:szCs w:val="20"/>
          <w:color w:val="auto"/>
        </w:rPr>
      </w:pPr>
    </w:p>
    <w:p>
      <w:pPr>
        <w:ind w:right="140" w:firstLine="303"/>
        <w:spacing w:after="0" w:line="292" w:lineRule="auto"/>
        <w:rPr>
          <w:sz w:val="20"/>
          <w:szCs w:val="20"/>
          <w:color w:val="auto"/>
        </w:rPr>
      </w:pPr>
      <w:r>
        <w:rPr>
          <w:rFonts w:ascii="Arial" w:cs="Arial" w:eastAsia="Arial" w:hAnsi="Arial"/>
          <w:sz w:val="15"/>
          <w:szCs w:val="15"/>
          <w:color w:val="auto"/>
        </w:rPr>
        <w:t>Selling, general and administrative expenses increased by $8.6 million, or 451% , from $1.9 million during the three months ended June 30, 2020 to $10.5 million during the three months ended June 30, 2021, due to a $1.9 million increase in employee compensation and other related expenses, and a $4.4 million stock-based compensation increase and $0.2 million in facility and other related expenses, as a result of an increase in personnel, including the addition of key members of executive management. Other increases are attributable to $0.3 million in marketing costs related to the Limited Release phase of our commercial plan, and costs related to becoming a publicly traded company including a $0.3 million increase in professional and consulting fees related to accounting and audit services, a $0.3 million increase in corporate and patent legal matters, and a $1.1 million increase in general business expenses which includes insurance premiums.</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Total Other Income</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88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3"/>
                <w:szCs w:val="13"/>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087"/>
              <w:spacing w:after="0"/>
              <w:rPr>
                <w:sz w:val="20"/>
                <w:szCs w:val="20"/>
                <w:color w:val="auto"/>
              </w:rPr>
            </w:pPr>
            <w:r>
              <w:rPr>
                <w:rFonts w:ascii="Arial" w:cs="Arial" w:eastAsia="Arial" w:hAnsi="Arial"/>
                <w:sz w:val="13"/>
                <w:szCs w:val="13"/>
                <w:b w:val="1"/>
                <w:bCs w:val="1"/>
                <w:color w:val="auto"/>
                <w:w w:val="92"/>
              </w:rPr>
              <w:t>Change</w:t>
            </w:r>
          </w:p>
        </w:tc>
      </w:tr>
      <w:tr>
        <w:trPr>
          <w:trHeight w:val="194"/>
        </w:trPr>
        <w:tc>
          <w:tcPr>
            <w:tcW w:w="4400" w:type="dxa"/>
            <w:vAlign w:val="bottom"/>
          </w:tcPr>
          <w:p>
            <w:pPr>
              <w:spacing w:after="0"/>
              <w:rPr>
                <w:sz w:val="16"/>
                <w:szCs w:val="16"/>
                <w:color w:val="auto"/>
              </w:rPr>
            </w:pPr>
          </w:p>
        </w:tc>
        <w:tc>
          <w:tcPr>
            <w:tcW w:w="1220" w:type="dxa"/>
            <w:vAlign w:val="bottom"/>
            <w:tcBorders>
              <w:bottom w:val="single" w:sz="8" w:color="auto"/>
            </w:tcBorders>
          </w:tcPr>
          <w:p>
            <w:pPr>
              <w:jc w:val="right"/>
              <w:ind w:right="67"/>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4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67"/>
              <w:spacing w:after="0"/>
              <w:rPr>
                <w:sz w:val="20"/>
                <w:szCs w:val="20"/>
                <w:color w:val="auto"/>
              </w:rPr>
            </w:pPr>
            <w:r>
              <w:rPr>
                <w:rFonts w:ascii="Arial" w:cs="Arial" w:eastAsia="Arial" w:hAnsi="Arial"/>
                <w:sz w:val="13"/>
                <w:szCs w:val="13"/>
                <w:b w:val="1"/>
                <w:bCs w:val="1"/>
                <w:color w:val="auto"/>
              </w:rPr>
              <w:t>%</w:t>
            </w:r>
          </w:p>
        </w:tc>
      </w:tr>
      <w:tr>
        <w:trPr>
          <w:trHeight w:val="172"/>
        </w:trPr>
        <w:tc>
          <w:tcPr>
            <w:tcW w:w="4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20" w:type="dxa"/>
            <w:vAlign w:val="bottom"/>
            <w:gridSpan w:val="3"/>
          </w:tcPr>
          <w:p>
            <w:pPr>
              <w:ind w:left="100"/>
              <w:spacing w:after="0"/>
              <w:rPr>
                <w:sz w:val="20"/>
                <w:szCs w:val="20"/>
                <w:color w:val="auto"/>
              </w:rPr>
            </w:pPr>
            <w:r>
              <w:rPr>
                <w:rFonts w:ascii="Arial" w:cs="Arial" w:eastAsia="Arial" w:hAnsi="Arial"/>
                <w:sz w:val="13"/>
                <w:szCs w:val="13"/>
                <w:i w:val="1"/>
                <w:iCs w:val="1"/>
                <w:color w:val="auto"/>
              </w:rPr>
              <w:t>(dollars in thousands)</w:t>
            </w:r>
          </w:p>
        </w:tc>
        <w:tc>
          <w:tcPr>
            <w:tcW w:w="4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17"/>
        </w:trPr>
        <w:tc>
          <w:tcPr>
            <w:tcW w:w="4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other income</w:t>
            </w:r>
          </w:p>
        </w:tc>
        <w:tc>
          <w:tcPr>
            <w:tcW w:w="1220" w:type="dxa"/>
            <w:vAlign w:val="bottom"/>
            <w:shd w:val="clear" w:color="auto" w:fill="CCEEFF"/>
          </w:tcPr>
          <w:p>
            <w:pPr>
              <w:jc w:val="right"/>
              <w:ind w:right="747"/>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55</w:t>
            </w:r>
          </w:p>
        </w:tc>
        <w:tc>
          <w:tcPr>
            <w:tcW w:w="1120" w:type="dxa"/>
            <w:vAlign w:val="bottom"/>
            <w:shd w:val="clear" w:color="auto" w:fill="CCEEFF"/>
          </w:tcPr>
          <w:p>
            <w:pPr>
              <w:jc w:val="right"/>
              <w:ind w:right="72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250</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4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(195)</w:t>
            </w:r>
          </w:p>
        </w:tc>
        <w:tc>
          <w:tcPr>
            <w:tcW w:w="1620" w:type="dxa"/>
            <w:vAlign w:val="bottom"/>
            <w:shd w:val="clear" w:color="auto" w:fill="CCEEFF"/>
          </w:tcPr>
          <w:p>
            <w:pPr>
              <w:jc w:val="right"/>
              <w:ind w:right="187"/>
              <w:spacing w:after="0"/>
              <w:rPr>
                <w:sz w:val="20"/>
                <w:szCs w:val="20"/>
                <w:color w:val="auto"/>
              </w:rPr>
            </w:pPr>
            <w:r>
              <w:rPr>
                <w:rFonts w:ascii="Arial" w:cs="Arial" w:eastAsia="Arial" w:hAnsi="Arial"/>
                <w:sz w:val="17"/>
                <w:szCs w:val="17"/>
                <w:color w:val="auto"/>
              </w:rPr>
              <w:t>(78)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9" w:name="page30"/>
    <w:bookmarkEnd w:id="29"/>
    <w:p>
      <w:pPr>
        <w:spacing w:after="0" w:line="49" w:lineRule="exact"/>
        <w:rPr>
          <w:sz w:val="20"/>
          <w:szCs w:val="20"/>
          <w:color w:val="auto"/>
        </w:rPr>
      </w:pPr>
    </w:p>
    <w:p>
      <w:pPr>
        <w:jc w:val="both"/>
        <w:ind w:right="260" w:firstLine="303"/>
        <w:spacing w:after="0" w:line="255" w:lineRule="auto"/>
        <w:rPr>
          <w:sz w:val="20"/>
          <w:szCs w:val="20"/>
          <w:color w:val="auto"/>
        </w:rPr>
      </w:pPr>
      <w:r>
        <w:rPr>
          <w:rFonts w:ascii="Arial" w:cs="Arial" w:eastAsia="Arial" w:hAnsi="Arial"/>
          <w:sz w:val="17"/>
          <w:szCs w:val="17"/>
          <w:color w:val="auto"/>
        </w:rPr>
        <w:t>Total other income decreased by $0.2 million, or 78%, from $0.3 million during the three months ended June 30, 2020 to $0.1 million during the three months ended June 30, 2021. Short-term interest rate yields decreased significantly during fiscal year 2020 and remained low during the first half of fiscal year 2021. These decreases were partially offset quantitatively by higher amounts of cash invested in money market funds and U.S. Treasury securities during fiscal year 2020 and the first half of fiscal year 2021 as a result of multiple private and public financing events.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Comparisons of the Six Months Ended June 30, 2021 and 2020</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our results of operations for the periods presented: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00" w:type="dxa"/>
            <w:vAlign w:val="bottom"/>
            <w:gridSpan w:val="5"/>
          </w:tcPr>
          <w:p>
            <w:pPr>
              <w:ind w:left="340"/>
              <w:spacing w:after="0"/>
              <w:rPr>
                <w:sz w:val="20"/>
                <w:szCs w:val="20"/>
                <w:color w:val="auto"/>
              </w:rPr>
            </w:pPr>
            <w:r>
              <w:rPr>
                <w:rFonts w:ascii="Arial" w:cs="Arial" w:eastAsia="Arial" w:hAnsi="Arial"/>
                <w:sz w:val="13"/>
                <w:szCs w:val="13"/>
                <w:b w:val="1"/>
                <w:bCs w:val="1"/>
                <w:color w:val="auto"/>
              </w:rPr>
              <w:t>Six Months Ended June 30,</w:t>
            </w:r>
          </w:p>
        </w:tc>
        <w:tc>
          <w:tcPr>
            <w:tcW w:w="280" w:type="dxa"/>
            <w:vAlign w:val="bottom"/>
          </w:tcPr>
          <w:p>
            <w:pPr>
              <w:spacing w:after="0"/>
              <w:rPr>
                <w:sz w:val="15"/>
                <w:szCs w:val="15"/>
                <w:color w:val="auto"/>
              </w:rPr>
            </w:pPr>
          </w:p>
        </w:tc>
        <w:tc>
          <w:tcPr>
            <w:tcW w:w="1700" w:type="dxa"/>
            <w:vAlign w:val="bottom"/>
            <w:gridSpan w:val="3"/>
          </w:tcPr>
          <w:p>
            <w:pPr>
              <w:ind w:left="1020"/>
              <w:spacing w:after="0"/>
              <w:rPr>
                <w:sz w:val="20"/>
                <w:szCs w:val="20"/>
                <w:color w:val="auto"/>
              </w:rPr>
            </w:pPr>
            <w:r>
              <w:rPr>
                <w:rFonts w:ascii="Arial" w:cs="Arial" w:eastAsia="Arial" w:hAnsi="Arial"/>
                <w:sz w:val="13"/>
                <w:szCs w:val="13"/>
                <w:b w:val="1"/>
                <w:bCs w:val="1"/>
                <w:color w:val="auto"/>
              </w:rPr>
              <w:t>Change</w:t>
            </w:r>
          </w:p>
        </w:tc>
        <w:tc>
          <w:tcPr>
            <w:tcW w:w="1080" w:type="dxa"/>
            <w:vAlign w:val="bottom"/>
          </w:tcPr>
          <w:p>
            <w:pPr>
              <w:spacing w:after="0"/>
              <w:rPr>
                <w:sz w:val="15"/>
                <w:szCs w:val="15"/>
                <w:color w:val="auto"/>
              </w:rPr>
            </w:pPr>
          </w:p>
        </w:tc>
      </w:tr>
      <w:tr>
        <w:trPr>
          <w:trHeight w:val="177"/>
        </w:trPr>
        <w:tc>
          <w:tcPr>
            <w:tcW w:w="51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98"/>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Amount</w:t>
            </w:r>
          </w:p>
        </w:tc>
        <w:tc>
          <w:tcPr>
            <w:tcW w:w="1080" w:type="dxa"/>
            <w:vAlign w:val="bottom"/>
            <w:tcBorders>
              <w:top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w:t>
            </w:r>
          </w:p>
        </w:tc>
      </w:tr>
      <w:tr>
        <w:trPr>
          <w:trHeight w:val="23"/>
        </w:trPr>
        <w:tc>
          <w:tcPr>
            <w:tcW w:w="5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6"/>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1"/>
        </w:trPr>
        <w:tc>
          <w:tcPr>
            <w:tcW w:w="5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60" w:type="dxa"/>
            <w:vAlign w:val="bottom"/>
            <w:gridSpan w:val="6"/>
          </w:tcPr>
          <w:p>
            <w:pPr>
              <w:ind w:left="600"/>
              <w:spacing w:after="0"/>
              <w:rPr>
                <w:sz w:val="20"/>
                <w:szCs w:val="20"/>
                <w:color w:val="auto"/>
              </w:rPr>
            </w:pPr>
            <w:r>
              <w:rPr>
                <w:rFonts w:ascii="Arial" w:cs="Arial" w:eastAsia="Arial" w:hAnsi="Arial"/>
                <w:sz w:val="13"/>
                <w:szCs w:val="13"/>
                <w:i w:val="1"/>
                <w:iCs w:val="1"/>
                <w:color w:val="auto"/>
              </w:rPr>
              <w:t>(dollars in thousands)</w:t>
            </w:r>
          </w:p>
        </w:tc>
        <w:tc>
          <w:tcPr>
            <w:tcW w:w="1080" w:type="dxa"/>
            <w:vAlign w:val="bottom"/>
          </w:tcPr>
          <w:p>
            <w:pPr>
              <w:spacing w:after="0"/>
              <w:rPr>
                <w:sz w:val="14"/>
                <w:szCs w:val="14"/>
                <w:color w:val="auto"/>
              </w:rPr>
            </w:pPr>
          </w:p>
        </w:tc>
      </w:tr>
      <w:tr>
        <w:trPr>
          <w:trHeight w:val="23"/>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27"/>
        </w:trPr>
        <w:tc>
          <w:tcPr>
            <w:tcW w:w="5140" w:type="dxa"/>
            <w:vAlign w:val="bottom"/>
          </w:tcPr>
          <w:p>
            <w:pPr>
              <w:ind w:left="220"/>
              <w:spacing w:after="0"/>
              <w:rPr>
                <w:sz w:val="20"/>
                <w:szCs w:val="20"/>
                <w:color w:val="auto"/>
              </w:rPr>
            </w:pPr>
            <w:r>
              <w:rPr>
                <w:rFonts w:ascii="Arial" w:cs="Arial" w:eastAsia="Arial" w:hAnsi="Arial"/>
                <w:sz w:val="17"/>
                <w:szCs w:val="17"/>
                <w:color w:val="auto"/>
              </w:rPr>
              <w:t>Product</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837</w:t>
            </w:r>
          </w:p>
        </w:tc>
        <w:tc>
          <w:tcPr>
            <w:tcW w:w="100" w:type="dxa"/>
            <w:vAlign w:val="bottom"/>
          </w:tcPr>
          <w:p>
            <w:pPr>
              <w:spacing w:after="0"/>
              <w:rPr>
                <w:sz w:val="19"/>
                <w:szCs w:val="19"/>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837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2"/>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Related party</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380</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5140" w:type="dxa"/>
            <w:vAlign w:val="bottom"/>
          </w:tcPr>
          <w:p>
            <w:pPr>
              <w:ind w:left="220"/>
              <w:spacing w:after="0"/>
              <w:rPr>
                <w:sz w:val="20"/>
                <w:szCs w:val="20"/>
                <w:color w:val="auto"/>
              </w:rPr>
            </w:pPr>
            <w:r>
              <w:rPr>
                <w:rFonts w:ascii="Arial" w:cs="Arial" w:eastAsia="Arial" w:hAnsi="Arial"/>
                <w:sz w:val="17"/>
                <w:szCs w:val="17"/>
                <w:color w:val="auto"/>
              </w:rPr>
              <w:t>Grant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6"/>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5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Total revenue</w:t>
            </w: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1,396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1,148</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463 %</w:t>
            </w:r>
          </w:p>
        </w:tc>
      </w:tr>
      <w:tr>
        <w:trPr>
          <w:trHeight w:val="227"/>
        </w:trPr>
        <w:tc>
          <w:tcPr>
            <w:tcW w:w="514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6"/>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2"/>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Product</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5140" w:type="dxa"/>
            <w:vAlign w:val="bottom"/>
          </w:tcPr>
          <w:p>
            <w:pPr>
              <w:ind w:left="220"/>
              <w:spacing w:after="0"/>
              <w:rPr>
                <w:sz w:val="20"/>
                <w:szCs w:val="20"/>
                <w:color w:val="auto"/>
              </w:rPr>
            </w:pPr>
            <w:r>
              <w:rPr>
                <w:rFonts w:ascii="Arial" w:cs="Arial" w:eastAsia="Arial" w:hAnsi="Arial"/>
                <w:sz w:val="17"/>
                <w:szCs w:val="17"/>
                <w:color w:val="auto"/>
              </w:rPr>
              <w:t>Related party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5"/>
        </w:trPr>
        <w:tc>
          <w:tcPr>
            <w:tcW w:w="5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Total 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514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810</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562</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227 %</w:t>
            </w:r>
          </w:p>
        </w:tc>
      </w:tr>
      <w:tr>
        <w:trPr>
          <w:trHeight w:val="26"/>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27"/>
        </w:trPr>
        <w:tc>
          <w:tcPr>
            <w:tcW w:w="514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13,162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8,758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4,404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50 %</w:t>
            </w:r>
          </w:p>
        </w:tc>
      </w:tr>
      <w:tr>
        <w:trPr>
          <w:trHeight w:val="26"/>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2"/>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20,816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17,134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465 %</w:t>
            </w:r>
          </w:p>
        </w:tc>
      </w:tr>
      <w:tr>
        <w:trPr>
          <w:trHeight w:val="219"/>
        </w:trPr>
        <w:tc>
          <w:tcPr>
            <w:tcW w:w="5140" w:type="dxa"/>
            <w:vAlign w:val="bottom"/>
          </w:tcPr>
          <w:p>
            <w:pPr>
              <w:ind w:left="42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33,978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12,440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21,538</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173 %</w:t>
            </w:r>
          </w:p>
        </w:tc>
      </w:tr>
      <w:tr>
        <w:trPr>
          <w:trHeight w:val="26"/>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(33,168)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(12,192)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(20,976)</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172 %</w:t>
            </w:r>
          </w:p>
        </w:tc>
      </w:tr>
      <w:tr>
        <w:trPr>
          <w:trHeight w:val="227"/>
        </w:trPr>
        <w:tc>
          <w:tcPr>
            <w:tcW w:w="514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6"/>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2"/>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Interest income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227"/>
        </w:trPr>
        <w:tc>
          <w:tcPr>
            <w:tcW w:w="5140" w:type="dxa"/>
            <w:vAlign w:val="bottom"/>
          </w:tcPr>
          <w:p>
            <w:pPr>
              <w:ind w:left="220"/>
              <w:spacing w:after="0"/>
              <w:rPr>
                <w:sz w:val="20"/>
                <w:szCs w:val="20"/>
                <w:color w:val="auto"/>
              </w:rPr>
            </w:pPr>
            <w:r>
              <w:rPr>
                <w:rFonts w:ascii="Arial" w:cs="Arial" w:eastAsia="Arial" w:hAnsi="Arial"/>
                <w:sz w:val="17"/>
                <w:szCs w:val="17"/>
                <w:color w:val="auto"/>
              </w:rPr>
              <w:t>Interest expense</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700" w:type="dxa"/>
            <w:vAlign w:val="bottom"/>
            <w:gridSpan w:val="3"/>
          </w:tcPr>
          <w:p>
            <w:pPr>
              <w:jc w:val="right"/>
              <w:ind w:right="6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2"/>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Other expense</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5140" w:type="dxa"/>
            <w:vAlign w:val="bottom"/>
          </w:tcPr>
          <w:p>
            <w:pPr>
              <w:ind w:left="420"/>
              <w:spacing w:after="0"/>
              <w:rPr>
                <w:sz w:val="20"/>
                <w:szCs w:val="20"/>
                <w:color w:val="auto"/>
              </w:rPr>
            </w:pPr>
            <w:r>
              <w:rPr>
                <w:rFonts w:ascii="Arial" w:cs="Arial" w:eastAsia="Arial" w:hAnsi="Arial"/>
                <w:sz w:val="17"/>
                <w:szCs w:val="17"/>
                <w:color w:val="auto"/>
              </w:rPr>
              <w:t>Total other income</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(459)</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(79)%</w:t>
            </w:r>
          </w:p>
        </w:tc>
      </w:tr>
      <w:tr>
        <w:trPr>
          <w:trHeight w:val="26"/>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(21,435)</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185 %</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00" w:right="9820" w:firstLine="3"/>
        <w:spacing w:after="0" w:line="512" w:lineRule="auto"/>
        <w:tabs>
          <w:tab w:leader="none" w:pos="426" w:val="left"/>
        </w:tabs>
        <w:numPr>
          <w:ilvl w:val="0"/>
          <w:numId w:val="1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Not meaningful Revenue</w:t>
      </w:r>
    </w:p>
    <w:tbl>
      <w:tblPr>
        <w:tblLayout w:type="fixed"/>
        <w:tblInd w:w="300" w:type="dxa"/>
        <w:tblCellMar>
          <w:top w:w="0" w:type="dxa"/>
          <w:left w:w="0" w:type="dxa"/>
          <w:bottom w:w="0" w:type="dxa"/>
          <w:right w:w="0" w:type="dxa"/>
        </w:tblCellMar>
      </w:tblPr>
      <w:tr>
        <w:trPr>
          <w:trHeight w:val="179"/>
        </w:trPr>
        <w:tc>
          <w:tcPr>
            <w:tcW w:w="4400" w:type="dxa"/>
            <w:vAlign w:val="bottom"/>
          </w:tcPr>
          <w:p>
            <w:pPr>
              <w:spacing w:after="0"/>
              <w:rPr>
                <w:sz w:val="15"/>
                <w:szCs w:val="15"/>
                <w:color w:val="auto"/>
              </w:rPr>
            </w:pPr>
          </w:p>
        </w:tc>
        <w:tc>
          <w:tcPr>
            <w:tcW w:w="2880" w:type="dxa"/>
            <w:vAlign w:val="bottom"/>
            <w:tcBorders>
              <w:bottom w:val="single" w:sz="8" w:color="auto"/>
            </w:tcBorders>
            <w:gridSpan w:val="3"/>
          </w:tcPr>
          <w:p>
            <w:pPr>
              <w:jc w:val="right"/>
              <w:ind w:right="224"/>
              <w:spacing w:after="0"/>
              <w:rPr>
                <w:sz w:val="20"/>
                <w:szCs w:val="20"/>
                <w:color w:val="auto"/>
              </w:rPr>
            </w:pPr>
            <w:r>
              <w:rPr>
                <w:rFonts w:ascii="Arial" w:cs="Arial" w:eastAsia="Arial" w:hAnsi="Arial"/>
                <w:sz w:val="13"/>
                <w:szCs w:val="13"/>
                <w:b w:val="1"/>
                <w:bCs w:val="1"/>
                <w:color w:val="auto"/>
              </w:rPr>
              <w:t>Six Months Ended June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1067"/>
              <w:spacing w:after="0"/>
              <w:rPr>
                <w:sz w:val="20"/>
                <w:szCs w:val="20"/>
                <w:color w:val="auto"/>
              </w:rPr>
            </w:pPr>
            <w:r>
              <w:rPr>
                <w:rFonts w:ascii="Arial" w:cs="Arial" w:eastAsia="Arial" w:hAnsi="Arial"/>
                <w:sz w:val="13"/>
                <w:szCs w:val="13"/>
                <w:b w:val="1"/>
                <w:bCs w:val="1"/>
                <w:color w:val="auto"/>
              </w:rPr>
              <w:t>Change</w:t>
            </w:r>
          </w:p>
        </w:tc>
      </w:tr>
      <w:tr>
        <w:trPr>
          <w:trHeight w:val="173"/>
        </w:trPr>
        <w:tc>
          <w:tcPr>
            <w:tcW w:w="44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rPr>
              <w:t>Amount</w:t>
            </w:r>
          </w:p>
        </w:tc>
        <w:tc>
          <w:tcPr>
            <w:tcW w:w="1640" w:type="dxa"/>
            <w:vAlign w:val="bottom"/>
            <w:tcBorders>
              <w:bottom w:val="single" w:sz="8" w:color="auto"/>
            </w:tcBorders>
          </w:tcPr>
          <w:p>
            <w:pPr>
              <w:jc w:val="right"/>
              <w:ind w:right="367"/>
              <w:spacing w:after="0"/>
              <w:rPr>
                <w:sz w:val="20"/>
                <w:szCs w:val="20"/>
                <w:color w:val="auto"/>
              </w:rPr>
            </w:pPr>
            <w:r>
              <w:rPr>
                <w:rFonts w:ascii="Arial" w:cs="Arial" w:eastAsia="Arial" w:hAnsi="Arial"/>
                <w:sz w:val="13"/>
                <w:szCs w:val="13"/>
                <w:b w:val="1"/>
                <w:bCs w:val="1"/>
                <w:color w:val="auto"/>
              </w:rPr>
              <w:t>%</w:t>
            </w:r>
          </w:p>
        </w:tc>
      </w:tr>
      <w:tr>
        <w:trPr>
          <w:trHeight w:val="168"/>
        </w:trPr>
        <w:tc>
          <w:tcPr>
            <w:tcW w:w="4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20" w:type="dxa"/>
            <w:vAlign w:val="bottom"/>
            <w:gridSpan w:val="4"/>
          </w:tcPr>
          <w:p>
            <w:pPr>
              <w:ind w:left="100"/>
              <w:spacing w:after="0"/>
              <w:rPr>
                <w:sz w:val="20"/>
                <w:szCs w:val="20"/>
                <w:color w:val="auto"/>
              </w:rPr>
            </w:pPr>
            <w:r>
              <w:rPr>
                <w:rFonts w:ascii="Arial" w:cs="Arial" w:eastAsia="Arial" w:hAnsi="Arial"/>
                <w:sz w:val="13"/>
                <w:szCs w:val="13"/>
                <w:i w:val="1"/>
                <w:iCs w:val="1"/>
                <w:color w:val="auto"/>
              </w:rPr>
              <w:t>(dollars in thousands)</w:t>
            </w:r>
          </w:p>
        </w:tc>
        <w:tc>
          <w:tcPr>
            <w:tcW w:w="1640" w:type="dxa"/>
            <w:vAlign w:val="bottom"/>
          </w:tcPr>
          <w:p>
            <w:pPr>
              <w:spacing w:after="0"/>
              <w:rPr>
                <w:sz w:val="14"/>
                <w:szCs w:val="14"/>
                <w:color w:val="auto"/>
              </w:rPr>
            </w:pPr>
          </w:p>
        </w:tc>
      </w:tr>
      <w:tr>
        <w:trPr>
          <w:trHeight w:val="217"/>
        </w:trPr>
        <w:tc>
          <w:tcPr>
            <w:tcW w:w="4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Revenue</w:t>
            </w:r>
          </w:p>
        </w:tc>
        <w:tc>
          <w:tcPr>
            <w:tcW w:w="1140" w:type="dxa"/>
            <w:vAlign w:val="bottom"/>
            <w:shd w:val="clear" w:color="auto" w:fill="CCEEFF"/>
          </w:tcPr>
          <w:p>
            <w:pPr>
              <w:jc w:val="right"/>
              <w:ind w:right="667"/>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93"/>
              </w:rPr>
              <w:t>1,396</w:t>
            </w:r>
          </w:p>
        </w:tc>
        <w:tc>
          <w:tcPr>
            <w:tcW w:w="1100" w:type="dxa"/>
            <w:vAlign w:val="bottom"/>
            <w:shd w:val="clear" w:color="auto" w:fill="CCEEFF"/>
          </w:tcPr>
          <w:p>
            <w:pPr>
              <w:jc w:val="right"/>
              <w:ind w:right="70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248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w:t>
            </w:r>
          </w:p>
        </w:tc>
        <w:tc>
          <w:tcPr>
            <w:tcW w:w="1640" w:type="dxa"/>
            <w:vAlign w:val="bottom"/>
            <w:shd w:val="clear" w:color="auto" w:fill="CCEEFF"/>
          </w:tcPr>
          <w:p>
            <w:pPr>
              <w:jc w:val="right"/>
              <w:ind w:right="227"/>
              <w:spacing w:after="0"/>
              <w:rPr>
                <w:sz w:val="20"/>
                <w:szCs w:val="20"/>
                <w:color w:val="auto"/>
              </w:rPr>
            </w:pPr>
            <w:r>
              <w:rPr>
                <w:rFonts w:ascii="Arial" w:cs="Arial" w:eastAsia="Arial" w:hAnsi="Arial"/>
                <w:sz w:val="17"/>
                <w:szCs w:val="17"/>
                <w:color w:val="auto"/>
              </w:rPr>
              <w:t>463</w:t>
            </w:r>
          </w:p>
        </w:tc>
      </w:tr>
    </w:tbl>
    <w:p>
      <w:pPr>
        <w:spacing w:after="0" w:line="214" w:lineRule="exact"/>
        <w:rPr>
          <w:sz w:val="20"/>
          <w:szCs w:val="20"/>
          <w:color w:val="auto"/>
        </w:rPr>
      </w:pPr>
    </w:p>
    <w:p>
      <w:pPr>
        <w:ind w:right="120" w:firstLine="303"/>
        <w:spacing w:after="0" w:line="276" w:lineRule="auto"/>
        <w:rPr>
          <w:sz w:val="20"/>
          <w:szCs w:val="20"/>
          <w:color w:val="auto"/>
        </w:rPr>
      </w:pPr>
      <w:r>
        <w:rPr>
          <w:rFonts w:ascii="Arial" w:cs="Arial" w:eastAsia="Arial" w:hAnsi="Arial"/>
          <w:sz w:val="16"/>
          <w:szCs w:val="16"/>
          <w:color w:val="auto"/>
        </w:rPr>
        <w:t>Revenue increased by $1.1 million, or 463%, from $0.2 million during the six months ended June 30, 2020 to $1.4 million during the six months ended June 30, 2021, due to sales of products related to our Proteograph Product Suite in the three-months ended June 30, 2021. Revenue recognized primarily consisted of sales of the Proteograph SP100 instrument and assay kits, platform evaluations, and services, of which $0.4 million was related to related parties. Revenue related to our grant-funded activities related to our SBIR grant from the NIH declined between the two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0" w:name="page31"/>
    <w:bookmarkEnd w:id="30"/>
    <w:p>
      <w:pPr>
        <w:spacing w:after="0" w:line="4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79"/>
        </w:trPr>
        <w:tc>
          <w:tcPr>
            <w:tcW w:w="4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60" w:type="dxa"/>
            <w:vAlign w:val="bottom"/>
            <w:gridSpan w:val="4"/>
          </w:tcPr>
          <w:p>
            <w:pPr>
              <w:ind w:left="440"/>
              <w:spacing w:after="0"/>
              <w:rPr>
                <w:sz w:val="20"/>
                <w:szCs w:val="20"/>
                <w:color w:val="auto"/>
              </w:rPr>
            </w:pPr>
            <w:r>
              <w:rPr>
                <w:rFonts w:ascii="Arial" w:cs="Arial" w:eastAsia="Arial" w:hAnsi="Arial"/>
                <w:sz w:val="13"/>
                <w:szCs w:val="13"/>
                <w:b w:val="1"/>
                <w:bCs w:val="1"/>
                <w:color w:val="auto"/>
              </w:rPr>
              <w:t>Six Months Ended June 30,</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0" w:type="dxa"/>
            <w:vAlign w:val="bottom"/>
          </w:tcPr>
          <w:p>
            <w:pPr>
              <w:jc w:val="right"/>
              <w:ind w:right="887"/>
              <w:spacing w:after="0"/>
              <w:rPr>
                <w:sz w:val="20"/>
                <w:szCs w:val="20"/>
                <w:color w:val="auto"/>
              </w:rPr>
            </w:pPr>
            <w:r>
              <w:rPr>
                <w:rFonts w:ascii="Arial" w:cs="Arial" w:eastAsia="Arial" w:hAnsi="Arial"/>
                <w:sz w:val="13"/>
                <w:szCs w:val="13"/>
                <w:b w:val="1"/>
                <w:bCs w:val="1"/>
                <w:color w:val="auto"/>
              </w:rPr>
              <w:t>Change</w:t>
            </w:r>
          </w:p>
        </w:tc>
      </w:tr>
      <w:tr>
        <w:trPr>
          <w:trHeight w:val="173"/>
        </w:trPr>
        <w:tc>
          <w:tcPr>
            <w:tcW w:w="4680" w:type="dxa"/>
            <w:vAlign w:val="bottom"/>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627"/>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67"/>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auto"/>
              </w:rPr>
              <w:t>Amount</w:t>
            </w:r>
          </w:p>
        </w:tc>
        <w:tc>
          <w:tcPr>
            <w:tcW w:w="160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3"/>
                <w:szCs w:val="13"/>
                <w:b w:val="1"/>
                <w:bCs w:val="1"/>
                <w:color w:val="auto"/>
              </w:rPr>
              <w:t>%</w:t>
            </w:r>
          </w:p>
        </w:tc>
      </w:tr>
      <w:tr>
        <w:trPr>
          <w:trHeight w:val="168"/>
        </w:trPr>
        <w:tc>
          <w:tcPr>
            <w:tcW w:w="4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3"/>
                <w:szCs w:val="13"/>
                <w:i w:val="1"/>
                <w:iCs w:val="1"/>
                <w:color w:val="auto"/>
              </w:rPr>
              <w:t>(dollars in thousands)</w:t>
            </w:r>
          </w:p>
        </w:tc>
        <w:tc>
          <w:tcPr>
            <w:tcW w:w="6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17"/>
        </w:trPr>
        <w:tc>
          <w:tcPr>
            <w:tcW w:w="4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 of revenue</w:t>
            </w:r>
          </w:p>
        </w:tc>
        <w:tc>
          <w:tcPr>
            <w:tcW w:w="6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67"/>
              <w:spacing w:after="0"/>
              <w:rPr>
                <w:sz w:val="20"/>
                <w:szCs w:val="20"/>
                <w:color w:val="auto"/>
              </w:rPr>
            </w:pPr>
            <w:r>
              <w:rPr>
                <w:rFonts w:ascii="Arial" w:cs="Arial" w:eastAsia="Arial" w:hAnsi="Arial"/>
                <w:sz w:val="17"/>
                <w:szCs w:val="17"/>
                <w:color w:val="auto"/>
              </w:rPr>
              <w:t>586</w:t>
            </w:r>
          </w:p>
        </w:tc>
        <w:tc>
          <w:tcPr>
            <w:tcW w:w="5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207"/>
              <w:spacing w:after="0"/>
              <w:rPr>
                <w:sz w:val="20"/>
                <w:szCs w:val="20"/>
                <w:color w:val="auto"/>
              </w:rPr>
            </w:pPr>
            <w:r>
              <w:rPr>
                <w:rFonts w:ascii="Arial" w:cs="Arial" w:eastAsia="Arial" w:hAnsi="Arial"/>
                <w:sz w:val="17"/>
                <w:szCs w:val="17"/>
                <w:color w:val="auto"/>
              </w:rPr>
              <w:t>586</w:t>
            </w:r>
          </w:p>
        </w:tc>
      </w:tr>
    </w:tbl>
    <w:p>
      <w:pPr>
        <w:spacing w:after="0" w:line="227" w:lineRule="exact"/>
        <w:rPr>
          <w:sz w:val="20"/>
          <w:szCs w:val="20"/>
          <w:color w:val="auto"/>
        </w:rPr>
      </w:pPr>
    </w:p>
    <w:p>
      <w:pPr>
        <w:ind w:right="160" w:firstLine="303"/>
        <w:spacing w:after="0" w:line="258" w:lineRule="auto"/>
        <w:rPr>
          <w:sz w:val="20"/>
          <w:szCs w:val="20"/>
          <w:color w:val="auto"/>
        </w:rPr>
      </w:pPr>
      <w:r>
        <w:rPr>
          <w:rFonts w:ascii="Arial" w:cs="Arial" w:eastAsia="Arial" w:hAnsi="Arial"/>
          <w:sz w:val="17"/>
          <w:szCs w:val="17"/>
          <w:color w:val="auto"/>
        </w:rPr>
        <w:t>Cost of revenue for the six-months ended June 30, 2021 was $0.6 million compared to $0 for the six months ended June 30, 2020, primarily due to the first sales of our Proteograph Product Suite. Cost of revenue related to our Proteograph Product Suite consist of costs of the SP100 instrument, assay kits and other related costs, including labor and overhead.</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79"/>
        </w:trPr>
        <w:tc>
          <w:tcPr>
            <w:tcW w:w="4400" w:type="dxa"/>
            <w:vAlign w:val="bottom"/>
          </w:tcPr>
          <w:p>
            <w:pPr>
              <w:spacing w:after="0"/>
              <w:rPr>
                <w:sz w:val="15"/>
                <w:szCs w:val="15"/>
                <w:color w:val="auto"/>
              </w:rPr>
            </w:pPr>
          </w:p>
        </w:tc>
        <w:tc>
          <w:tcPr>
            <w:tcW w:w="2860" w:type="dxa"/>
            <w:vAlign w:val="bottom"/>
            <w:tcBorders>
              <w:bottom w:val="single" w:sz="8" w:color="auto"/>
            </w:tcBorders>
            <w:gridSpan w:val="3"/>
          </w:tcPr>
          <w:p>
            <w:pPr>
              <w:jc w:val="right"/>
              <w:ind w:right="184"/>
              <w:spacing w:after="0"/>
              <w:rPr>
                <w:sz w:val="20"/>
                <w:szCs w:val="20"/>
                <w:color w:val="auto"/>
              </w:rPr>
            </w:pPr>
            <w:r>
              <w:rPr>
                <w:rFonts w:ascii="Arial" w:cs="Arial" w:eastAsia="Arial" w:hAnsi="Arial"/>
                <w:sz w:val="13"/>
                <w:szCs w:val="13"/>
                <w:b w:val="1"/>
                <w:bCs w:val="1"/>
                <w:color w:val="auto"/>
              </w:rPr>
              <w:t>Six Months Ended June 30,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047"/>
              <w:spacing w:after="0"/>
              <w:rPr>
                <w:sz w:val="20"/>
                <w:szCs w:val="20"/>
                <w:color w:val="auto"/>
              </w:rPr>
            </w:pPr>
            <w:r>
              <w:rPr>
                <w:rFonts w:ascii="Arial" w:cs="Arial" w:eastAsia="Arial" w:hAnsi="Arial"/>
                <w:sz w:val="13"/>
                <w:szCs w:val="13"/>
                <w:b w:val="1"/>
                <w:bCs w:val="1"/>
                <w:color w:val="auto"/>
                <w:w w:val="96"/>
              </w:rPr>
              <w:t>Change</w:t>
            </w:r>
          </w:p>
        </w:tc>
      </w:tr>
      <w:tr>
        <w:trPr>
          <w:trHeight w:val="194"/>
        </w:trPr>
        <w:tc>
          <w:tcPr>
            <w:tcW w:w="440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7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rPr>
              <w:t>Amount</w:t>
            </w:r>
          </w:p>
        </w:tc>
        <w:tc>
          <w:tcPr>
            <w:tcW w:w="1600" w:type="dxa"/>
            <w:vAlign w:val="bottom"/>
            <w:tcBorders>
              <w:bottom w:val="single" w:sz="8" w:color="auto"/>
            </w:tcBorders>
          </w:tcPr>
          <w:p>
            <w:pPr>
              <w:jc w:val="right"/>
              <w:ind w:right="347"/>
              <w:spacing w:after="0"/>
              <w:rPr>
                <w:sz w:val="20"/>
                <w:szCs w:val="20"/>
                <w:color w:val="auto"/>
              </w:rPr>
            </w:pPr>
            <w:r>
              <w:rPr>
                <w:rFonts w:ascii="Arial" w:cs="Arial" w:eastAsia="Arial" w:hAnsi="Arial"/>
                <w:sz w:val="13"/>
                <w:szCs w:val="13"/>
                <w:b w:val="1"/>
                <w:bCs w:val="1"/>
                <w:color w:val="auto"/>
              </w:rPr>
              <w:t>%</w:t>
            </w:r>
          </w:p>
        </w:tc>
      </w:tr>
      <w:tr>
        <w:trPr>
          <w:trHeight w:val="172"/>
        </w:trPr>
        <w:tc>
          <w:tcPr>
            <w:tcW w:w="4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80" w:type="dxa"/>
            <w:vAlign w:val="bottom"/>
            <w:gridSpan w:val="4"/>
          </w:tcPr>
          <w:p>
            <w:pPr>
              <w:jc w:val="right"/>
              <w:ind w:right="804"/>
              <w:spacing w:after="0"/>
              <w:rPr>
                <w:sz w:val="20"/>
                <w:szCs w:val="20"/>
                <w:color w:val="auto"/>
              </w:rPr>
            </w:pPr>
            <w:r>
              <w:rPr>
                <w:rFonts w:ascii="Arial" w:cs="Arial" w:eastAsia="Arial" w:hAnsi="Arial"/>
                <w:sz w:val="13"/>
                <w:szCs w:val="13"/>
                <w:i w:val="1"/>
                <w:iCs w:val="1"/>
                <w:color w:val="auto"/>
              </w:rPr>
              <w:t>(dollars in thousands)</w:t>
            </w:r>
          </w:p>
        </w:tc>
        <w:tc>
          <w:tcPr>
            <w:tcW w:w="1600" w:type="dxa"/>
            <w:vAlign w:val="bottom"/>
          </w:tcPr>
          <w:p>
            <w:pPr>
              <w:spacing w:after="0"/>
              <w:rPr>
                <w:sz w:val="14"/>
                <w:szCs w:val="14"/>
                <w:color w:val="auto"/>
              </w:rPr>
            </w:pPr>
          </w:p>
        </w:tc>
      </w:tr>
      <w:tr>
        <w:trPr>
          <w:trHeight w:val="217"/>
        </w:trPr>
        <w:tc>
          <w:tcPr>
            <w:tcW w:w="4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and development</w:t>
            </w:r>
          </w:p>
        </w:tc>
        <w:tc>
          <w:tcPr>
            <w:tcW w:w="1100" w:type="dxa"/>
            <w:vAlign w:val="bottom"/>
            <w:shd w:val="clear" w:color="auto" w:fill="CCEEFF"/>
          </w:tcPr>
          <w:p>
            <w:pPr>
              <w:jc w:val="right"/>
              <w:ind w:right="627"/>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13,162</w:t>
            </w:r>
          </w:p>
        </w:tc>
        <w:tc>
          <w:tcPr>
            <w:tcW w:w="1060" w:type="dxa"/>
            <w:vAlign w:val="bottom"/>
            <w:shd w:val="clear" w:color="auto" w:fill="CCEEFF"/>
          </w:tcPr>
          <w:p>
            <w:pPr>
              <w:jc w:val="right"/>
              <w:ind w:right="66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8,758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4,404</w:t>
            </w:r>
          </w:p>
        </w:tc>
        <w:tc>
          <w:tcPr>
            <w:tcW w:w="1600" w:type="dxa"/>
            <w:vAlign w:val="bottom"/>
            <w:shd w:val="clear" w:color="auto" w:fill="CCEEFF"/>
          </w:tcPr>
          <w:p>
            <w:pPr>
              <w:jc w:val="right"/>
              <w:ind w:right="227"/>
              <w:spacing w:after="0"/>
              <w:rPr>
                <w:sz w:val="20"/>
                <w:szCs w:val="20"/>
                <w:color w:val="auto"/>
              </w:rPr>
            </w:pPr>
            <w:r>
              <w:rPr>
                <w:rFonts w:ascii="Arial" w:cs="Arial" w:eastAsia="Arial" w:hAnsi="Arial"/>
                <w:sz w:val="17"/>
                <w:szCs w:val="17"/>
                <w:color w:val="auto"/>
              </w:rPr>
              <w:t>50</w:t>
            </w:r>
          </w:p>
        </w:tc>
      </w:tr>
    </w:tbl>
    <w:p>
      <w:pPr>
        <w:spacing w:after="0" w:line="214" w:lineRule="exact"/>
        <w:rPr>
          <w:sz w:val="20"/>
          <w:szCs w:val="20"/>
          <w:color w:val="auto"/>
        </w:rPr>
      </w:pPr>
    </w:p>
    <w:p>
      <w:pPr>
        <w:ind w:right="260" w:firstLine="303"/>
        <w:spacing w:after="0" w:line="284" w:lineRule="auto"/>
        <w:rPr>
          <w:sz w:val="20"/>
          <w:szCs w:val="20"/>
          <w:color w:val="auto"/>
        </w:rPr>
      </w:pPr>
      <w:r>
        <w:rPr>
          <w:rFonts w:ascii="Arial" w:cs="Arial" w:eastAsia="Arial" w:hAnsi="Arial"/>
          <w:sz w:val="15"/>
          <w:szCs w:val="15"/>
          <w:color w:val="auto"/>
        </w:rPr>
        <w:t>R&amp;D expenses increased by $4.4 million, or 50%, from $8.8 million during the six months ended June 30, 2020 to $13.2 million during the six months ended June 30, 2021. The increase was primarily due to an increase in product development efforts related to our Proteograph Product Suite including $1.5 million in employee compensation and other related costs and $1.8 million in stock-based compensation due to growth in research and development personnel, $1.7 million related to the expansion of facilities and maintenance and depreciation of laboratory equipment, and $0.3 million in professional and consulting fees. This was offset by a decrease in prototype materials of $(0.4) million as we enter the Limited Release phase of our commercial plan and a decrease in clinical study fees of</w:t>
      </w:r>
    </w:p>
    <w:p>
      <w:pPr>
        <w:spacing w:after="0"/>
        <w:rPr>
          <w:sz w:val="20"/>
          <w:szCs w:val="20"/>
          <w:color w:val="auto"/>
        </w:rPr>
      </w:pPr>
      <w:r>
        <w:rPr>
          <w:rFonts w:ascii="Arial" w:cs="Arial" w:eastAsia="Arial" w:hAnsi="Arial"/>
          <w:sz w:val="15"/>
          <w:szCs w:val="15"/>
          <w:color w:val="auto"/>
        </w:rPr>
        <w:t>$(0.6) million related to the costs associated with the ramp down of site enrollment for clinical studies related to the collection of biological samples for research use.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These clinical studies are related to the assets transferred to PrognomIQ.</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79"/>
        </w:trPr>
        <w:tc>
          <w:tcPr>
            <w:tcW w:w="4360" w:type="dxa"/>
            <w:vAlign w:val="bottom"/>
          </w:tcPr>
          <w:p>
            <w:pPr>
              <w:spacing w:after="0"/>
              <w:rPr>
                <w:sz w:val="15"/>
                <w:szCs w:val="15"/>
                <w:color w:val="auto"/>
              </w:rPr>
            </w:pPr>
          </w:p>
        </w:tc>
        <w:tc>
          <w:tcPr>
            <w:tcW w:w="2880" w:type="dxa"/>
            <w:vAlign w:val="bottom"/>
            <w:tcBorders>
              <w:bottom w:val="single" w:sz="8" w:color="auto"/>
            </w:tcBorders>
            <w:gridSpan w:val="3"/>
          </w:tcPr>
          <w:p>
            <w:pPr>
              <w:jc w:val="right"/>
              <w:ind w:right="184"/>
              <w:spacing w:after="0"/>
              <w:rPr>
                <w:sz w:val="20"/>
                <w:szCs w:val="20"/>
                <w:color w:val="auto"/>
              </w:rPr>
            </w:pPr>
            <w:r>
              <w:rPr>
                <w:rFonts w:ascii="Arial" w:cs="Arial" w:eastAsia="Arial" w:hAnsi="Arial"/>
                <w:sz w:val="13"/>
                <w:szCs w:val="13"/>
                <w:b w:val="1"/>
                <w:bCs w:val="1"/>
                <w:color w:val="auto"/>
              </w:rPr>
              <w:t>Six Months Ended June 30,</w:t>
            </w: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Change</w:t>
            </w:r>
          </w:p>
        </w:tc>
      </w:tr>
      <w:tr>
        <w:trPr>
          <w:trHeight w:val="194"/>
        </w:trPr>
        <w:tc>
          <w:tcPr>
            <w:tcW w:w="436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7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rPr>
              <w:t>Amount</w:t>
            </w:r>
          </w:p>
        </w:tc>
        <w:tc>
          <w:tcPr>
            <w:tcW w:w="1620" w:type="dxa"/>
            <w:vAlign w:val="bottom"/>
            <w:tcBorders>
              <w:bottom w:val="single" w:sz="8" w:color="auto"/>
            </w:tcBorders>
          </w:tcPr>
          <w:p>
            <w:pPr>
              <w:ind w:left="1060"/>
              <w:spacing w:after="0"/>
              <w:rPr>
                <w:sz w:val="20"/>
                <w:szCs w:val="20"/>
                <w:color w:val="auto"/>
              </w:rPr>
            </w:pPr>
            <w:r>
              <w:rPr>
                <w:rFonts w:ascii="Arial" w:cs="Arial" w:eastAsia="Arial" w:hAnsi="Arial"/>
                <w:sz w:val="13"/>
                <w:szCs w:val="13"/>
                <w:b w:val="1"/>
                <w:bCs w:val="1"/>
                <w:color w:val="auto"/>
              </w:rPr>
              <w:t>%</w:t>
            </w:r>
          </w:p>
        </w:tc>
      </w:tr>
      <w:tr>
        <w:trPr>
          <w:trHeight w:val="172"/>
        </w:trPr>
        <w:tc>
          <w:tcPr>
            <w:tcW w:w="4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80" w:type="dxa"/>
            <w:vAlign w:val="bottom"/>
            <w:gridSpan w:val="4"/>
          </w:tcPr>
          <w:p>
            <w:pPr>
              <w:jc w:val="right"/>
              <w:ind w:right="784"/>
              <w:spacing w:after="0"/>
              <w:rPr>
                <w:sz w:val="20"/>
                <w:szCs w:val="20"/>
                <w:color w:val="auto"/>
              </w:rPr>
            </w:pPr>
            <w:r>
              <w:rPr>
                <w:rFonts w:ascii="Arial" w:cs="Arial" w:eastAsia="Arial" w:hAnsi="Arial"/>
                <w:sz w:val="13"/>
                <w:szCs w:val="13"/>
                <w:i w:val="1"/>
                <w:iCs w:val="1"/>
                <w:color w:val="auto"/>
              </w:rPr>
              <w:t>(dollars in thousands)</w:t>
            </w:r>
          </w:p>
        </w:tc>
        <w:tc>
          <w:tcPr>
            <w:tcW w:w="1620" w:type="dxa"/>
            <w:vAlign w:val="bottom"/>
          </w:tcPr>
          <w:p>
            <w:pPr>
              <w:spacing w:after="0"/>
              <w:rPr>
                <w:sz w:val="14"/>
                <w:szCs w:val="14"/>
                <w:color w:val="auto"/>
              </w:rPr>
            </w:pPr>
          </w:p>
        </w:tc>
      </w:tr>
      <w:tr>
        <w:trPr>
          <w:trHeight w:val="217"/>
        </w:trPr>
        <w:tc>
          <w:tcPr>
            <w:tcW w:w="4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Selling, general and administrative</w:t>
            </w:r>
          </w:p>
        </w:tc>
        <w:tc>
          <w:tcPr>
            <w:tcW w:w="1120" w:type="dxa"/>
            <w:vAlign w:val="bottom"/>
            <w:shd w:val="clear" w:color="auto" w:fill="CCEEFF"/>
          </w:tcPr>
          <w:p>
            <w:pPr>
              <w:jc w:val="right"/>
              <w:ind w:right="647"/>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20,816</w:t>
            </w:r>
          </w:p>
        </w:tc>
        <w:tc>
          <w:tcPr>
            <w:tcW w:w="1060" w:type="dxa"/>
            <w:vAlign w:val="bottom"/>
            <w:shd w:val="clear" w:color="auto" w:fill="CCEEFF"/>
          </w:tcPr>
          <w:p>
            <w:pPr>
              <w:jc w:val="right"/>
              <w:ind w:right="66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3,682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17,134</w:t>
            </w:r>
          </w:p>
        </w:tc>
        <w:tc>
          <w:tcPr>
            <w:tcW w:w="162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465</w:t>
            </w:r>
          </w:p>
        </w:tc>
      </w:tr>
    </w:tbl>
    <w:p>
      <w:pPr>
        <w:spacing w:after="0" w:line="227" w:lineRule="exact"/>
        <w:rPr>
          <w:sz w:val="20"/>
          <w:szCs w:val="20"/>
          <w:color w:val="auto"/>
        </w:rPr>
      </w:pPr>
    </w:p>
    <w:p>
      <w:pPr>
        <w:ind w:right="160" w:firstLine="303"/>
        <w:spacing w:after="0" w:line="292" w:lineRule="auto"/>
        <w:rPr>
          <w:sz w:val="20"/>
          <w:szCs w:val="20"/>
          <w:color w:val="auto"/>
        </w:rPr>
      </w:pPr>
      <w:r>
        <w:rPr>
          <w:rFonts w:ascii="Arial" w:cs="Arial" w:eastAsia="Arial" w:hAnsi="Arial"/>
          <w:sz w:val="15"/>
          <w:szCs w:val="15"/>
          <w:color w:val="auto"/>
        </w:rPr>
        <w:t>Selling, general and administrative expenses increased by $17.1 million, or 465%, from $3.7 million during the six months ended June 30, 2020 to $20.8 million during the six months ended June 30, 2021, primarily due to a $4.0 million increase in employee compensation and other related expenses, and a $8.5 million stock-based compensation increase, as a result of an increase in personnel, including the addition of key members of executive management. Other increases are attributable to $0.5 million in marketing costs and $0.1 million in travel costs related to the Limited Release phase of our commercial plan, and costs related to becoming a publicly traded company including a $0.9 million increase in professional and consulting fees related to accounting and audit services, a $0.7 million increase in corporate and patent legal matters, and a $2.1 million increase in general business expenses which includes insurance premiums and state and local business taxes.</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Total Other Income</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79"/>
        </w:trPr>
        <w:tc>
          <w:tcPr>
            <w:tcW w:w="4400" w:type="dxa"/>
            <w:vAlign w:val="bottom"/>
          </w:tcPr>
          <w:p>
            <w:pPr>
              <w:spacing w:after="0"/>
              <w:rPr>
                <w:sz w:val="15"/>
                <w:szCs w:val="15"/>
                <w:color w:val="auto"/>
              </w:rPr>
            </w:pPr>
          </w:p>
        </w:tc>
        <w:tc>
          <w:tcPr>
            <w:tcW w:w="2880" w:type="dxa"/>
            <w:vAlign w:val="bottom"/>
            <w:tcBorders>
              <w:bottom w:val="single" w:sz="8" w:color="auto"/>
            </w:tcBorders>
            <w:gridSpan w:val="3"/>
          </w:tcPr>
          <w:p>
            <w:pPr>
              <w:jc w:val="right"/>
              <w:ind w:right="224"/>
              <w:spacing w:after="0"/>
              <w:rPr>
                <w:sz w:val="20"/>
                <w:szCs w:val="20"/>
                <w:color w:val="auto"/>
              </w:rPr>
            </w:pPr>
            <w:r>
              <w:rPr>
                <w:rFonts w:ascii="Arial" w:cs="Arial" w:eastAsia="Arial" w:hAnsi="Arial"/>
                <w:sz w:val="13"/>
                <w:szCs w:val="13"/>
                <w:b w:val="1"/>
                <w:bCs w:val="1"/>
                <w:color w:val="auto"/>
              </w:rPr>
              <w:t>Six Months Ended June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1067"/>
              <w:spacing w:after="0"/>
              <w:rPr>
                <w:sz w:val="20"/>
                <w:szCs w:val="20"/>
                <w:color w:val="auto"/>
              </w:rPr>
            </w:pPr>
            <w:r>
              <w:rPr>
                <w:rFonts w:ascii="Arial" w:cs="Arial" w:eastAsia="Arial" w:hAnsi="Arial"/>
                <w:sz w:val="13"/>
                <w:szCs w:val="13"/>
                <w:b w:val="1"/>
                <w:bCs w:val="1"/>
                <w:color w:val="auto"/>
                <w:w w:val="96"/>
              </w:rPr>
              <w:t>Change</w:t>
            </w:r>
          </w:p>
        </w:tc>
      </w:tr>
      <w:tr>
        <w:trPr>
          <w:trHeight w:val="194"/>
        </w:trPr>
        <w:tc>
          <w:tcPr>
            <w:tcW w:w="4400" w:type="dxa"/>
            <w:vAlign w:val="bottom"/>
          </w:tcPr>
          <w:p>
            <w:pPr>
              <w:spacing w:after="0"/>
              <w:rPr>
                <w:sz w:val="16"/>
                <w:szCs w:val="16"/>
                <w:color w:val="auto"/>
              </w:rPr>
            </w:pPr>
          </w:p>
        </w:tc>
        <w:tc>
          <w:tcPr>
            <w:tcW w:w="1180" w:type="dxa"/>
            <w:vAlign w:val="bottom"/>
            <w:tcBorders>
              <w:bottom w:val="single" w:sz="8" w:color="auto"/>
            </w:tcBorders>
          </w:tcPr>
          <w:p>
            <w:pPr>
              <w:jc w:val="right"/>
              <w:ind w:right="27"/>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67"/>
              <w:spacing w:after="0"/>
              <w:rPr>
                <w:sz w:val="20"/>
                <w:szCs w:val="20"/>
                <w:color w:val="auto"/>
              </w:rPr>
            </w:pPr>
            <w:r>
              <w:rPr>
                <w:rFonts w:ascii="Arial" w:cs="Arial" w:eastAsia="Arial" w:hAnsi="Arial"/>
                <w:sz w:val="13"/>
                <w:szCs w:val="13"/>
                <w:b w:val="1"/>
                <w:bCs w:val="1"/>
                <w:color w:val="auto"/>
              </w:rPr>
              <w:t>%</w:t>
            </w:r>
          </w:p>
        </w:tc>
      </w:tr>
      <w:tr>
        <w:trPr>
          <w:trHeight w:val="172"/>
        </w:trPr>
        <w:tc>
          <w:tcPr>
            <w:tcW w:w="4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40" w:type="dxa"/>
            <w:vAlign w:val="bottom"/>
            <w:gridSpan w:val="3"/>
          </w:tcPr>
          <w:p>
            <w:pPr>
              <w:ind w:left="100"/>
              <w:spacing w:after="0"/>
              <w:rPr>
                <w:sz w:val="20"/>
                <w:szCs w:val="20"/>
                <w:color w:val="auto"/>
              </w:rPr>
            </w:pPr>
            <w:r>
              <w:rPr>
                <w:rFonts w:ascii="Arial" w:cs="Arial" w:eastAsia="Arial" w:hAnsi="Arial"/>
                <w:sz w:val="13"/>
                <w:szCs w:val="13"/>
                <w:i w:val="1"/>
                <w:iCs w:val="1"/>
                <w:color w:val="auto"/>
              </w:rPr>
              <w:t>(dollars in thousands)</w:t>
            </w: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17"/>
        </w:trPr>
        <w:tc>
          <w:tcPr>
            <w:tcW w:w="4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other income</w:t>
            </w:r>
          </w:p>
        </w:tc>
        <w:tc>
          <w:tcPr>
            <w:tcW w:w="1180" w:type="dxa"/>
            <w:vAlign w:val="bottom"/>
            <w:shd w:val="clear" w:color="auto" w:fill="CCEEFF"/>
          </w:tcPr>
          <w:p>
            <w:pPr>
              <w:jc w:val="right"/>
              <w:ind w:right="707"/>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123</w:t>
            </w:r>
          </w:p>
        </w:tc>
        <w:tc>
          <w:tcPr>
            <w:tcW w:w="1100" w:type="dxa"/>
            <w:vAlign w:val="bottom"/>
            <w:shd w:val="clear" w:color="auto" w:fill="CCEEFF"/>
          </w:tcPr>
          <w:p>
            <w:pPr>
              <w:jc w:val="right"/>
              <w:ind w:right="70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582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44"/>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(459)</w:t>
            </w:r>
          </w:p>
        </w:tc>
        <w:tc>
          <w:tcPr>
            <w:tcW w:w="1620" w:type="dxa"/>
            <w:vAlign w:val="bottom"/>
            <w:shd w:val="clear" w:color="auto" w:fill="CCEEFF"/>
          </w:tcPr>
          <w:p>
            <w:pPr>
              <w:jc w:val="right"/>
              <w:ind w:right="187"/>
              <w:spacing w:after="0"/>
              <w:rPr>
                <w:sz w:val="20"/>
                <w:szCs w:val="20"/>
                <w:color w:val="auto"/>
              </w:rPr>
            </w:pPr>
            <w:r>
              <w:rPr>
                <w:rFonts w:ascii="Arial" w:cs="Arial" w:eastAsia="Arial" w:hAnsi="Arial"/>
                <w:sz w:val="17"/>
                <w:szCs w:val="17"/>
                <w:color w:val="auto"/>
              </w:rPr>
              <w:t>(79)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1" w:name="page32"/>
    <w:bookmarkEnd w:id="31"/>
    <w:p>
      <w:pPr>
        <w:spacing w:after="0" w:line="49" w:lineRule="exact"/>
        <w:rPr>
          <w:sz w:val="20"/>
          <w:szCs w:val="20"/>
          <w:color w:val="auto"/>
        </w:rPr>
      </w:pPr>
    </w:p>
    <w:p>
      <w:pPr>
        <w:ind w:right="240" w:firstLine="303"/>
        <w:spacing w:after="0" w:line="255" w:lineRule="auto"/>
        <w:rPr>
          <w:sz w:val="20"/>
          <w:szCs w:val="20"/>
          <w:color w:val="auto"/>
        </w:rPr>
      </w:pPr>
      <w:r>
        <w:rPr>
          <w:rFonts w:ascii="Arial" w:cs="Arial" w:eastAsia="Arial" w:hAnsi="Arial"/>
          <w:sz w:val="17"/>
          <w:szCs w:val="17"/>
          <w:color w:val="auto"/>
        </w:rPr>
        <w:t>Total other income decreased by $0.5 million, or 79%, from $0.6 million during the six months ended June 30, 2020 to $0.1 million during the six months ended June 30, 2021. Short-term interest rate yields decreased significantly during fiscal year 2020 and remained low during the first half of fiscal year 2021. These decreases were partially offset quantitatively by higher amounts of cash invested in money market funds and U.S. Treasury securities during fiscal year 2020 and the first half of fiscal year 2021 as a result of multiple private and public financing events.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62" w:lineRule="exact"/>
        <w:rPr>
          <w:sz w:val="20"/>
          <w:szCs w:val="20"/>
          <w:color w:val="auto"/>
        </w:rPr>
      </w:pPr>
    </w:p>
    <w:p>
      <w:pPr>
        <w:ind w:right="140" w:firstLine="303"/>
        <w:spacing w:after="0" w:line="299" w:lineRule="auto"/>
        <w:rPr>
          <w:sz w:val="20"/>
          <w:szCs w:val="20"/>
          <w:color w:val="auto"/>
        </w:rPr>
      </w:pPr>
      <w:r>
        <w:rPr>
          <w:rFonts w:ascii="Arial" w:cs="Arial" w:eastAsia="Arial" w:hAnsi="Arial"/>
          <w:sz w:val="15"/>
          <w:szCs w:val="15"/>
          <w:color w:val="auto"/>
        </w:rPr>
        <w:t>Since the date of our incorporation, we have not generated significant revenue from product sales and have incurred significant operating losses and negative cash flows from operations. Our operations have been funded primarily through the sale and issuance of equity securities since inception. We anticipate that we will continue to incur net losses and do not expect positive cash flows from operations for the foreseeable future. However, based on our cash on hand, we believe we will have adequate liquidity over the next twelve months following the date of this Quarterly Report to operate our business and to meet our cash requirements.</w:t>
      </w:r>
    </w:p>
    <w:p>
      <w:pPr>
        <w:spacing w:after="0" w:line="99" w:lineRule="exact"/>
        <w:rPr>
          <w:sz w:val="20"/>
          <w:szCs w:val="20"/>
          <w:color w:val="auto"/>
        </w:rPr>
      </w:pPr>
    </w:p>
    <w:p>
      <w:pPr>
        <w:ind w:right="120" w:firstLine="303"/>
        <w:spacing w:after="0" w:line="299" w:lineRule="auto"/>
        <w:rPr>
          <w:sz w:val="20"/>
          <w:szCs w:val="20"/>
          <w:color w:val="auto"/>
        </w:rPr>
      </w:pPr>
      <w:r>
        <w:rPr>
          <w:rFonts w:ascii="Arial" w:cs="Arial" w:eastAsia="Arial" w:hAnsi="Arial"/>
          <w:sz w:val="15"/>
          <w:szCs w:val="15"/>
          <w:color w:val="auto"/>
        </w:rPr>
        <w:t>In connection with our IPO, we sold 10,592,106 shares of Class A common stock and received net proceeds of $183.9 million after deducting offering costs, underwriting discounts and commissions. Concurrent with the IPO, we issued 7,105,262 shares of our common stock in a private placement for net proceeds of $130.3 million after deducting underwriting discounts and commissions. On February 1, 2021, we completed an underwritten public offering of 1,650,000 shares of our Class A common stock and received net proceeds of $103.0 million after deducting offering costs, underwriting discounts and commissions.</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Cash Flows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our cash flows for the periods indicated:</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79"/>
        </w:trPr>
        <w:tc>
          <w:tcPr>
            <w:tcW w:w="736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3"/>
              </w:rPr>
              <w:t>Six Months Ended June 30,</w:t>
            </w:r>
          </w:p>
        </w:tc>
        <w:tc>
          <w:tcPr>
            <w:tcW w:w="860" w:type="dxa"/>
            <w:vAlign w:val="bottom"/>
            <w:tcBorders>
              <w:bottom w:val="single" w:sz="8" w:color="auto"/>
            </w:tcBorders>
          </w:tcPr>
          <w:p>
            <w:pPr>
              <w:spacing w:after="0"/>
              <w:rPr>
                <w:sz w:val="15"/>
                <w:szCs w:val="15"/>
                <w:color w:val="auto"/>
              </w:rPr>
            </w:pPr>
          </w:p>
        </w:tc>
      </w:tr>
      <w:tr>
        <w:trPr>
          <w:trHeight w:val="173"/>
        </w:trPr>
        <w:tc>
          <w:tcPr>
            <w:tcW w:w="736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w w:val="96"/>
              </w:rPr>
              <w:t>2020</w:t>
            </w:r>
          </w:p>
        </w:tc>
      </w:tr>
      <w:tr>
        <w:trPr>
          <w:trHeight w:val="168"/>
        </w:trPr>
        <w:tc>
          <w:tcPr>
            <w:tcW w:w="7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20" w:type="dxa"/>
            <w:vAlign w:val="bottom"/>
            <w:gridSpan w:val="3"/>
          </w:tcPr>
          <w:p>
            <w:pPr>
              <w:jc w:val="right"/>
              <w:ind w:right="336"/>
              <w:spacing w:after="0"/>
              <w:rPr>
                <w:sz w:val="20"/>
                <w:szCs w:val="20"/>
                <w:color w:val="auto"/>
              </w:rPr>
            </w:pPr>
            <w:r>
              <w:rPr>
                <w:rFonts w:ascii="Arial" w:cs="Arial" w:eastAsia="Arial" w:hAnsi="Arial"/>
                <w:sz w:val="13"/>
                <w:szCs w:val="13"/>
                <w:i w:val="1"/>
                <w:iCs w:val="1"/>
                <w:color w:val="auto"/>
              </w:rPr>
              <w:t>(in thousands)</w:t>
            </w:r>
          </w:p>
        </w:tc>
        <w:tc>
          <w:tcPr>
            <w:tcW w:w="860" w:type="dxa"/>
            <w:vAlign w:val="bottom"/>
          </w:tcPr>
          <w:p>
            <w:pPr>
              <w:spacing w:after="0"/>
              <w:rPr>
                <w:sz w:val="14"/>
                <w:szCs w:val="14"/>
                <w:color w:val="auto"/>
              </w:rPr>
            </w:pPr>
          </w:p>
        </w:tc>
      </w:tr>
      <w:tr>
        <w:trPr>
          <w:trHeight w:val="217"/>
        </w:trPr>
        <w:tc>
          <w:tcPr>
            <w:tcW w:w="7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cash used in operating activities</w:t>
            </w:r>
          </w:p>
        </w:tc>
        <w:tc>
          <w:tcPr>
            <w:tcW w:w="1200" w:type="dxa"/>
            <w:vAlign w:val="bottom"/>
            <w:shd w:val="clear" w:color="auto" w:fill="CCEEFF"/>
          </w:tcPr>
          <w:p>
            <w:pPr>
              <w:jc w:val="right"/>
              <w:ind w:right="722"/>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(25,222)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16"/>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center"/>
              <w:ind w:left="299"/>
              <w:spacing w:after="0"/>
              <w:rPr>
                <w:sz w:val="20"/>
                <w:szCs w:val="20"/>
                <w:color w:val="auto"/>
              </w:rPr>
            </w:pPr>
            <w:r>
              <w:rPr>
                <w:rFonts w:ascii="Arial" w:cs="Arial" w:eastAsia="Arial" w:hAnsi="Arial"/>
                <w:sz w:val="17"/>
                <w:szCs w:val="17"/>
                <w:color w:val="auto"/>
                <w:w w:val="91"/>
              </w:rPr>
              <w:t>(9,853</w:t>
            </w:r>
          </w:p>
        </w:tc>
      </w:tr>
      <w:tr>
        <w:trPr>
          <w:trHeight w:val="214"/>
        </w:trPr>
        <w:tc>
          <w:tcPr>
            <w:tcW w:w="7360" w:type="dxa"/>
            <w:vAlign w:val="bottom"/>
          </w:tcPr>
          <w:p>
            <w:pPr>
              <w:ind w:left="320"/>
              <w:spacing w:after="0"/>
              <w:rPr>
                <w:sz w:val="20"/>
                <w:szCs w:val="20"/>
                <w:color w:val="auto"/>
              </w:rPr>
            </w:pPr>
            <w:r>
              <w:rPr>
                <w:rFonts w:ascii="Arial" w:cs="Arial" w:eastAsia="Arial" w:hAnsi="Arial"/>
                <w:sz w:val="17"/>
                <w:szCs w:val="17"/>
                <w:color w:val="auto"/>
              </w:rPr>
              <w:t>Net cash provided by (used in) investing activities</w:t>
            </w:r>
          </w:p>
        </w:tc>
        <w:tc>
          <w:tcPr>
            <w:tcW w:w="1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1"/>
              </w:rPr>
              <w:t>(52,263)</w:t>
            </w:r>
          </w:p>
        </w:tc>
        <w:tc>
          <w:tcPr>
            <w:tcW w:w="100" w:type="dxa"/>
            <w:vAlign w:val="bottom"/>
          </w:tcPr>
          <w:p>
            <w:pPr>
              <w:spacing w:after="0"/>
              <w:rPr>
                <w:sz w:val="18"/>
                <w:szCs w:val="18"/>
                <w:color w:val="auto"/>
              </w:rPr>
            </w:pPr>
          </w:p>
        </w:tc>
        <w:tc>
          <w:tcPr>
            <w:tcW w:w="900" w:type="dxa"/>
            <w:vAlign w:val="bottom"/>
          </w:tcPr>
          <w:p>
            <w:pPr>
              <w:jc w:val="right"/>
              <w:ind w:right="416"/>
              <w:spacing w:after="0"/>
              <w:rPr>
                <w:sz w:val="20"/>
                <w:szCs w:val="20"/>
                <w:color w:val="auto"/>
              </w:rPr>
            </w:pPr>
            <w:r>
              <w:rPr>
                <w:rFonts w:ascii="Arial" w:cs="Arial" w:eastAsia="Arial" w:hAnsi="Arial"/>
                <w:sz w:val="17"/>
                <w:szCs w:val="17"/>
                <w:color w:val="auto"/>
              </w:rPr>
              <w:t>$</w:t>
            </w:r>
          </w:p>
        </w:tc>
        <w:tc>
          <w:tcPr>
            <w:tcW w:w="860" w:type="dxa"/>
            <w:vAlign w:val="bottom"/>
          </w:tcPr>
          <w:p>
            <w:pPr>
              <w:jc w:val="center"/>
              <w:ind w:left="299"/>
              <w:spacing w:after="0"/>
              <w:rPr>
                <w:sz w:val="20"/>
                <w:szCs w:val="20"/>
                <w:color w:val="auto"/>
              </w:rPr>
            </w:pPr>
            <w:r>
              <w:rPr>
                <w:rFonts w:ascii="Arial" w:cs="Arial" w:eastAsia="Arial" w:hAnsi="Arial"/>
                <w:sz w:val="17"/>
                <w:szCs w:val="17"/>
                <w:color w:val="auto"/>
                <w:w w:val="92"/>
              </w:rPr>
              <w:t>10,271</w:t>
            </w:r>
          </w:p>
        </w:tc>
      </w:tr>
      <w:tr>
        <w:trPr>
          <w:trHeight w:val="214"/>
        </w:trPr>
        <w:tc>
          <w:tcPr>
            <w:tcW w:w="7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cash provided by financing activities</w:t>
            </w:r>
          </w:p>
        </w:tc>
        <w:tc>
          <w:tcPr>
            <w:tcW w:w="1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114,756</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center"/>
              <w:ind w:left="299"/>
              <w:spacing w:after="0"/>
              <w:rPr>
                <w:sz w:val="20"/>
                <w:szCs w:val="20"/>
                <w:color w:val="auto"/>
              </w:rPr>
            </w:pPr>
            <w:r>
              <w:rPr>
                <w:rFonts w:ascii="Arial" w:cs="Arial" w:eastAsia="Arial" w:hAnsi="Arial"/>
                <w:sz w:val="17"/>
                <w:szCs w:val="17"/>
                <w:color w:val="auto"/>
                <w:w w:val="92"/>
              </w:rPr>
              <w:t>55,040</w:t>
            </w:r>
          </w:p>
        </w:tc>
      </w:tr>
      <w:tr>
        <w:trPr>
          <w:trHeight w:val="207"/>
        </w:trPr>
        <w:tc>
          <w:tcPr>
            <w:tcW w:w="7360" w:type="dxa"/>
            <w:vAlign w:val="bottom"/>
          </w:tcPr>
          <w:p>
            <w:pPr>
              <w:ind w:left="20"/>
              <w:spacing w:after="0"/>
              <w:rPr>
                <w:sz w:val="20"/>
                <w:szCs w:val="20"/>
                <w:color w:val="auto"/>
              </w:rPr>
            </w:pPr>
            <w:r>
              <w:rPr>
                <w:rFonts w:ascii="Arial" w:cs="Arial" w:eastAsia="Arial" w:hAnsi="Arial"/>
                <w:sz w:val="17"/>
                <w:szCs w:val="17"/>
                <w:color w:val="auto"/>
              </w:rPr>
              <w:t>Net increase in cash, cash equivalents and restricted cash</w:t>
            </w:r>
          </w:p>
        </w:tc>
        <w:tc>
          <w:tcPr>
            <w:tcW w:w="1200" w:type="dxa"/>
            <w:vAlign w:val="bottom"/>
            <w:tcBorders>
              <w:bottom w:val="single" w:sz="8" w:color="auto"/>
            </w:tcBorders>
          </w:tcPr>
          <w:p>
            <w:pPr>
              <w:jc w:val="right"/>
              <w:ind w:right="722"/>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37,271</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center"/>
              <w:ind w:left="299"/>
              <w:spacing w:after="0"/>
              <w:rPr>
                <w:sz w:val="20"/>
                <w:szCs w:val="20"/>
                <w:color w:val="auto"/>
              </w:rPr>
            </w:pPr>
            <w:r>
              <w:rPr>
                <w:rFonts w:ascii="Arial" w:cs="Arial" w:eastAsia="Arial" w:hAnsi="Arial"/>
                <w:sz w:val="17"/>
                <w:szCs w:val="17"/>
                <w:color w:val="auto"/>
                <w:w w:val="92"/>
              </w:rPr>
              <w:t>55,458</w:t>
            </w:r>
          </w:p>
        </w:tc>
      </w:tr>
      <w:tr>
        <w:trPr>
          <w:trHeight w:val="20"/>
        </w:trPr>
        <w:tc>
          <w:tcPr>
            <w:tcW w:w="73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58" w:lineRule="exact"/>
        <w:rPr>
          <w:sz w:val="20"/>
          <w:szCs w:val="20"/>
          <w:color w:val="auto"/>
        </w:rPr>
      </w:pPr>
    </w:p>
    <w:p>
      <w:pPr>
        <w:ind w:right="140" w:firstLine="303"/>
        <w:spacing w:after="0" w:line="252" w:lineRule="auto"/>
        <w:rPr>
          <w:sz w:val="20"/>
          <w:szCs w:val="20"/>
          <w:color w:val="auto"/>
        </w:rPr>
      </w:pPr>
      <w:r>
        <w:rPr>
          <w:rFonts w:ascii="Arial" w:cs="Arial" w:eastAsia="Arial" w:hAnsi="Arial"/>
          <w:sz w:val="17"/>
          <w:szCs w:val="17"/>
          <w:color w:val="auto"/>
        </w:rPr>
        <w:t>During the six months ended June 30, 2021, cash used in operating activities was $25.2 million, which was attributable to a net loss of $(33.0) million and a net change in our net operating assets and liabilities of $(6.1) million, partially offset by non-cash charges of $13.9 million. Non-cash charges primarily consisted of $12.5 million in stock-based compensation, $1.0 million of depreciation and amortization and $0.4 million of net amortization of premiums on available-for-sales securities. The change in our net operating assets and liabilities was primarily due to an increase in inventory levels of $2.1 million, an increase in prepaid expenses, including insurance, of $2.8 million related to being a public company and an increase in accounts receivable and related party receivables of $1.2 million from commercial sales and other receivables.</w:t>
      </w:r>
    </w:p>
    <w:p>
      <w:pPr>
        <w:spacing w:after="0" w:line="130" w:lineRule="exact"/>
        <w:rPr>
          <w:sz w:val="20"/>
          <w:szCs w:val="20"/>
          <w:color w:val="auto"/>
        </w:rPr>
      </w:pPr>
    </w:p>
    <w:p>
      <w:pPr>
        <w:ind w:right="120" w:firstLine="303"/>
        <w:spacing w:after="0" w:line="253" w:lineRule="auto"/>
        <w:rPr>
          <w:sz w:val="20"/>
          <w:szCs w:val="20"/>
          <w:color w:val="auto"/>
        </w:rPr>
      </w:pPr>
      <w:r>
        <w:rPr>
          <w:rFonts w:ascii="Arial" w:cs="Arial" w:eastAsia="Arial" w:hAnsi="Arial"/>
          <w:sz w:val="17"/>
          <w:szCs w:val="17"/>
          <w:color w:val="auto"/>
        </w:rPr>
        <w:t>During the six months ended June 30, 2020, cash used in operating activities was $9.9 million. which was attributable to a net loss of $(11.6) million and a net change in our net operating assets and liabilities of $(0.4) million offset by non-cash charges of $2.2 million. Non-cash charges primarily consisted of $1.4 million in stock-based compensation and $0.7 million of depreciation and amortization. The change in our net operating assets and liabilities was primarily due to a decrease of $0.5 million in accrued expenses and an increase in other receivables of $0.3 million, partially offset by an increase in deferred revenue of $0.3 million and an increase in deferred rent of $0.3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2" w:name="page33"/>
    <w:bookmarkEnd w:id="32"/>
    <w:p>
      <w:pPr>
        <w:spacing w:after="0" w:line="4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58" w:lineRule="exact"/>
        <w:rPr>
          <w:sz w:val="20"/>
          <w:szCs w:val="20"/>
          <w:color w:val="auto"/>
        </w:rPr>
      </w:pPr>
    </w:p>
    <w:p>
      <w:pPr>
        <w:ind w:right="240" w:firstLine="303"/>
        <w:spacing w:after="0" w:line="270" w:lineRule="auto"/>
        <w:rPr>
          <w:sz w:val="20"/>
          <w:szCs w:val="20"/>
          <w:color w:val="auto"/>
        </w:rPr>
      </w:pPr>
      <w:r>
        <w:rPr>
          <w:rFonts w:ascii="Arial" w:cs="Arial" w:eastAsia="Arial" w:hAnsi="Arial"/>
          <w:sz w:val="17"/>
          <w:szCs w:val="17"/>
          <w:color w:val="auto"/>
        </w:rPr>
        <w:t>During the six months ended June 30, 2021, cash used in investing activities was $52.3 million, which related to purchases of available-for-sale securities, net of proceeds from maturities of $(49.3) million and $(2.9) million in payments primarily for laboratory equipment.</w:t>
      </w:r>
    </w:p>
    <w:p>
      <w:pPr>
        <w:spacing w:after="0" w:line="115" w:lineRule="exact"/>
        <w:rPr>
          <w:sz w:val="20"/>
          <w:szCs w:val="20"/>
          <w:color w:val="auto"/>
        </w:rPr>
      </w:pPr>
    </w:p>
    <w:p>
      <w:pPr>
        <w:ind w:right="260" w:firstLine="303"/>
        <w:spacing w:after="0" w:line="270" w:lineRule="auto"/>
        <w:rPr>
          <w:sz w:val="20"/>
          <w:szCs w:val="20"/>
          <w:color w:val="auto"/>
        </w:rPr>
      </w:pPr>
      <w:r>
        <w:rPr>
          <w:rFonts w:ascii="Arial" w:cs="Arial" w:eastAsia="Arial" w:hAnsi="Arial"/>
          <w:sz w:val="17"/>
          <w:szCs w:val="17"/>
          <w:color w:val="auto"/>
        </w:rPr>
        <w:t>During the six months ended June 30, 2020, cash provided by investing activities was $10.3 million, which related to proceeds from maturities, net of purchases of available-for-sale securities of $13.8 million, offset by $(3.5) million in payments primarily for laboratory equipment.</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58" w:lineRule="exact"/>
        <w:rPr>
          <w:sz w:val="20"/>
          <w:szCs w:val="20"/>
          <w:color w:val="auto"/>
        </w:rPr>
      </w:pPr>
    </w:p>
    <w:p>
      <w:pPr>
        <w:ind w:right="100" w:firstLine="303"/>
        <w:spacing w:after="0" w:line="338" w:lineRule="auto"/>
        <w:rPr>
          <w:sz w:val="20"/>
          <w:szCs w:val="20"/>
          <w:color w:val="auto"/>
        </w:rPr>
      </w:pPr>
      <w:r>
        <w:rPr>
          <w:rFonts w:ascii="Arial" w:cs="Arial" w:eastAsia="Arial" w:hAnsi="Arial"/>
          <w:sz w:val="15"/>
          <w:szCs w:val="15"/>
          <w:color w:val="auto"/>
        </w:rPr>
        <w:t>During the six months ended June 30, 2021, cash provided by financing activities was $114.8 million. This was attributable to net proceeds of $103.0 million from issuance of common stock upon our follow-on offering, net of issuance costs of $(7.6) million, and $11.4 million in short-swing profits from a beneficial owner.</w:t>
      </w:r>
    </w:p>
    <w:p>
      <w:pPr>
        <w:spacing w:after="0" w:line="69" w:lineRule="exact"/>
        <w:rPr>
          <w:sz w:val="20"/>
          <w:szCs w:val="20"/>
          <w:color w:val="auto"/>
        </w:rPr>
      </w:pPr>
    </w:p>
    <w:p>
      <w:pPr>
        <w:ind w:right="200" w:firstLine="303"/>
        <w:spacing w:after="0" w:line="270" w:lineRule="auto"/>
        <w:rPr>
          <w:sz w:val="20"/>
          <w:szCs w:val="20"/>
          <w:color w:val="auto"/>
        </w:rPr>
      </w:pPr>
      <w:r>
        <w:rPr>
          <w:rFonts w:ascii="Arial" w:cs="Arial" w:eastAsia="Arial" w:hAnsi="Arial"/>
          <w:sz w:val="17"/>
          <w:szCs w:val="17"/>
          <w:color w:val="auto"/>
        </w:rPr>
        <w:t>During the six months ended June 30, 2020, cash provided by financing activities was approximately $55.0 million, which was primarily attributable to proceeds from sale of Series D-1 convertible preferred stock, net of issuance costs.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our contractual obligations as of December 31, 2020:</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79"/>
        </w:trPr>
        <w:tc>
          <w:tcPr>
            <w:tcW w:w="34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Payments due by period</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vMerge w:val="restart"/>
          </w:tcPr>
          <w:p>
            <w:pPr>
              <w:jc w:val="right"/>
              <w:ind w:right="544"/>
              <w:spacing w:after="0"/>
              <w:rPr>
                <w:sz w:val="20"/>
                <w:szCs w:val="20"/>
                <w:color w:val="auto"/>
              </w:rPr>
            </w:pPr>
            <w:r>
              <w:rPr>
                <w:rFonts w:ascii="Arial" w:cs="Arial" w:eastAsia="Arial" w:hAnsi="Arial"/>
                <w:sz w:val="13"/>
                <w:szCs w:val="13"/>
                <w:b w:val="1"/>
                <w:bCs w:val="1"/>
                <w:color w:val="auto"/>
              </w:rPr>
              <w:t>Total</w:t>
            </w:r>
          </w:p>
        </w:tc>
        <w:tc>
          <w:tcPr>
            <w:tcW w:w="400" w:type="dxa"/>
            <w:vAlign w:val="bottom"/>
          </w:tcPr>
          <w:p>
            <w:pPr>
              <w:spacing w:after="0"/>
              <w:rPr>
                <w:sz w:val="10"/>
                <w:szCs w:val="10"/>
                <w:color w:val="auto"/>
              </w:rPr>
            </w:pPr>
          </w:p>
        </w:tc>
        <w:tc>
          <w:tcPr>
            <w:tcW w:w="1100" w:type="dxa"/>
            <w:vAlign w:val="bottom"/>
          </w:tcPr>
          <w:p>
            <w:pPr>
              <w:jc w:val="right"/>
              <w:ind w:right="347"/>
              <w:spacing w:after="0" w:line="124" w:lineRule="exact"/>
              <w:rPr>
                <w:sz w:val="20"/>
                <w:szCs w:val="20"/>
                <w:color w:val="auto"/>
              </w:rPr>
            </w:pPr>
            <w:r>
              <w:rPr>
                <w:rFonts w:ascii="Arial" w:cs="Arial" w:eastAsia="Arial" w:hAnsi="Arial"/>
                <w:sz w:val="13"/>
                <w:szCs w:val="13"/>
                <w:b w:val="1"/>
                <w:bCs w:val="1"/>
                <w:color w:val="auto"/>
              </w:rPr>
              <w:t>Less than</w:t>
            </w:r>
          </w:p>
        </w:tc>
        <w:tc>
          <w:tcPr>
            <w:tcW w:w="440" w:type="dxa"/>
            <w:vAlign w:val="bottom"/>
          </w:tcPr>
          <w:p>
            <w:pPr>
              <w:spacing w:after="0"/>
              <w:rPr>
                <w:sz w:val="10"/>
                <w:szCs w:val="10"/>
                <w:color w:val="auto"/>
              </w:rPr>
            </w:pPr>
          </w:p>
        </w:tc>
        <w:tc>
          <w:tcPr>
            <w:tcW w:w="1280" w:type="dxa"/>
            <w:vAlign w:val="bottom"/>
            <w:vMerge w:val="restart"/>
          </w:tcPr>
          <w:p>
            <w:pPr>
              <w:jc w:val="center"/>
              <w:ind w:right="367"/>
              <w:spacing w:after="0"/>
              <w:rPr>
                <w:sz w:val="20"/>
                <w:szCs w:val="20"/>
                <w:color w:val="auto"/>
              </w:rPr>
            </w:pPr>
            <w:r>
              <w:rPr>
                <w:rFonts w:ascii="Arial" w:cs="Arial" w:eastAsia="Arial" w:hAnsi="Arial"/>
                <w:sz w:val="13"/>
                <w:szCs w:val="13"/>
                <w:b w:val="1"/>
                <w:bCs w:val="1"/>
                <w:color w:val="auto"/>
                <w:w w:val="92"/>
              </w:rPr>
              <w:t>1-3 years</w:t>
            </w:r>
          </w:p>
        </w:tc>
        <w:tc>
          <w:tcPr>
            <w:tcW w:w="360" w:type="dxa"/>
            <w:vAlign w:val="bottom"/>
          </w:tcPr>
          <w:p>
            <w:pPr>
              <w:spacing w:after="0"/>
              <w:rPr>
                <w:sz w:val="10"/>
                <w:szCs w:val="10"/>
                <w:color w:val="auto"/>
              </w:rPr>
            </w:pPr>
          </w:p>
        </w:tc>
        <w:tc>
          <w:tcPr>
            <w:tcW w:w="1140" w:type="dxa"/>
            <w:vAlign w:val="bottom"/>
            <w:vMerge w:val="restart"/>
          </w:tcPr>
          <w:p>
            <w:pPr>
              <w:jc w:val="right"/>
              <w:ind w:right="444"/>
              <w:spacing w:after="0"/>
              <w:rPr>
                <w:sz w:val="20"/>
                <w:szCs w:val="20"/>
                <w:color w:val="auto"/>
              </w:rPr>
            </w:pPr>
            <w:r>
              <w:rPr>
                <w:rFonts w:ascii="Arial" w:cs="Arial" w:eastAsia="Arial" w:hAnsi="Arial"/>
                <w:sz w:val="13"/>
                <w:szCs w:val="13"/>
                <w:b w:val="1"/>
                <w:bCs w:val="1"/>
                <w:color w:val="auto"/>
              </w:rPr>
              <w:t>3-5 years</w:t>
            </w:r>
          </w:p>
        </w:tc>
        <w:tc>
          <w:tcPr>
            <w:tcW w:w="400" w:type="dxa"/>
            <w:vAlign w:val="bottom"/>
          </w:tcPr>
          <w:p>
            <w:pPr>
              <w:spacing w:after="0"/>
              <w:rPr>
                <w:sz w:val="10"/>
                <w:szCs w:val="10"/>
                <w:color w:val="auto"/>
              </w:rPr>
            </w:pPr>
          </w:p>
        </w:tc>
        <w:tc>
          <w:tcPr>
            <w:tcW w:w="820" w:type="dxa"/>
            <w:vAlign w:val="bottom"/>
          </w:tcPr>
          <w:p>
            <w:pPr>
              <w:jc w:val="right"/>
              <w:ind w:right="27"/>
              <w:spacing w:after="0" w:line="124"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5"/>
        </w:trPr>
        <w:tc>
          <w:tcPr>
            <w:tcW w:w="34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87"/>
              <w:spacing w:after="0"/>
              <w:rPr>
                <w:sz w:val="20"/>
                <w:szCs w:val="20"/>
                <w:color w:val="auto"/>
              </w:rPr>
            </w:pPr>
            <w:r>
              <w:rPr>
                <w:rFonts w:ascii="Arial" w:cs="Arial" w:eastAsia="Arial" w:hAnsi="Arial"/>
                <w:sz w:val="13"/>
                <w:szCs w:val="13"/>
                <w:b w:val="1"/>
                <w:bCs w:val="1"/>
                <w:color w:val="auto"/>
              </w:rPr>
              <w:t>1 year</w:t>
            </w:r>
          </w:p>
        </w:tc>
        <w:tc>
          <w:tcPr>
            <w:tcW w:w="4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7"/>
              <w:spacing w:after="0"/>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center"/>
              <w:ind w:right="307"/>
              <w:spacing w:after="0"/>
              <w:rPr>
                <w:sz w:val="20"/>
                <w:szCs w:val="20"/>
                <w:color w:val="auto"/>
              </w:rPr>
            </w:pPr>
            <w:r>
              <w:rPr>
                <w:rFonts w:ascii="Arial" w:cs="Arial" w:eastAsia="Arial" w:hAnsi="Arial"/>
                <w:sz w:val="13"/>
                <w:szCs w:val="13"/>
                <w:i w:val="1"/>
                <w:iCs w:val="1"/>
                <w:color w:val="auto"/>
                <w:w w:val="94"/>
              </w:rPr>
              <w:t>(in thousands)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Operating lease obligations</w:t>
            </w: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64"/>
              <w:spacing w:after="0"/>
              <w:rPr>
                <w:sz w:val="20"/>
                <w:szCs w:val="20"/>
                <w:color w:val="auto"/>
              </w:rPr>
            </w:pPr>
            <w:r>
              <w:rPr>
                <w:rFonts w:ascii="Arial" w:cs="Arial" w:eastAsia="Arial" w:hAnsi="Arial"/>
                <w:sz w:val="17"/>
                <w:szCs w:val="17"/>
                <w:color w:val="auto"/>
              </w:rPr>
              <w:t>20,367</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07"/>
              <w:spacing w:after="0"/>
              <w:rPr>
                <w:sz w:val="20"/>
                <w:szCs w:val="20"/>
                <w:color w:val="auto"/>
              </w:rPr>
            </w:pPr>
            <w:r>
              <w:rPr>
                <w:rFonts w:ascii="Arial" w:cs="Arial" w:eastAsia="Arial" w:hAnsi="Arial"/>
                <w:sz w:val="17"/>
                <w:szCs w:val="17"/>
                <w:color w:val="auto"/>
              </w:rPr>
              <w:t>795</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247"/>
              <w:spacing w:after="0"/>
              <w:rPr>
                <w:sz w:val="20"/>
                <w:szCs w:val="20"/>
                <w:color w:val="auto"/>
              </w:rPr>
            </w:pPr>
            <w:r>
              <w:rPr>
                <w:rFonts w:ascii="Arial" w:cs="Arial" w:eastAsia="Arial" w:hAnsi="Arial"/>
                <w:sz w:val="17"/>
                <w:szCs w:val="17"/>
                <w:color w:val="auto"/>
              </w:rPr>
              <w:t>3,063</w:t>
            </w:r>
          </w:p>
        </w:tc>
        <w:tc>
          <w:tcPr>
            <w:tcW w:w="3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64"/>
              <w:spacing w:after="0"/>
              <w:rPr>
                <w:sz w:val="20"/>
                <w:szCs w:val="20"/>
                <w:color w:val="auto"/>
              </w:rPr>
            </w:pPr>
            <w:r>
              <w:rPr>
                <w:rFonts w:ascii="Arial" w:cs="Arial" w:eastAsia="Arial" w:hAnsi="Arial"/>
                <w:sz w:val="17"/>
                <w:szCs w:val="17"/>
                <w:color w:val="auto"/>
              </w:rPr>
              <w:t>3,717</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240" w:firstLine="303"/>
        <w:spacing w:after="0" w:line="270" w:lineRule="auto"/>
        <w:rPr>
          <w:sz w:val="20"/>
          <w:szCs w:val="20"/>
          <w:color w:val="auto"/>
        </w:rPr>
      </w:pPr>
      <w:r>
        <w:rPr>
          <w:rFonts w:ascii="Arial" w:cs="Arial" w:eastAsia="Arial" w:hAnsi="Arial"/>
          <w:sz w:val="17"/>
          <w:szCs w:val="17"/>
          <w:color w:val="auto"/>
        </w:rPr>
        <w:t>In addition, we enter into agreements as a part of normal course of business with various vendors, which are generally cancellable without material penalty upon written notice. Payments associated with these agreements are not included in this table of contractual obligations.</w:t>
      </w:r>
    </w:p>
    <w:p>
      <w:pPr>
        <w:spacing w:after="0" w:line="115" w:lineRule="exact"/>
        <w:rPr>
          <w:sz w:val="20"/>
          <w:szCs w:val="20"/>
          <w:color w:val="auto"/>
        </w:rPr>
      </w:pPr>
    </w:p>
    <w:p>
      <w:pPr>
        <w:ind w:right="100" w:firstLine="303"/>
        <w:spacing w:after="0" w:line="272" w:lineRule="auto"/>
        <w:rPr>
          <w:sz w:val="20"/>
          <w:szCs w:val="20"/>
          <w:color w:val="auto"/>
        </w:rPr>
      </w:pPr>
      <w:r>
        <w:rPr>
          <w:rFonts w:ascii="Arial" w:cs="Arial" w:eastAsia="Arial" w:hAnsi="Arial"/>
          <w:sz w:val="16"/>
          <w:szCs w:val="16"/>
          <w:color w:val="auto"/>
        </w:rPr>
        <w:t>Our operating lease obligations reflect our lease obligations for our headquarters facility in Redwood City, California. In June 2020, we amended the lease agreement for this facility to expand the office and laboratory space covered by the lease, extend the lease through February 2032, and increase the annual base rent for the expanded premises. Upon occupancy of the expansion facility that is anticipated to occur in the fourth quarter of 2021, the annual base rent will be $0.9 million in the first 12 months of the lease term (subject to an abatement period of nine months), and increases on an annual basis to $1.2 million in the final 12 months of the lease term. The amendment also provides for tenant incentives in the amount of $2.4 million.</w:t>
      </w:r>
    </w:p>
    <w:p>
      <w:pPr>
        <w:spacing w:after="0" w:line="117" w:lineRule="exact"/>
        <w:rPr>
          <w:sz w:val="20"/>
          <w:szCs w:val="20"/>
          <w:color w:val="auto"/>
        </w:rPr>
      </w:pPr>
    </w:p>
    <w:p>
      <w:pPr>
        <w:ind w:right="120" w:firstLine="303"/>
        <w:spacing w:after="0" w:line="258" w:lineRule="auto"/>
        <w:rPr>
          <w:sz w:val="20"/>
          <w:szCs w:val="20"/>
          <w:color w:val="auto"/>
        </w:rPr>
      </w:pPr>
      <w:r>
        <w:rPr>
          <w:rFonts w:ascii="Arial" w:cs="Arial" w:eastAsia="Arial" w:hAnsi="Arial"/>
          <w:sz w:val="17"/>
          <w:szCs w:val="17"/>
          <w:color w:val="auto"/>
        </w:rPr>
        <w:t>In April 2021, we entered into a lease amendment for this facility to further expand the office and laboratory space for an approximate term of 11-years. Payments associated with this operating lease agreement will result in additional operating lease obligations not included in the above table of approximately $160,000 per month plus operating expenses.</w:t>
      </w:r>
    </w:p>
    <w:p>
      <w:pPr>
        <w:spacing w:after="0" w:line="126" w:lineRule="exact"/>
        <w:rPr>
          <w:sz w:val="20"/>
          <w:szCs w:val="20"/>
          <w:color w:val="auto"/>
        </w:rPr>
      </w:pPr>
    </w:p>
    <w:p>
      <w:pPr>
        <w:jc w:val="both"/>
        <w:ind w:right="300" w:firstLine="303"/>
        <w:spacing w:after="0" w:line="299" w:lineRule="auto"/>
        <w:rPr>
          <w:sz w:val="20"/>
          <w:szCs w:val="20"/>
          <w:color w:val="auto"/>
        </w:rPr>
      </w:pPr>
      <w:r>
        <w:rPr>
          <w:rFonts w:ascii="Arial" w:cs="Arial" w:eastAsia="Arial" w:hAnsi="Arial"/>
          <w:sz w:val="15"/>
          <w:szCs w:val="15"/>
          <w:color w:val="auto"/>
        </w:rPr>
        <w:t>We have certain purchase commitments related to its inventory management with certain manufacturing suppliers wherein the Company is required to purchase the amounts forecasted in a blanket purchase order within a certain time period.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$5.1 million as of June 30, 2021. These payments are not included in the table of contractual obligations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3" w:name="page34"/>
    <w:bookmarkEnd w:id="33"/>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Since the date of our incorporation, we have not engaged in any off-balance sheet arrangements, as such term is defined in the rules and regulations of the SEC.</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Significant Judgments and Use of Estimates</w:t>
      </w:r>
    </w:p>
    <w:p>
      <w:pPr>
        <w:spacing w:after="0" w:line="162" w:lineRule="exact"/>
        <w:rPr>
          <w:sz w:val="20"/>
          <w:szCs w:val="20"/>
          <w:color w:val="auto"/>
        </w:rPr>
      </w:pPr>
    </w:p>
    <w:p>
      <w:pPr>
        <w:ind w:right="40" w:firstLine="303"/>
        <w:spacing w:after="0" w:line="288" w:lineRule="auto"/>
        <w:rPr>
          <w:sz w:val="20"/>
          <w:szCs w:val="20"/>
          <w:color w:val="auto"/>
        </w:rPr>
      </w:pPr>
      <w:r>
        <w:rPr>
          <w:rFonts w:ascii="Arial" w:cs="Arial" w:eastAsia="Arial" w:hAnsi="Arial"/>
          <w:sz w:val="15"/>
          <w:szCs w:val="15"/>
          <w:color w:val="auto"/>
        </w:rPr>
        <w:t>The discussion and analysis of our financial condition and results of operations is based on our unaudited condensed consolidated financial statements, which have been prepared in accordance with United States generally accepted accounting principles. The preparation of these unaudited condensed consolidated financial statements requires us to make estimates and assumptions that affect the reported amounts of assets, liabilities, and the disclosure of contingent assets and liabilities at the date of the unaudited condensed consolidated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09" w:lineRule="exact"/>
        <w:rPr>
          <w:sz w:val="20"/>
          <w:szCs w:val="20"/>
          <w:color w:val="auto"/>
        </w:rPr>
      </w:pPr>
    </w:p>
    <w:p>
      <w:pPr>
        <w:ind w:right="40" w:firstLine="303"/>
        <w:spacing w:after="0" w:line="258" w:lineRule="auto"/>
        <w:rPr>
          <w:sz w:val="20"/>
          <w:szCs w:val="20"/>
          <w:color w:val="auto"/>
        </w:rPr>
      </w:pPr>
      <w:r>
        <w:rPr>
          <w:rFonts w:ascii="Arial" w:cs="Arial" w:eastAsia="Arial" w:hAnsi="Arial"/>
          <w:sz w:val="17"/>
          <w:szCs w:val="17"/>
          <w:color w:val="auto"/>
        </w:rPr>
        <w:t>There have been no significant changes in our critical accounting policies and estimates as compared to the critical accounting policies and estimates disclosed in the section titled “Management’s Discussion and Analysis of Financial Condition and Operations” included in our Annual Report on Form 10-K for the fiscal year ended December 31, 2020.</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162" w:lineRule="exact"/>
        <w:rPr>
          <w:sz w:val="20"/>
          <w:szCs w:val="20"/>
          <w:color w:val="auto"/>
        </w:rPr>
      </w:pPr>
    </w:p>
    <w:p>
      <w:pPr>
        <w:ind w:firstLine="303"/>
        <w:spacing w:after="0" w:line="267"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Other exemptions and reduced reporting requirements under the JOBS Act for emerging growth companies include presentation of only two years audited financial statements in a registration statement for an initial public offering, an exemption from the requirement to provide an auditor’s report on internal controls over financial reporting pursuant to the Sarbanes-Oxley Act, an exemption from any requirement that may be adopted by the Public Company Accounting Oversight Board regarding mandatory audit firm rotation, and less extensive disclosure about our executive compensation arrangements. We have elected to use the extended transition period for complying with new or revised accounting standards that have different effective dates for public and private companies until the earlier of the date that (i) we are no longer an emerging growth company or (ii) we affirmatively and irrevocably opt out of the extended transition period provided in the JOBS Act. As a result, our condensed consolidated financial statements may not be comparable to companies that comply with the new or revised accounting pronouncements as of public company effective dates.</w:t>
      </w:r>
    </w:p>
    <w:p>
      <w:pPr>
        <w:spacing w:after="0" w:line="122" w:lineRule="exact"/>
        <w:rPr>
          <w:sz w:val="20"/>
          <w:szCs w:val="20"/>
          <w:color w:val="auto"/>
        </w:rPr>
      </w:pPr>
    </w:p>
    <w:p>
      <w:pPr>
        <w:ind w:right="100" w:firstLine="303"/>
        <w:spacing w:after="0" w:line="252" w:lineRule="auto"/>
        <w:rPr>
          <w:sz w:val="20"/>
          <w:szCs w:val="20"/>
          <w:color w:val="auto"/>
        </w:rPr>
      </w:pPr>
      <w:r>
        <w:rPr>
          <w:rFonts w:ascii="Arial" w:cs="Arial" w:eastAsia="Arial" w:hAnsi="Arial"/>
          <w:sz w:val="17"/>
          <w:szCs w:val="17"/>
          <w:color w:val="auto"/>
        </w:rPr>
        <w:t>We will remain an emerging growth company under the JOBS Act until the earliest of (i) the last day of our first fiscal year in which we have total annual gross revenue of $1.07 billion or more, (ii) the date on which we have issued more than $1.0 billion of non-convertible debt instruments during the previous three fiscal years or (iii) the date on which we are deemed a “large accelerated filer” under the rules of the SEC with at least $700.0 million of outstanding equity securities held by non-affiliates, or (iv) the last day of the fiscal year following the fifth anniversary of completion of our initial public offering. We anticipate that we will no longer qualify as an emerging growth company as of December 31, 2021 and expect to become a “large accelerated filer” under the rules of the SEC with at least $700.0 million of outstanding equity securities held by non-affiliates.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62" w:lineRule="exact"/>
        <w:rPr>
          <w:sz w:val="20"/>
          <w:szCs w:val="20"/>
          <w:color w:val="auto"/>
        </w:rPr>
      </w:pPr>
    </w:p>
    <w:p>
      <w:pPr>
        <w:ind w:right="680" w:firstLine="303"/>
        <w:spacing w:after="0" w:line="270" w:lineRule="auto"/>
        <w:rPr>
          <w:sz w:val="20"/>
          <w:szCs w:val="20"/>
          <w:color w:val="auto"/>
        </w:rPr>
      </w:pPr>
      <w:r>
        <w:rPr>
          <w:rFonts w:ascii="Arial" w:cs="Arial" w:eastAsia="Arial" w:hAnsi="Arial"/>
          <w:sz w:val="17"/>
          <w:szCs w:val="17"/>
          <w:color w:val="auto"/>
        </w:rPr>
        <w:t>See Note 2 to our unaudited condensed consolidated financial statements included elsewhere in this Quarterly Report for more information about recent accounting pronouncements, the timing of their adoption, and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 w:name="page35"/>
    <w:bookmarkEnd w:id="34"/>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assessment, to the extent we have made one yet, of their potential impact on our financial condition of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58" w:lineRule="exact"/>
        <w:rPr>
          <w:sz w:val="20"/>
          <w:szCs w:val="20"/>
          <w:color w:val="auto"/>
        </w:rPr>
      </w:pPr>
    </w:p>
    <w:p>
      <w:pPr>
        <w:ind w:right="20" w:firstLine="303"/>
        <w:spacing w:after="0" w:line="282" w:lineRule="auto"/>
        <w:rPr>
          <w:sz w:val="20"/>
          <w:szCs w:val="20"/>
          <w:color w:val="auto"/>
        </w:rPr>
      </w:pPr>
      <w:r>
        <w:rPr>
          <w:rFonts w:ascii="Arial" w:cs="Arial" w:eastAsia="Arial" w:hAnsi="Arial"/>
          <w:sz w:val="16"/>
          <w:szCs w:val="16"/>
          <w:color w:val="auto"/>
        </w:rPr>
        <w:t>We have exposure to interest rate risk that relates to our cash, cash equivalents, and investments held in money market funds and U.S. Treasury securities. The goals of our investment policy are liquidity and capital preservation. We believe that we do not have any material exposure to changes in the fair value of these assets as a result of changes in interest rates due to the short-term nature of our cash, cash equivalents, and investments.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62" w:lineRule="exact"/>
        <w:rPr>
          <w:sz w:val="20"/>
          <w:szCs w:val="20"/>
          <w:color w:val="auto"/>
        </w:rPr>
      </w:pPr>
    </w:p>
    <w:p>
      <w:pPr>
        <w:ind w:right="20" w:firstLine="303"/>
        <w:spacing w:after="0" w:line="286" w:lineRule="auto"/>
        <w:rPr>
          <w:sz w:val="20"/>
          <w:szCs w:val="20"/>
          <w:color w:val="auto"/>
        </w:rPr>
      </w:pPr>
      <w:r>
        <w:rPr>
          <w:rFonts w:ascii="Arial" w:cs="Arial" w:eastAsia="Arial" w:hAnsi="Arial"/>
          <w:sz w:val="15"/>
          <w:szCs w:val="15"/>
          <w:color w:val="auto"/>
        </w:rPr>
        <w:t>Under the supervision and with the participation of our management, including our Chief Executive Officer (CEO), and Chief Financial Officer (CFO),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CEO and the CFO,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CEO and CFO have concluded that our disclosure controls and procedures were not effective at a reasonable assurance level as of June 30, 2021 because of the material weakness in internal controls further discussed below. Notwithstanding the material weakness, our management, including our CEO and CFO, has concluded that our unaudited condensed consolidated financial statements, included in this Quarterly Report fairly present, in all material respects, our financial condition, results of operations and cash flows for the periods presented in conformity with generally accepted accounting principles.</w:t>
      </w:r>
    </w:p>
    <w:p>
      <w:pPr>
        <w:spacing w:after="0" w:line="109" w:lineRule="exact"/>
        <w:rPr>
          <w:sz w:val="20"/>
          <w:szCs w:val="20"/>
          <w:color w:val="auto"/>
        </w:rPr>
      </w:pPr>
    </w:p>
    <w:p>
      <w:pPr>
        <w:ind w:right="120" w:firstLine="303"/>
        <w:spacing w:after="0" w:line="270"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a reasonable possibility exists that a material misstatement of our annual or interim financial statements would not be prevented or detected on a timely basis.</w:t>
      </w:r>
    </w:p>
    <w:p>
      <w:pPr>
        <w:spacing w:after="0" w:line="115" w:lineRule="exact"/>
        <w:rPr>
          <w:sz w:val="20"/>
          <w:szCs w:val="20"/>
          <w:color w:val="auto"/>
        </w:rPr>
      </w:pPr>
    </w:p>
    <w:p>
      <w:pPr>
        <w:ind w:firstLine="303"/>
        <w:spacing w:after="0" w:line="270" w:lineRule="auto"/>
        <w:rPr>
          <w:sz w:val="20"/>
          <w:szCs w:val="20"/>
          <w:color w:val="auto"/>
        </w:rPr>
      </w:pPr>
      <w:r>
        <w:rPr>
          <w:rFonts w:ascii="Arial" w:cs="Arial" w:eastAsia="Arial" w:hAnsi="Arial"/>
          <w:sz w:val="17"/>
          <w:szCs w:val="17"/>
          <w:color w:val="auto"/>
        </w:rPr>
        <w:t>Specifically, our management determined that, as of June 30, 2021, we have material weaknesses in each of the following components of the “Internal Control— Integrated Framework” (2013), issued by the Committee of Sponsoring Organizations of the Treadway Commission:</w:t>
      </w:r>
    </w:p>
    <w:p>
      <w:pPr>
        <w:spacing w:after="0" w:line="115" w:lineRule="exact"/>
        <w:rPr>
          <w:sz w:val="20"/>
          <w:szCs w:val="20"/>
          <w:color w:val="auto"/>
        </w:rPr>
      </w:pPr>
    </w:p>
    <w:p>
      <w:pPr>
        <w:ind w:left="300"/>
        <w:spacing w:after="0"/>
        <w:tabs>
          <w:tab w:leader="none" w:pos="580" w:val="left"/>
          <w:tab w:leader="none" w:pos="7140" w:val="left"/>
        </w:tabs>
        <w:rPr>
          <w:sz w:val="20"/>
          <w:szCs w:val="20"/>
          <w:color w:val="auto"/>
        </w:rPr>
      </w:pPr>
      <w:r>
        <w:rPr>
          <w:rFonts w:ascii="Arial" w:cs="Arial" w:eastAsia="Arial" w:hAnsi="Arial"/>
          <w:sz w:val="17"/>
          <w:szCs w:val="17"/>
          <w:color w:val="auto"/>
        </w:rPr>
        <w:t>•</w:t>
        <w:tab/>
        <w:t>insufficient accounting personnel to enable segregation of duties relating to the general ledger,</w:t>
      </w:r>
      <w:r>
        <w:rPr>
          <w:sz w:val="20"/>
          <w:szCs w:val="20"/>
          <w:color w:val="auto"/>
        </w:rPr>
        <w:tab/>
      </w:r>
      <w:r>
        <w:rPr>
          <w:rFonts w:ascii="Arial" w:cs="Arial" w:eastAsia="Arial" w:hAnsi="Arial"/>
          <w:sz w:val="15"/>
          <w:szCs w:val="15"/>
          <w:color w:val="auto"/>
        </w:rPr>
        <w:t>disbursement, and certain accounting functions;</w:t>
      </w:r>
    </w:p>
    <w:p>
      <w:pPr>
        <w:spacing w:after="0" w:line="158" w:lineRule="exact"/>
        <w:rPr>
          <w:sz w:val="20"/>
          <w:szCs w:val="20"/>
          <w:color w:val="auto"/>
        </w:rPr>
      </w:pPr>
    </w:p>
    <w:p>
      <w:pPr>
        <w:ind w:left="600" w:right="40" w:hanging="297"/>
        <w:spacing w:after="0" w:line="270" w:lineRule="auto"/>
        <w:tabs>
          <w:tab w:leader="none" w:pos="596"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 formalized processes or controls for account reconciliations, including independent review of such reconciliations, or related financial statement analysis prepared in conformity with generally accepted accounting principles in the United States (U.S. GAAP); and</w:t>
      </w:r>
    </w:p>
    <w:p>
      <w:pPr>
        <w:spacing w:after="0" w:line="114" w:lineRule="exact"/>
        <w:rPr>
          <w:rFonts w:ascii="Arial" w:cs="Arial" w:eastAsia="Arial" w:hAnsi="Arial"/>
          <w:sz w:val="17"/>
          <w:szCs w:val="17"/>
          <w:color w:val="auto"/>
        </w:rPr>
      </w:pPr>
    </w:p>
    <w:p>
      <w:pPr>
        <w:ind w:left="600" w:right="180" w:hanging="297"/>
        <w:spacing w:after="0" w:line="270" w:lineRule="auto"/>
        <w:tabs>
          <w:tab w:leader="none" w:pos="596"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 insufficient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115" w:lineRule="exact"/>
        <w:rPr>
          <w:sz w:val="20"/>
          <w:szCs w:val="20"/>
          <w:color w:val="auto"/>
        </w:rPr>
      </w:pPr>
    </w:p>
    <w:p>
      <w:pPr>
        <w:ind w:firstLine="303"/>
        <w:spacing w:after="0" w:line="258" w:lineRule="auto"/>
        <w:rPr>
          <w:sz w:val="20"/>
          <w:szCs w:val="20"/>
          <w:color w:val="auto"/>
        </w:rPr>
      </w:pPr>
      <w:r>
        <w:rPr>
          <w:rFonts w:ascii="Arial" w:cs="Arial" w:eastAsia="Arial" w:hAnsi="Arial"/>
          <w:sz w:val="17"/>
          <w:szCs w:val="17"/>
          <w:color w:val="auto"/>
        </w:rPr>
        <w:t>These material weaknesses could result in a misstatement of account balances or disclosures that would result in a material misstatement of our annual or interim consolidated financial statements that may not be prevented or detected, and accordingly, it was determined that these control deficiencies constitute material weaknesses.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Remediation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35" w:name="page36"/>
    <w:bookmarkEnd w:id="35"/>
    <w:p>
      <w:pPr>
        <w:spacing w:after="0" w:line="49" w:lineRule="exact"/>
        <w:rPr>
          <w:sz w:val="20"/>
          <w:szCs w:val="20"/>
          <w:color w:val="auto"/>
        </w:rPr>
      </w:pPr>
    </w:p>
    <w:p>
      <w:pPr>
        <w:ind w:firstLine="303"/>
        <w:spacing w:after="0" w:line="269" w:lineRule="auto"/>
        <w:rPr>
          <w:sz w:val="20"/>
          <w:szCs w:val="20"/>
          <w:color w:val="auto"/>
        </w:rPr>
      </w:pPr>
      <w:r>
        <w:rPr>
          <w:rFonts w:ascii="Arial" w:cs="Arial" w:eastAsia="Arial" w:hAnsi="Arial"/>
          <w:sz w:val="16"/>
          <w:szCs w:val="16"/>
          <w:color w:val="auto"/>
        </w:rPr>
        <w:t>We have begun to take certain actions to address the control deficiencies in our financial reporting, including hiring three finance department employees with appropriate expertise, including our Chief Financial Officer and our Controller, and retaining an accounting consulting firm to provide additional depth and breadth to our technical accounting and financial reporting capabilities. We have also begun to review and document our accounting and financial processes and internal controls, build out our financial management and reporting systems infrastructure, and further develop and formalize our accounting policies and financial reporting procedures, which includes ongoing senior management review and establishing our audit committee oversight. In addition, we have commenced work with a consulting firm to assist in the design effectiveness and testing of our internal controls and we plan to hire an additional four finance and accounting personnel during 2021 to assist in executing on these specific functions, of which we have hired two personnel as of June 30, 2021.</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Controls</w:t>
      </w:r>
    </w:p>
    <w:p>
      <w:pPr>
        <w:spacing w:after="0" w:line="162" w:lineRule="exact"/>
        <w:rPr>
          <w:sz w:val="20"/>
          <w:szCs w:val="20"/>
          <w:color w:val="auto"/>
        </w:rPr>
      </w:pPr>
    </w:p>
    <w:p>
      <w:pPr>
        <w:ind w:right="60" w:firstLine="303"/>
        <w:spacing w:after="0" w:line="287" w:lineRule="auto"/>
        <w:rPr>
          <w:sz w:val="20"/>
          <w:szCs w:val="20"/>
          <w:color w:val="auto"/>
        </w:rPr>
      </w:pPr>
      <w:r>
        <w:rPr>
          <w:rFonts w:ascii="Arial" w:cs="Arial" w:eastAsia="Arial" w:hAnsi="Arial"/>
          <w:sz w:val="15"/>
          <w:szCs w:val="15"/>
          <w:color w:val="auto"/>
        </w:rPr>
        <w:t>Our management, including our CEO and CFO,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62" w:lineRule="exact"/>
        <w:rPr>
          <w:sz w:val="20"/>
          <w:szCs w:val="20"/>
          <w:color w:val="auto"/>
        </w:rPr>
      </w:pPr>
    </w:p>
    <w:p>
      <w:pPr>
        <w:jc w:val="both"/>
        <w:ind w:right="300" w:firstLine="303"/>
        <w:spacing w:after="0" w:line="258" w:lineRule="auto"/>
        <w:rPr>
          <w:sz w:val="20"/>
          <w:szCs w:val="20"/>
          <w:color w:val="auto"/>
        </w:rPr>
      </w:pPr>
      <w:r>
        <w:rPr>
          <w:rFonts w:ascii="Arial" w:cs="Arial" w:eastAsia="Arial" w:hAnsi="Arial"/>
          <w:sz w:val="17"/>
          <w:szCs w:val="17"/>
          <w:color w:val="auto"/>
        </w:rPr>
        <w:t>Except for the identification of the material weaknesses and the remediation plan described above, there were no changes in our internal control over financial reporting (as such term is defined in Rules 13a-15(f) under the Exchange Act) during the quarter ended June 30,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4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62" w:lineRule="exact"/>
        <w:rPr>
          <w:sz w:val="20"/>
          <w:szCs w:val="20"/>
          <w:color w:val="auto"/>
        </w:rPr>
      </w:pPr>
    </w:p>
    <w:p>
      <w:pPr>
        <w:ind w:firstLine="303"/>
        <w:spacing w:after="0" w:line="301" w:lineRule="auto"/>
        <w:rPr>
          <w:sz w:val="20"/>
          <w:szCs w:val="20"/>
          <w:color w:val="auto"/>
        </w:rPr>
      </w:pPr>
      <w:r>
        <w:rPr>
          <w:rFonts w:ascii="Arial" w:cs="Arial" w:eastAsia="Arial" w:hAnsi="Arial"/>
          <w:sz w:val="16"/>
          <w:szCs w:val="16"/>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62" w:lineRule="exact"/>
        <w:rPr>
          <w:sz w:val="20"/>
          <w:szCs w:val="20"/>
          <w:color w:val="auto"/>
        </w:rPr>
      </w:pPr>
    </w:p>
    <w:p>
      <w:pPr>
        <w:ind w:right="20" w:firstLine="303"/>
        <w:spacing w:after="0" w:line="292" w:lineRule="auto"/>
        <w:rPr>
          <w:sz w:val="20"/>
          <w:szCs w:val="20"/>
          <w:color w:val="auto"/>
        </w:rPr>
      </w:pPr>
      <w:r>
        <w:rPr>
          <w:rFonts w:ascii="Arial" w:cs="Arial" w:eastAsia="Arial" w:hAnsi="Arial"/>
          <w:sz w:val="15"/>
          <w:szCs w:val="15"/>
          <w:i w:val="1"/>
          <w:iCs w:val="1"/>
          <w:color w:val="auto"/>
        </w:rPr>
        <w:t>Investing in our Class A common stock involves a high degree of risk. You should carefully consider the risks described below, as well as the other information in this Quarterly Report, including our unaudited condensed consolidated financial statements and the related notes and the section titled “Management’s Discussion and Analysis of Financial Condition and Results of Operations” in this Quarterly Report,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Risk Factor</w:t>
      </w:r>
    </w:p>
    <w:p>
      <w:pPr>
        <w:spacing w:after="0" w:line="162" w:lineRule="exact"/>
        <w:rPr>
          <w:sz w:val="20"/>
          <w:szCs w:val="20"/>
          <w:color w:val="auto"/>
        </w:rPr>
      </w:pPr>
    </w:p>
    <w:p>
      <w:pPr>
        <w:ind w:right="560"/>
        <w:spacing w:after="0" w:line="270" w:lineRule="auto"/>
        <w:rPr>
          <w:sz w:val="20"/>
          <w:szCs w:val="20"/>
          <w:color w:val="auto"/>
        </w:rPr>
      </w:pPr>
      <w:r>
        <w:rPr>
          <w:rFonts w:ascii="Arial" w:cs="Arial" w:eastAsia="Arial" w:hAnsi="Arial"/>
          <w:sz w:val="17"/>
          <w:szCs w:val="17"/>
          <w:b w:val="1"/>
          <w:bCs w:val="1"/>
          <w:i w:val="1"/>
          <w:iCs w:val="1"/>
          <w:color w:val="auto"/>
        </w:rPr>
        <w:t>Our business is subject to numerous risks and uncertainties that you should consider before investing in our company, as more fully described below. The principal factors and uncertainties that make investing in our company risky include, among others:</w:t>
      </w:r>
    </w:p>
    <w:p>
      <w:pPr>
        <w:spacing w:after="0" w:line="115" w:lineRule="exact"/>
        <w:rPr>
          <w:sz w:val="20"/>
          <w:szCs w:val="20"/>
          <w:color w:val="auto"/>
        </w:rPr>
      </w:pPr>
    </w:p>
    <w:p>
      <w:pPr>
        <w:ind w:left="600" w:right="540" w:hanging="297"/>
        <w:spacing w:after="0" w:line="270" w:lineRule="auto"/>
        <w:tabs>
          <w:tab w:leader="none" w:pos="596"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have a limited operating history, which may make it difficult to evaluate the prospects for our future viability and predict our future performance;</w:t>
      </w:r>
    </w:p>
    <w:p>
      <w:pPr>
        <w:spacing w:after="0" w:line="169" w:lineRule="exact"/>
        <w:rPr>
          <w:rFonts w:ascii="Arial" w:cs="Arial" w:eastAsia="Arial" w:hAnsi="Arial"/>
          <w:sz w:val="16"/>
          <w:szCs w:val="16"/>
          <w:color w:val="auto"/>
        </w:rPr>
      </w:pPr>
    </w:p>
    <w:p>
      <w:pPr>
        <w:ind w:left="600" w:right="340" w:hanging="297"/>
        <w:spacing w:after="0" w:line="270" w:lineRule="auto"/>
        <w:tabs>
          <w:tab w:leader="none" w:pos="596"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4" w:lineRule="exact"/>
        <w:rPr>
          <w:rFonts w:ascii="Arial" w:cs="Arial" w:eastAsia="Arial" w:hAnsi="Arial"/>
          <w:sz w:val="17"/>
          <w:szCs w:val="17"/>
          <w:color w:val="auto"/>
        </w:rPr>
      </w:pPr>
    </w:p>
    <w:p>
      <w:pPr>
        <w:ind w:left="600" w:right="260" w:hanging="297"/>
        <w:spacing w:after="0" w:line="270" w:lineRule="auto"/>
        <w:tabs>
          <w:tab w:leader="none" w:pos="59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114" w:lineRule="exact"/>
        <w:rPr>
          <w:rFonts w:ascii="Arial" w:cs="Arial" w:eastAsia="Arial" w:hAnsi="Arial"/>
          <w:sz w:val="17"/>
          <w:szCs w:val="17"/>
          <w:color w:val="auto"/>
        </w:rPr>
      </w:pPr>
    </w:p>
    <w:p>
      <w:pPr>
        <w:ind w:left="600" w:right="700" w:hanging="297"/>
        <w:spacing w:after="0" w:line="270" w:lineRule="auto"/>
        <w:tabs>
          <w:tab w:leader="none" w:pos="596"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have not yet commenced the Broad Release phase of our commercial launch plan for our Proteograph Product Suite, and we may not be able to successfully commence this phase as planned;</w:t>
      </w:r>
    </w:p>
    <w:p>
      <w:pPr>
        <w:spacing w:after="0" w:line="114" w:lineRule="exact"/>
        <w:rPr>
          <w:rFonts w:ascii="Arial" w:cs="Arial" w:eastAsia="Arial" w:hAnsi="Arial"/>
          <w:sz w:val="17"/>
          <w:szCs w:val="17"/>
          <w:color w:val="auto"/>
        </w:rPr>
      </w:pPr>
    </w:p>
    <w:p>
      <w:pPr>
        <w:ind w:left="600" w:right="80" w:hanging="297"/>
        <w:spacing w:after="0" w:line="270" w:lineRule="auto"/>
        <w:tabs>
          <w:tab w:leader="none" w:pos="596" w:val="left"/>
        </w:tabs>
        <w:numPr>
          <w:ilvl w:val="0"/>
          <w:numId w:val="15"/>
        </w:numPr>
        <w:rPr>
          <w:rFonts w:ascii="Arial" w:cs="Arial" w:eastAsia="Arial" w:hAnsi="Arial"/>
          <w:sz w:val="17"/>
          <w:szCs w:val="17"/>
          <w:color w:val="auto"/>
        </w:rPr>
      </w:pPr>
      <w:r>
        <w:rPr>
          <w:rFonts w:ascii="Arial" w:cs="Arial" w:eastAsia="Arial" w:hAnsi="Arial"/>
          <w:sz w:val="17"/>
          <w:szCs w:val="17"/>
          <w:color w:val="auto"/>
        </w:rPr>
        <w:t>even if we are able to commence the Broad Release phase of our commercial launch plan, our success depends on broad scientific and market acceptance of our Proteograph, which we may fail to achieve;</w:t>
      </w:r>
    </w:p>
    <w:p>
      <w:pPr>
        <w:spacing w:after="0" w:line="114" w:lineRule="exact"/>
        <w:rPr>
          <w:rFonts w:ascii="Arial" w:cs="Arial" w:eastAsia="Arial" w:hAnsi="Arial"/>
          <w:sz w:val="17"/>
          <w:szCs w:val="17"/>
          <w:color w:val="auto"/>
        </w:rPr>
      </w:pPr>
    </w:p>
    <w:p>
      <w:pPr>
        <w:ind w:left="600" w:right="200" w:hanging="297"/>
        <w:spacing w:after="0" w:line="270" w:lineRule="auto"/>
        <w:tabs>
          <w:tab w:leader="none" w:pos="596" w:val="left"/>
        </w:tabs>
        <w:numPr>
          <w:ilvl w:val="0"/>
          <w:numId w:val="15"/>
        </w:numPr>
        <w:rPr>
          <w:rFonts w:ascii="Arial" w:cs="Arial" w:eastAsia="Arial" w:hAnsi="Arial"/>
          <w:sz w:val="17"/>
          <w:szCs w:val="17"/>
          <w:color w:val="auto"/>
        </w:rPr>
      </w:pPr>
      <w:r>
        <w:rPr>
          <w:rFonts w:ascii="Arial" w:cs="Arial" w:eastAsia="Arial" w:hAnsi="Arial"/>
          <w:sz w:val="17"/>
          <w:szCs w:val="17"/>
          <w:color w:val="auto"/>
        </w:rPr>
        <w:t>even if our Proteograph Product Suite is broadly commercialized and achieves broad scientific and market acceptance, if we fail to improve it or introduce compelling new products, our revenues and our prospects could be harmed;</w:t>
      </w:r>
    </w:p>
    <w:p>
      <w:pPr>
        <w:spacing w:after="0" w:line="114" w:lineRule="exact"/>
        <w:rPr>
          <w:rFonts w:ascii="Arial" w:cs="Arial" w:eastAsia="Arial" w:hAnsi="Arial"/>
          <w:sz w:val="17"/>
          <w:szCs w:val="17"/>
          <w:color w:val="auto"/>
        </w:rPr>
      </w:pPr>
    </w:p>
    <w:p>
      <w:pPr>
        <w:ind w:left="600" w:right="400" w:hanging="297"/>
        <w:spacing w:after="0" w:line="270" w:lineRule="auto"/>
        <w:tabs>
          <w:tab w:leader="none" w:pos="59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COVID-19 pandemic and efforts to reduce its spread have adversely impacted, and are expected to continue to materially and adversely impact, our business and operations;</w:t>
      </w:r>
    </w:p>
    <w:p>
      <w:pPr>
        <w:spacing w:after="0" w:line="114" w:lineRule="exact"/>
        <w:rPr>
          <w:rFonts w:ascii="Arial" w:cs="Arial" w:eastAsia="Arial" w:hAnsi="Arial"/>
          <w:sz w:val="17"/>
          <w:szCs w:val="17"/>
          <w:color w:val="auto"/>
        </w:rPr>
      </w:pPr>
    </w:p>
    <w:p>
      <w:pPr>
        <w:ind w:left="600" w:right="100" w:hanging="297"/>
        <w:spacing w:after="0" w:line="270" w:lineRule="auto"/>
        <w:tabs>
          <w:tab w:leader="none" w:pos="596"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we are unable to obtain and maintain sufficient intellectual property protection for our products and technology, or if the scope of the intellectual property protection obtained is not sufficiently broad,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7" w:name="page38"/>
    <w:bookmarkEnd w:id="37"/>
    <w:p>
      <w:pPr>
        <w:spacing w:after="0" w:line="49" w:lineRule="exact"/>
        <w:rPr>
          <w:sz w:val="20"/>
          <w:szCs w:val="20"/>
          <w:color w:val="auto"/>
        </w:rPr>
      </w:pPr>
    </w:p>
    <w:p>
      <w:pPr>
        <w:ind w:left="600" w:right="500"/>
        <w:spacing w:after="0" w:line="270" w:lineRule="auto"/>
        <w:rPr>
          <w:sz w:val="20"/>
          <w:szCs w:val="20"/>
          <w:color w:val="auto"/>
        </w:rPr>
      </w:pPr>
      <w:r>
        <w:rPr>
          <w:rFonts w:ascii="Arial" w:cs="Arial" w:eastAsia="Arial" w:hAnsi="Arial"/>
          <w:sz w:val="17"/>
          <w:szCs w:val="17"/>
          <w:color w:val="auto"/>
        </w:rPr>
        <w:t>competitors could develop and commercialize products similar or identical to ours, and our ability to successfully commercialize our products may be impaired; and</w:t>
      </w:r>
    </w:p>
    <w:p>
      <w:pPr>
        <w:spacing w:after="0" w:line="115" w:lineRule="exact"/>
        <w:rPr>
          <w:sz w:val="20"/>
          <w:szCs w:val="20"/>
          <w:color w:val="auto"/>
        </w:rPr>
      </w:pPr>
    </w:p>
    <w:p>
      <w:pPr>
        <w:ind w:left="600" w:hanging="297"/>
        <w:spacing w:after="0" w:line="255" w:lineRule="auto"/>
        <w:tabs>
          <w:tab w:leader="none" w:pos="596"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6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5" w:lineRule="exact"/>
        <w:rPr>
          <w:sz w:val="20"/>
          <w:szCs w:val="20"/>
          <w:color w:val="auto"/>
        </w:rPr>
      </w:pPr>
    </w:p>
    <w:p>
      <w:pPr>
        <w:ind w:right="100" w:firstLine="303"/>
        <w:spacing w:after="0" w:line="287" w:lineRule="auto"/>
        <w:rPr>
          <w:sz w:val="20"/>
          <w:szCs w:val="20"/>
          <w:color w:val="auto"/>
        </w:rPr>
      </w:pPr>
      <w:r>
        <w:rPr>
          <w:rFonts w:ascii="Arial" w:cs="Arial" w:eastAsia="Arial" w:hAnsi="Arial"/>
          <w:sz w:val="15"/>
          <w:szCs w:val="15"/>
          <w:color w:val="auto"/>
        </w:rPr>
        <w:t>We are an early-stage life sciences technology company, and we have incurred significant losses since we were formed in 2017, and expect to continue to incur losses in the future. For the three months ended June 30, 2021 and 2020, we incurred net losses of $16.6 million and $6.1 million, respectively. For the six months ended June 30, 2021 and 2020, we incurred net losses of $33.0 million and $11.6 million, respectively. As of June 30, 2021, we had an accumulated deficit of $88.4 million. These losses and accumulated deficit were primarily due to the substantial investments we have made to develop and improve our technology and our Proteograph Product Suite. Over the next several years, we expect to continue to devote substantially all of our resources towards continuing development and future commercialization of our Proteograph Product Suite and research and development efforts for products. These efforts may prove more costly than we currently anticipate. While we have generated product revenue, we may never generate revenue sufficient to offset our expenses. In addition, as a newly public company, we will incur significant legal, accounting, administrative, insurance and other expenses that we did not incur as a private company. Accordingly, we cannot assure you that we will achieve profitability in the future or that, if we do become profitable, we will sustain profitability.</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operating history, which may make it difficult to evaluate the prospects for our future viability and predict our future performance.</w:t>
      </w:r>
    </w:p>
    <w:p>
      <w:pPr>
        <w:spacing w:after="0" w:line="181" w:lineRule="exact"/>
        <w:rPr>
          <w:sz w:val="20"/>
          <w:szCs w:val="20"/>
          <w:color w:val="auto"/>
        </w:rPr>
      </w:pPr>
    </w:p>
    <w:p>
      <w:pPr>
        <w:ind w:right="40" w:firstLine="303"/>
        <w:spacing w:after="0" w:line="252" w:lineRule="auto"/>
        <w:rPr>
          <w:sz w:val="20"/>
          <w:szCs w:val="20"/>
          <w:color w:val="auto"/>
        </w:rPr>
      </w:pPr>
      <w:r>
        <w:rPr>
          <w:rFonts w:ascii="Arial" w:cs="Arial" w:eastAsia="Arial" w:hAnsi="Arial"/>
          <w:sz w:val="17"/>
          <w:szCs w:val="17"/>
          <w:color w:val="auto"/>
        </w:rPr>
        <w:t>We have not yet broadly commercialized our Proteograph Product Suite or any other products. Our operations to date have been primarily focused on developing our technology and products. Our prospects must be considered in light of the uncertainties, risks, expenses, and difficulties frequently encountered by companies in their early stages of operations. We have not yet achieved market acceptance for our products, produced our products at scale, established a sales model, or conducted sales and marketing activities necessary for successful broad product commercialization.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30" w:lineRule="exact"/>
        <w:rPr>
          <w:sz w:val="20"/>
          <w:szCs w:val="20"/>
          <w:color w:val="auto"/>
        </w:rPr>
      </w:pPr>
    </w:p>
    <w:p>
      <w:pPr>
        <w:ind w:right="20" w:firstLine="303"/>
        <w:spacing w:after="0" w:line="292" w:lineRule="auto"/>
        <w:rPr>
          <w:sz w:val="20"/>
          <w:szCs w:val="20"/>
          <w:color w:val="auto"/>
        </w:rPr>
      </w:pPr>
      <w:r>
        <w:rPr>
          <w:rFonts w:ascii="Arial" w:cs="Arial" w:eastAsia="Arial" w:hAnsi="Arial"/>
          <w:sz w:val="15"/>
          <w:szCs w:val="15"/>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broad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8" w:name="page39"/>
    <w:bookmarkEnd w:id="38"/>
    <w:p>
      <w:pPr>
        <w:spacing w:after="0" w:line="4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5" w:lineRule="exact"/>
        <w:rPr>
          <w:sz w:val="20"/>
          <w:szCs w:val="20"/>
          <w:color w:val="auto"/>
        </w:rPr>
      </w:pPr>
    </w:p>
    <w:p>
      <w:pPr>
        <w:ind w:right="260" w:firstLine="303"/>
        <w:spacing w:after="0" w:line="270" w:lineRule="auto"/>
        <w:rPr>
          <w:sz w:val="20"/>
          <w:szCs w:val="20"/>
          <w:color w:val="auto"/>
        </w:rPr>
      </w:pPr>
      <w:r>
        <w:rPr>
          <w:rFonts w:ascii="Arial" w:cs="Arial" w:eastAsia="Arial" w:hAnsi="Arial"/>
          <w:sz w:val="17"/>
          <w:szCs w:val="17"/>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15" w:lineRule="exact"/>
        <w:rPr>
          <w:sz w:val="20"/>
          <w:szCs w:val="20"/>
          <w:color w:val="auto"/>
        </w:rPr>
      </w:pPr>
    </w:p>
    <w:p>
      <w:pPr>
        <w:ind w:left="600" w:hanging="29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successfully commercialize our Proteograph Product Suite on our anticipated timeline;</w:t>
      </w:r>
    </w:p>
    <w:p>
      <w:pPr>
        <w:spacing w:after="0" w:line="157" w:lineRule="exact"/>
        <w:rPr>
          <w:rFonts w:ascii="Arial" w:cs="Arial" w:eastAsia="Arial" w:hAnsi="Arial"/>
          <w:sz w:val="17"/>
          <w:szCs w:val="17"/>
          <w:color w:val="auto"/>
        </w:rPr>
      </w:pPr>
    </w:p>
    <w:p>
      <w:pPr>
        <w:jc w:val="both"/>
        <w:ind w:left="600" w:right="400" w:hanging="297"/>
        <w:spacing w:after="0" w:line="258" w:lineRule="auto"/>
        <w:tabs>
          <w:tab w:leader="none" w:pos="59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and cost of, and level of investment in, research and development and commercialization activities relating to our Proteograph Product Suite, including our SP100 automation instrument, proprietary engineered nanoparticle (NP) technology and Proteograph Analysis Suite software, which may change from time to time;</w:t>
      </w:r>
    </w:p>
    <w:p>
      <w:pPr>
        <w:spacing w:after="0" w:line="126" w:lineRule="exact"/>
        <w:rPr>
          <w:rFonts w:ascii="Arial" w:cs="Arial" w:eastAsia="Arial" w:hAnsi="Arial"/>
          <w:sz w:val="17"/>
          <w:szCs w:val="17"/>
          <w:color w:val="auto"/>
        </w:rPr>
      </w:pPr>
    </w:p>
    <w:p>
      <w:pPr>
        <w:ind w:left="600" w:right="140" w:hanging="297"/>
        <w:spacing w:after="0" w:line="270" w:lineRule="auto"/>
        <w:tabs>
          <w:tab w:leader="none" w:pos="59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level of demand for any products we are able to commercialize, particularly our Proteograph Product Suite, which may vary significantly from period to period;</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drive adoption of our Proteograph in our target markets and our ability to expand into any future target markets;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prices at which we will be able to sell our Proteograph Product Suite;</w:t>
      </w:r>
    </w:p>
    <w:p>
      <w:pPr>
        <w:spacing w:after="0" w:line="157" w:lineRule="exact"/>
        <w:rPr>
          <w:rFonts w:ascii="Arial" w:cs="Arial" w:eastAsia="Arial" w:hAnsi="Arial"/>
          <w:sz w:val="17"/>
          <w:szCs w:val="17"/>
          <w:color w:val="auto"/>
        </w:rPr>
      </w:pPr>
    </w:p>
    <w:p>
      <w:pPr>
        <w:ind w:left="600" w:hanging="297"/>
        <w:spacing w:after="0" w:line="270" w:lineRule="auto"/>
        <w:tabs>
          <w:tab w:leader="none" w:pos="59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volume and mix of our sales between our Proteograph Product Suite and associated consumables, or changes in the manufacturing or sales costs related to our products;</w:t>
      </w:r>
    </w:p>
    <w:p>
      <w:pPr>
        <w:spacing w:after="0" w:line="114" w:lineRule="exact"/>
        <w:rPr>
          <w:rFonts w:ascii="Arial" w:cs="Arial" w:eastAsia="Arial" w:hAnsi="Arial"/>
          <w:sz w:val="17"/>
          <w:szCs w:val="17"/>
          <w:color w:val="auto"/>
        </w:rPr>
      </w:pPr>
    </w:p>
    <w:p>
      <w:pPr>
        <w:ind w:left="600" w:right="200" w:hanging="297"/>
        <w:spacing w:after="0" w:line="270" w:lineRule="auto"/>
        <w:tabs>
          <w:tab w:leader="none" w:pos="59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length of time of the sales cycle for purchases of our Proteograph, including lead time needed to procure SP100 automation instruments from our third-party contract manufacturer;</w:t>
      </w:r>
    </w:p>
    <w:p>
      <w:pPr>
        <w:spacing w:after="0" w:line="114" w:lineRule="exact"/>
        <w:rPr>
          <w:rFonts w:ascii="Arial" w:cs="Arial" w:eastAsia="Arial" w:hAnsi="Arial"/>
          <w:sz w:val="17"/>
          <w:szCs w:val="17"/>
          <w:color w:val="auto"/>
        </w:rPr>
      </w:pPr>
    </w:p>
    <w:p>
      <w:pPr>
        <w:ind w:left="600" w:right="240" w:hanging="297"/>
        <w:spacing w:after="0" w:line="270" w:lineRule="auto"/>
        <w:tabs>
          <w:tab w:leader="none" w:pos="59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and amount of expenditures that we may incur to develop, commercialize or acquire additional products and technologies or for other purposes, such as the expansion of our facilities;</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governmental funding of life sciences research and development or changes that impact budgets and budget cycles;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seasonal spending patterns of our customers;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of when we recognize any revenues;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future accounting pronouncements or changes in our accounting policies;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outcome of any future litigation or governmental investigations involving us, our industry or both;</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higher than anticipated service, replacement and warranty costs;</w:t>
      </w:r>
    </w:p>
    <w:p>
      <w:pPr>
        <w:spacing w:after="0" w:line="157" w:lineRule="exact"/>
        <w:rPr>
          <w:rFonts w:ascii="Arial" w:cs="Arial" w:eastAsia="Arial" w:hAnsi="Arial"/>
          <w:sz w:val="17"/>
          <w:szCs w:val="17"/>
          <w:color w:val="auto"/>
        </w:rPr>
      </w:pPr>
    </w:p>
    <w:p>
      <w:pPr>
        <w:ind w:left="600" w:right="500" w:hanging="297"/>
        <w:spacing w:after="0" w:line="270" w:lineRule="auto"/>
        <w:tabs>
          <w:tab w:leader="none" w:pos="59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impact of the COVID-19 pandemic on the economy, investment in life sciences and research industries, our business operations, and resources and operations of our customers, suppliers, and distributors; and</w:t>
      </w:r>
    </w:p>
    <w:p>
      <w:pPr>
        <w:spacing w:after="0" w:line="114" w:lineRule="exact"/>
        <w:rPr>
          <w:rFonts w:ascii="Arial" w:cs="Arial" w:eastAsia="Arial" w:hAnsi="Arial"/>
          <w:sz w:val="17"/>
          <w:szCs w:val="17"/>
          <w:color w:val="auto"/>
        </w:rPr>
      </w:pPr>
    </w:p>
    <w:p>
      <w:pPr>
        <w:ind w:left="600" w:right="20" w:hanging="297"/>
        <w:spacing w:after="0" w:line="270" w:lineRule="auto"/>
        <w:tabs>
          <w:tab w:leader="none" w:pos="596" w:val="left"/>
        </w:tabs>
        <w:numPr>
          <w:ilvl w:val="0"/>
          <w:numId w:val="17"/>
        </w:numPr>
        <w:rPr>
          <w:rFonts w:ascii="Arial" w:cs="Arial" w:eastAsia="Arial" w:hAnsi="Arial"/>
          <w:sz w:val="17"/>
          <w:szCs w:val="17"/>
          <w:color w:val="auto"/>
        </w:rPr>
      </w:pPr>
      <w:r>
        <w:rPr>
          <w:rFonts w:ascii="Arial" w:cs="Arial" w:eastAsia="Arial" w:hAnsi="Arial"/>
          <w:sz w:val="17"/>
          <w:szCs w:val="17"/>
          <w:color w:val="auto"/>
        </w:rPr>
        <w:t>general industry, economic and market conditions and other factors, including factors unrelated to our operating performance or the operating performance of our competitors.</w:t>
      </w:r>
    </w:p>
    <w:p>
      <w:pPr>
        <w:spacing w:after="0" w:line="115" w:lineRule="exact"/>
        <w:rPr>
          <w:sz w:val="20"/>
          <w:szCs w:val="20"/>
          <w:color w:val="auto"/>
        </w:rPr>
      </w:pPr>
    </w:p>
    <w:p>
      <w:pPr>
        <w:ind w:right="160" w:firstLine="303"/>
        <w:spacing w:after="0" w:line="258" w:lineRule="auto"/>
        <w:rPr>
          <w:sz w:val="20"/>
          <w:szCs w:val="20"/>
          <w:color w:val="auto"/>
        </w:rPr>
      </w:pPr>
      <w:r>
        <w:rPr>
          <w:rFonts w:ascii="Arial" w:cs="Arial" w:eastAsia="Arial" w:hAnsi="Arial"/>
          <w:sz w:val="17"/>
          <w:szCs w:val="17"/>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6" w:lineRule="exact"/>
        <w:rPr>
          <w:sz w:val="20"/>
          <w:szCs w:val="20"/>
          <w:color w:val="auto"/>
        </w:rPr>
      </w:pPr>
    </w:p>
    <w:p>
      <w:pPr>
        <w:ind w:right="80" w:firstLine="303"/>
        <w:spacing w:after="0" w:line="258" w:lineRule="auto"/>
        <w:rPr>
          <w:sz w:val="20"/>
          <w:szCs w:val="20"/>
          <w:color w:val="auto"/>
        </w:rPr>
      </w:pPr>
      <w:r>
        <w:rPr>
          <w:rFonts w:ascii="Arial" w:cs="Arial" w:eastAsia="Arial" w:hAnsi="Arial"/>
          <w:sz w:val="17"/>
          <w:szCs w:val="17"/>
          <w:color w:val="auto"/>
        </w:rPr>
        <w:t>This variability and unpredictability could also result in our failing to meet the expectations of industry or financial analysts or investors for any period. If we are unable to commercialize products or generate revenue, or if our operating results fall below the expectations of analysts or investors or below any guidance we may provide,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if the guidance we provide is below the expectations of analysts or investors, it could cause the market price of our Class A common stock to decline.</w:t>
      </w:r>
    </w:p>
    <w:p>
      <w:pPr>
        <w:spacing w:after="0" w:line="15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115" w:lineRule="exact"/>
        <w:rPr>
          <w:sz w:val="20"/>
          <w:szCs w:val="20"/>
          <w:color w:val="auto"/>
        </w:rPr>
      </w:pPr>
    </w:p>
    <w:p>
      <w:pPr>
        <w:ind w:right="40" w:firstLine="303"/>
        <w:spacing w:after="0" w:line="284" w:lineRule="auto"/>
        <w:rPr>
          <w:sz w:val="20"/>
          <w:szCs w:val="20"/>
          <w:color w:val="auto"/>
        </w:rPr>
      </w:pPr>
      <w:r>
        <w:rPr>
          <w:rFonts w:ascii="Arial" w:cs="Arial" w:eastAsia="Arial" w:hAnsi="Arial"/>
          <w:sz w:val="15"/>
          <w:szCs w:val="15"/>
          <w:color w:val="auto"/>
        </w:rPr>
        <w:t>The market for proteomics and genomics technologies and products is evolving, making it difficult to predict with any accuracy the size of the markets for our current and future products, including our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and proteomics markets, the proteomics market may develop more slowly or differently. In addition, our Proteograph Product Suite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11" w:lineRule="exact"/>
        <w:rPr>
          <w:sz w:val="20"/>
          <w:szCs w:val="20"/>
          <w:color w:val="auto"/>
        </w:rPr>
      </w:pPr>
    </w:p>
    <w:p>
      <w:pPr>
        <w:ind w:firstLine="303"/>
        <w:spacing w:after="0" w:line="276" w:lineRule="auto"/>
        <w:rPr>
          <w:sz w:val="20"/>
          <w:szCs w:val="20"/>
          <w:color w:val="auto"/>
        </w:rPr>
      </w:pPr>
      <w:r>
        <w:rPr>
          <w:rFonts w:ascii="Arial" w:cs="Arial" w:eastAsia="Arial" w:hAnsi="Arial"/>
          <w:sz w:val="16"/>
          <w:szCs w:val="16"/>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12"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b w:val="1"/>
          <w:bCs w:val="1"/>
          <w:i w:val="1"/>
          <w:iCs w:val="1"/>
          <w:color w:val="auto"/>
        </w:rPr>
        <w:t>We have not yet commenced the Broad Release phase of our commercial launch plan for our Proteograph Product Suite, and we may not be able to commence this phase as planned.</w:t>
      </w:r>
    </w:p>
    <w:p>
      <w:pPr>
        <w:spacing w:after="0" w:line="115" w:lineRule="exact"/>
        <w:rPr>
          <w:sz w:val="20"/>
          <w:szCs w:val="20"/>
          <w:color w:val="auto"/>
        </w:rPr>
      </w:pPr>
    </w:p>
    <w:p>
      <w:pPr>
        <w:ind w:right="60" w:firstLine="303"/>
        <w:spacing w:after="0" w:line="282" w:lineRule="auto"/>
        <w:rPr>
          <w:sz w:val="20"/>
          <w:szCs w:val="20"/>
          <w:color w:val="auto"/>
        </w:rPr>
      </w:pPr>
      <w:r>
        <w:rPr>
          <w:rFonts w:ascii="Arial" w:cs="Arial" w:eastAsia="Arial" w:hAnsi="Arial"/>
          <w:sz w:val="16"/>
          <w:szCs w:val="16"/>
          <w:color w:val="auto"/>
        </w:rPr>
        <w:t>We have not yet initiated a broad commercial launch of our Proteograph Product Suite. We plan to follow a three phase launch plan to commercialize our Proteograph, which includes a Collaboration phase, a Limited Release phase and a Broad Release phase. We have moved into the second phase of commercialization, the Limited Release phase of our commercial launch plan. Our commercialization plan may not progress as planned due to:</w:t>
      </w:r>
    </w:p>
    <w:p>
      <w:pPr>
        <w:spacing w:after="0" w:line="108" w:lineRule="exact"/>
        <w:rPr>
          <w:sz w:val="20"/>
          <w:szCs w:val="20"/>
          <w:color w:val="auto"/>
        </w:rPr>
      </w:pPr>
    </w:p>
    <w:p>
      <w:pPr>
        <w:ind w:left="600" w:hanging="297"/>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inability to establish the capabilities and value proposition of our Proteograph Product Suite with key opinion leaders in a timely fashion;</w:t>
      </w:r>
    </w:p>
    <w:p>
      <w:pPr>
        <w:spacing w:after="0" w:line="157" w:lineRule="exact"/>
        <w:rPr>
          <w:rFonts w:ascii="Arial" w:cs="Arial" w:eastAsia="Arial" w:hAnsi="Arial"/>
          <w:sz w:val="17"/>
          <w:szCs w:val="17"/>
          <w:color w:val="auto"/>
        </w:rPr>
      </w:pPr>
    </w:p>
    <w:p>
      <w:pPr>
        <w:ind w:left="600" w:right="540" w:hanging="297"/>
        <w:spacing w:after="0" w:line="270" w:lineRule="auto"/>
        <w:tabs>
          <w:tab w:leader="none" w:pos="59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potential need or desire to modify aspects of our Proteograph Product Suite during the second phase or prior to entering into the third phase of our commercial launch plan;</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changing industry or market conditions, customer requirements or competitor offerings over the span of our commercialization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49" w:lineRule="exact"/>
        <w:rPr>
          <w:sz w:val="20"/>
          <w:szCs w:val="20"/>
          <w:color w:val="auto"/>
        </w:rPr>
      </w:pPr>
    </w:p>
    <w:p>
      <w:pPr>
        <w:ind w:left="600" w:hanging="297"/>
        <w:spacing w:after="0"/>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delays in building out our sales, customer support and marketing organization as needed for each of the phases of our commercialization plan;</w:t>
      </w:r>
    </w:p>
    <w:p>
      <w:pPr>
        <w:spacing w:after="0" w:line="169" w:lineRule="exact"/>
        <w:rPr>
          <w:rFonts w:ascii="Arial" w:cs="Arial" w:eastAsia="Arial" w:hAnsi="Arial"/>
          <w:sz w:val="16"/>
          <w:szCs w:val="16"/>
          <w:color w:val="auto"/>
        </w:rPr>
      </w:pPr>
    </w:p>
    <w:p>
      <w:pPr>
        <w:ind w:left="600" w:right="180" w:hanging="297"/>
        <w:spacing w:after="0" w:line="270" w:lineRule="auto"/>
        <w:tabs>
          <w:tab w:leader="none" w:pos="596"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delays in ramping up manufacturing, either internally or through our suppliers to meet the expected demand in each of the phases of our commercialization plan; and,</w:t>
      </w:r>
    </w:p>
    <w:p>
      <w:pPr>
        <w:spacing w:after="0" w:line="114" w:lineRule="exact"/>
        <w:rPr>
          <w:rFonts w:ascii="Arial" w:cs="Arial" w:eastAsia="Arial" w:hAnsi="Arial"/>
          <w:sz w:val="17"/>
          <w:szCs w:val="17"/>
          <w:color w:val="auto"/>
        </w:rPr>
      </w:pPr>
    </w:p>
    <w:p>
      <w:pPr>
        <w:ind w:left="600" w:right="140" w:hanging="297"/>
        <w:spacing w:after="0" w:line="270" w:lineRule="auto"/>
        <w:tabs>
          <w:tab w:leader="none" w:pos="59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impact of the COVID-19 pandemic on the economy and research industries, our business operations, and resources and the operations of our customers, suppliers, and distributors.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To the extent our commercial launch plan is delayed or unsuccessful, our financial results will be adversely impacted.</w:t>
      </w:r>
    </w:p>
    <w:p>
      <w:pPr>
        <w:spacing w:after="0" w:line="158" w:lineRule="exact"/>
        <w:rPr>
          <w:sz w:val="20"/>
          <w:szCs w:val="20"/>
          <w:color w:val="auto"/>
        </w:rPr>
      </w:pPr>
    </w:p>
    <w:p>
      <w:pPr>
        <w:ind w:right="60" w:firstLine="303"/>
        <w:spacing w:after="0" w:line="270" w:lineRule="auto"/>
        <w:rPr>
          <w:sz w:val="20"/>
          <w:szCs w:val="20"/>
          <w:color w:val="auto"/>
        </w:rPr>
      </w:pPr>
      <w:r>
        <w:rPr>
          <w:rFonts w:ascii="Arial" w:cs="Arial" w:eastAsia="Arial" w:hAnsi="Arial"/>
          <w:sz w:val="17"/>
          <w:szCs w:val="17"/>
          <w:b w:val="1"/>
          <w:bCs w:val="1"/>
          <w:i w:val="1"/>
          <w:iCs w:val="1"/>
          <w:color w:val="auto"/>
        </w:rPr>
        <w:t>Even if we are able to commence the Broad Release phase of our commercial launch plan, our success depends on broad scientific and market acceptance of our Proteograph, which we may fail to achieve.</w:t>
      </w:r>
    </w:p>
    <w:p>
      <w:pPr>
        <w:spacing w:after="0" w:line="115" w:lineRule="exact"/>
        <w:rPr>
          <w:sz w:val="20"/>
          <w:szCs w:val="20"/>
          <w:color w:val="auto"/>
        </w:rPr>
      </w:pPr>
    </w:p>
    <w:p>
      <w:pPr>
        <w:ind w:firstLine="303"/>
        <w:spacing w:after="0" w:line="255" w:lineRule="auto"/>
        <w:rPr>
          <w:sz w:val="20"/>
          <w:szCs w:val="20"/>
          <w:color w:val="auto"/>
        </w:rPr>
      </w:pPr>
      <w:r>
        <w:rPr>
          <w:rFonts w:ascii="Arial" w:cs="Arial" w:eastAsia="Arial" w:hAnsi="Arial"/>
          <w:sz w:val="17"/>
          <w:szCs w:val="17"/>
          <w:color w:val="auto"/>
        </w:rPr>
        <w:t>Our ability to achieve and maintain scientific and commercial market acceptance of our Proteograph Product Suite will depend on a number of factors. We expect that our Proteograph will be subject to the market forces and adoption curves common to other new technologies. The market for proteomics and genomics technologies and products is in its early stages of development. If widespread adoption of our Proteograph takes longer than anticipated, or broad scientific and market acceptance does not occur, we will continue to experience operating losses.</w:t>
      </w:r>
    </w:p>
    <w:p>
      <w:pPr>
        <w:spacing w:after="0" w:line="127" w:lineRule="exact"/>
        <w:rPr>
          <w:sz w:val="20"/>
          <w:szCs w:val="20"/>
          <w:color w:val="auto"/>
        </w:rPr>
      </w:pPr>
    </w:p>
    <w:p>
      <w:pPr>
        <w:ind w:firstLine="303"/>
        <w:spacing w:after="0" w:line="286" w:lineRule="auto"/>
        <w:rPr>
          <w:sz w:val="20"/>
          <w:szCs w:val="20"/>
          <w:color w:val="auto"/>
        </w:rPr>
      </w:pPr>
      <w:r>
        <w:rPr>
          <w:rFonts w:ascii="Arial" w:cs="Arial" w:eastAsia="Arial" w:hAnsi="Arial"/>
          <w:sz w:val="15"/>
          <w:szCs w:val="15"/>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including peer-reviewed journals. In such journal publications, the researchers will describe not only their discoveries, but also the methods, and typically the products used, to fuel such discoveries. Mentions in publications, including peer-reviewed journal publications, are a driver for the general acceptance of life sciences products, such as our Proteograph Product Suite. During the Collaboration and Limited Release phases of our commercialization plan, we intend to collaborate with a small number of key opinion leaders who are highly skilled at evaluating novel technologies and whose feedback can help us solidify our commercialization plans and processes. Ensuring that early adopters and key opinion leaders publish research involving the use of our products is critical to ensuring our products gain widespread scientific acceptance. In addition, continuing collaborative relationships with key opinion leaders will be vital to maintaining any market acceptance we achieve. If too few researchers describe the use of our products, too many researchers utilize or shift to a competing product and publish research outlining their use of that product or too many researchers negatively describe the use of our products in publications, it may drive customers away from our products and it may delay our progression towards the broad release phase of our commercialization plan.</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Other factors in achieving commercial market acceptance, include:</w:t>
      </w:r>
    </w:p>
    <w:p>
      <w:pPr>
        <w:spacing w:after="0" w:line="158" w:lineRule="exact"/>
        <w:rPr>
          <w:sz w:val="20"/>
          <w:szCs w:val="20"/>
          <w:color w:val="auto"/>
        </w:rPr>
      </w:pPr>
    </w:p>
    <w:p>
      <w:pPr>
        <w:ind w:left="600" w:hanging="297"/>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market and increase awareness of the capabilities of our Proteograph Product Suite;</w:t>
      </w:r>
    </w:p>
    <w:p>
      <w:pPr>
        <w:spacing w:after="0" w:line="157" w:lineRule="exact"/>
        <w:rPr>
          <w:rFonts w:ascii="Arial" w:cs="Arial" w:eastAsia="Arial" w:hAnsi="Arial"/>
          <w:sz w:val="17"/>
          <w:szCs w:val="17"/>
          <w:color w:val="auto"/>
        </w:rPr>
      </w:pPr>
    </w:p>
    <w:p>
      <w:pPr>
        <w:ind w:left="600" w:right="520" w:hanging="297"/>
        <w:spacing w:after="0" w:line="270" w:lineRule="auto"/>
        <w:tabs>
          <w:tab w:leader="none" w:pos="59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ability of our Proteograph Product Suite to demonstrate comparable performance in intended use applications broadly in the hands of customers as achieved in the Collaboration and Limited Release phases of our commercialization plan;</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customers’ willingness to adopt new products and workflows;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Proteograph’s ease of use and whether it reliably provides advantages over other alternative technologies;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rate of adoption of our Proteograph Product Suite by academic institutions, laboratories, biopharmaceutical companies and others;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prices we charge for our Proteograph Product Suite;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49" w:lineRule="exact"/>
        <w:rPr>
          <w:sz w:val="20"/>
          <w:szCs w:val="20"/>
          <w:color w:val="auto"/>
        </w:rPr>
      </w:pPr>
    </w:p>
    <w:p>
      <w:pPr>
        <w:ind w:left="600" w:hanging="297"/>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develop new products and workflows and solutions for customers;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competitors develop and commercialize products that perform similar functions as our Proteograph; and</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impact of our investments in product innovation and commercial growth.</w:t>
      </w:r>
    </w:p>
    <w:p>
      <w:pPr>
        <w:spacing w:after="0" w:line="158" w:lineRule="exact"/>
        <w:rPr>
          <w:sz w:val="20"/>
          <w:szCs w:val="20"/>
          <w:color w:val="auto"/>
        </w:rPr>
      </w:pPr>
    </w:p>
    <w:p>
      <w:pPr>
        <w:jc w:val="both"/>
        <w:ind w:right="180" w:firstLine="303"/>
        <w:spacing w:after="0" w:line="258" w:lineRule="auto"/>
        <w:rPr>
          <w:sz w:val="20"/>
          <w:szCs w:val="20"/>
          <w:color w:val="auto"/>
        </w:rPr>
      </w:pPr>
      <w:r>
        <w:rPr>
          <w:rFonts w:ascii="Arial" w:cs="Arial" w:eastAsia="Arial" w:hAnsi="Arial"/>
          <w:sz w:val="17"/>
          <w:szCs w:val="17"/>
          <w:color w:val="auto"/>
        </w:rPr>
        <w:t>We cannot assure you that we will be successful in addressing each of these criteria or other criteria that might affect the market acceptance of any products we commercialize, particularly our Proteograph Product Suite. If we are unsuccessful in achieving and maintaining market acceptance of our Proteograph, our business, financial condition and results of operations would be adversely affected.</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sales and marketing capabilities, we may not be successful in commercializing our Proteograph Product Suite.</w:t>
      </w:r>
    </w:p>
    <w:p>
      <w:pPr>
        <w:spacing w:after="0" w:line="169" w:lineRule="exact"/>
        <w:rPr>
          <w:sz w:val="20"/>
          <w:szCs w:val="20"/>
          <w:color w:val="auto"/>
        </w:rPr>
      </w:pPr>
    </w:p>
    <w:p>
      <w:pPr>
        <w:ind w:right="80" w:firstLine="303"/>
        <w:spacing w:after="0" w:line="299" w:lineRule="auto"/>
        <w:rPr>
          <w:sz w:val="20"/>
          <w:szCs w:val="20"/>
          <w:color w:val="auto"/>
        </w:rPr>
      </w:pPr>
      <w:r>
        <w:rPr>
          <w:rFonts w:ascii="Arial" w:cs="Arial" w:eastAsia="Arial" w:hAnsi="Arial"/>
          <w:sz w:val="15"/>
          <w:szCs w:val="15"/>
          <w:color w:val="auto"/>
        </w:rPr>
        <w:t>We have limited experience as a company in sales and marketing and our ability to successfully commercialize depends on our being able to attract customers for our Proteograph Product Suite. Although members of our management team have considerable industry experience, we need to expand our sales, marketing, distribution and customer service and support capabilities with the appropriate technical expertise prior to the broad release of our Proteograph Product Suite. To perform sales, marketing, distribution, and customer service and support successfully, we will face a number of risks, including:</w:t>
      </w:r>
    </w:p>
    <w:p>
      <w:pPr>
        <w:spacing w:after="0" w:line="99" w:lineRule="exact"/>
        <w:rPr>
          <w:sz w:val="20"/>
          <w:szCs w:val="20"/>
          <w:color w:val="auto"/>
        </w:rPr>
      </w:pPr>
    </w:p>
    <w:p>
      <w:pPr>
        <w:ind w:left="600" w:right="140" w:hanging="297"/>
        <w:spacing w:after="0" w:line="270" w:lineRule="auto"/>
        <w:tabs>
          <w:tab w:leader="none" w:pos="596"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attract, retain and manage the sales, marketing and customer service and support force necessary to commercialize and gain market acceptance for our technology;</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time and cost of establishing a specialized sales, marketing and customer service and support force; and</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sales, marketing and customer service and support force may be unable to initiate and execute successful commercialization activities.</w:t>
      </w:r>
    </w:p>
    <w:p>
      <w:pPr>
        <w:spacing w:after="0" w:line="158" w:lineRule="exact"/>
        <w:rPr>
          <w:sz w:val="20"/>
          <w:szCs w:val="20"/>
          <w:color w:val="auto"/>
        </w:rPr>
      </w:pPr>
    </w:p>
    <w:p>
      <w:pPr>
        <w:ind w:firstLine="303"/>
        <w:spacing w:after="0" w:line="276" w:lineRule="auto"/>
        <w:rPr>
          <w:sz w:val="20"/>
          <w:szCs w:val="20"/>
          <w:color w:val="auto"/>
        </w:rPr>
      </w:pPr>
      <w:r>
        <w:rPr>
          <w:rFonts w:ascii="Arial" w:cs="Arial" w:eastAsia="Arial" w:hAnsi="Arial"/>
          <w:sz w:val="16"/>
          <w:szCs w:val="16"/>
          <w:color w:val="auto"/>
        </w:rPr>
        <w:t>We may seek to enlist one or more third parties to assist with sales, distribution and customer service and support globally or in certain regions of the world. There is no guarantee, if we do seek to enter into such arrangements, that we will be successful in attracting desirable or experienced sales or distribution partners or that we will be able to enter into such arrangements on favorable terms. If our sales and marketing efforts, or those of any third-party sales and distribution partners, are not successful, our Proteograph may not gain market acceptance, which could materially impact our business operations.</w:t>
      </w:r>
    </w:p>
    <w:p>
      <w:pPr>
        <w:spacing w:after="0" w:line="112" w:lineRule="exact"/>
        <w:rPr>
          <w:sz w:val="20"/>
          <w:szCs w:val="20"/>
          <w:color w:val="auto"/>
        </w:rPr>
      </w:pPr>
    </w:p>
    <w:p>
      <w:pPr>
        <w:ind w:right="540"/>
        <w:spacing w:after="0" w:line="270" w:lineRule="auto"/>
        <w:rPr>
          <w:sz w:val="20"/>
          <w:szCs w:val="20"/>
          <w:color w:val="auto"/>
        </w:rPr>
      </w:pPr>
      <w:r>
        <w:rPr>
          <w:rFonts w:ascii="Arial" w:cs="Arial" w:eastAsia="Arial" w:hAnsi="Arial"/>
          <w:sz w:val="17"/>
          <w:szCs w:val="17"/>
          <w:b w:val="1"/>
          <w:bCs w:val="1"/>
          <w:i w:val="1"/>
          <w:iCs w:val="1"/>
          <w:color w:val="auto"/>
        </w:rPr>
        <w:t>Even if our Proteograph Product Suite is broadly commercialized and achieves broad scientific and market acceptance, if we fail to improve it or introduce compelling new products, our revenues and our prospects could be harmed.</w:t>
      </w:r>
    </w:p>
    <w:p>
      <w:pPr>
        <w:spacing w:after="0" w:line="115" w:lineRule="exact"/>
        <w:rPr>
          <w:sz w:val="20"/>
          <w:szCs w:val="20"/>
          <w:color w:val="auto"/>
        </w:rPr>
      </w:pPr>
    </w:p>
    <w:p>
      <w:pPr>
        <w:ind w:right="140" w:firstLine="303"/>
        <w:spacing w:after="0" w:line="292" w:lineRule="auto"/>
        <w:rPr>
          <w:sz w:val="20"/>
          <w:szCs w:val="20"/>
          <w:color w:val="auto"/>
        </w:rPr>
      </w:pPr>
      <w:r>
        <w:rPr>
          <w:rFonts w:ascii="Arial" w:cs="Arial" w:eastAsia="Arial" w:hAnsi="Arial"/>
          <w:sz w:val="15"/>
          <w:szCs w:val="15"/>
          <w:color w:val="auto"/>
        </w:rPr>
        <w:t>Even if we are able to broadly commercialize our Proteograph Product Suite and achieve broad scientific and market acceptance, our ability to attract new customers and increase revenue from existing customers will depend in large part on our ability to enhance and improve our Proteograph solution and to introduce compelling new products. The success of any enhancement to our Proteograph Product Suite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our Proteograph that we develop may not be introduced in a timely or cost-effective manner, may contain defects, errors, vulnerabilities or bugs, or may not achieve the market acceptance necessary to generate significant revenue.</w:t>
      </w:r>
    </w:p>
    <w:p>
      <w:pPr>
        <w:spacing w:after="0" w:line="103" w:lineRule="exact"/>
        <w:rPr>
          <w:sz w:val="20"/>
          <w:szCs w:val="20"/>
          <w:color w:val="auto"/>
        </w:rPr>
      </w:pPr>
    </w:p>
    <w:p>
      <w:pPr>
        <w:ind w:firstLine="303"/>
        <w:spacing w:after="0" w:line="295" w:lineRule="auto"/>
        <w:rPr>
          <w:sz w:val="20"/>
          <w:szCs w:val="20"/>
          <w:color w:val="auto"/>
        </w:rPr>
      </w:pPr>
      <w:r>
        <w:rPr>
          <w:rFonts w:ascii="Arial" w:cs="Arial" w:eastAsia="Arial" w:hAnsi="Arial"/>
          <w:sz w:val="15"/>
          <w:szCs w:val="15"/>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49"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we are unable to successfully develop new products, enhance our Proteograph Product Suite to meet customer requirements, compete with alternative products, or otherwise gain and maintain market acceptance, our business, results of operations and financial condition could be harmed.</w:t>
      </w:r>
    </w:p>
    <w:p>
      <w:pPr>
        <w:spacing w:after="0" w:line="9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i w:val="1"/>
          <w:iCs w:val="1"/>
          <w:color w:val="auto"/>
        </w:rPr>
        <w:t>The COVID-19 pandemic and efforts to reduce its spread have adversely impacted, and are expected to continue to materially and adversely impact, our business and operations.</w:t>
      </w:r>
    </w:p>
    <w:p>
      <w:pPr>
        <w:spacing w:after="0" w:line="115" w:lineRule="exact"/>
        <w:rPr>
          <w:sz w:val="20"/>
          <w:szCs w:val="20"/>
          <w:color w:val="auto"/>
        </w:rPr>
      </w:pPr>
    </w:p>
    <w:p>
      <w:pPr>
        <w:ind w:right="20" w:firstLine="303"/>
        <w:spacing w:after="0" w:line="285" w:lineRule="auto"/>
        <w:rPr>
          <w:sz w:val="20"/>
          <w:szCs w:val="20"/>
          <w:color w:val="auto"/>
        </w:rPr>
      </w:pPr>
      <w:r>
        <w:rPr>
          <w:rFonts w:ascii="Arial" w:cs="Arial" w:eastAsia="Arial" w:hAnsi="Arial"/>
          <w:sz w:val="15"/>
          <w:szCs w:val="15"/>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 produce our SP100 automation instrument and NPs. For instance, there were standing “stay-at-home” orders in California, and specifically San Mateo County where our headquarters is located, that required businesses to implement certain social distancing protocols and other written health and safety plans and measures which affected productivity and morale. We have continued to operate within the rules applicable to our business; however, an extended implementation of these governmental mandates could further impact our ability to operate effectively and conduct ongoing research and development or other activities. The COVID-19 pandemic has also had an adverse effect on our ability to attract, recruit, interview and hire at the pace we would typically expect to support our rapidly expanding operations. To the extent that any governmental authority imposes additional regulatory requirements or changes existing laws, regulations, and policies that apply to our business and operations, such as additional workplace safety measures, our product development plans may be delayed, and we may incur further costs in bringing our business and operations into compliance with changing or new laws, regulations, and policies.</w:t>
      </w:r>
    </w:p>
    <w:p>
      <w:pPr>
        <w:spacing w:after="0" w:line="114" w:lineRule="exact"/>
        <w:rPr>
          <w:sz w:val="20"/>
          <w:szCs w:val="20"/>
          <w:color w:val="auto"/>
        </w:rPr>
      </w:pPr>
    </w:p>
    <w:p>
      <w:pPr>
        <w:ind w:firstLine="303"/>
        <w:spacing w:after="0" w:line="250" w:lineRule="auto"/>
        <w:rPr>
          <w:sz w:val="20"/>
          <w:szCs w:val="20"/>
          <w:color w:val="auto"/>
        </w:rPr>
      </w:pPr>
      <w:r>
        <w:rPr>
          <w:rFonts w:ascii="Arial" w:cs="Arial" w:eastAsia="Arial" w:hAnsi="Arial"/>
          <w:sz w:val="17"/>
          <w:szCs w:val="17"/>
          <w:color w:val="auto"/>
        </w:rPr>
        <w:t>In the near term, we expect that substantially all of our revenue will be derived from sales of our Proteograph Product Suite, including our instruments and associated consumables, to academic, research and commercial institutions. We have moved into the Limited Release phase of our commercialization plan and, as a result, in the near term, our ability to drive the adoption of our Proteograph solution will depend on our ability to visit customer sites, the ability of our customers to access laboratories, and the ability to install and train on our Proteograph Product Suite and conduct research in light of the COVID-19 pandemic. Additionally, since we have moved into the Limited Release phase of our commercialization plan,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has become increasingly important to the adoption of our Proteograph. All of these considerations are impacted by factors beyond our control, such as:</w:t>
      </w:r>
    </w:p>
    <w:p>
      <w:pPr>
        <w:spacing w:after="0" w:line="136" w:lineRule="exact"/>
        <w:rPr>
          <w:sz w:val="20"/>
          <w:szCs w:val="20"/>
          <w:color w:val="auto"/>
        </w:rPr>
      </w:pPr>
    </w:p>
    <w:p>
      <w:pPr>
        <w:jc w:val="both"/>
        <w:ind w:left="600" w:right="140" w:hanging="297"/>
        <w:spacing w:after="0" w:line="258" w:lineRule="auto"/>
        <w:tabs>
          <w:tab w:leader="none" w:pos="596"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26" w:lineRule="exact"/>
        <w:rPr>
          <w:rFonts w:ascii="Arial" w:cs="Arial" w:eastAsia="Arial" w:hAnsi="Arial"/>
          <w:sz w:val="17"/>
          <w:szCs w:val="17"/>
          <w:color w:val="auto"/>
        </w:rPr>
      </w:pPr>
    </w:p>
    <w:p>
      <w:pPr>
        <w:ind w:left="600" w:hanging="29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decreases in government funding of research and development; and</w:t>
      </w:r>
    </w:p>
    <w:p>
      <w:pPr>
        <w:spacing w:after="0" w:line="157" w:lineRule="exact"/>
        <w:rPr>
          <w:rFonts w:ascii="Arial" w:cs="Arial" w:eastAsia="Arial" w:hAnsi="Arial"/>
          <w:sz w:val="17"/>
          <w:szCs w:val="17"/>
          <w:color w:val="auto"/>
        </w:rPr>
      </w:pPr>
    </w:p>
    <w:p>
      <w:pPr>
        <w:ind w:left="600" w:hanging="297"/>
        <w:spacing w:after="0" w:line="258" w:lineRule="auto"/>
        <w:tabs>
          <w:tab w:leader="none" w:pos="596"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26" w:lineRule="exact"/>
        <w:rPr>
          <w:sz w:val="20"/>
          <w:szCs w:val="20"/>
          <w:color w:val="auto"/>
        </w:rPr>
      </w:pPr>
    </w:p>
    <w:p>
      <w:pPr>
        <w:ind w:right="60" w:firstLine="303"/>
        <w:spacing w:after="0" w:line="276" w:lineRule="auto"/>
        <w:rPr>
          <w:sz w:val="20"/>
          <w:szCs w:val="20"/>
          <w:color w:val="auto"/>
        </w:rPr>
      </w:pPr>
      <w:r>
        <w:rPr>
          <w:rFonts w:ascii="Arial" w:cs="Arial" w:eastAsia="Arial" w:hAnsi="Arial"/>
          <w:sz w:val="16"/>
          <w:szCs w:val="16"/>
          <w:color w:val="auto"/>
        </w:rPr>
        <w:t>Additionally, our suppliers have also been impacted by the COVID-19 pandemic. For example, our SP100 automation instrument manufacturer, Hamilton Company, has experienced a surge in demand for equipment and associated consumables used for COVID-19 diagnostics, and as a result, we have experienced longer lead times for our instruments. We have also experienced supply delays for critical hardware, instrumentation and medical and testing supplies that we use for product development, as these other components and supplies are otherwise diverted to COVID-19-related testing and other 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49" w:lineRule="exact"/>
        <w:rPr>
          <w:sz w:val="20"/>
          <w:szCs w:val="20"/>
          <w:color w:val="auto"/>
        </w:rPr>
      </w:pPr>
    </w:p>
    <w:p>
      <w:pPr>
        <w:ind w:firstLine="303"/>
        <w:spacing w:after="0" w:line="295" w:lineRule="auto"/>
        <w:rPr>
          <w:sz w:val="20"/>
          <w:szCs w:val="20"/>
          <w:color w:val="auto"/>
        </w:rPr>
      </w:pPr>
      <w:r>
        <w:rPr>
          <w:rFonts w:ascii="Arial" w:cs="Arial" w:eastAsia="Arial" w:hAnsi="Arial"/>
          <w:sz w:val="15"/>
          <w:szCs w:val="15"/>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among others. While we do not yet know the full extent of potential impacts on our business, any of these occurrences could significantly harm our business, results of operations and financial condition.</w:t>
      </w:r>
    </w:p>
    <w:p>
      <w:pPr>
        <w:spacing w:after="0" w:line="100"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b w:val="1"/>
          <w:bCs w:val="1"/>
          <w:i w:val="1"/>
          <w:iCs w:val="1"/>
          <w:color w:val="auto"/>
        </w:rPr>
        <w:t>Unfavorable U.S. or global economic conditions as a result of the COVID-19 pandemic, or otherwise, could adversely affect our ability to raise capital and our business, results of operations and financial condition.</w:t>
      </w:r>
    </w:p>
    <w:p>
      <w:pPr>
        <w:spacing w:after="0" w:line="115" w:lineRule="exact"/>
        <w:rPr>
          <w:sz w:val="20"/>
          <w:szCs w:val="20"/>
          <w:color w:val="auto"/>
        </w:rPr>
      </w:pPr>
    </w:p>
    <w:p>
      <w:pPr>
        <w:ind w:right="40" w:firstLine="303"/>
        <w:spacing w:after="0" w:line="288" w:lineRule="auto"/>
        <w:rPr>
          <w:sz w:val="20"/>
          <w:szCs w:val="20"/>
          <w:color w:val="auto"/>
        </w:rPr>
      </w:pPr>
      <w:r>
        <w:rPr>
          <w:rFonts w:ascii="Arial" w:cs="Arial" w:eastAsia="Arial" w:hAnsi="Arial"/>
          <w:sz w:val="15"/>
          <w:szCs w:val="15"/>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Proteograph Product Suite and our ability to raise additional capital when needed on favorable terms, if at all. A weak or declining economy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sustain or successfully manage our anticipated growth, our business and prospects will be harmed.</w:t>
      </w:r>
    </w:p>
    <w:p>
      <w:pPr>
        <w:spacing w:after="0" w:line="158" w:lineRule="exact"/>
        <w:rPr>
          <w:sz w:val="20"/>
          <w:szCs w:val="20"/>
          <w:color w:val="auto"/>
        </w:rPr>
      </w:pPr>
    </w:p>
    <w:p>
      <w:pPr>
        <w:ind w:right="20" w:firstLine="303"/>
        <w:spacing w:after="0" w:line="286" w:lineRule="auto"/>
        <w:rPr>
          <w:sz w:val="20"/>
          <w:szCs w:val="20"/>
          <w:color w:val="auto"/>
        </w:rPr>
      </w:pPr>
      <w:r>
        <w:rPr>
          <w:rFonts w:ascii="Arial" w:cs="Arial" w:eastAsia="Arial" w:hAnsi="Arial"/>
          <w:sz w:val="15"/>
          <w:szCs w:val="15"/>
          <w:color w:val="auto"/>
        </w:rPr>
        <w:t>Our anticipated growth will place significant strains on our management, operational and manufacturing systems and processes, sales and marketing team, financial systems and internal controls and other aspects of our business. Developing and commercializing our Proteograph Product Suite will require us to hire and retain scientific, sales and marketing, software, manufacturing, customer service, distribution, quality assurance and other personnel. In addition, we will need to hire additional accounting, finance and other personnel in connection with our efforts to comply with the requirements of being a public company. As a newly public company, our management and other personnel will need to devote a substantial amount of time towards maintaining compliance with these requirements and effectively manage these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Our ability to successfully manage our expected growth is uncertain given the fact that we have been in operation only since 2017.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09"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b w:val="1"/>
          <w:bCs w:val="1"/>
          <w:i w:val="1"/>
          <w:iCs w:val="1"/>
          <w:color w:val="auto"/>
        </w:rPr>
        <w:t>We depend on our key personnel and other highly qualified personnel, and if we are unable to recruit, train and retain our personnel, we may not achieve our goals.</w:t>
      </w:r>
    </w:p>
    <w:p>
      <w:pPr>
        <w:spacing w:after="0" w:line="115" w:lineRule="exact"/>
        <w:rPr>
          <w:sz w:val="20"/>
          <w:szCs w:val="20"/>
          <w:color w:val="auto"/>
        </w:rPr>
      </w:pPr>
    </w:p>
    <w:p>
      <w:pPr>
        <w:ind w:firstLine="303"/>
        <w:spacing w:after="0" w:line="253" w:lineRule="auto"/>
        <w:rPr>
          <w:sz w:val="20"/>
          <w:szCs w:val="20"/>
          <w:color w:val="auto"/>
        </w:rPr>
      </w:pPr>
      <w:r>
        <w:rPr>
          <w:rFonts w:ascii="Arial" w:cs="Arial" w:eastAsia="Arial" w:hAnsi="Arial"/>
          <w:sz w:val="17"/>
          <w:szCs w:val="17"/>
          <w:color w:val="auto"/>
        </w:rPr>
        <w:t>Our future success depends upon our ability to recruit, train, retain and motivate key personnel. Our senior management team, including Omid Farokhzad, one of our founders and our Chief Executive Officer; Omead Ostadan, our President and Chief Operating Officer; and David Horn, our Chief Financial Officer, is critical to our vision, strategic direction, product development and commercialization efforts. The departure of one or more of our executives officers, senior management team members, or other key employees could be disruptive to our business until we are able to hire qualified successors. We do not maintain “key man” life insurance on our senior management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4" w:name="page45"/>
    <w:bookmarkEnd w:id="44"/>
    <w:p>
      <w:pPr>
        <w:spacing w:after="0" w:line="49" w:lineRule="exact"/>
        <w:rPr>
          <w:sz w:val="20"/>
          <w:szCs w:val="20"/>
          <w:color w:val="auto"/>
        </w:rPr>
      </w:pPr>
    </w:p>
    <w:p>
      <w:pPr>
        <w:ind w:firstLine="303"/>
        <w:spacing w:after="0" w:line="287" w:lineRule="auto"/>
        <w:rPr>
          <w:sz w:val="20"/>
          <w:szCs w:val="20"/>
          <w:color w:val="auto"/>
        </w:rPr>
      </w:pPr>
      <w:r>
        <w:rPr>
          <w:rFonts w:ascii="Arial" w:cs="Arial" w:eastAsia="Arial" w:hAnsi="Arial"/>
          <w:sz w:val="15"/>
          <w:szCs w:val="15"/>
          <w:color w:val="auto"/>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require significant training and, in most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w:t>
      </w:r>
    </w:p>
    <w:p>
      <w:pPr>
        <w:spacing w:after="0" w:line="110" w:lineRule="exact"/>
        <w:rPr>
          <w:sz w:val="20"/>
          <w:szCs w:val="20"/>
          <w:color w:val="auto"/>
        </w:rPr>
      </w:pPr>
    </w:p>
    <w:p>
      <w:pPr>
        <w:ind w:firstLine="303"/>
        <w:spacing w:after="0" w:line="309" w:lineRule="auto"/>
        <w:rPr>
          <w:sz w:val="20"/>
          <w:szCs w:val="20"/>
          <w:color w:val="auto"/>
        </w:rPr>
      </w:pPr>
      <w:r>
        <w:rPr>
          <w:rFonts w:ascii="Arial" w:cs="Arial" w:eastAsia="Arial" w:hAnsi="Arial"/>
          <w:sz w:val="15"/>
          <w:szCs w:val="15"/>
          <w:color w:val="auto"/>
        </w:rPr>
        <w:t>We do not maintain fixed term employment contracts with any of our employees. As a result, our employees could leave our company with little or no prior notice and would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spacing w:after="0" w:line="90"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b w:val="1"/>
          <w:bCs w:val="1"/>
          <w:i w:val="1"/>
          <w:iCs w:val="1"/>
          <w:color w:val="auto"/>
        </w:rPr>
        <w:t>We expect to be dependent upon revenue generated from the sale of our Proteograph Product Suite from the time it is commercialized through the foreseeable future.</w:t>
      </w:r>
    </w:p>
    <w:p>
      <w:pPr>
        <w:spacing w:after="0" w:line="115" w:lineRule="exact"/>
        <w:rPr>
          <w:sz w:val="20"/>
          <w:szCs w:val="20"/>
          <w:color w:val="auto"/>
        </w:rPr>
      </w:pPr>
    </w:p>
    <w:p>
      <w:pPr>
        <w:ind w:right="20" w:firstLine="303"/>
        <w:spacing w:after="0" w:line="287" w:lineRule="auto"/>
        <w:rPr>
          <w:sz w:val="20"/>
          <w:szCs w:val="20"/>
          <w:color w:val="auto"/>
        </w:rPr>
      </w:pPr>
      <w:r>
        <w:rPr>
          <w:rFonts w:ascii="Arial" w:cs="Arial" w:eastAsia="Arial" w:hAnsi="Arial"/>
          <w:sz w:val="15"/>
          <w:szCs w:val="15"/>
          <w:color w:val="auto"/>
        </w:rPr>
        <w:t>While we have moved into the Limited Release phase, we do not expect to have broad release of our Proteograph Product Suite and associated consumables until early 2022. If we are able to successfully broadly commercialize our Proteograph, we expect that we will generate substantially all of our revenue from the sale of our Proteograph Product Suite and associated consumables. There can be no assurance that we will be able to successfully commercialize our Proteograph solution, design other products that will meet the expectations of our customers or that any of our future products will become commercially viable. As technologies change in the future for life sciences research tools in general and in proteomics and genomics technologies specifically, we will be expected to upgrade or adapt our Proteograph solution keep up with the latest technology. To date, we have limited experience simultaneously designing, testing, manufacturing and selling products and there can be no assurance we will be able to do so. Our sales expectations are based in part on the assumption that our Proteograph Product Suite will increase study sizes for our future customers and their associated purchases of our consumables. If sales of our instruments fail to materialize, or our assumptions about study sizes or customer purchases of our consumables, so will the related consumable sales and associated revenue.</w:t>
      </w:r>
    </w:p>
    <w:p>
      <w:pPr>
        <w:spacing w:after="0" w:line="110" w:lineRule="exact"/>
        <w:rPr>
          <w:sz w:val="20"/>
          <w:szCs w:val="20"/>
          <w:color w:val="auto"/>
        </w:rPr>
      </w:pPr>
    </w:p>
    <w:p>
      <w:pPr>
        <w:ind w:right="100" w:firstLine="303"/>
        <w:spacing w:after="0" w:line="276" w:lineRule="auto"/>
        <w:rPr>
          <w:sz w:val="20"/>
          <w:szCs w:val="20"/>
          <w:color w:val="auto"/>
        </w:rPr>
      </w:pPr>
      <w:r>
        <w:rPr>
          <w:rFonts w:ascii="Arial" w:cs="Arial" w:eastAsia="Arial" w:hAnsi="Arial"/>
          <w:sz w:val="16"/>
          <w:szCs w:val="16"/>
          <w:color w:val="auto"/>
        </w:rPr>
        <w:t>In our development and commercialization plans for our Proteograph Product Suite, we may forego other opportunities that may provide greater revenue or be more profitable. If our research and product development efforts do not result in commercially viable products within anticipated timelines, or at all, our business and results of operations will be adversely affected. Any delay or failure by us to develop and release our Proteograph Product Suite or new products or product enhancements would have a substantial adverse effect on our business and results of operations.</w:t>
      </w:r>
    </w:p>
    <w:p>
      <w:pPr>
        <w:spacing w:after="0" w:line="112"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b w:val="1"/>
          <w:bCs w:val="1"/>
          <w:i w:val="1"/>
          <w:iCs w:val="1"/>
          <w:color w:val="auto"/>
        </w:rPr>
        <w:t>Our business will depend significantly on research and development spending by academic and other research institutions, and other third parties, including commercial organizations, and any reduction in spending could limit demand for our products and adversely affect our business, results of operations, financial condition and prospects.</w:t>
      </w:r>
    </w:p>
    <w:p>
      <w:pPr>
        <w:spacing w:after="0" w:line="126" w:lineRule="exact"/>
        <w:rPr>
          <w:sz w:val="20"/>
          <w:szCs w:val="20"/>
          <w:color w:val="auto"/>
        </w:rPr>
      </w:pPr>
    </w:p>
    <w:p>
      <w:pPr>
        <w:ind w:right="100" w:firstLine="303"/>
        <w:spacing w:after="0" w:line="258" w:lineRule="auto"/>
        <w:rPr>
          <w:sz w:val="20"/>
          <w:szCs w:val="20"/>
          <w:color w:val="auto"/>
        </w:rPr>
      </w:pPr>
      <w:r>
        <w:rPr>
          <w:rFonts w:ascii="Arial" w:cs="Arial" w:eastAsia="Arial" w:hAnsi="Arial"/>
          <w:sz w:val="17"/>
          <w:szCs w:val="17"/>
          <w:color w:val="auto"/>
        </w:rPr>
        <w:t>We expect that substantially all of our sales revenue in the near term will be generated from sales to academic institutions, other research institutions and commercial companies. Certain of these customers’ funding will be, in turn, provided by various state, federal and international government agencies. As a result, the demand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Proteograph Product Suite will depend upon the research and development budgets of these customers, which are impacted by factors beyond our control, such as:</w:t>
      </w:r>
    </w:p>
    <w:p>
      <w:pPr>
        <w:spacing w:after="0" w:line="181" w:lineRule="exact"/>
        <w:rPr>
          <w:sz w:val="20"/>
          <w:szCs w:val="20"/>
          <w:color w:val="auto"/>
        </w:rPr>
      </w:pPr>
    </w:p>
    <w:p>
      <w:pPr>
        <w:ind w:left="600" w:hanging="297"/>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decreases in government funding of research and development;</w:t>
      </w:r>
    </w:p>
    <w:p>
      <w:pPr>
        <w:spacing w:after="0" w:line="157" w:lineRule="exact"/>
        <w:rPr>
          <w:rFonts w:ascii="Arial" w:cs="Arial" w:eastAsia="Arial" w:hAnsi="Arial"/>
          <w:sz w:val="17"/>
          <w:szCs w:val="17"/>
          <w:color w:val="auto"/>
        </w:rPr>
      </w:pPr>
    </w:p>
    <w:p>
      <w:pPr>
        <w:ind w:left="600" w:right="280" w:hanging="297"/>
        <w:spacing w:after="0" w:line="270" w:lineRule="auto"/>
        <w:tabs>
          <w:tab w:leader="none" w:pos="5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spacing w:after="0" w:line="114" w:lineRule="exact"/>
        <w:rPr>
          <w:rFonts w:ascii="Arial" w:cs="Arial" w:eastAsia="Arial" w:hAnsi="Arial"/>
          <w:sz w:val="17"/>
          <w:szCs w:val="17"/>
          <w:color w:val="auto"/>
        </w:rPr>
      </w:pPr>
    </w:p>
    <w:p>
      <w:pPr>
        <w:ind w:left="600" w:right="20" w:hanging="297"/>
        <w:spacing w:after="0" w:line="270" w:lineRule="auto"/>
        <w:tabs>
          <w:tab w:leader="none" w:pos="5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strategy and funding by commercial companies in the efforts around therapeutic and diagnostic product development and their adoption and use of our Proteograph Product Suite;</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macroeconomic conditions;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opinions in the scientific community, including researchers’ opinions of the utility of our Proteograph solution;</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citation of our Proteograph Product Suite in published research;</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potential changes in the regulatory environment;</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differences in budgetary cycles, especially government- or grant-funded customers, whose cycles often coincide with government fiscal year ends;</w:t>
      </w:r>
    </w:p>
    <w:p>
      <w:pPr>
        <w:spacing w:after="0" w:line="169" w:lineRule="exact"/>
        <w:rPr>
          <w:rFonts w:ascii="Arial" w:cs="Arial" w:eastAsia="Arial" w:hAnsi="Arial"/>
          <w:sz w:val="16"/>
          <w:szCs w:val="16"/>
          <w:color w:val="auto"/>
        </w:rPr>
      </w:pPr>
    </w:p>
    <w:p>
      <w:pPr>
        <w:ind w:left="600" w:hanging="297"/>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competitor product offerings or pricing;</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market-driven pressures to consolidate operations and reduce costs; and</w:t>
      </w:r>
    </w:p>
    <w:p>
      <w:pPr>
        <w:spacing w:after="0" w:line="144" w:lineRule="exact"/>
        <w:rPr>
          <w:rFonts w:ascii="Arial" w:cs="Arial" w:eastAsia="Arial" w:hAnsi="Arial"/>
          <w:sz w:val="17"/>
          <w:szCs w:val="17"/>
          <w:color w:val="auto"/>
        </w:rPr>
      </w:pPr>
    </w:p>
    <w:p>
      <w:pPr>
        <w:ind w:left="600" w:hanging="297"/>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market acceptance of relatively new technologies, such as our Proteograph Product Suite.</w:t>
      </w:r>
    </w:p>
    <w:p>
      <w:pPr>
        <w:spacing w:after="0" w:line="158" w:lineRule="exact"/>
        <w:rPr>
          <w:sz w:val="20"/>
          <w:szCs w:val="20"/>
          <w:color w:val="auto"/>
        </w:rPr>
      </w:pPr>
    </w:p>
    <w:p>
      <w:pPr>
        <w:ind w:firstLine="303"/>
        <w:spacing w:after="0" w:line="266" w:lineRule="auto"/>
        <w:rPr>
          <w:sz w:val="20"/>
          <w:szCs w:val="20"/>
          <w:color w:val="auto"/>
        </w:rPr>
      </w:pPr>
      <w:r>
        <w:rPr>
          <w:rFonts w:ascii="Arial" w:cs="Arial" w:eastAsia="Arial" w:hAnsi="Arial"/>
          <w:sz w:val="16"/>
          <w:szCs w:val="16"/>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For example, congressional appropriations to the National Institutes of Health (NIH) have generally increased year-over-year for the last 19 years, and reached a new high in 2020, but the NIH also experiences occasional year-over-year decreases in appropriations, including as recently as 2013. In addition, funding for life science research has increased more slowly during the past several years compared to previous years and has actually declined in some countries. There is no guarantee that NIH appropriations will not decrease in the future.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w:t>
      </w:r>
    </w:p>
    <w:p>
      <w:pPr>
        <w:spacing w:after="0" w:line="125" w:lineRule="exact"/>
        <w:rPr>
          <w:sz w:val="20"/>
          <w:szCs w:val="20"/>
          <w:color w:val="auto"/>
        </w:rPr>
      </w:pPr>
    </w:p>
    <w:p>
      <w:pPr>
        <w:ind w:right="220"/>
        <w:spacing w:after="0" w:line="258" w:lineRule="auto"/>
        <w:rPr>
          <w:sz w:val="20"/>
          <w:szCs w:val="20"/>
          <w:color w:val="auto"/>
        </w:rPr>
      </w:pPr>
      <w:r>
        <w:rPr>
          <w:rFonts w:ascii="Arial" w:cs="Arial" w:eastAsia="Arial" w:hAnsi="Arial"/>
          <w:sz w:val="17"/>
          <w:szCs w:val="17"/>
          <w:b w:val="1"/>
          <w:bCs w:val="1"/>
          <w:i w:val="1"/>
          <w:iCs w:val="1"/>
          <w:color w:val="auto"/>
        </w:rPr>
        <w:t>We rely on single suppliers for some of the components of our Proteograph Product Suite, including a single contract manufacturer to manufacture and supply our instruments. If these supplier or manufacturers should fail or not perform satisfactorily, our ability to meet demand and supply our Proteograph Product Suite would be adversely affected.</w:t>
      </w:r>
    </w:p>
    <w:p>
      <w:pPr>
        <w:spacing w:after="0" w:line="126" w:lineRule="exact"/>
        <w:rPr>
          <w:sz w:val="20"/>
          <w:szCs w:val="20"/>
          <w:color w:val="auto"/>
        </w:rPr>
      </w:pPr>
    </w:p>
    <w:p>
      <w:pPr>
        <w:jc w:val="both"/>
        <w:ind w:right="240" w:firstLine="303"/>
        <w:spacing w:after="0" w:line="282" w:lineRule="auto"/>
        <w:rPr>
          <w:sz w:val="20"/>
          <w:szCs w:val="20"/>
          <w:color w:val="auto"/>
        </w:rPr>
      </w:pPr>
      <w:r>
        <w:rPr>
          <w:rFonts w:ascii="Arial" w:cs="Arial" w:eastAsia="Arial" w:hAnsi="Arial"/>
          <w:sz w:val="16"/>
          <w:szCs w:val="16"/>
          <w:color w:val="auto"/>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49"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color w:val="auto"/>
        </w:rPr>
        <w:t>priority than ours, we may not be able to obtain adequate supplies in a timely manner or on commercially reasonable terms, and we may incur price increases from Hamilton Company. For example, due to the COVID-19 pandemic and increased demand for Hamilton’s products, we have seen the lead time for our instruments increase significantly. Further, if Hamilton is unable to obtain critical components used in our Proteograph solution or supply our instruments on the timelines we require, our business and commercialization efforts would be harmed.</w:t>
      </w:r>
    </w:p>
    <w:p>
      <w:pPr>
        <w:spacing w:after="0" w:line="127" w:lineRule="exact"/>
        <w:rPr>
          <w:sz w:val="20"/>
          <w:szCs w:val="20"/>
          <w:color w:val="auto"/>
        </w:rPr>
      </w:pPr>
    </w:p>
    <w:p>
      <w:pPr>
        <w:ind w:right="320" w:firstLine="303"/>
        <w:spacing w:after="0" w:line="276" w:lineRule="auto"/>
        <w:rPr>
          <w:sz w:val="20"/>
          <w:szCs w:val="20"/>
          <w:color w:val="auto"/>
        </w:rPr>
      </w:pPr>
      <w:r>
        <w:rPr>
          <w:rFonts w:ascii="Arial" w:cs="Arial" w:eastAsia="Arial" w:hAnsi="Arial"/>
          <w:sz w:val="16"/>
          <w:szCs w:val="16"/>
          <w:color w:val="auto"/>
        </w:rPr>
        <w:t>In the event it becomes necessary to utilize one or more different contract manufacturers for automated liquid handling workstations, products, or product components associated with our Proteograph Product Suite, we would experience additional costs, delays and difficulties in doing so as a result of identifying and entering into new agreements with new suppliers or manufacturers as well as preparing such new suppliers or manufacturers to meet the logistical requirements associated with supplying and manufacturing our Proteograph Product Suite , and our business would suffer.</w:t>
      </w:r>
    </w:p>
    <w:p>
      <w:pPr>
        <w:spacing w:after="0" w:line="112" w:lineRule="exact"/>
        <w:rPr>
          <w:sz w:val="20"/>
          <w:szCs w:val="20"/>
          <w:color w:val="auto"/>
        </w:rPr>
      </w:pPr>
    </w:p>
    <w:p>
      <w:pPr>
        <w:ind w:firstLine="303"/>
        <w:spacing w:after="0" w:line="269" w:lineRule="auto"/>
        <w:rPr>
          <w:sz w:val="20"/>
          <w:szCs w:val="20"/>
          <w:color w:val="auto"/>
        </w:rPr>
      </w:pPr>
      <w:r>
        <w:rPr>
          <w:rFonts w:ascii="Arial" w:cs="Arial" w:eastAsia="Arial" w:hAnsi="Arial"/>
          <w:sz w:val="16"/>
          <w:szCs w:val="16"/>
          <w:color w:val="auto"/>
        </w:rPr>
        <w:t>In addition, certain of the components used in our products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 not meet specifications, or if we cannot then obtain an acceptable substitute. Our suppliers have also been impacted by the COVID-19 pandemic, and we have also experienced supply delays for critical hardware, instrumentation and medical and testing supplies that we use for product development, as these other components and supplies are otherwise diverted to COVID-19-related testing and other uses. If any of these events occur, our business, results of operations, financial condition and prospects could be harmed.</w:t>
      </w:r>
    </w:p>
    <w:p>
      <w:pPr>
        <w:spacing w:after="0" w:line="120"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i w:val="1"/>
          <w:iCs w:val="1"/>
          <w:color w:val="auto"/>
        </w:rPr>
        <w:t>We have limited experience producing and supplying our products, and we may be unable to consistently manufacture or source our SP100 automation instruments and consumables to the necessary specifications or in quantities necessary to meet demand on a timely basis and at acceptable performance and cost levels.</w:t>
      </w:r>
    </w:p>
    <w:p>
      <w:pPr>
        <w:spacing w:after="0" w:line="126" w:lineRule="exact"/>
        <w:rPr>
          <w:sz w:val="20"/>
          <w:szCs w:val="20"/>
          <w:color w:val="auto"/>
        </w:rPr>
      </w:pPr>
    </w:p>
    <w:p>
      <w:pPr>
        <w:ind w:right="140" w:firstLine="303"/>
        <w:spacing w:after="0" w:line="252" w:lineRule="auto"/>
        <w:rPr>
          <w:sz w:val="20"/>
          <w:szCs w:val="20"/>
          <w:color w:val="auto"/>
        </w:rPr>
      </w:pPr>
      <w:r>
        <w:rPr>
          <w:rFonts w:ascii="Arial" w:cs="Arial" w:eastAsia="Arial" w:hAnsi="Arial"/>
          <w:sz w:val="17"/>
          <w:szCs w:val="17"/>
          <w:color w:val="auto"/>
        </w:rPr>
        <w:t>Our Proteograph Product Suite is an integrated solution with many different components that work together. As such, a quality defect in a single component can compromise the performance of the entire solution. In order to successfully generate revenue from our Proteograph Product Suite, we need to supply our customers with products that meet their expectations for quality and functionality in accordance with established specifications on a timely basis. Our instruments are manufactured by Hamilton Company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spacing w:after="0" w:line="130" w:lineRule="exact"/>
        <w:rPr>
          <w:sz w:val="20"/>
          <w:szCs w:val="20"/>
          <w:color w:val="auto"/>
        </w:rPr>
      </w:pPr>
    </w:p>
    <w:p>
      <w:pPr>
        <w:ind w:right="60" w:firstLine="303"/>
        <w:spacing w:after="0" w:line="253" w:lineRule="auto"/>
        <w:rPr>
          <w:sz w:val="20"/>
          <w:szCs w:val="20"/>
          <w:color w:val="auto"/>
        </w:rPr>
      </w:pPr>
      <w:r>
        <w:rPr>
          <w:rFonts w:ascii="Arial" w:cs="Arial" w:eastAsia="Arial" w:hAnsi="Arial"/>
          <w:sz w:val="17"/>
          <w:szCs w:val="17"/>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These manufacturing processes are complex. As we move to towards commercial scale formulation and manufacturing of our NP panels, if we are not able to repeatably produce our NPs at commercial scale or source them from third-party suppliers, or encounter unexpected difficulties in packaging our consumables, our business will be adversely impacted.</w:t>
      </w:r>
    </w:p>
    <w:p>
      <w:pPr>
        <w:spacing w:after="0" w:line="130" w:lineRule="exact"/>
        <w:rPr>
          <w:sz w:val="20"/>
          <w:szCs w:val="20"/>
          <w:color w:val="auto"/>
        </w:rPr>
      </w:pPr>
    </w:p>
    <w:p>
      <w:pPr>
        <w:ind w:right="40" w:firstLine="303"/>
        <w:spacing w:after="0" w:line="288" w:lineRule="auto"/>
        <w:rPr>
          <w:sz w:val="20"/>
          <w:szCs w:val="20"/>
          <w:color w:val="auto"/>
        </w:rPr>
      </w:pPr>
      <w:r>
        <w:rPr>
          <w:rFonts w:ascii="Arial" w:cs="Arial" w:eastAsia="Arial" w:hAnsi="Arial"/>
          <w:sz w:val="15"/>
          <w:szCs w:val="15"/>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SP100 automation instrument so that it consistently achieves the product specifications and produces results with acceptable quality. Our NPs and other consumables have a limited shelf life, after which their performance is not ensured. While we have completed accelerated stability testing for our NPs, our real-time long-term liquid stability studies are underway, but have not been completed. Shipment of 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our or our manufacturers’ facilities,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7" w:name="page48"/>
    <w:bookmarkEnd w:id="47"/>
    <w:p>
      <w:pPr>
        <w:spacing w:after="0" w:line="49" w:lineRule="exact"/>
        <w:rPr>
          <w:sz w:val="20"/>
          <w:szCs w:val="20"/>
          <w:color w:val="auto"/>
        </w:rPr>
      </w:pPr>
    </w:p>
    <w:p>
      <w:pPr>
        <w:ind w:right="320"/>
        <w:spacing w:after="0" w:line="255" w:lineRule="auto"/>
        <w:rPr>
          <w:sz w:val="20"/>
          <w:szCs w:val="20"/>
          <w:color w:val="auto"/>
        </w:rPr>
      </w:pPr>
      <w:r>
        <w:rPr>
          <w:rFonts w:ascii="Arial" w:cs="Arial" w:eastAsia="Arial" w:hAnsi="Arial"/>
          <w:sz w:val="17"/>
          <w:szCs w:val="17"/>
          <w:color w:val="auto"/>
        </w:rPr>
        <w:t>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our third-party manufacturers fail to maintain ISO quality management certifications, customers might choose not to purchase products from us.</w:t>
      </w:r>
    </w:p>
    <w:p>
      <w:pPr>
        <w:spacing w:after="0" w:line="127" w:lineRule="exact"/>
        <w:rPr>
          <w:sz w:val="20"/>
          <w:szCs w:val="20"/>
          <w:color w:val="auto"/>
        </w:rPr>
      </w:pPr>
    </w:p>
    <w:p>
      <w:pPr>
        <w:ind w:right="20" w:firstLine="303"/>
        <w:spacing w:after="0" w:line="299" w:lineRule="auto"/>
        <w:rPr>
          <w:sz w:val="20"/>
          <w:szCs w:val="20"/>
          <w:color w:val="auto"/>
        </w:rPr>
      </w:pPr>
      <w:r>
        <w:rPr>
          <w:rFonts w:ascii="Arial" w:cs="Arial" w:eastAsia="Arial" w:hAnsi="Arial"/>
          <w:sz w:val="15"/>
          <w:szCs w:val="15"/>
          <w:color w:val="auto"/>
        </w:rPr>
        <w:t>In addition, as we commercialize our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spacing w:after="0" w:line="99" w:lineRule="exact"/>
        <w:rPr>
          <w:sz w:val="20"/>
          <w:szCs w:val="20"/>
          <w:color w:val="auto"/>
        </w:rPr>
      </w:pPr>
    </w:p>
    <w:p>
      <w:pPr>
        <w:ind w:right="100" w:firstLine="303"/>
        <w:spacing w:after="0" w:line="270" w:lineRule="auto"/>
        <w:rPr>
          <w:sz w:val="20"/>
          <w:szCs w:val="20"/>
          <w:color w:val="auto"/>
        </w:rPr>
      </w:pPr>
      <w:r>
        <w:rPr>
          <w:rFonts w:ascii="Arial" w:cs="Arial" w:eastAsia="Arial" w:hAnsi="Arial"/>
          <w:sz w:val="17"/>
          <w:szCs w:val="17"/>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115" w:lineRule="exact"/>
        <w:rPr>
          <w:sz w:val="20"/>
          <w:szCs w:val="20"/>
          <w:color w:val="auto"/>
        </w:rPr>
      </w:pPr>
    </w:p>
    <w:p>
      <w:pPr>
        <w:ind w:right="440"/>
        <w:spacing w:after="0" w:line="270" w:lineRule="auto"/>
        <w:rPr>
          <w:sz w:val="20"/>
          <w:szCs w:val="20"/>
          <w:color w:val="auto"/>
        </w:rPr>
      </w:pPr>
      <w:r>
        <w:rPr>
          <w:rFonts w:ascii="Arial" w:cs="Arial" w:eastAsia="Arial" w:hAnsi="Arial"/>
          <w:sz w:val="17"/>
          <w:szCs w:val="17"/>
          <w:b w:val="1"/>
          <w:bCs w:val="1"/>
          <w:i w:val="1"/>
          <w:iCs w:val="1"/>
          <w:color w:val="auto"/>
        </w:rPr>
        <w:t>Our products could have defects or errors, which may give rise to claims against us, adversely affect market adoption of our Proteograph Product Suite, and adversely affect our business, financial condition, and results of operations.</w:t>
      </w:r>
    </w:p>
    <w:p>
      <w:pPr>
        <w:spacing w:after="0" w:line="115" w:lineRule="exact"/>
        <w:rPr>
          <w:sz w:val="20"/>
          <w:szCs w:val="20"/>
          <w:color w:val="auto"/>
        </w:rPr>
      </w:pPr>
    </w:p>
    <w:p>
      <w:pPr>
        <w:ind w:right="20" w:firstLine="303"/>
        <w:spacing w:after="0" w:line="255" w:lineRule="auto"/>
        <w:rPr>
          <w:sz w:val="20"/>
          <w:szCs w:val="20"/>
          <w:color w:val="auto"/>
        </w:rPr>
      </w:pPr>
      <w:r>
        <w:rPr>
          <w:rFonts w:ascii="Arial" w:cs="Arial" w:eastAsia="Arial" w:hAnsi="Arial"/>
          <w:sz w:val="17"/>
          <w:szCs w:val="17"/>
          <w:color w:val="auto"/>
        </w:rPr>
        <w:t>Our Proteograph Product Suite utilizes novel and complex technology and may develop or contain undetected defects or errors. We cannot assure you that material performance problems, defects, or errors will not arise, and as we commercialize our Proteograph, these risks may increase. We provide warranties that our products will meet performance expectations and will be free from material defects. The costs incurred in correcting any defects or errors may be substantial and could adversely affect our operating margins.</w:t>
      </w:r>
    </w:p>
    <w:p>
      <w:pPr>
        <w:spacing w:after="0" w:line="127" w:lineRule="exact"/>
        <w:rPr>
          <w:sz w:val="20"/>
          <w:szCs w:val="20"/>
          <w:color w:val="auto"/>
        </w:rPr>
      </w:pPr>
    </w:p>
    <w:p>
      <w:pPr>
        <w:ind w:firstLine="303"/>
        <w:spacing w:after="0" w:line="276" w:lineRule="auto"/>
        <w:rPr>
          <w:sz w:val="20"/>
          <w:szCs w:val="20"/>
          <w:color w:val="auto"/>
        </w:rPr>
      </w:pPr>
      <w:r>
        <w:rPr>
          <w:rFonts w:ascii="Arial" w:cs="Arial" w:eastAsia="Arial" w:hAnsi="Arial"/>
          <w:sz w:val="16"/>
          <w:szCs w:val="16"/>
          <w:color w:val="auto"/>
        </w:rPr>
        <w:t>In manufacturing our Proteograph Product Suite, we depend upon third parties for the supply of our instruments and various components, many of which require a significant degree of technical expertise to produce. If our suppliers fail to produce our SP100 automation instrument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If our Proteograph Product Suite contains defects, we may experience:</w:t>
      </w:r>
    </w:p>
    <w:p>
      <w:pPr>
        <w:spacing w:after="0" w:line="158" w:lineRule="exact"/>
        <w:rPr>
          <w:sz w:val="20"/>
          <w:szCs w:val="20"/>
          <w:color w:val="auto"/>
        </w:rPr>
      </w:pPr>
    </w:p>
    <w:p>
      <w:pPr>
        <w:ind w:left="600" w:hanging="297"/>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failure to achieve market acceptance for our Proteograph or expansion of our Proteograph Product Suite sales;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loss of customer orders and delay in order fulfillment;</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damage to our brand reputation;</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increased warranty and customer service and support costs due to product repair or replacement;</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product recalls or replacements;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inability to attract new customers;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diversion of resources from our manufacturing and research and development departments to our service department; and</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49" w:lineRule="exact"/>
        <w:rPr>
          <w:sz w:val="20"/>
          <w:szCs w:val="20"/>
          <w:color w:val="auto"/>
        </w:rPr>
      </w:pPr>
    </w:p>
    <w:p>
      <w:pPr>
        <w:ind w:right="140" w:firstLine="303"/>
        <w:spacing w:after="0" w:line="272" w:lineRule="auto"/>
        <w:rPr>
          <w:sz w:val="20"/>
          <w:szCs w:val="20"/>
          <w:color w:val="auto"/>
        </w:rPr>
      </w:pPr>
      <w:r>
        <w:rPr>
          <w:rFonts w:ascii="Arial" w:cs="Arial" w:eastAsia="Arial" w:hAnsi="Arial"/>
          <w:sz w:val="16"/>
          <w:szCs w:val="16"/>
          <w:color w:val="auto"/>
        </w:rPr>
        <w:t>In addition, we expect that our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or are defective, they may not be compatible or perform as intended with our Proteograph. In such case, the reliability, results and performance of our Proteograph may be compromised. The occurrence of any one or more of the foregoing may have a material adverse effect on our business, results of operations, financial condition and prospects.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If we do not successfully develop and deploy our Proteograph Analysis Suite, our commercialization efforts and therefore business and results of operations could suffer.</w:t>
      </w:r>
    </w:p>
    <w:p>
      <w:pPr>
        <w:spacing w:after="0" w:line="115" w:lineRule="exact"/>
        <w:rPr>
          <w:sz w:val="20"/>
          <w:szCs w:val="20"/>
          <w:color w:val="auto"/>
        </w:rPr>
      </w:pPr>
    </w:p>
    <w:p>
      <w:pPr>
        <w:ind w:right="140" w:firstLine="303"/>
        <w:spacing w:after="0" w:line="309" w:lineRule="auto"/>
        <w:rPr>
          <w:sz w:val="20"/>
          <w:szCs w:val="20"/>
          <w:color w:val="auto"/>
        </w:rPr>
      </w:pPr>
      <w:r>
        <w:rPr>
          <w:rFonts w:ascii="Arial" w:cs="Arial" w:eastAsia="Arial" w:hAnsi="Arial"/>
          <w:sz w:val="15"/>
          <w:szCs w:val="15"/>
          <w:color w:val="auto"/>
        </w:rPr>
        <w:t>The success of our Proteograph Product Suite depends, in part, on our ability to design and deploy our Proteograph Analysis Suite in a manner that enables the integration with our potential customers’ systems and accommodates our customers’ needs. Without our Proteograph Analysis Suite, quality control of the workflow and data analysis is less accessible and robust and can make it difficult for our customers to understand and evaluate the quality of their results.</w:t>
      </w:r>
    </w:p>
    <w:p>
      <w:pPr>
        <w:spacing w:after="0" w:line="90" w:lineRule="exact"/>
        <w:rPr>
          <w:sz w:val="20"/>
          <w:szCs w:val="20"/>
          <w:color w:val="auto"/>
        </w:rPr>
      </w:pPr>
    </w:p>
    <w:p>
      <w:pPr>
        <w:ind w:firstLine="303"/>
        <w:spacing w:after="0" w:line="269" w:lineRule="auto"/>
        <w:rPr>
          <w:sz w:val="20"/>
          <w:szCs w:val="20"/>
          <w:color w:val="auto"/>
        </w:rPr>
      </w:pPr>
      <w:r>
        <w:rPr>
          <w:rFonts w:ascii="Arial" w:cs="Arial" w:eastAsia="Arial" w:hAnsi="Arial"/>
          <w:sz w:val="16"/>
          <w:szCs w:val="16"/>
          <w:color w:val="auto"/>
        </w:rPr>
        <w:t>We have and will continue to spend significant amounts of effort developing our Proteograph Analysis Suite, and potential enhanced versions over time, to meet our customers’ and potential customers’ evolving needs. There is no assurance that the development or deployment of our Proteograph Analysis Suite, or any potential enhancements, will be compelling to our customers. In addition, we may experience delays in our release dates of our Proteograph Analysis Suite, and there can be no assurance that our Proteograph Analysis Suite will be released according to schedule. If our software development and deployment plan does not accurately anticipate customer demands or if we fail to develop our Proteograph Analysis Suite in a manner that satisfies customer preferences in a timely and cost-effective manner, our Proteograph Product Suite may fail to gain market acceptance. The occurrence of any one or more of the foregoing could negatively affect our business, financial condition, and results of operations.</w:t>
      </w:r>
    </w:p>
    <w:p>
      <w:pPr>
        <w:spacing w:after="0" w:line="120"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b w:val="1"/>
          <w:bCs w:val="1"/>
          <w:i w:val="1"/>
          <w:iCs w:val="1"/>
          <w:color w:val="auto"/>
        </w:rPr>
        <w:t>If we commercialize our Proteograph Product Suite outside of the United States, our international business could expose us to business, regulatory, political, operational, financial, and economic risks associated with doing business outside of the United States.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Engaging in international business inherently involves a number of difficulties and risks, including:</w:t>
      </w:r>
    </w:p>
    <w:p>
      <w:pPr>
        <w:spacing w:after="0" w:line="158" w:lineRule="exact"/>
        <w:rPr>
          <w:sz w:val="20"/>
          <w:szCs w:val="20"/>
          <w:color w:val="auto"/>
        </w:rPr>
      </w:pPr>
    </w:p>
    <w:p>
      <w:pPr>
        <w:ind w:left="600" w:right="60" w:hanging="297"/>
        <w:spacing w:after="0" w:line="276" w:lineRule="auto"/>
        <w:tabs>
          <w:tab w:leader="none" w:pos="596"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111" w:lineRule="exact"/>
        <w:rPr>
          <w:rFonts w:ascii="Arial" w:cs="Arial" w:eastAsia="Arial" w:hAnsi="Arial"/>
          <w:sz w:val="16"/>
          <w:szCs w:val="16"/>
          <w:color w:val="auto"/>
        </w:rPr>
      </w:pPr>
    </w:p>
    <w:p>
      <w:pPr>
        <w:ind w:left="600" w:right="520" w:hanging="297"/>
        <w:spacing w:after="0" w:line="270" w:lineRule="auto"/>
        <w:tabs>
          <w:tab w:leader="none" w:pos="596"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required compliance with U.S. laws such as the Foreign Corrupt Practices Act, and other U.S. federal laws and regulations established by the office of Foreign Asset Control;</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export requirements and import or trade restrictions;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laws and business practices favoring local companies;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foreign currency exchange, longer payment cycles and difficulties in enforcing agreements and collecting receivables through certain foreign legal systems;</w:t>
      </w:r>
    </w:p>
    <w:p>
      <w:pPr>
        <w:spacing w:after="0" w:line="180" w:lineRule="exact"/>
        <w:rPr>
          <w:rFonts w:ascii="Arial" w:cs="Arial" w:eastAsia="Arial" w:hAnsi="Arial"/>
          <w:sz w:val="15"/>
          <w:szCs w:val="15"/>
          <w:color w:val="auto"/>
        </w:rPr>
      </w:pPr>
    </w:p>
    <w:p>
      <w:pPr>
        <w:ind w:left="600" w:hanging="297"/>
        <w:spacing w:after="0" w:line="258" w:lineRule="auto"/>
        <w:tabs>
          <w:tab w:leader="none" w:pos="596"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26" w:lineRule="exact"/>
        <w:rPr>
          <w:rFonts w:ascii="Arial" w:cs="Arial" w:eastAsia="Arial" w:hAnsi="Arial"/>
          <w:sz w:val="17"/>
          <w:szCs w:val="17"/>
          <w:color w:val="auto"/>
        </w:rPr>
      </w:pPr>
    </w:p>
    <w:p>
      <w:pPr>
        <w:ind w:left="600" w:hanging="297"/>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potentially adverse tax consequences, tariffs, customs charges, bureaucratic requirements, and other trade barriers;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49" w:lineRule="exact"/>
        <w:rPr>
          <w:sz w:val="20"/>
          <w:szCs w:val="20"/>
          <w:color w:val="auto"/>
        </w:rPr>
      </w:pPr>
    </w:p>
    <w:p>
      <w:pPr>
        <w:ind w:left="600" w:hanging="297"/>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difficulties and costs of staffing and managing foreign operations; and</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difficulties protecting, maintaining, enforcing or procuring intellectual property rights.</w:t>
      </w:r>
    </w:p>
    <w:p>
      <w:pPr>
        <w:spacing w:after="0" w:line="158" w:lineRule="exact"/>
        <w:rPr>
          <w:sz w:val="20"/>
          <w:szCs w:val="20"/>
          <w:color w:val="auto"/>
        </w:rPr>
      </w:pPr>
    </w:p>
    <w:p>
      <w:pPr>
        <w:ind w:right="500" w:firstLine="303"/>
        <w:spacing w:after="0" w:line="270" w:lineRule="auto"/>
        <w:rPr>
          <w:sz w:val="20"/>
          <w:szCs w:val="20"/>
          <w:color w:val="auto"/>
        </w:rPr>
      </w:pPr>
      <w:r>
        <w:rPr>
          <w:rFonts w:ascii="Arial" w:cs="Arial" w:eastAsia="Arial" w:hAnsi="Arial"/>
          <w:sz w:val="17"/>
          <w:szCs w:val="17"/>
          <w:color w:val="auto"/>
        </w:rPr>
        <w:t>If one or more of these risks occurs, it could require us to dedicate significant resources to remedy such occurrence, and if we are unsuccessful in finding a solution, our financial results will suffer.</w:t>
      </w:r>
    </w:p>
    <w:p>
      <w:pPr>
        <w:spacing w:after="0" w:line="115" w:lineRule="exact"/>
        <w:rPr>
          <w:sz w:val="20"/>
          <w:szCs w:val="20"/>
          <w:color w:val="auto"/>
        </w:rPr>
      </w:pPr>
    </w:p>
    <w:p>
      <w:pPr>
        <w:ind w:right="440"/>
        <w:spacing w:after="0" w:line="282" w:lineRule="auto"/>
        <w:rPr>
          <w:sz w:val="20"/>
          <w:szCs w:val="20"/>
          <w:color w:val="auto"/>
        </w:rPr>
      </w:pPr>
      <w:r>
        <w:rPr>
          <w:rFonts w:ascii="Arial" w:cs="Arial" w:eastAsia="Arial" w:hAnsi="Arial"/>
          <w:sz w:val="16"/>
          <w:szCs w:val="16"/>
          <w:b w:val="1"/>
          <w:bCs w:val="1"/>
          <w:i w:val="1"/>
          <w:iCs w:val="1"/>
          <w:color w:val="auto"/>
        </w:rPr>
        <w:t>A portion of our international sales will be conducted through third-party distributors, and we will not control their efforts to sell our products. If our relationships with these third-party distributors cannot be established or deteriorate, or if these third-party distributors fail to sell our products, or engage in activities that harm our reputation, our results of operation and business may be negatively affected.</w:t>
      </w:r>
    </w:p>
    <w:p>
      <w:pPr>
        <w:spacing w:after="0" w:line="108" w:lineRule="exact"/>
        <w:rPr>
          <w:sz w:val="20"/>
          <w:szCs w:val="20"/>
          <w:color w:val="auto"/>
        </w:rPr>
      </w:pPr>
    </w:p>
    <w:p>
      <w:pPr>
        <w:ind w:right="140" w:firstLine="303"/>
        <w:spacing w:after="0" w:line="258" w:lineRule="auto"/>
        <w:rPr>
          <w:sz w:val="20"/>
          <w:szCs w:val="20"/>
          <w:color w:val="auto"/>
        </w:rPr>
      </w:pPr>
      <w:r>
        <w:rPr>
          <w:rFonts w:ascii="Arial" w:cs="Arial" w:eastAsia="Arial" w:hAnsi="Arial"/>
          <w:sz w:val="17"/>
          <w:szCs w:val="17"/>
          <w:color w:val="auto"/>
        </w:rPr>
        <w:t>Our current commercial model includes direct sales in the United States, and we plan to potentially build relationships with third party distributors in various countries to enable us to enter additional markets more efficiently. If we are unable to enter or maintain such distribution arrangements on acceptable terms, or at all, we may not be able to successfully commercialize our products in certain countries.</w:t>
      </w:r>
    </w:p>
    <w:p>
      <w:pPr>
        <w:spacing w:after="0" w:line="126" w:lineRule="exact"/>
        <w:rPr>
          <w:sz w:val="20"/>
          <w:szCs w:val="20"/>
          <w:color w:val="auto"/>
        </w:rPr>
      </w:pPr>
    </w:p>
    <w:p>
      <w:pPr>
        <w:ind w:right="80" w:firstLine="303"/>
        <w:spacing w:after="0" w:line="268" w:lineRule="auto"/>
        <w:rPr>
          <w:sz w:val="20"/>
          <w:szCs w:val="20"/>
          <w:color w:val="auto"/>
        </w:rPr>
      </w:pPr>
      <w:r>
        <w:rPr>
          <w:rFonts w:ascii="Arial" w:cs="Arial" w:eastAsia="Arial" w:hAnsi="Arial"/>
          <w:sz w:val="16"/>
          <w:szCs w:val="16"/>
          <w:color w:val="auto"/>
        </w:rPr>
        <w:t>Furthermore, distributors can choose the level of effort that they apply to selling our products relative to others in their portfolio. The selection, training, and compensation of distributors’ sales personnel are within their control rather than our own and may vary significantly in quality from distributor to distributor. They may experience their own financial difficulties, or distribution relationships may be terminated or allowed to expire, which could increase the cost of or impede commercialization of our products in applicable countries. Disputes may also arise between us and our distributors that result in the delay or termination of commercialization or that result in costly litigation or arbitration that diverts management’s attention and resources. Distributors may not properly maintain or defend our intellectual property rights or may use our intellectual property, and our confidential or proprietary information in such a way as to invite litigation that could jeopardize or invalidate our intellectual property rights, and confidential or proprietary information, and expose us to potential litigation. Distributors could move forward with competing products developed either independently or in collaboration with others, including our competitors.</w:t>
      </w:r>
    </w:p>
    <w:p>
      <w:pPr>
        <w:spacing w:after="0" w:line="122" w:lineRule="exact"/>
        <w:rPr>
          <w:sz w:val="20"/>
          <w:szCs w:val="20"/>
          <w:color w:val="auto"/>
        </w:rPr>
      </w:pPr>
    </w:p>
    <w:p>
      <w:pPr>
        <w:ind w:right="40" w:firstLine="303"/>
        <w:spacing w:after="0" w:line="255" w:lineRule="auto"/>
        <w:rPr>
          <w:sz w:val="20"/>
          <w:szCs w:val="20"/>
          <w:color w:val="auto"/>
        </w:rPr>
      </w:pPr>
      <w:r>
        <w:rPr>
          <w:rFonts w:ascii="Arial" w:cs="Arial" w:eastAsia="Arial" w:hAnsi="Arial"/>
          <w:sz w:val="17"/>
          <w:szCs w:val="17"/>
          <w:color w:val="auto"/>
        </w:rPr>
        <w:t>In addition, although we intend to require contract terms obligating our distributors to comply with all applicable laws regarding the sale of our products, including regulatory labelling, protection of personal data, U.S. export regulations and the U.S. Foreign Corrupt Practices Act (FCPA), we may not be able to ensure proper compliance. If our distributors fail to effectively market and sell our products in full compliance with applicable laws and regulations, our results of operations and business may suffer.</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life sciences technology market is highly competitive. If we fail to compete effectively, our business and results of operation will suffer.</w:t>
      </w:r>
    </w:p>
    <w:p>
      <w:pPr>
        <w:spacing w:after="0" w:line="169" w:lineRule="exact"/>
        <w:rPr>
          <w:sz w:val="20"/>
          <w:szCs w:val="20"/>
          <w:color w:val="auto"/>
        </w:rPr>
      </w:pPr>
    </w:p>
    <w:p>
      <w:pPr>
        <w:ind w:right="40" w:firstLine="303"/>
        <w:spacing w:after="0" w:line="253" w:lineRule="auto"/>
        <w:rPr>
          <w:sz w:val="20"/>
          <w:szCs w:val="20"/>
          <w:color w:val="auto"/>
        </w:rPr>
      </w:pPr>
      <w:r>
        <w:rPr>
          <w:rFonts w:ascii="Arial" w:cs="Arial" w:eastAsia="Arial" w:hAnsi="Arial"/>
          <w:sz w:val="17"/>
          <w:szCs w:val="17"/>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Bio-Rad Laboratories, Danaher, DiaSorin, Merck (and its subsidiary MilliporeSigma) and Thermo Fisher Scientific. We also compete with a number of emerging growth companies that have developed, or are developing, proteomic products and solutions, such as Nautilus Biotechnology, Olink Proteomics, Quanterix, Quantum-Si and SomaLogic.</w:t>
      </w:r>
    </w:p>
    <w:p>
      <w:pPr>
        <w:spacing w:after="0" w:line="130" w:lineRule="exact"/>
        <w:rPr>
          <w:sz w:val="20"/>
          <w:szCs w:val="20"/>
          <w:color w:val="auto"/>
        </w:rPr>
      </w:pPr>
    </w:p>
    <w:p>
      <w:pPr>
        <w:ind w:firstLine="303"/>
        <w:spacing w:after="0" w:line="270" w:lineRule="auto"/>
        <w:rPr>
          <w:sz w:val="20"/>
          <w:szCs w:val="20"/>
          <w:color w:val="auto"/>
        </w:rPr>
      </w:pPr>
      <w:r>
        <w:rPr>
          <w:rFonts w:ascii="Arial" w:cs="Arial" w:eastAsia="Arial" w:hAnsi="Arial"/>
          <w:sz w:val="17"/>
          <w:szCs w:val="17"/>
          <w:color w:val="auto"/>
        </w:rPr>
        <w:t>Some of our current competitors are large publicly-traded companies, or are divisions of large publicly-traded companies, and may enjoy a number of competitive advantages over us, including:</w:t>
      </w:r>
    </w:p>
    <w:p>
      <w:pPr>
        <w:spacing w:after="0" w:line="115" w:lineRule="exact"/>
        <w:rPr>
          <w:sz w:val="20"/>
          <w:szCs w:val="20"/>
          <w:color w:val="auto"/>
        </w:rPr>
      </w:pPr>
    </w:p>
    <w:p>
      <w:pPr>
        <w:ind w:left="600" w:hanging="297"/>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greater name and brand recognition;</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greater financial and human resources;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broader product lines;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larger sales forces and more established distributor networks;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substantial intellectual property portfolios;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 w:name="page51"/>
    <w:bookmarkEnd w:id="50"/>
    <w:p>
      <w:pPr>
        <w:spacing w:after="0" w:line="49" w:lineRule="exact"/>
        <w:rPr>
          <w:sz w:val="20"/>
          <w:szCs w:val="20"/>
          <w:color w:val="auto"/>
        </w:rPr>
      </w:pPr>
    </w:p>
    <w:p>
      <w:pPr>
        <w:ind w:left="600" w:hanging="297"/>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larger and more established customer bases and relationships; and</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better established, larger scale and lower cost manufacturing capabilities.</w:t>
      </w:r>
    </w:p>
    <w:p>
      <w:pPr>
        <w:spacing w:after="0" w:line="158" w:lineRule="exact"/>
        <w:rPr>
          <w:sz w:val="20"/>
          <w:szCs w:val="20"/>
          <w:color w:val="auto"/>
        </w:rPr>
      </w:pPr>
    </w:p>
    <w:p>
      <w:pPr>
        <w:ind w:right="20" w:firstLine="303"/>
        <w:spacing w:after="0" w:line="253" w:lineRule="auto"/>
        <w:rPr>
          <w:sz w:val="20"/>
          <w:szCs w:val="20"/>
          <w:color w:val="auto"/>
        </w:rPr>
      </w:pPr>
      <w:r>
        <w:rPr>
          <w:rFonts w:ascii="Arial" w:cs="Arial" w:eastAsia="Arial" w:hAnsi="Arial"/>
          <w:sz w:val="17"/>
          <w:szCs w:val="17"/>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30" w:lineRule="exact"/>
        <w:rPr>
          <w:sz w:val="20"/>
          <w:szCs w:val="20"/>
          <w:color w:val="auto"/>
        </w:rPr>
      </w:pPr>
    </w:p>
    <w:p>
      <w:pPr>
        <w:ind w:right="40" w:firstLine="303"/>
        <w:spacing w:after="0" w:line="272" w:lineRule="auto"/>
        <w:rPr>
          <w:sz w:val="20"/>
          <w:szCs w:val="20"/>
          <w:color w:val="auto"/>
        </w:rPr>
      </w:pPr>
      <w:r>
        <w:rPr>
          <w:rFonts w:ascii="Arial" w:cs="Arial" w:eastAsia="Arial" w:hAnsi="Arial"/>
          <w:sz w:val="16"/>
          <w:szCs w:val="16"/>
          <w:color w:val="auto"/>
        </w:rPr>
        <w:t>We cannot assure investors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investors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spacing w:after="0" w:line="117" w:lineRule="exact"/>
        <w:rPr>
          <w:sz w:val="20"/>
          <w:szCs w:val="20"/>
          <w:color w:val="auto"/>
        </w:rPr>
      </w:pPr>
    </w:p>
    <w:p>
      <w:pPr>
        <w:jc w:val="both"/>
        <w:ind w:right="20"/>
        <w:spacing w:after="0" w:line="258" w:lineRule="auto"/>
        <w:rPr>
          <w:sz w:val="20"/>
          <w:szCs w:val="20"/>
          <w:color w:val="auto"/>
        </w:rPr>
      </w:pPr>
      <w:r>
        <w:rPr>
          <w:rFonts w:ascii="Arial" w:cs="Arial" w:eastAsia="Arial" w:hAnsi="Arial"/>
          <w:sz w:val="17"/>
          <w:szCs w:val="17"/>
          <w:b w:val="1"/>
          <w:bCs w:val="1"/>
          <w:i w:val="1"/>
          <w:iCs w:val="1"/>
          <w:color w:val="auto"/>
        </w:rPr>
        <w:t>We are required by Section 404 of the Sarbanes-Oxley Act to evaluate the effectiveness of our internal control over financial reporting. If we are unable to achieve and maintain effective internal controls, our operating results and financial condition could be harmed and the market price of our Class A common stock may be negatively affected.</w:t>
      </w:r>
    </w:p>
    <w:p>
      <w:pPr>
        <w:spacing w:after="0" w:line="126" w:lineRule="exact"/>
        <w:rPr>
          <w:sz w:val="20"/>
          <w:szCs w:val="20"/>
          <w:color w:val="auto"/>
        </w:rPr>
      </w:pPr>
    </w:p>
    <w:p>
      <w:pPr>
        <w:ind w:right="140" w:firstLine="303"/>
        <w:spacing w:after="0" w:line="295" w:lineRule="auto"/>
        <w:rPr>
          <w:sz w:val="20"/>
          <w:szCs w:val="20"/>
          <w:color w:val="auto"/>
        </w:rPr>
      </w:pPr>
      <w:r>
        <w:rPr>
          <w:rFonts w:ascii="Arial" w:cs="Arial" w:eastAsia="Arial" w:hAnsi="Arial"/>
          <w:sz w:val="15"/>
          <w:szCs w:val="15"/>
          <w:color w:val="auto"/>
        </w:rPr>
        <w:t>As a public company with SEC reporting obligations, we are required to document and test our internal control procedures to satisfy the requirements of Section 404(b) of the Sarbanes-Oxley Act (SOX), which requires annual assessments by management of the effectiveness of our internal control over financial reporting. Although we currently qualify as an emerging growth company, we anticipate becoming a large accelerated filer on December 31, 2021. As such, our auditor will be required to attest to the effectiveness of our internal control over financial reporting beginning with our 2021 annual report on Form 10-K. We must implement and maintain substantial internal control systems and procedures to satisfy the reporting requirements under the Securities Exchange Act of 1934.</w:t>
      </w:r>
    </w:p>
    <w:p>
      <w:pPr>
        <w:spacing w:after="0" w:line="100" w:lineRule="exact"/>
        <w:rPr>
          <w:sz w:val="20"/>
          <w:szCs w:val="20"/>
          <w:color w:val="auto"/>
        </w:rPr>
      </w:pPr>
    </w:p>
    <w:p>
      <w:pPr>
        <w:ind w:right="140" w:firstLine="303"/>
        <w:spacing w:after="0" w:line="269" w:lineRule="auto"/>
        <w:rPr>
          <w:sz w:val="20"/>
          <w:szCs w:val="20"/>
          <w:color w:val="auto"/>
        </w:rPr>
      </w:pPr>
      <w:r>
        <w:rPr>
          <w:rFonts w:ascii="Arial" w:cs="Arial" w:eastAsia="Arial" w:hAnsi="Arial"/>
          <w:sz w:val="16"/>
          <w:szCs w:val="16"/>
          <w:color w:val="auto"/>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404(b) of SOX.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Class A common stock listing on Nasdaq to be suspended or terminated, which could have a negative effect on the trading price of our common stock.</w:t>
      </w:r>
    </w:p>
    <w:p>
      <w:pPr>
        <w:spacing w:after="0" w:line="120"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127" w:lineRule="exact"/>
        <w:rPr>
          <w:sz w:val="20"/>
          <w:szCs w:val="20"/>
          <w:color w:val="auto"/>
        </w:rPr>
      </w:pPr>
    </w:p>
    <w:p>
      <w:pPr>
        <w:ind w:right="260" w:firstLine="303"/>
        <w:spacing w:after="0" w:line="258" w:lineRule="auto"/>
        <w:rPr>
          <w:sz w:val="20"/>
          <w:szCs w:val="20"/>
          <w:color w:val="auto"/>
        </w:rPr>
      </w:pPr>
      <w:r>
        <w:rPr>
          <w:rFonts w:ascii="Arial" w:cs="Arial" w:eastAsia="Arial" w:hAnsi="Arial"/>
          <w:sz w:val="17"/>
          <w:szCs w:val="17"/>
          <w:color w:val="auto"/>
        </w:rPr>
        <w:t>To date, we have never conducted a review of our internal control for the purpose of providing the reports required by SOX. During our review and testing, we may identify deficiencies and be unable to remediate them before we must provide the required reports. In connection with the audit of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4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for the year ended December 31, 2019, we and our independent registered public accounting firm identified the following material weaknesses in our internal control over financial reporting, which remain unremediated:</w:t>
      </w:r>
    </w:p>
    <w:p>
      <w:pPr>
        <w:spacing w:after="0" w:line="115" w:lineRule="exact"/>
        <w:rPr>
          <w:sz w:val="20"/>
          <w:szCs w:val="20"/>
          <w:color w:val="auto"/>
        </w:rPr>
      </w:pPr>
    </w:p>
    <w:p>
      <w:pPr>
        <w:ind w:left="600" w:hanging="297"/>
        <w:spacing w:after="0"/>
        <w:tabs>
          <w:tab w:leader="none" w:pos="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there is insufficient accounting personnel to enable segregation of duties relating to the general ledger, disbursement, and certain accounting functions;</w:t>
      </w:r>
    </w:p>
    <w:p>
      <w:pPr>
        <w:spacing w:after="0" w:line="180" w:lineRule="exact"/>
        <w:rPr>
          <w:rFonts w:ascii="Arial" w:cs="Arial" w:eastAsia="Arial" w:hAnsi="Arial"/>
          <w:sz w:val="15"/>
          <w:szCs w:val="15"/>
          <w:color w:val="auto"/>
        </w:rPr>
      </w:pPr>
    </w:p>
    <w:p>
      <w:pPr>
        <w:ind w:left="600" w:right="60" w:hanging="297"/>
        <w:spacing w:after="0" w:line="270" w:lineRule="auto"/>
        <w:tabs>
          <w:tab w:leader="none" w:pos="59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there are not formalized processes or controls for account reconciliations, including independent review of such reconciliations, or related financial statement analysis prepared in conformity with generally accepted accounting principles in the United States (U.S. GAAP); and</w:t>
      </w:r>
    </w:p>
    <w:p>
      <w:pPr>
        <w:spacing w:after="0" w:line="114" w:lineRule="exact"/>
        <w:rPr>
          <w:rFonts w:ascii="Arial" w:cs="Arial" w:eastAsia="Arial" w:hAnsi="Arial"/>
          <w:sz w:val="17"/>
          <w:szCs w:val="17"/>
          <w:color w:val="auto"/>
        </w:rPr>
      </w:pPr>
    </w:p>
    <w:p>
      <w:pPr>
        <w:ind w:left="600" w:right="60" w:hanging="297"/>
        <w:spacing w:after="0" w:line="270" w:lineRule="auto"/>
        <w:tabs>
          <w:tab w:leader="none" w:pos="59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there is not a 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115" w:lineRule="exact"/>
        <w:rPr>
          <w:sz w:val="20"/>
          <w:szCs w:val="20"/>
          <w:color w:val="auto"/>
        </w:rPr>
      </w:pPr>
    </w:p>
    <w:p>
      <w:pPr>
        <w:ind w:right="160" w:firstLine="303"/>
        <w:spacing w:after="0" w:line="270"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consolidated financial statements will not be prevented or detected on a timely basis.</w:t>
      </w:r>
    </w:p>
    <w:p>
      <w:pPr>
        <w:spacing w:after="0" w:line="115" w:lineRule="exact"/>
        <w:rPr>
          <w:sz w:val="20"/>
          <w:szCs w:val="20"/>
          <w:color w:val="auto"/>
        </w:rPr>
      </w:pPr>
    </w:p>
    <w:p>
      <w:pPr>
        <w:ind w:firstLine="303"/>
        <w:spacing w:after="0" w:line="266" w:lineRule="auto"/>
        <w:rPr>
          <w:sz w:val="20"/>
          <w:szCs w:val="20"/>
          <w:color w:val="auto"/>
        </w:rPr>
      </w:pPr>
      <w:r>
        <w:rPr>
          <w:rFonts w:ascii="Arial" w:cs="Arial" w:eastAsia="Arial" w:hAnsi="Arial"/>
          <w:sz w:val="16"/>
          <w:szCs w:val="16"/>
          <w:color w:val="auto"/>
        </w:rPr>
        <w:t>We have begun to take certain actions to address the control deficiencies in our financial reporting, including hiring three finance department employees with appropriate expertise, including our Chief Financial Officer and our Controller, and retaining an accounting consulting firm to provide additional depth and breadth to our technical accounting and financial reporting capabilities. We have also begun to review and document our accounting and financial processes and internal controls, build out our financial management and reporting systems infrastructure, and further develop and formalize our accounting policies and financial reporting procedures, which includes ongoing senior management review and establishing our audit committee oversight. In addition, we have commenced work with a consulting firm to assist in the design effectiveness and testing of our internal controls and we plan to hire an additional four finance and accounting personnel during 2021 to assist in executing on these specific functions, of which we have hired two personnel as of June 30, 2021. While we have begun taking measures and plan to continue to take measures to design and implement an effective control environment, we cannot assure you that the measures we have taken to date and other remediation and internal control measures we implement in the future will be sufficient to remediate our current material weaknesses or prevent future material weaknesses. We may discover additional weaknesses in our system of internal financial and accounting controls and procedures that could result in a material misstatement of our consolidated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21" w:lineRule="exact"/>
        <w:rPr>
          <w:sz w:val="20"/>
          <w:szCs w:val="20"/>
          <w:color w:val="auto"/>
        </w:rPr>
      </w:pPr>
    </w:p>
    <w:p>
      <w:pPr>
        <w:ind w:right="80" w:firstLine="303"/>
        <w:spacing w:after="0" w:line="252" w:lineRule="auto"/>
        <w:rPr>
          <w:sz w:val="20"/>
          <w:szCs w:val="20"/>
          <w:color w:val="auto"/>
        </w:rPr>
      </w:pPr>
      <w:r>
        <w:rPr>
          <w:rFonts w:ascii="Arial" w:cs="Arial" w:eastAsia="Arial" w:hAnsi="Arial"/>
          <w:sz w:val="17"/>
          <w:szCs w:val="17"/>
          <w:color w:val="auto"/>
        </w:rPr>
        <w:t>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130" w:lineRule="exact"/>
        <w:rPr>
          <w:sz w:val="20"/>
          <w:szCs w:val="20"/>
          <w:color w:val="auto"/>
        </w:rPr>
      </w:pPr>
    </w:p>
    <w:p>
      <w:pPr>
        <w:ind w:right="420"/>
        <w:spacing w:after="0" w:line="270"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15" w:lineRule="exact"/>
        <w:rPr>
          <w:sz w:val="20"/>
          <w:szCs w:val="20"/>
          <w:color w:val="auto"/>
        </w:rPr>
      </w:pPr>
    </w:p>
    <w:p>
      <w:pPr>
        <w:ind w:right="260" w:firstLine="303"/>
        <w:spacing w:after="0" w:line="276"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49"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with Section 404(b) of SOX,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We will also be required to disclose material changes made in our internal controls over financing reporting and procedures on a quarterly basis and our management will be required to assess the effectiveness of these controls annually. As discussed above, we have identified material weaknesses in the past which we are in the process of remedying. However, our efforts to remediate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spacing w:after="0" w:line="120" w:lineRule="exact"/>
        <w:rPr>
          <w:sz w:val="20"/>
          <w:szCs w:val="20"/>
          <w:color w:val="auto"/>
        </w:rPr>
      </w:pPr>
    </w:p>
    <w:p>
      <w:pPr>
        <w:ind w:right="60" w:firstLine="303"/>
        <w:spacing w:after="0" w:line="253" w:lineRule="auto"/>
        <w:rPr>
          <w:sz w:val="20"/>
          <w:szCs w:val="20"/>
          <w:color w:val="auto"/>
        </w:rPr>
      </w:pPr>
      <w:r>
        <w:rPr>
          <w:rFonts w:ascii="Arial" w:cs="Arial" w:eastAsia="Arial" w:hAnsi="Arial"/>
          <w:sz w:val="17"/>
          <w:szCs w:val="17"/>
          <w:color w:val="auto"/>
        </w:rPr>
        <w:t>To achieve compliance with Section 404(a)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30" w:lineRule="exact"/>
        <w:rPr>
          <w:sz w:val="20"/>
          <w:szCs w:val="20"/>
          <w:color w:val="auto"/>
        </w:rPr>
      </w:pPr>
    </w:p>
    <w:p>
      <w:pPr>
        <w:ind w:right="140" w:firstLine="303"/>
        <w:spacing w:after="0" w:line="301" w:lineRule="auto"/>
        <w:rPr>
          <w:sz w:val="20"/>
          <w:szCs w:val="20"/>
          <w:color w:val="auto"/>
        </w:rPr>
      </w:pPr>
      <w:r>
        <w:rPr>
          <w:rFonts w:ascii="Arial" w:cs="Arial" w:eastAsia="Arial" w:hAnsi="Arial"/>
          <w:sz w:val="16"/>
          <w:szCs w:val="16"/>
          <w:color w:val="auto"/>
        </w:rPr>
        <w:t>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spacing w:after="0" w:line="93"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Class A common stock.</w:t>
      </w:r>
    </w:p>
    <w:p>
      <w:pPr>
        <w:spacing w:after="0" w:line="126" w:lineRule="exact"/>
        <w:rPr>
          <w:sz w:val="20"/>
          <w:szCs w:val="20"/>
          <w:color w:val="auto"/>
        </w:rPr>
      </w:pPr>
    </w:p>
    <w:p>
      <w:pPr>
        <w:ind w:right="40" w:firstLine="303"/>
        <w:spacing w:after="0" w:line="267"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amounts reported in our consolidated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Class A common stock.</w:t>
      </w:r>
    </w:p>
    <w:p>
      <w:pPr>
        <w:spacing w:after="0" w:line="122" w:lineRule="exact"/>
        <w:rPr>
          <w:sz w:val="20"/>
          <w:szCs w:val="20"/>
          <w:color w:val="auto"/>
        </w:rPr>
      </w:pPr>
    </w:p>
    <w:p>
      <w:pPr>
        <w:jc w:val="both"/>
        <w:ind w:right="60"/>
        <w:spacing w:after="0" w:line="258" w:lineRule="auto"/>
        <w:rPr>
          <w:sz w:val="20"/>
          <w:szCs w:val="20"/>
          <w:color w:val="auto"/>
        </w:rPr>
      </w:pPr>
      <w:r>
        <w:rPr>
          <w:rFonts w:ascii="Arial" w:cs="Arial" w:eastAsia="Arial" w:hAnsi="Arial"/>
          <w:sz w:val="17"/>
          <w:szCs w:val="17"/>
          <w:b w:val="1"/>
          <w:bCs w:val="1"/>
          <w:i w:val="1"/>
          <w:iCs w:val="1"/>
          <w:color w:val="auto"/>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26" w:lineRule="exact"/>
        <w:rPr>
          <w:sz w:val="20"/>
          <w:szCs w:val="20"/>
          <w:color w:val="auto"/>
        </w:rPr>
      </w:pPr>
    </w:p>
    <w:p>
      <w:pPr>
        <w:ind w:right="200" w:firstLine="303"/>
        <w:spacing w:after="0" w:line="253" w:lineRule="auto"/>
        <w:rPr>
          <w:sz w:val="20"/>
          <w:szCs w:val="20"/>
          <w:color w:val="auto"/>
        </w:rPr>
      </w:pPr>
      <w:r>
        <w:rPr>
          <w:rFonts w:ascii="Arial" w:cs="Arial" w:eastAsia="Arial" w:hAnsi="Arial"/>
          <w:sz w:val="17"/>
          <w:szCs w:val="17"/>
          <w:color w:val="auto"/>
        </w:rPr>
        <w:t>Our products are currently labeled and promoted, and are, and in the near-future will be, sold as research use only (RUO) products, primarily to academic and research institutions and research companies, and are not currently designed, or intended to be used, for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spacing w:after="0" w:line="130" w:lineRule="exact"/>
        <w:rPr>
          <w:sz w:val="20"/>
          <w:szCs w:val="20"/>
          <w:color w:val="auto"/>
        </w:rPr>
      </w:pPr>
    </w:p>
    <w:p>
      <w:pPr>
        <w:ind w:right="160" w:firstLine="303"/>
        <w:spacing w:after="0" w:line="270" w:lineRule="auto"/>
        <w:rPr>
          <w:sz w:val="20"/>
          <w:szCs w:val="20"/>
          <w:color w:val="auto"/>
        </w:rPr>
      </w:pPr>
      <w:r>
        <w:rPr>
          <w:rFonts w:ascii="Arial" w:cs="Arial" w:eastAsia="Arial" w:hAnsi="Arial"/>
          <w:sz w:val="17"/>
          <w:szCs w:val="17"/>
          <w:color w:val="auto"/>
        </w:rPr>
        <w:t>We may in the future register with the FDA as a medical device manufacturer and list some of our products with the FDA pursuant to an FDA Class I listing for general purpose laboratory equipment. While this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49" w:lineRule="exact"/>
        <w:rPr>
          <w:sz w:val="20"/>
          <w:szCs w:val="20"/>
          <w:color w:val="auto"/>
        </w:rPr>
      </w:pPr>
    </w:p>
    <w:p>
      <w:pPr>
        <w:ind w:right="460"/>
        <w:spacing w:after="0" w:line="276" w:lineRule="auto"/>
        <w:rPr>
          <w:sz w:val="20"/>
          <w:szCs w:val="20"/>
          <w:color w:val="auto"/>
        </w:rPr>
      </w:pPr>
      <w:r>
        <w:rPr>
          <w:rFonts w:ascii="Arial" w:cs="Arial" w:eastAsia="Arial" w:hAnsi="Arial"/>
          <w:sz w:val="16"/>
          <w:szCs w:val="16"/>
          <w:color w:val="auto"/>
        </w:rPr>
        <w:t>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12" w:lineRule="exact"/>
        <w:rPr>
          <w:sz w:val="20"/>
          <w:szCs w:val="20"/>
          <w:color w:val="auto"/>
        </w:rPr>
      </w:pPr>
    </w:p>
    <w:p>
      <w:pPr>
        <w:ind w:firstLine="303"/>
        <w:spacing w:after="0" w:line="266" w:lineRule="auto"/>
        <w:rPr>
          <w:sz w:val="20"/>
          <w:szCs w:val="20"/>
          <w:color w:val="auto"/>
        </w:rPr>
      </w:pPr>
      <w:r>
        <w:rPr>
          <w:rFonts w:ascii="Arial" w:cs="Arial" w:eastAsia="Arial" w:hAnsi="Arial"/>
          <w:sz w:val="16"/>
          <w:szCs w:val="16"/>
          <w:color w:val="auto"/>
        </w:rPr>
        <w:t xml:space="preserve">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21" w:lineRule="exact"/>
        <w:rPr>
          <w:sz w:val="20"/>
          <w:szCs w:val="20"/>
          <w:color w:val="auto"/>
        </w:rPr>
      </w:pPr>
    </w:p>
    <w:p>
      <w:pPr>
        <w:ind w:right="20" w:firstLine="303"/>
        <w:spacing w:after="0" w:line="290" w:lineRule="auto"/>
        <w:rPr>
          <w:sz w:val="20"/>
          <w:szCs w:val="20"/>
          <w:color w:val="auto"/>
        </w:rPr>
      </w:pPr>
      <w:r>
        <w:rPr>
          <w:rFonts w:ascii="Arial" w:cs="Arial" w:eastAsia="Arial" w:hAnsi="Arial"/>
          <w:sz w:val="15"/>
          <w:szCs w:val="15"/>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04" w:lineRule="exact"/>
        <w:rPr>
          <w:sz w:val="20"/>
          <w:szCs w:val="20"/>
          <w:color w:val="auto"/>
        </w:rPr>
      </w:pPr>
    </w:p>
    <w:p>
      <w:pPr>
        <w:ind w:right="60" w:firstLine="303"/>
        <w:spacing w:after="0" w:line="250"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49" w:lineRule="exact"/>
        <w:rPr>
          <w:sz w:val="20"/>
          <w:szCs w:val="20"/>
          <w:color w:val="auto"/>
        </w:rPr>
      </w:pPr>
    </w:p>
    <w:p>
      <w:pPr>
        <w:ind w:right="220"/>
        <w:spacing w:after="0" w:line="299" w:lineRule="auto"/>
        <w:rPr>
          <w:sz w:val="20"/>
          <w:szCs w:val="20"/>
          <w:color w:val="auto"/>
        </w:rPr>
      </w:pPr>
      <w:r>
        <w:rPr>
          <w:rFonts w:ascii="Arial" w:cs="Arial" w:eastAsia="Arial" w:hAnsi="Arial"/>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99" w:lineRule="exact"/>
        <w:rPr>
          <w:sz w:val="20"/>
          <w:szCs w:val="20"/>
          <w:color w:val="auto"/>
        </w:rPr>
      </w:pPr>
    </w:p>
    <w:p>
      <w:pPr>
        <w:ind w:right="120" w:firstLine="303"/>
        <w:spacing w:after="0" w:line="287" w:lineRule="auto"/>
        <w:rPr>
          <w:sz w:val="20"/>
          <w:szCs w:val="20"/>
          <w:color w:val="auto"/>
        </w:rPr>
      </w:pPr>
      <w:r>
        <w:rPr>
          <w:rFonts w:ascii="Arial" w:cs="Arial" w:eastAsia="Arial" w:hAnsi="Arial"/>
          <w:sz w:val="15"/>
          <w:szCs w:val="15"/>
          <w:color w:val="auto"/>
        </w:rPr>
        <w:t>We do not currently expect our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06" w:lineRule="exact"/>
        <w:rPr>
          <w:sz w:val="20"/>
          <w:szCs w:val="20"/>
          <w:color w:val="auto"/>
        </w:rPr>
      </w:pPr>
    </w:p>
    <w:p>
      <w:pPr>
        <w:ind w:right="20" w:firstLine="303"/>
        <w:spacing w:after="0" w:line="267" w:lineRule="auto"/>
        <w:rPr>
          <w:sz w:val="20"/>
          <w:szCs w:val="20"/>
          <w:color w:val="auto"/>
        </w:rPr>
      </w:pPr>
      <w:r>
        <w:rPr>
          <w:rFonts w:ascii="Arial" w:cs="Arial" w:eastAsia="Arial" w:hAnsi="Arial"/>
          <w:sz w:val="16"/>
          <w:szCs w:val="16"/>
          <w:color w:val="auto"/>
        </w:rPr>
        <w:t>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w:t>
      </w:r>
    </w:p>
    <w:p>
      <w:pPr>
        <w:spacing w:after="0" w:line="125" w:lineRule="exact"/>
        <w:rPr>
          <w:sz w:val="20"/>
          <w:szCs w:val="20"/>
          <w:color w:val="auto"/>
        </w:rPr>
      </w:pPr>
    </w:p>
    <w:p>
      <w:pPr>
        <w:ind w:firstLine="303"/>
        <w:spacing w:after="0" w:line="287" w:lineRule="auto"/>
        <w:rPr>
          <w:sz w:val="20"/>
          <w:szCs w:val="20"/>
          <w:color w:val="auto"/>
        </w:rPr>
      </w:pPr>
      <w:r>
        <w:rPr>
          <w:rFonts w:ascii="Arial" w:cs="Arial" w:eastAsia="Arial" w:hAnsi="Arial"/>
          <w:sz w:val="15"/>
          <w:szCs w:val="15"/>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110" w:lineRule="exact"/>
        <w:rPr>
          <w:sz w:val="20"/>
          <w:szCs w:val="20"/>
          <w:color w:val="auto"/>
        </w:rPr>
      </w:pPr>
    </w:p>
    <w:p>
      <w:pPr>
        <w:ind w:right="160" w:firstLine="303"/>
        <w:spacing w:after="0" w:line="255"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49"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08" w:lineRule="exact"/>
        <w:rPr>
          <w:sz w:val="20"/>
          <w:szCs w:val="20"/>
          <w:color w:val="auto"/>
        </w:rPr>
      </w:pPr>
    </w:p>
    <w:p>
      <w:pPr>
        <w:ind w:firstLine="303"/>
        <w:spacing w:after="0" w:line="267" w:lineRule="auto"/>
        <w:rPr>
          <w:sz w:val="20"/>
          <w:szCs w:val="20"/>
          <w:color w:val="auto"/>
        </w:rPr>
      </w:pPr>
      <w:r>
        <w:rPr>
          <w:rFonts w:ascii="Arial" w:cs="Arial" w:eastAsia="Arial" w:hAnsi="Arial"/>
          <w:sz w:val="16"/>
          <w:szCs w:val="16"/>
          <w:color w:val="auto"/>
        </w:rPr>
        <w:t>In August 2020,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The impact of this HHS rescission policy, including whether or how this policy will be implemented under the current administration, as well as other legislative, executive, and agency actions of the current administration remains unclear. The Biden administration has also issued a “regulatory freeze” memorandum that directs department and agency heads to review any new or pending rules of the prior administration. Any restrictions or heightened regulatory requirements on LDTs, IVDs, or RUO products by the FDA, HHS, Congress, or state regulatory authorities may decrease the demand for our products, increase our compliance costs, and negatively impact our business and profitability. We will continue to monitor and assess the impact of changing regulatory landscape on our business.</w:t>
      </w:r>
    </w:p>
    <w:p>
      <w:pPr>
        <w:spacing w:after="0" w:line="125" w:lineRule="exact"/>
        <w:rPr>
          <w:sz w:val="20"/>
          <w:szCs w:val="20"/>
          <w:color w:val="auto"/>
        </w:rPr>
      </w:pPr>
    </w:p>
    <w:p>
      <w:pPr>
        <w:ind w:right="500"/>
        <w:spacing w:after="0" w:line="301" w:lineRule="auto"/>
        <w:rPr>
          <w:sz w:val="20"/>
          <w:szCs w:val="20"/>
          <w:color w:val="auto"/>
        </w:rPr>
      </w:pPr>
      <w:r>
        <w:rPr>
          <w:rFonts w:ascii="Arial" w:cs="Arial" w:eastAsia="Arial" w:hAnsi="Arial"/>
          <w:sz w:val="16"/>
          <w:szCs w:val="16"/>
          <w:b w:val="1"/>
          <w:bCs w:val="1"/>
          <w:i w:val="1"/>
          <w:iCs w:val="1"/>
          <w:color w:val="auto"/>
        </w:rPr>
        <w:t>We may need to raise additional capital to fund commercialization plans for our Proteograph Product Suite, including manufacturing, sales and marketing activities, expand our investments in research, and develop and commercialize new products and applications.</w:t>
      </w:r>
    </w:p>
    <w:p>
      <w:pPr>
        <w:spacing w:after="0" w:line="93" w:lineRule="exact"/>
        <w:rPr>
          <w:sz w:val="20"/>
          <w:szCs w:val="20"/>
          <w:color w:val="auto"/>
        </w:rPr>
      </w:pPr>
    </w:p>
    <w:p>
      <w:pPr>
        <w:ind w:right="220" w:firstLine="303"/>
        <w:spacing w:after="0" w:line="253" w:lineRule="auto"/>
        <w:rPr>
          <w:sz w:val="20"/>
          <w:szCs w:val="20"/>
          <w:color w:val="auto"/>
        </w:rPr>
      </w:pPr>
      <w:r>
        <w:rPr>
          <w:rFonts w:ascii="Arial" w:cs="Arial" w:eastAsia="Arial" w:hAnsi="Arial"/>
          <w:sz w:val="17"/>
          <w:szCs w:val="17"/>
          <w:color w:val="auto"/>
        </w:rPr>
        <w:t>Based on our current plans, we believe that our current cash and cash equivalents and anticipated cash flow from operations will be sufficient to meet our anticipated cash requirements for at least twelve months from the date of this Quarterly Report. If our available cash resources and anticipated cash flow from operations are insufficient to satisfy our liquidity requirements including because of lower demand for our products or the realization of other risks described in this Quarterly Report, we may be required to raise additional capital prior to such time through issuances of equity or convertible debt securities, entrance into a credit facility or another form of third-party funding or seek other debt financing.</w:t>
      </w:r>
    </w:p>
    <w:p>
      <w:pPr>
        <w:spacing w:after="0" w:line="130" w:lineRule="exact"/>
        <w:rPr>
          <w:sz w:val="20"/>
          <w:szCs w:val="20"/>
          <w:color w:val="auto"/>
        </w:rPr>
      </w:pPr>
    </w:p>
    <w:p>
      <w:pPr>
        <w:ind w:right="40" w:firstLine="303"/>
        <w:spacing w:after="0" w:line="270" w:lineRule="auto"/>
        <w:rPr>
          <w:sz w:val="20"/>
          <w:szCs w:val="20"/>
          <w:color w:val="auto"/>
        </w:rPr>
      </w:pPr>
      <w:r>
        <w:rPr>
          <w:rFonts w:ascii="Arial" w:cs="Arial" w:eastAsia="Arial" w:hAnsi="Arial"/>
          <w:sz w:val="17"/>
          <w:szCs w:val="17"/>
          <w:color w:val="auto"/>
        </w:rPr>
        <w:t>We will consider raising additional capital in the future to expand our business, to pursue strategic investments, to take advantage of financing opportunities or for other reasons, including:</w:t>
      </w:r>
    </w:p>
    <w:p>
      <w:pPr>
        <w:spacing w:after="0" w:line="115" w:lineRule="exact"/>
        <w:rPr>
          <w:sz w:val="20"/>
          <w:szCs w:val="20"/>
          <w:color w:val="auto"/>
        </w:rPr>
      </w:pPr>
    </w:p>
    <w:p>
      <w:pPr>
        <w:ind w:left="600" w:hanging="297"/>
        <w:spacing w:after="0"/>
        <w:tabs>
          <w:tab w:leader="none" w:pos="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increasing our sales and marketing and other commercialization efforts to drive market adoption of our Proteograph Product Suite, once commercialized;</w:t>
      </w:r>
    </w:p>
    <w:p>
      <w:pPr>
        <w:spacing w:after="0" w:line="180" w:lineRule="exact"/>
        <w:rPr>
          <w:rFonts w:ascii="Arial" w:cs="Arial" w:eastAsia="Arial" w:hAnsi="Arial"/>
          <w:sz w:val="15"/>
          <w:szCs w:val="15"/>
          <w:color w:val="auto"/>
        </w:rPr>
      </w:pPr>
    </w:p>
    <w:p>
      <w:pPr>
        <w:ind w:left="600" w:hanging="297"/>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funding development and marketing efforts of our Proteograph Product Suite or any other future products;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expanding our technologies into additional markets;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acquiring, licensing or investing in technologies and other intellectual property rights;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acquiring or investing in complementary businesses or assets; and</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financing capital expenditures and general and administrative expenses.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present and future funding requirements will depend on many factors, including:</w:t>
      </w:r>
    </w:p>
    <w:p>
      <w:pPr>
        <w:spacing w:after="0" w:line="158" w:lineRule="exact"/>
        <w:rPr>
          <w:sz w:val="20"/>
          <w:szCs w:val="20"/>
          <w:color w:val="auto"/>
        </w:rPr>
      </w:pPr>
    </w:p>
    <w:p>
      <w:pPr>
        <w:ind w:left="600" w:right="260" w:hanging="297"/>
        <w:spacing w:after="0" w:line="270" w:lineRule="auto"/>
        <w:tabs>
          <w:tab w:leader="none" w:pos="596"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rate of progress in commercializing our Proteograph Product Suite and new products, and the cost of the sales and marketing activities associated with establishing adoption of our products;</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rate of progress in, and cost of research and development activities associated with, products in research and development; and</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49" w:lineRule="exact"/>
        <w:rPr>
          <w:sz w:val="20"/>
          <w:szCs w:val="20"/>
          <w:color w:val="auto"/>
        </w:rPr>
      </w:pPr>
    </w:p>
    <w:p>
      <w:pPr>
        <w:ind w:right="80" w:firstLine="303"/>
        <w:spacing w:after="0" w:line="253" w:lineRule="auto"/>
        <w:rPr>
          <w:sz w:val="20"/>
          <w:szCs w:val="20"/>
          <w:color w:val="auto"/>
        </w:rPr>
      </w:pPr>
      <w:r>
        <w:rPr>
          <w:rFonts w:ascii="Arial" w:cs="Arial" w:eastAsia="Arial" w:hAnsi="Arial"/>
          <w:sz w:val="17"/>
          <w:szCs w:val="17"/>
          <w:color w:val="auto"/>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30" w:lineRule="exact"/>
        <w:rPr>
          <w:sz w:val="20"/>
          <w:szCs w:val="20"/>
          <w:color w:val="auto"/>
        </w:rPr>
      </w:pPr>
    </w:p>
    <w:p>
      <w:pPr>
        <w:jc w:val="both"/>
        <w:ind w:firstLine="303"/>
        <w:spacing w:after="0" w:line="258" w:lineRule="auto"/>
        <w:rPr>
          <w:sz w:val="20"/>
          <w:szCs w:val="20"/>
          <w:color w:val="auto"/>
        </w:rPr>
      </w:pPr>
      <w:r>
        <w:rPr>
          <w:rFonts w:ascii="Arial" w:cs="Arial" w:eastAsia="Arial" w:hAnsi="Arial"/>
          <w:sz w:val="17"/>
          <w:szCs w:val="17"/>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26" w:lineRule="exact"/>
        <w:rPr>
          <w:sz w:val="20"/>
          <w:szCs w:val="20"/>
          <w:color w:val="auto"/>
        </w:rPr>
      </w:pPr>
    </w:p>
    <w:p>
      <w:pPr>
        <w:jc w:val="both"/>
        <w:ind w:right="100"/>
        <w:spacing w:after="0" w:line="270" w:lineRule="auto"/>
        <w:rPr>
          <w:sz w:val="20"/>
          <w:szCs w:val="20"/>
          <w:color w:val="auto"/>
        </w:rPr>
      </w:pPr>
      <w:r>
        <w:rPr>
          <w:rFonts w:ascii="Arial" w:cs="Arial" w:eastAsia="Arial" w:hAnsi="Arial"/>
          <w:sz w:val="17"/>
          <w:szCs w:val="17"/>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15" w:lineRule="exact"/>
        <w:rPr>
          <w:sz w:val="20"/>
          <w:szCs w:val="20"/>
          <w:color w:val="auto"/>
        </w:rPr>
      </w:pPr>
    </w:p>
    <w:p>
      <w:pPr>
        <w:jc w:val="both"/>
        <w:ind w:right="80" w:firstLine="303"/>
        <w:spacing w:after="0" w:line="253" w:lineRule="auto"/>
        <w:rPr>
          <w:sz w:val="20"/>
          <w:szCs w:val="20"/>
          <w:color w:val="auto"/>
        </w:rPr>
      </w:pPr>
      <w:r>
        <w:rPr>
          <w:rFonts w:ascii="Arial" w:cs="Arial" w:eastAsia="Arial" w:hAnsi="Arial"/>
          <w:sz w:val="17"/>
          <w:szCs w:val="17"/>
          <w:color w:val="auto"/>
        </w:rPr>
        <w:t>We may in the future seek to acquire or invest in businesses, applications or technologies that we believe could complement or expand our Proteograph Product Suite or future products,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30" w:lineRule="exact"/>
        <w:rPr>
          <w:sz w:val="20"/>
          <w:szCs w:val="20"/>
          <w:color w:val="auto"/>
        </w:rPr>
      </w:pPr>
    </w:p>
    <w:p>
      <w:pPr>
        <w:ind w:right="20" w:firstLine="303"/>
        <w:spacing w:after="0" w:line="276" w:lineRule="auto"/>
        <w:rPr>
          <w:sz w:val="20"/>
          <w:szCs w:val="20"/>
          <w:color w:val="auto"/>
        </w:rPr>
      </w:pPr>
      <w:r>
        <w:rPr>
          <w:rFonts w:ascii="Arial" w:cs="Arial" w:eastAsia="Arial" w:hAnsi="Arial"/>
          <w:sz w:val="16"/>
          <w:szCs w:val="16"/>
          <w:color w:val="auto"/>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realize the benefits of PrognomIQ as a separate healthcare company in the area of disease testing.</w:t>
      </w:r>
    </w:p>
    <w:p>
      <w:pPr>
        <w:spacing w:after="0" w:line="158" w:lineRule="exact"/>
        <w:rPr>
          <w:sz w:val="20"/>
          <w:szCs w:val="20"/>
          <w:color w:val="auto"/>
        </w:rPr>
      </w:pPr>
    </w:p>
    <w:p>
      <w:pPr>
        <w:jc w:val="both"/>
        <w:ind w:right="120" w:firstLine="303"/>
        <w:spacing w:after="0" w:line="282" w:lineRule="auto"/>
        <w:rPr>
          <w:sz w:val="20"/>
          <w:szCs w:val="20"/>
          <w:color w:val="auto"/>
        </w:rPr>
      </w:pPr>
      <w:r>
        <w:rPr>
          <w:rFonts w:ascii="Arial" w:cs="Arial" w:eastAsia="Arial" w:hAnsi="Arial"/>
          <w:sz w:val="16"/>
          <w:szCs w:val="16"/>
          <w:color w:val="auto"/>
        </w:rPr>
        <w:t>In August 2020, we transferred certain assets to PrognomIQ, as a separate healthcare company to help enable the growth of ecosystems around new applications that leverage our Proteograph solution for unbiased, deep and large-scale proteomic information. We continue to hold approximately 19% of the outstanding capital stock of PrognomIQ. We may not realize the potential benefits of forming PrognomIQ for a variety of reasons, including:</w:t>
      </w:r>
    </w:p>
    <w:p>
      <w:pPr>
        <w:spacing w:after="0" w:line="108" w:lineRule="exact"/>
        <w:rPr>
          <w:sz w:val="20"/>
          <w:szCs w:val="20"/>
          <w:color w:val="auto"/>
        </w:rPr>
      </w:pPr>
    </w:p>
    <w:p>
      <w:pPr>
        <w:ind w:left="600" w:hanging="297"/>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PrognomIQ may be unable to successfully develop viable testing products;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PrognomIQ’s business may not help demonstrate the value of our Proteograph;</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 inability to reach agreement with PrognomIQ on future commercial arrangements;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PrognomIQ may not become a meaningful customer of ours;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PrognomIQ may need to raise additional funding in the future and be unable to do so; and</w:t>
      </w:r>
    </w:p>
    <w:p>
      <w:pPr>
        <w:spacing w:after="0" w:line="157" w:lineRule="exact"/>
        <w:rPr>
          <w:rFonts w:ascii="Arial" w:cs="Arial" w:eastAsia="Arial" w:hAnsi="Arial"/>
          <w:sz w:val="17"/>
          <w:szCs w:val="17"/>
          <w:color w:val="auto"/>
        </w:rPr>
      </w:pPr>
    </w:p>
    <w:p>
      <w:pPr>
        <w:ind w:left="600" w:right="360" w:hanging="297"/>
        <w:spacing w:after="0" w:line="270" w:lineRule="auto"/>
        <w:tabs>
          <w:tab w:leader="none" w:pos="596"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formation of PrognomIQ and our continuing equity position in PrognomIQ may add complexities to our business from a finance, tax and accounting perspective.</w:t>
      </w:r>
    </w:p>
    <w:p>
      <w:pPr>
        <w:spacing w:after="0" w:line="115" w:lineRule="exact"/>
        <w:rPr>
          <w:sz w:val="20"/>
          <w:szCs w:val="20"/>
          <w:color w:val="auto"/>
        </w:rPr>
      </w:pPr>
    </w:p>
    <w:p>
      <w:pPr>
        <w:ind w:right="260" w:firstLine="303"/>
        <w:spacing w:after="0" w:line="270" w:lineRule="auto"/>
        <w:rPr>
          <w:sz w:val="20"/>
          <w:szCs w:val="20"/>
          <w:color w:val="auto"/>
        </w:rPr>
      </w:pPr>
      <w:r>
        <w:rPr>
          <w:rFonts w:ascii="Arial" w:cs="Arial" w:eastAsia="Arial" w:hAnsi="Arial"/>
          <w:sz w:val="17"/>
          <w:szCs w:val="17"/>
          <w:color w:val="auto"/>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62" w:lineRule="exact"/>
        <w:rPr>
          <w:sz w:val="20"/>
          <w:szCs w:val="20"/>
          <w:color w:val="auto"/>
        </w:rPr>
      </w:pPr>
    </w:p>
    <w:p>
      <w:pPr>
        <w:ind w:right="360"/>
        <w:spacing w:after="0" w:line="270" w:lineRule="auto"/>
        <w:rPr>
          <w:sz w:val="20"/>
          <w:szCs w:val="20"/>
          <w:color w:val="auto"/>
        </w:rPr>
      </w:pPr>
      <w:r>
        <w:rPr>
          <w:rFonts w:ascii="Arial" w:cs="Arial" w:eastAsia="Arial" w:hAnsi="Arial"/>
          <w:sz w:val="17"/>
          <w:szCs w:val="17"/>
          <w:b w:val="1"/>
          <w:bCs w:val="1"/>
          <w:i w:val="1"/>
          <w:iCs w:val="1"/>
          <w:color w:val="auto"/>
        </w:rPr>
        <w:t>If we are unable to obtain and maintain sufficient intellectual property protection for our products and technology, or if the scope of the intellectual property protection obtained is not sufficiently broad,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7" w:name="page58"/>
    <w:bookmarkEnd w:id="57"/>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competitors could develop and commercialize products similar or identical to ours, and our ability to successfully commercialize our products may be impaired.</w:t>
      </w:r>
    </w:p>
    <w:p>
      <w:pPr>
        <w:spacing w:after="0" w:line="192" w:lineRule="exact"/>
        <w:rPr>
          <w:sz w:val="20"/>
          <w:szCs w:val="20"/>
          <w:color w:val="auto"/>
        </w:rPr>
      </w:pPr>
    </w:p>
    <w:p>
      <w:pPr>
        <w:ind w:firstLine="303"/>
        <w:spacing w:after="0" w:line="276" w:lineRule="auto"/>
        <w:rPr>
          <w:sz w:val="20"/>
          <w:szCs w:val="20"/>
          <w:color w:val="auto"/>
        </w:rPr>
      </w:pPr>
      <w:r>
        <w:rPr>
          <w:rFonts w:ascii="Arial" w:cs="Arial" w:eastAsia="Arial" w:hAnsi="Arial"/>
          <w:sz w:val="16"/>
          <w:szCs w:val="16"/>
          <w:color w:val="auto"/>
        </w:rPr>
        <w:t>We rely on patent protection as well as trademark, copyright, trade secret and other intellectual property rights protection and contractual restrictions to protect our proprietary products and technologies, all of which provide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litigation costs in our attempts to recover or restrict use of our intellectual property.</w:t>
      </w:r>
    </w:p>
    <w:p>
      <w:pPr>
        <w:spacing w:after="0" w:line="112" w:lineRule="exact"/>
        <w:rPr>
          <w:sz w:val="20"/>
          <w:szCs w:val="20"/>
          <w:color w:val="auto"/>
        </w:rPr>
      </w:pPr>
    </w:p>
    <w:p>
      <w:pPr>
        <w:ind w:right="340" w:firstLine="303"/>
        <w:spacing w:after="0" w:line="255" w:lineRule="auto"/>
        <w:rPr>
          <w:sz w:val="20"/>
          <w:szCs w:val="20"/>
          <w:color w:val="auto"/>
        </w:rPr>
      </w:pPr>
      <w:r>
        <w:rPr>
          <w:rFonts w:ascii="Arial" w:cs="Arial" w:eastAsia="Arial" w:hAnsi="Arial"/>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can be time-consuming and expensive.</w:t>
      </w:r>
    </w:p>
    <w:p>
      <w:pPr>
        <w:spacing w:after="0" w:line="127" w:lineRule="exact"/>
        <w:rPr>
          <w:sz w:val="20"/>
          <w:szCs w:val="20"/>
          <w:color w:val="auto"/>
        </w:rPr>
      </w:pPr>
    </w:p>
    <w:p>
      <w:pPr>
        <w:ind w:right="80" w:firstLine="303"/>
        <w:spacing w:after="0" w:line="267" w:lineRule="auto"/>
        <w:rPr>
          <w:sz w:val="20"/>
          <w:szCs w:val="20"/>
          <w:color w:val="auto"/>
        </w:rPr>
      </w:pPr>
      <w:r>
        <w:rPr>
          <w:rFonts w:ascii="Arial" w:cs="Arial" w:eastAsia="Arial" w:hAnsi="Arial"/>
          <w:sz w:val="16"/>
          <w:szCs w:val="16"/>
          <w:color w:val="auto"/>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spacing w:after="0" w:line="122" w:lineRule="exact"/>
        <w:rPr>
          <w:sz w:val="20"/>
          <w:szCs w:val="20"/>
          <w:color w:val="auto"/>
        </w:rPr>
      </w:pPr>
    </w:p>
    <w:p>
      <w:pPr>
        <w:ind w:firstLine="303"/>
        <w:spacing w:after="0" w:line="285" w:lineRule="auto"/>
        <w:rPr>
          <w:sz w:val="20"/>
          <w:szCs w:val="20"/>
          <w:color w:val="auto"/>
        </w:rPr>
      </w:pPr>
      <w:r>
        <w:rPr>
          <w:rFonts w:ascii="Arial" w:cs="Arial" w:eastAsia="Arial" w:hAnsi="Arial"/>
          <w:sz w:val="15"/>
          <w:szCs w:val="15"/>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49"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15" w:lineRule="exact"/>
        <w:rPr>
          <w:sz w:val="20"/>
          <w:szCs w:val="20"/>
          <w:color w:val="auto"/>
        </w:rPr>
      </w:pPr>
    </w:p>
    <w:p>
      <w:pPr>
        <w:ind w:right="80" w:firstLine="303"/>
        <w:spacing w:after="0" w:line="267" w:lineRule="auto"/>
        <w:rPr>
          <w:sz w:val="20"/>
          <w:szCs w:val="20"/>
          <w:color w:val="auto"/>
        </w:rPr>
      </w:pPr>
      <w:r>
        <w:rPr>
          <w:rFonts w:ascii="Arial" w:cs="Arial" w:eastAsia="Arial" w:hAnsi="Arial"/>
          <w:sz w:val="16"/>
          <w:szCs w:val="16"/>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25" w:lineRule="exact"/>
        <w:rPr>
          <w:sz w:val="20"/>
          <w:szCs w:val="20"/>
          <w:color w:val="auto"/>
        </w:rPr>
      </w:pPr>
    </w:p>
    <w:p>
      <w:pPr>
        <w:ind w:firstLine="303"/>
        <w:spacing w:after="0" w:line="252" w:lineRule="auto"/>
        <w:rPr>
          <w:sz w:val="20"/>
          <w:szCs w:val="20"/>
          <w:color w:val="auto"/>
        </w:rPr>
      </w:pPr>
      <w:r>
        <w:rPr>
          <w:rFonts w:ascii="Arial" w:cs="Arial" w:eastAsia="Arial" w:hAnsi="Arial"/>
          <w:sz w:val="17"/>
          <w:szCs w:val="17"/>
          <w:color w:val="auto"/>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spacing w:after="0" w:line="130" w:lineRule="exact"/>
        <w:rPr>
          <w:sz w:val="20"/>
          <w:szCs w:val="20"/>
          <w:color w:val="auto"/>
        </w:rPr>
      </w:pPr>
    </w:p>
    <w:p>
      <w:pPr>
        <w:ind w:right="40" w:firstLine="303"/>
        <w:spacing w:after="0" w:line="253" w:lineRule="auto"/>
        <w:rPr>
          <w:sz w:val="20"/>
          <w:szCs w:val="20"/>
          <w:color w:val="auto"/>
        </w:rPr>
      </w:pPr>
      <w:r>
        <w:rPr>
          <w:rFonts w:ascii="Arial" w:cs="Arial" w:eastAsia="Arial" w:hAnsi="Arial"/>
          <w:sz w:val="17"/>
          <w:szCs w:val="17"/>
          <w:color w:val="auto"/>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30" w:lineRule="exact"/>
        <w:rPr>
          <w:sz w:val="20"/>
          <w:szCs w:val="20"/>
          <w:color w:val="auto"/>
        </w:rPr>
      </w:pPr>
    </w:p>
    <w:p>
      <w:pPr>
        <w:ind w:right="40" w:firstLine="303"/>
        <w:spacing w:after="0" w:line="299" w:lineRule="auto"/>
        <w:rPr>
          <w:sz w:val="20"/>
          <w:szCs w:val="20"/>
          <w:color w:val="auto"/>
        </w:rPr>
      </w:pPr>
      <w:r>
        <w:rPr>
          <w:rFonts w:ascii="Arial" w:cs="Arial" w:eastAsia="Arial" w:hAnsi="Arial"/>
          <w:sz w:val="15"/>
          <w:szCs w:val="15"/>
          <w:color w:val="auto"/>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158" w:lineRule="exact"/>
        <w:rPr>
          <w:sz w:val="20"/>
          <w:szCs w:val="20"/>
          <w:color w:val="auto"/>
        </w:rPr>
      </w:pPr>
    </w:p>
    <w:p>
      <w:pPr>
        <w:ind w:right="480" w:firstLine="303"/>
        <w:spacing w:after="0" w:line="301" w:lineRule="auto"/>
        <w:rPr>
          <w:sz w:val="20"/>
          <w:szCs w:val="20"/>
          <w:color w:val="auto"/>
        </w:rPr>
      </w:pPr>
      <w:r>
        <w:rPr>
          <w:rFonts w:ascii="Arial" w:cs="Arial" w:eastAsia="Arial" w:hAnsi="Arial"/>
          <w:sz w:val="16"/>
          <w:szCs w:val="16"/>
          <w:color w:val="auto"/>
        </w:rPr>
        <w:t>Filing, prosecuting and defending patents on our Proteograph Product Suite in all countries throughout the world would be prohibitively expensive, and our intellectual property rights in some countries outside the United States can be less extensive than those in the United States.</w:t>
      </w:r>
    </w:p>
    <w:p>
      <w:pPr>
        <w:spacing w:after="0" w:line="93" w:lineRule="exact"/>
        <w:rPr>
          <w:sz w:val="20"/>
          <w:szCs w:val="20"/>
          <w:color w:val="auto"/>
        </w:rPr>
      </w:pPr>
    </w:p>
    <w:p>
      <w:pPr>
        <w:ind w:firstLine="303"/>
        <w:spacing w:after="0" w:line="270"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and we and our licensor may encounter difficulties in protecting and defending such rights in foreign jurisdictions. Consequently, we and our licensor may not be able to prevent third parties from practicing our inventions in some or all countries outside the United States, or from selling or importing products made using our or our licensor’s inventions in and into the United States or other jurisdictions. Competitors and other third parties may use our technologies in jurisdictions where we have not obtained patent protection to develop their own products and technologies and may also export infringing products to territories where we have patent protection, but enforcement is not as strong as that in the United States. These products may compete with our products.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49"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27" w:lineRule="exact"/>
        <w:rPr>
          <w:sz w:val="20"/>
          <w:szCs w:val="20"/>
          <w:color w:val="auto"/>
        </w:rPr>
      </w:pPr>
    </w:p>
    <w:p>
      <w:pPr>
        <w:ind w:right="60" w:firstLine="303"/>
        <w:spacing w:after="0" w:line="25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32" w:lineRule="exact"/>
        <w:rPr>
          <w:sz w:val="20"/>
          <w:szCs w:val="20"/>
          <w:color w:val="auto"/>
        </w:rPr>
      </w:pPr>
    </w:p>
    <w:p>
      <w:pPr>
        <w:ind w:right="100" w:firstLine="303"/>
        <w:spacing w:after="0" w:line="268" w:lineRule="auto"/>
        <w:rPr>
          <w:sz w:val="20"/>
          <w:szCs w:val="20"/>
          <w:color w:val="auto"/>
        </w:rPr>
      </w:pPr>
      <w:r>
        <w:rPr>
          <w:rFonts w:ascii="Arial" w:cs="Arial" w:eastAsia="Arial" w:hAnsi="Arial"/>
          <w:sz w:val="16"/>
          <w:szCs w:val="16"/>
          <w:color w:val="auto"/>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Issued patents covering our products could be found invalid or unenforceable if challenged.</w:t>
      </w:r>
    </w:p>
    <w:p>
      <w:pPr>
        <w:spacing w:after="0" w:line="158" w:lineRule="exact"/>
        <w:rPr>
          <w:sz w:val="20"/>
          <w:szCs w:val="20"/>
          <w:color w:val="auto"/>
        </w:rPr>
      </w:pPr>
    </w:p>
    <w:p>
      <w:pPr>
        <w:ind w:firstLine="303"/>
        <w:spacing w:after="0" w:line="284" w:lineRule="auto"/>
        <w:rPr>
          <w:sz w:val="20"/>
          <w:szCs w:val="20"/>
          <w:color w:val="auto"/>
        </w:rPr>
      </w:pPr>
      <w:r>
        <w:rPr>
          <w:rFonts w:ascii="Arial" w:cs="Arial" w:eastAsia="Arial" w:hAnsi="Arial"/>
          <w:sz w:val="15"/>
          <w:szCs w:val="15"/>
          <w:color w:val="auto"/>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may be challenged at a future point in time in opposition, derivation, 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Arial" w:cs="Arial" w:eastAsia="Arial" w:hAnsi="Arial"/>
          <w:sz w:val="15"/>
          <w:szCs w:val="15"/>
          <w:i w:val="1"/>
          <w:iCs w:val="1"/>
          <w:color w:val="auto"/>
        </w:rPr>
        <w:t>ex parte</w:t>
      </w:r>
      <w:r>
        <w:rPr>
          <w:rFonts w:ascii="Arial" w:cs="Arial" w:eastAsia="Arial" w:hAnsi="Arial"/>
          <w:sz w:val="15"/>
          <w:szCs w:val="15"/>
          <w:color w:val="auto"/>
        </w:rPr>
        <w:t xml:space="preserve"> 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 material adverse effect on our business, financial condition, results of operations and prospects. In addition,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0" w:name="page61"/>
    <w:bookmarkEnd w:id="60"/>
    <w:p>
      <w:pPr>
        <w:spacing w:after="0" w:line="49" w:lineRule="exact"/>
        <w:rPr>
          <w:sz w:val="20"/>
          <w:szCs w:val="20"/>
          <w:color w:val="auto"/>
        </w:rPr>
      </w:pPr>
    </w:p>
    <w:p>
      <w:pPr>
        <w:ind w:right="540"/>
        <w:spacing w:after="0" w:line="270" w:lineRule="auto"/>
        <w:rPr>
          <w:sz w:val="20"/>
          <w:szCs w:val="20"/>
          <w:color w:val="auto"/>
        </w:rPr>
      </w:pPr>
      <w:r>
        <w:rPr>
          <w:rFonts w:ascii="Arial" w:cs="Arial" w:eastAsia="Arial" w:hAnsi="Arial"/>
          <w:sz w:val="17"/>
          <w:szCs w:val="17"/>
          <w:color w:val="auto"/>
        </w:rPr>
        <w:t>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15" w:lineRule="exact"/>
        <w:rPr>
          <w:sz w:val="20"/>
          <w:szCs w:val="20"/>
          <w:color w:val="auto"/>
        </w:rPr>
      </w:pPr>
    </w:p>
    <w:p>
      <w:pPr>
        <w:ind w:right="80" w:firstLine="303"/>
        <w:spacing w:after="0" w:line="267" w:lineRule="auto"/>
        <w:rPr>
          <w:sz w:val="20"/>
          <w:szCs w:val="20"/>
          <w:color w:val="auto"/>
        </w:rPr>
      </w:pPr>
      <w:r>
        <w:rPr>
          <w:rFonts w:ascii="Arial" w:cs="Arial" w:eastAsia="Arial" w:hAnsi="Arial"/>
          <w:sz w:val="16"/>
          <w:szCs w:val="16"/>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19"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b w:val="1"/>
          <w:bCs w:val="1"/>
          <w:i w:val="1"/>
          <w:iCs w:val="1"/>
          <w:color w:val="auto"/>
        </w:rPr>
        <w:t>If we are unable to protect the confidentiality of our trade secrets, the value of our technology could be materially adversely affected and our business could be harmed.</w:t>
      </w:r>
    </w:p>
    <w:p>
      <w:pPr>
        <w:spacing w:after="0" w:line="115" w:lineRule="exact"/>
        <w:rPr>
          <w:sz w:val="20"/>
          <w:szCs w:val="20"/>
          <w:color w:val="auto"/>
        </w:rPr>
      </w:pPr>
    </w:p>
    <w:p>
      <w:pPr>
        <w:ind w:right="260" w:firstLine="303"/>
        <w:spacing w:after="0" w:line="299" w:lineRule="auto"/>
        <w:rPr>
          <w:sz w:val="20"/>
          <w:szCs w:val="20"/>
          <w:color w:val="auto"/>
        </w:rPr>
      </w:pPr>
      <w:r>
        <w:rPr>
          <w:rFonts w:ascii="Arial" w:cs="Arial" w:eastAsia="Arial" w:hAnsi="Arial"/>
          <w:sz w:val="15"/>
          <w:szCs w:val="15"/>
          <w:color w:val="auto"/>
        </w:rPr>
        <w:t>We rely heavily on trade secrets and confidentiality agreements to protect our unpatented know-how, technology and other proprietary information, including parts of our Proteograph Product Suite,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academia and industry.</w:t>
      </w:r>
    </w:p>
    <w:p>
      <w:pPr>
        <w:spacing w:after="0" w:line="99" w:lineRule="exact"/>
        <w:rPr>
          <w:sz w:val="20"/>
          <w:szCs w:val="20"/>
          <w:color w:val="auto"/>
        </w:rPr>
      </w:pPr>
    </w:p>
    <w:p>
      <w:pPr>
        <w:ind w:right="60" w:firstLine="303"/>
        <w:spacing w:after="0" w:line="287" w:lineRule="auto"/>
        <w:rPr>
          <w:sz w:val="20"/>
          <w:szCs w:val="20"/>
          <w:color w:val="auto"/>
        </w:rPr>
      </w:pPr>
      <w:r>
        <w:rPr>
          <w:rFonts w:ascii="Arial" w:cs="Arial" w:eastAsia="Arial" w:hAnsi="Arial"/>
          <w:sz w:val="15"/>
          <w:szCs w:val="15"/>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10" w:lineRule="exact"/>
        <w:rPr>
          <w:sz w:val="20"/>
          <w:szCs w:val="20"/>
          <w:color w:val="auto"/>
        </w:rPr>
      </w:pPr>
    </w:p>
    <w:p>
      <w:pPr>
        <w:jc w:val="both"/>
        <w:ind w:right="260" w:firstLine="303"/>
        <w:spacing w:after="0" w:line="309" w:lineRule="auto"/>
        <w:rPr>
          <w:sz w:val="20"/>
          <w:szCs w:val="20"/>
          <w:color w:val="auto"/>
        </w:rPr>
      </w:pPr>
      <w:r>
        <w:rPr>
          <w:rFonts w:ascii="Arial" w:cs="Arial" w:eastAsia="Arial" w:hAnsi="Arial"/>
          <w:sz w:val="15"/>
          <w:szCs w:val="15"/>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90" w:lineRule="exact"/>
        <w:rPr>
          <w:sz w:val="20"/>
          <w:szCs w:val="20"/>
          <w:color w:val="auto"/>
        </w:rPr>
      </w:pPr>
    </w:p>
    <w:p>
      <w:pPr>
        <w:ind w:firstLine="303"/>
        <w:spacing w:after="0" w:line="255" w:lineRule="auto"/>
        <w:rPr>
          <w:sz w:val="20"/>
          <w:szCs w:val="20"/>
          <w:color w:val="auto"/>
        </w:rPr>
      </w:pPr>
      <w:r>
        <w:rPr>
          <w:rFonts w:ascii="Arial" w:cs="Arial" w:eastAsia="Arial" w:hAnsi="Arial"/>
          <w:sz w:val="17"/>
          <w:szCs w:val="17"/>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49"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challenging the inventorship of our patents and other intellectual property.</w:t>
      </w:r>
    </w:p>
    <w:p>
      <w:pPr>
        <w:spacing w:after="0" w:line="158" w:lineRule="exact"/>
        <w:rPr>
          <w:sz w:val="20"/>
          <w:szCs w:val="20"/>
          <w:color w:val="auto"/>
        </w:rPr>
      </w:pPr>
    </w:p>
    <w:p>
      <w:pPr>
        <w:ind w:firstLine="303"/>
        <w:spacing w:after="0" w:line="267" w:lineRule="auto"/>
        <w:rPr>
          <w:sz w:val="20"/>
          <w:szCs w:val="20"/>
          <w:color w:val="auto"/>
        </w:rPr>
      </w:pPr>
      <w:r>
        <w:rPr>
          <w:rFonts w:ascii="Arial" w:cs="Arial" w:eastAsia="Arial" w:hAnsi="Arial"/>
          <w:sz w:val="16"/>
          <w:szCs w:val="16"/>
          <w:color w:val="auto"/>
        </w:rPr>
        <w:t>We or our licensor may be subject to claims that former employees, collaborators or other third parties have an interest in our owned or in-licensed patents, trade secrets or other intellectual property as an inventor or co-inventor. For example,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w:t>
      </w:r>
    </w:p>
    <w:p>
      <w:pPr>
        <w:spacing w:after="0" w:line="119" w:lineRule="exact"/>
        <w:rPr>
          <w:sz w:val="20"/>
          <w:szCs w:val="20"/>
          <w:color w:val="auto"/>
        </w:rPr>
      </w:pPr>
    </w:p>
    <w:p>
      <w:pPr>
        <w:ind w:right="80" w:firstLine="303"/>
        <w:spacing w:after="0" w:line="288" w:lineRule="auto"/>
        <w:rPr>
          <w:sz w:val="20"/>
          <w:szCs w:val="20"/>
          <w:color w:val="auto"/>
        </w:rPr>
      </w:pPr>
      <w:r>
        <w:rPr>
          <w:rFonts w:ascii="Arial" w:cs="Arial" w:eastAsia="Arial" w:hAnsi="Arial"/>
          <w:sz w:val="15"/>
          <w:szCs w:val="15"/>
          <w:color w:val="auto"/>
        </w:rPr>
        <w:t>Litigation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Proteograph solution,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0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We may not be able to protect and enforce our trademarks and trade names, or build name recognition in our markets of interest thereby harming our competitive position.</w:t>
      </w:r>
    </w:p>
    <w:p>
      <w:pPr>
        <w:spacing w:after="0" w:line="115" w:lineRule="exact"/>
        <w:rPr>
          <w:sz w:val="20"/>
          <w:szCs w:val="20"/>
          <w:color w:val="auto"/>
        </w:rPr>
      </w:pPr>
    </w:p>
    <w:p>
      <w:pPr>
        <w:ind w:firstLine="303"/>
        <w:spacing w:after="0" w:line="287" w:lineRule="auto"/>
        <w:rPr>
          <w:sz w:val="20"/>
          <w:szCs w:val="20"/>
          <w:color w:val="auto"/>
        </w:rPr>
      </w:pPr>
      <w:r>
        <w:rPr>
          <w:rFonts w:ascii="Arial" w:cs="Arial" w:eastAsia="Arial" w:hAnsi="Arial"/>
          <w:sz w:val="15"/>
          <w:szCs w:val="15"/>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impacting our ability to build brand identity and possibly leading to market confusion. In addition, there could be potential trade name or trademark infringement claims, or other challenges to our trademarks, brought by owners of trademarks that incorporate variations of our registered or unregistered trademarks or trade names. Further, we may in the future enter into agreements with owners of such third party trade names or trademarks to avoid potential trademark litigation which may impact our ability to use our trade names or trademarks in certain fields of business. Over the long term, if we are unable to establish name recognition based on our trademarks and trade names, then we may suffer a competitive disadvantage, and our business, financial condition, results of operations and prospects may be adversely affected. Our efforts to enforce or protect our proprietary rights related to trademarks, trade secrets, domain names, copyrights or other intellectual property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49" w:lineRule="exact"/>
        <w:rPr>
          <w:sz w:val="20"/>
          <w:szCs w:val="20"/>
          <w:color w:val="auto"/>
        </w:rPr>
      </w:pPr>
    </w:p>
    <w:p>
      <w:pPr>
        <w:ind w:right="520"/>
        <w:spacing w:after="0" w:line="270" w:lineRule="auto"/>
        <w:rPr>
          <w:sz w:val="20"/>
          <w:szCs w:val="20"/>
          <w:color w:val="auto"/>
        </w:rPr>
      </w:pPr>
      <w:r>
        <w:rPr>
          <w:rFonts w:ascii="Arial" w:cs="Arial" w:eastAsia="Arial" w:hAnsi="Arial"/>
          <w:sz w:val="17"/>
          <w:szCs w:val="17"/>
          <w:color w:val="auto"/>
        </w:rPr>
        <w:t>be ineffective and could result in substantial costs and diversion of resources. Any of the foregoing events could have a material adverse effect on our business, financial condition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Proteograph Product Suite for an adequate amount of time.</w:t>
      </w:r>
    </w:p>
    <w:p>
      <w:pPr>
        <w:spacing w:after="0" w:line="158" w:lineRule="exact"/>
        <w:rPr>
          <w:sz w:val="20"/>
          <w:szCs w:val="20"/>
          <w:color w:val="auto"/>
        </w:rPr>
      </w:pPr>
    </w:p>
    <w:p>
      <w:pPr>
        <w:ind w:right="20" w:firstLine="303"/>
        <w:spacing w:after="0" w:line="288" w:lineRule="auto"/>
        <w:rPr>
          <w:sz w:val="20"/>
          <w:szCs w:val="20"/>
          <w:color w:val="auto"/>
        </w:rPr>
      </w:pPr>
      <w:r>
        <w:rPr>
          <w:rFonts w:ascii="Arial" w:cs="Arial" w:eastAsia="Arial" w:hAnsi="Arial"/>
          <w:sz w:val="15"/>
          <w:szCs w:val="15"/>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09"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26" w:lineRule="exact"/>
        <w:rPr>
          <w:sz w:val="20"/>
          <w:szCs w:val="20"/>
          <w:color w:val="auto"/>
        </w:rPr>
      </w:pPr>
    </w:p>
    <w:p>
      <w:pPr>
        <w:ind w:right="40" w:firstLine="303"/>
        <w:spacing w:after="0" w:line="286" w:lineRule="auto"/>
        <w:rPr>
          <w:sz w:val="20"/>
          <w:szCs w:val="20"/>
          <w:color w:val="auto"/>
        </w:rPr>
      </w:pPr>
      <w:r>
        <w:rPr>
          <w:rFonts w:ascii="Arial" w:cs="Arial" w:eastAsia="Arial" w:hAnsi="Arial"/>
          <w:sz w:val="15"/>
          <w:szCs w:val="15"/>
          <w:color w:val="auto"/>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09" w:lineRule="exact"/>
        <w:rPr>
          <w:sz w:val="20"/>
          <w:szCs w:val="20"/>
          <w:color w:val="auto"/>
        </w:rPr>
      </w:pPr>
    </w:p>
    <w:p>
      <w:pPr>
        <w:ind w:right="20" w:firstLine="303"/>
        <w:spacing w:after="0" w:line="287" w:lineRule="auto"/>
        <w:rPr>
          <w:sz w:val="20"/>
          <w:szCs w:val="20"/>
          <w:color w:val="auto"/>
        </w:rPr>
      </w:pPr>
      <w:r>
        <w:rPr>
          <w:rFonts w:ascii="Arial" w:cs="Arial" w:eastAsia="Arial" w:hAnsi="Arial"/>
          <w:sz w:val="15"/>
          <w:szCs w:val="15"/>
          <w:color w:val="auto"/>
        </w:rPr>
        <w:t>If third parties, including our competitors, believe that our products or technologies infringe, misappropriate or otherwise violate their intellectual property, such third parties may seek to enforce their intellectual property, including patents against us by filing an intellectual property-related lawsuit, including patent infringement lawsuit, against us. Even if we believe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proteomes, including through the use of nanoparticles. Such patent is expected to expire in 2026, without taking into account any possible patent term adjustments or extensions. We are also aware of pending patent applications in Europe and in the United States owned by a third party that are directed to methods of identifying biomarkers in biofluids using nanoparticles and, if issued, is projected to expire in 2037, without taking into account any possible patent term adjustments or extensions. Such patent and patent applications could be construed to cover our products and technologies, including our Proteograph Product Suite. If any of these third parties, or any other third parties, were to assert these or any other patents against us and we are unable to successfully defend against any such assertion, we may be required, including by court order, to cease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49"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development and commercialization of the infringing products or technology and we may be required to redesign such products and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 or prospects.</w:t>
      </w:r>
    </w:p>
    <w:p>
      <w:pPr>
        <w:spacing w:after="0" w:line="122" w:lineRule="exact"/>
        <w:rPr>
          <w:sz w:val="20"/>
          <w:szCs w:val="20"/>
          <w:color w:val="auto"/>
        </w:rPr>
      </w:pPr>
    </w:p>
    <w:p>
      <w:pPr>
        <w:ind w:firstLine="303"/>
        <w:spacing w:after="0" w:line="269" w:lineRule="auto"/>
        <w:rPr>
          <w:sz w:val="20"/>
          <w:szCs w:val="20"/>
          <w:color w:val="auto"/>
        </w:rPr>
      </w:pPr>
      <w:r>
        <w:rPr>
          <w:rFonts w:ascii="Arial" w:cs="Arial" w:eastAsia="Arial" w:hAnsi="Arial"/>
          <w:sz w:val="16"/>
          <w:szCs w:val="16"/>
          <w:color w:val="auto"/>
        </w:rPr>
        <w:t xml:space="preserve">We may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 patent claims, such as in an </w:t>
      </w:r>
      <w:r>
        <w:rPr>
          <w:rFonts w:ascii="Arial" w:cs="Arial" w:eastAsia="Arial" w:hAnsi="Arial"/>
          <w:sz w:val="16"/>
          <w:szCs w:val="16"/>
          <w:i w:val="1"/>
          <w:iCs w:val="1"/>
          <w:color w:val="auto"/>
        </w:rPr>
        <w:t>ex-parte</w:t>
      </w:r>
      <w:r>
        <w:rPr>
          <w:rFonts w:ascii="Arial" w:cs="Arial" w:eastAsia="Arial" w:hAnsi="Arial"/>
          <w:sz w:val="16"/>
          <w:szCs w:val="16"/>
          <w:color w:val="auto"/>
        </w:rPr>
        <w:t xml:space="preserv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proceeding or opposition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opposition proceedings could be substantial. There can be no assurance that our defenses of non-infringement, invalidity or unenforceability will succeed.</w:t>
      </w:r>
    </w:p>
    <w:p>
      <w:pPr>
        <w:spacing w:after="0" w:line="120" w:lineRule="exact"/>
        <w:rPr>
          <w:sz w:val="20"/>
          <w:szCs w:val="20"/>
          <w:color w:val="auto"/>
        </w:rPr>
      </w:pPr>
    </w:p>
    <w:p>
      <w:pPr>
        <w:ind w:right="80" w:firstLine="303"/>
        <w:spacing w:after="0" w:line="270" w:lineRule="auto"/>
        <w:rPr>
          <w:sz w:val="20"/>
          <w:szCs w:val="20"/>
          <w:color w:val="auto"/>
        </w:rPr>
      </w:pPr>
      <w:r>
        <w:rPr>
          <w:rFonts w:ascii="Arial" w:cs="Arial" w:eastAsia="Arial" w:hAnsi="Arial"/>
          <w:sz w:val="16"/>
          <w:szCs w:val="16"/>
          <w:color w:val="auto"/>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20" w:lineRule="exact"/>
        <w:rPr>
          <w:sz w:val="20"/>
          <w:szCs w:val="20"/>
          <w:color w:val="auto"/>
        </w:rPr>
      </w:pPr>
    </w:p>
    <w:p>
      <w:pPr>
        <w:ind w:right="20" w:firstLine="303"/>
        <w:spacing w:after="0" w:line="250" w:lineRule="auto"/>
        <w:rPr>
          <w:sz w:val="20"/>
          <w:szCs w:val="20"/>
          <w:color w:val="auto"/>
        </w:rPr>
      </w:pPr>
      <w:r>
        <w:rPr>
          <w:rFonts w:ascii="Arial" w:cs="Arial" w:eastAsia="Arial" w:hAnsi="Arial"/>
          <w:sz w:val="17"/>
          <w:szCs w:val="17"/>
          <w:color w:val="auto"/>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unable to obtain such a license, we may be required to cease commercialization of our products and technologies, any of which could have a material adverse effect on our business, financial condition, results of operations and prospects. The outcome in any such proceedings are unpredictable.</w:t>
      </w:r>
    </w:p>
    <w:p>
      <w:pPr>
        <w:spacing w:after="0" w:line="136" w:lineRule="exact"/>
        <w:rPr>
          <w:sz w:val="20"/>
          <w:szCs w:val="20"/>
          <w:color w:val="auto"/>
        </w:rPr>
      </w:pPr>
    </w:p>
    <w:p>
      <w:pPr>
        <w:ind w:firstLine="303"/>
        <w:spacing w:after="0" w:line="290" w:lineRule="auto"/>
        <w:rPr>
          <w:sz w:val="20"/>
          <w:szCs w:val="20"/>
          <w:color w:val="auto"/>
        </w:rPr>
      </w:pPr>
      <w:r>
        <w:rPr>
          <w:rFonts w:ascii="Arial" w:cs="Arial" w:eastAsia="Arial" w:hAnsi="Arial"/>
          <w:sz w:val="15"/>
          <w:szCs w:val="15"/>
          <w:color w:val="auto"/>
        </w:rPr>
        <w:t>Regardless of whether we are defending against or asserting any intellectual property-related proceeding, any such intellectual property-related proceeding that may be necessary in the future, regardless of outcome, could result in substantial costs and diversion of resources and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49"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adverse effect on our business, financial condition, results of operations and prospects.</w:t>
      </w:r>
    </w:p>
    <w:p>
      <w:pPr>
        <w:spacing w:after="0" w:line="130" w:lineRule="exact"/>
        <w:rPr>
          <w:sz w:val="20"/>
          <w:szCs w:val="20"/>
          <w:color w:val="auto"/>
        </w:rPr>
      </w:pPr>
    </w:p>
    <w:p>
      <w:pPr>
        <w:ind w:right="240"/>
        <w:spacing w:after="0" w:line="379"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46" w:lineRule="exact"/>
        <w:rPr>
          <w:sz w:val="20"/>
          <w:szCs w:val="20"/>
          <w:color w:val="auto"/>
        </w:rPr>
      </w:pPr>
    </w:p>
    <w:p>
      <w:pPr>
        <w:ind w:right="20" w:firstLine="303"/>
        <w:spacing w:after="0" w:line="288" w:lineRule="auto"/>
        <w:rPr>
          <w:sz w:val="20"/>
          <w:szCs w:val="20"/>
          <w:color w:val="auto"/>
        </w:rPr>
      </w:pPr>
      <w:r>
        <w:rPr>
          <w:rFonts w:ascii="Arial" w:cs="Arial" w:eastAsia="Arial" w:hAnsi="Arial"/>
          <w:sz w:val="15"/>
          <w:szCs w:val="15"/>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09" w:lineRule="exact"/>
        <w:rPr>
          <w:sz w:val="20"/>
          <w:szCs w:val="20"/>
          <w:color w:val="auto"/>
        </w:rPr>
      </w:pPr>
    </w:p>
    <w:p>
      <w:pPr>
        <w:ind w:right="480"/>
        <w:spacing w:after="0" w:line="301" w:lineRule="auto"/>
        <w:rPr>
          <w:sz w:val="20"/>
          <w:szCs w:val="20"/>
          <w:color w:val="auto"/>
        </w:rPr>
      </w:pPr>
      <w:r>
        <w:rPr>
          <w:rFonts w:ascii="Arial" w:cs="Arial" w:eastAsia="Arial" w:hAnsi="Arial"/>
          <w:sz w:val="16"/>
          <w:szCs w:val="16"/>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93" w:lineRule="exact"/>
        <w:rPr>
          <w:sz w:val="20"/>
          <w:szCs w:val="20"/>
          <w:color w:val="auto"/>
        </w:rPr>
      </w:pPr>
    </w:p>
    <w:p>
      <w:pPr>
        <w:ind w:right="80" w:firstLine="303"/>
        <w:spacing w:after="0" w:line="266" w:lineRule="auto"/>
        <w:rPr>
          <w:sz w:val="20"/>
          <w:szCs w:val="20"/>
          <w:color w:val="auto"/>
        </w:rPr>
      </w:pPr>
      <w:r>
        <w:rPr>
          <w:rFonts w:ascii="Arial" w:cs="Arial" w:eastAsia="Arial" w:hAnsi="Arial"/>
          <w:sz w:val="16"/>
          <w:szCs w:val="16"/>
          <w:color w:val="auto"/>
        </w:rPr>
        <w:t>We have employed and expect to employ individuals, and engaged consultants and expect to engage consultants, who were previously employed, or consulted, at universities or other companies, including our competitors or potential competitors. Although we try to ensure that our employees, consultants, advisors and independent contractors do not use the confidential or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25" w:lineRule="exact"/>
        <w:rPr>
          <w:sz w:val="20"/>
          <w:szCs w:val="20"/>
          <w:color w:val="auto"/>
        </w:rPr>
      </w:pPr>
    </w:p>
    <w:p>
      <w:pPr>
        <w:ind w:firstLine="303"/>
        <w:spacing w:after="0" w:line="270"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4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perfecting ownership of inventions developed by that individual, which could have a material adverse effect on our business, financial condition, results of operations, and prospects.</w:t>
      </w:r>
    </w:p>
    <w:p>
      <w:pPr>
        <w:spacing w:after="0" w:line="115" w:lineRule="exact"/>
        <w:rPr>
          <w:sz w:val="20"/>
          <w:szCs w:val="20"/>
          <w:color w:val="auto"/>
        </w:rPr>
      </w:pPr>
    </w:p>
    <w:p>
      <w:pPr>
        <w:ind w:right="100" w:firstLine="303"/>
        <w:spacing w:after="0" w:line="252" w:lineRule="auto"/>
        <w:rPr>
          <w:sz w:val="20"/>
          <w:szCs w:val="20"/>
          <w:color w:val="auto"/>
        </w:rPr>
      </w:pPr>
      <w:r>
        <w:rPr>
          <w:rFonts w:ascii="Arial" w:cs="Arial" w:eastAsia="Arial" w:hAnsi="Arial"/>
          <w:sz w:val="17"/>
          <w:szCs w:val="17"/>
          <w:color w:val="auto"/>
        </w:rPr>
        <w:t>Furthermore, we or our licensor may in the future be subject to claims by former employees, consultants or other third parties asserting an ownership right in our owned or licensed patents or patent applications.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3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We currently rely on a license from a third party, and in the future may rely on additional licenses from other third parties, in relation to our Proteograph Product Suite and if we lose any of these licenses, then we may be subjected to future litigation.</w:t>
      </w:r>
    </w:p>
    <w:p>
      <w:pPr>
        <w:spacing w:after="0" w:line="115" w:lineRule="exact"/>
        <w:rPr>
          <w:sz w:val="20"/>
          <w:szCs w:val="20"/>
          <w:color w:val="auto"/>
        </w:rPr>
      </w:pPr>
    </w:p>
    <w:p>
      <w:pPr>
        <w:ind w:right="60" w:firstLine="303"/>
        <w:spacing w:after="0" w:line="286" w:lineRule="auto"/>
        <w:rPr>
          <w:sz w:val="20"/>
          <w:szCs w:val="20"/>
          <w:color w:val="auto"/>
        </w:rPr>
      </w:pPr>
      <w:r>
        <w:rPr>
          <w:rFonts w:ascii="Arial" w:cs="Arial" w:eastAsia="Arial" w:hAnsi="Arial"/>
          <w:sz w:val="15"/>
          <w:szCs w:val="15"/>
          <w:color w:val="auto"/>
        </w:rPr>
        <w:t>We are, and may in the future become, a party to license agreements that grant us rights to use certain intellectual property, including patents and patent applications, typically in certain specified fields of use. Currently, we rely on an in-license from The Brigham and Women’s Hospital, Inc. (BWH), for patents relating to methods of using nanoparticles to measure the proteome, including the methods used in our Proteograph Product Suite and may in the future rely on licenses from other third parties with respect to our Proteograph Product Suite or other technology. Our rights to use licensed technology in our business are subject to the continuation of and compliance with the terms of this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Proteograph Product Suite. We may need to obtain additional licenses from others to advance our research, development and commercialization activities. For instance, under our license agreement with BWH, we currently in-license two patent families, one of which includes the methods used in our Proteograph Product Suite, and to the extent any additional intellectual property developed by BWH that are not included in such licensed patent families are necessary or useful for our Proteograph Product Suite, we would need to negotiate for additional licenses to such additional intellectual property. Such licenses may not be available on commercially reasonable terms or at all, or may be non-exclusive.</w:t>
      </w:r>
    </w:p>
    <w:p>
      <w:pPr>
        <w:spacing w:after="0" w:line="109" w:lineRule="exact"/>
        <w:rPr>
          <w:sz w:val="20"/>
          <w:szCs w:val="20"/>
          <w:color w:val="auto"/>
        </w:rPr>
      </w:pPr>
    </w:p>
    <w:p>
      <w:pPr>
        <w:ind w:firstLine="303"/>
        <w:spacing w:after="0" w:line="250" w:lineRule="auto"/>
        <w:rPr>
          <w:sz w:val="20"/>
          <w:szCs w:val="20"/>
          <w:color w:val="auto"/>
        </w:rPr>
      </w:pPr>
      <w:r>
        <w:rPr>
          <w:rFonts w:ascii="Arial" w:cs="Arial" w:eastAsia="Arial" w:hAnsi="Arial"/>
          <w:sz w:val="17"/>
          <w:szCs w:val="17"/>
          <w:color w:val="auto"/>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spacing w:after="0" w:line="136" w:lineRule="exact"/>
        <w:rPr>
          <w:sz w:val="20"/>
          <w:szCs w:val="20"/>
          <w:color w:val="auto"/>
        </w:rPr>
      </w:pPr>
    </w:p>
    <w:p>
      <w:pPr>
        <w:ind w:firstLine="303"/>
        <w:spacing w:after="0" w:line="272" w:lineRule="auto"/>
        <w:rPr>
          <w:sz w:val="20"/>
          <w:szCs w:val="20"/>
          <w:color w:val="auto"/>
        </w:rPr>
      </w:pPr>
      <w:r>
        <w:rPr>
          <w:rFonts w:ascii="Arial" w:cs="Arial" w:eastAsia="Arial" w:hAnsi="Arial"/>
          <w:sz w:val="16"/>
          <w:szCs w:val="16"/>
          <w:color w:val="auto"/>
        </w:rPr>
        <w:t>Our current license agreement imposes, and future agreements may impose, various diligence, commercialization, milestone payment, royalty, insurance and other obligations on us and require us to meet development timelines, or to exercise commercially reasonable efforts to develop and commercialize licensed products, in order to maintain the licenses. If we fail to comply with these obligations, our licensor(s) may have the right to terminate our license, in which event we would not be able to develop or market products or technology covered by the licensed intellectual property.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4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Moreover, disputes may also arise between us and our licensor regarding intellectual property subject to a license agreement, including:</w:t>
      </w:r>
    </w:p>
    <w:p>
      <w:pPr>
        <w:spacing w:after="0" w:line="158" w:lineRule="exact"/>
        <w:rPr>
          <w:sz w:val="20"/>
          <w:szCs w:val="20"/>
          <w:color w:val="auto"/>
        </w:rPr>
      </w:pPr>
    </w:p>
    <w:p>
      <w:pPr>
        <w:ind w:left="600" w:hanging="297"/>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financial or other obligations under the license agreement;</w:t>
      </w:r>
    </w:p>
    <w:p>
      <w:pPr>
        <w:spacing w:after="0" w:line="157" w:lineRule="exact"/>
        <w:rPr>
          <w:rFonts w:ascii="Arial" w:cs="Arial" w:eastAsia="Arial" w:hAnsi="Arial"/>
          <w:sz w:val="17"/>
          <w:szCs w:val="17"/>
          <w:color w:val="auto"/>
        </w:rPr>
      </w:pPr>
    </w:p>
    <w:p>
      <w:pPr>
        <w:ind w:left="600" w:right="240" w:hanging="297"/>
        <w:spacing w:after="0" w:line="270" w:lineRule="auto"/>
        <w:tabs>
          <w:tab w:leader="none" w:pos="596" w:val="left"/>
        </w:tabs>
        <w:numPr>
          <w:ilvl w:val="0"/>
          <w:numId w:val="34"/>
        </w:numPr>
        <w:rPr>
          <w:rFonts w:ascii="Arial" w:cs="Arial" w:eastAsia="Arial" w:hAnsi="Arial"/>
          <w:sz w:val="17"/>
          <w:szCs w:val="17"/>
          <w:color w:val="auto"/>
        </w:rPr>
      </w:pPr>
      <w:r>
        <w:rPr>
          <w:rFonts w:ascii="Arial" w:cs="Arial" w:eastAsia="Arial" w:hAnsi="Arial"/>
          <w:sz w:val="17"/>
          <w:szCs w:val="17"/>
          <w:color w:val="auto"/>
        </w:rPr>
        <w:t>whether, and the extent to which, our products, technology and processes infringe on intellectual property of the licensor that is not subject to the licensing agreement;</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inventorship and ownership of inventions and know-how resulting from the joint creation or use of intellectual property by our licensor(s); and</w:t>
      </w:r>
    </w:p>
    <w:p>
      <w:pPr>
        <w:spacing w:after="0" w:line="169" w:lineRule="exact"/>
        <w:rPr>
          <w:rFonts w:ascii="Arial" w:cs="Arial" w:eastAsia="Arial" w:hAnsi="Arial"/>
          <w:sz w:val="16"/>
          <w:szCs w:val="16"/>
          <w:color w:val="auto"/>
        </w:rPr>
      </w:pPr>
    </w:p>
    <w:p>
      <w:pPr>
        <w:ind w:left="600" w:hanging="297"/>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priority of invention of patented technology.</w:t>
      </w:r>
    </w:p>
    <w:p>
      <w:pPr>
        <w:spacing w:after="0" w:line="158" w:lineRule="exact"/>
        <w:rPr>
          <w:sz w:val="20"/>
          <w:szCs w:val="20"/>
          <w:color w:val="auto"/>
        </w:rPr>
      </w:pPr>
    </w:p>
    <w:p>
      <w:pPr>
        <w:ind w:right="40" w:firstLine="303"/>
        <w:spacing w:after="0" w:line="295" w:lineRule="auto"/>
        <w:rPr>
          <w:sz w:val="20"/>
          <w:szCs w:val="20"/>
          <w:color w:val="auto"/>
        </w:rPr>
      </w:pPr>
      <w:r>
        <w:rPr>
          <w:rFonts w:ascii="Arial" w:cs="Arial" w:eastAsia="Arial" w:hAnsi="Arial"/>
          <w:sz w:val="15"/>
          <w:szCs w:val="15"/>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100" w:lineRule="exact"/>
        <w:rPr>
          <w:sz w:val="20"/>
          <w:szCs w:val="20"/>
          <w:color w:val="auto"/>
        </w:rPr>
      </w:pPr>
    </w:p>
    <w:p>
      <w:pPr>
        <w:ind w:right="100" w:firstLine="303"/>
        <w:spacing w:after="0" w:line="269" w:lineRule="auto"/>
        <w:rPr>
          <w:sz w:val="20"/>
          <w:szCs w:val="20"/>
          <w:color w:val="auto"/>
        </w:rPr>
      </w:pPr>
      <w:r>
        <w:rPr>
          <w:rFonts w:ascii="Arial" w:cs="Arial" w:eastAsia="Arial" w:hAnsi="Arial"/>
          <w:sz w:val="16"/>
          <w:szCs w:val="16"/>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120" w:lineRule="exact"/>
        <w:rPr>
          <w:sz w:val="20"/>
          <w:szCs w:val="20"/>
          <w:color w:val="auto"/>
        </w:rPr>
      </w:pPr>
    </w:p>
    <w:p>
      <w:pPr>
        <w:ind w:right="20" w:firstLine="303"/>
        <w:spacing w:after="0" w:line="299" w:lineRule="auto"/>
        <w:rPr>
          <w:sz w:val="20"/>
          <w:szCs w:val="20"/>
          <w:color w:val="auto"/>
        </w:rPr>
      </w:pPr>
      <w:r>
        <w:rPr>
          <w:rFonts w:ascii="Arial" w:cs="Arial" w:eastAsia="Arial" w:hAnsi="Arial"/>
          <w:sz w:val="15"/>
          <w:szCs w:val="15"/>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Proteograph Product Suite, which could adversely affect our ability to offer products or services, our ability to continue operations and our business, financial condition, results of operations and prospects.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158" w:lineRule="exact"/>
        <w:rPr>
          <w:sz w:val="20"/>
          <w:szCs w:val="20"/>
          <w:color w:val="auto"/>
        </w:rPr>
      </w:pPr>
    </w:p>
    <w:p>
      <w:pPr>
        <w:ind w:firstLine="303"/>
        <w:spacing w:after="0" w:line="295" w:lineRule="auto"/>
        <w:rPr>
          <w:sz w:val="20"/>
          <w:szCs w:val="20"/>
          <w:color w:val="auto"/>
        </w:rPr>
      </w:pPr>
      <w:r>
        <w:rPr>
          <w:rFonts w:ascii="Arial" w:cs="Arial" w:eastAsia="Arial" w:hAnsi="Arial"/>
          <w:sz w:val="15"/>
          <w:szCs w:val="15"/>
          <w:color w:val="auto"/>
        </w:rPr>
        <w:t>We may identify third-party technology that we may need to license or acquire in order to develop or commercialize our products or technologies, including our Proteograph Product Suite.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49" w:lineRule="exact"/>
        <w:rPr>
          <w:sz w:val="20"/>
          <w:szCs w:val="20"/>
          <w:color w:val="auto"/>
        </w:rPr>
      </w:pPr>
    </w:p>
    <w:p>
      <w:pPr>
        <w:ind w:right="40" w:firstLine="303"/>
        <w:spacing w:after="0" w:line="292" w:lineRule="auto"/>
        <w:rPr>
          <w:sz w:val="20"/>
          <w:szCs w:val="20"/>
          <w:color w:val="auto"/>
        </w:rPr>
      </w:pPr>
      <w:r>
        <w:rPr>
          <w:rFonts w:ascii="Arial" w:cs="Arial" w:eastAsia="Arial" w:hAnsi="Arial"/>
          <w:sz w:val="15"/>
          <w:szCs w:val="15"/>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03" w:lineRule="exact"/>
        <w:rPr>
          <w:sz w:val="20"/>
          <w:szCs w:val="20"/>
          <w:color w:val="auto"/>
        </w:rPr>
      </w:pPr>
    </w:p>
    <w:p>
      <w:pPr>
        <w:ind w:right="560"/>
        <w:spacing w:after="0" w:line="379" w:lineRule="auto"/>
        <w:rPr>
          <w:sz w:val="20"/>
          <w:szCs w:val="20"/>
          <w:color w:val="auto"/>
        </w:rPr>
      </w:pPr>
      <w:r>
        <w:rPr>
          <w:rFonts w:ascii="Arial" w:cs="Arial" w:eastAsia="Arial" w:hAnsi="Arial"/>
          <w:sz w:val="14"/>
          <w:szCs w:val="14"/>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46" w:lineRule="exact"/>
        <w:rPr>
          <w:sz w:val="20"/>
          <w:szCs w:val="20"/>
          <w:color w:val="auto"/>
        </w:rPr>
      </w:pPr>
    </w:p>
    <w:p>
      <w:pPr>
        <w:ind w:firstLine="303"/>
        <w:spacing w:after="0" w:line="285" w:lineRule="auto"/>
        <w:rPr>
          <w:sz w:val="20"/>
          <w:szCs w:val="20"/>
          <w:color w:val="auto"/>
        </w:rPr>
      </w:pPr>
      <w:r>
        <w:rPr>
          <w:rFonts w:ascii="Arial" w:cs="Arial" w:eastAsia="Arial" w:hAnsi="Arial"/>
          <w:sz w:val="15"/>
          <w:szCs w:val="15"/>
          <w:color w:val="auto"/>
        </w:rPr>
        <w:t>In addition, our owned and in-licensed patents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Any failure to timely elect title to such inventions may provide the U.S. government to, at any time, take title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14"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b w:val="1"/>
          <w:bCs w:val="1"/>
          <w:i w:val="1"/>
          <w:iCs w:val="1"/>
          <w:color w:val="auto"/>
        </w:rPr>
        <w:t>Our products contain third-party open source software components and failure to comply with the terms of the underlying open source software licenses could restrict our ability to sell our products and provide third parties access to our proprietary software.</w:t>
      </w:r>
    </w:p>
    <w:p>
      <w:pPr>
        <w:spacing w:after="0" w:line="115" w:lineRule="exact"/>
        <w:rPr>
          <w:sz w:val="20"/>
          <w:szCs w:val="20"/>
          <w:color w:val="auto"/>
        </w:rPr>
      </w:pPr>
    </w:p>
    <w:p>
      <w:pPr>
        <w:ind w:firstLine="303"/>
        <w:spacing w:after="0" w:line="285" w:lineRule="auto"/>
        <w:rPr>
          <w:sz w:val="20"/>
          <w:szCs w:val="20"/>
          <w:color w:val="auto"/>
        </w:rPr>
      </w:pPr>
      <w:r>
        <w:rPr>
          <w:rFonts w:ascii="Arial" w:cs="Arial" w:eastAsia="Arial" w:hAnsi="Arial"/>
          <w:sz w:val="15"/>
          <w:szCs w:val="15"/>
          <w:color w:val="auto"/>
        </w:rPr>
        <w:t>Our products contain software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49" w:lineRule="exact"/>
        <w:rPr>
          <w:sz w:val="20"/>
          <w:szCs w:val="20"/>
          <w:color w:val="auto"/>
        </w:rPr>
      </w:pPr>
    </w:p>
    <w:p>
      <w:pPr>
        <w:ind w:right="80" w:firstLine="303"/>
        <w:spacing w:after="0" w:line="290" w:lineRule="auto"/>
        <w:rPr>
          <w:sz w:val="20"/>
          <w:szCs w:val="20"/>
          <w:color w:val="auto"/>
        </w:rPr>
      </w:pPr>
      <w:r>
        <w:rPr>
          <w:rFonts w:ascii="Arial" w:cs="Arial" w:eastAsia="Arial" w:hAnsi="Arial"/>
          <w:sz w:val="15"/>
          <w:szCs w:val="15"/>
          <w:color w:val="auto"/>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w:t>
      </w:r>
    </w:p>
    <w:p>
      <w:pPr>
        <w:spacing w:after="0" w:line="158" w:lineRule="exact"/>
        <w:rPr>
          <w:sz w:val="20"/>
          <w:szCs w:val="20"/>
          <w:color w:val="auto"/>
        </w:rPr>
      </w:pPr>
    </w:p>
    <w:p>
      <w:pPr>
        <w:ind w:right="660" w:firstLine="303"/>
        <w:spacing w:after="0" w:line="270"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5" w:lineRule="exact"/>
        <w:rPr>
          <w:sz w:val="20"/>
          <w:szCs w:val="20"/>
          <w:color w:val="auto"/>
        </w:rPr>
      </w:pPr>
    </w:p>
    <w:p>
      <w:pPr>
        <w:ind w:left="600" w:right="220" w:hanging="297"/>
        <w:spacing w:after="0" w:line="270" w:lineRule="auto"/>
        <w:tabs>
          <w:tab w:leader="none" w:pos="596"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others may be able to make products that are similar to products and technologies we may develop or utilize similar technology that are not covered by the claims of the patents that we own or license now or in the future;</w:t>
      </w:r>
    </w:p>
    <w:p>
      <w:pPr>
        <w:spacing w:after="0" w:line="114" w:lineRule="exact"/>
        <w:rPr>
          <w:rFonts w:ascii="Arial" w:cs="Arial" w:eastAsia="Arial" w:hAnsi="Arial"/>
          <w:sz w:val="17"/>
          <w:szCs w:val="17"/>
          <w:color w:val="auto"/>
        </w:rPr>
      </w:pPr>
    </w:p>
    <w:p>
      <w:pPr>
        <w:ind w:left="600" w:right="100" w:hanging="297"/>
        <w:spacing w:after="0" w:line="270" w:lineRule="auto"/>
        <w:tabs>
          <w:tab w:leader="none" w:pos="596"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or our licensor(s), might not have been the first to make the inventions covered by the issued patent or pending patent application that we license or may own in the future;</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or our licensor(s), might not have been the first to file patent applications covering certain of our or their inventions;</w:t>
      </w:r>
    </w:p>
    <w:p>
      <w:pPr>
        <w:spacing w:after="0" w:line="157" w:lineRule="exact"/>
        <w:rPr>
          <w:rFonts w:ascii="Arial" w:cs="Arial" w:eastAsia="Arial" w:hAnsi="Arial"/>
          <w:sz w:val="17"/>
          <w:szCs w:val="17"/>
          <w:color w:val="auto"/>
        </w:rPr>
      </w:pPr>
    </w:p>
    <w:p>
      <w:pPr>
        <w:ind w:left="600" w:right="140" w:hanging="297"/>
        <w:spacing w:after="0" w:line="270" w:lineRule="auto"/>
        <w:tabs>
          <w:tab w:leader="none" w:pos="596"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misappropriating or otherwise violating our owned or licensed intellectual property rights;</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it is possible that our pending licensed patent applications or those that we may own in the future will not lead to issued patents;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57" w:lineRule="exact"/>
        <w:rPr>
          <w:rFonts w:ascii="Arial" w:cs="Arial" w:eastAsia="Arial" w:hAnsi="Arial"/>
          <w:sz w:val="17"/>
          <w:szCs w:val="17"/>
          <w:color w:val="auto"/>
        </w:rPr>
      </w:pPr>
    </w:p>
    <w:p>
      <w:pPr>
        <w:ind w:left="600" w:right="20" w:hanging="297"/>
        <w:spacing w:after="0" w:line="270" w:lineRule="auto"/>
        <w:tabs>
          <w:tab w:leader="none" w:pos="596"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patents of others may harm our business; and</w:t>
      </w:r>
    </w:p>
    <w:p>
      <w:pPr>
        <w:spacing w:after="0" w:line="157" w:lineRule="exact"/>
        <w:rPr>
          <w:rFonts w:ascii="Arial" w:cs="Arial" w:eastAsia="Arial" w:hAnsi="Arial"/>
          <w:sz w:val="17"/>
          <w:szCs w:val="17"/>
          <w:color w:val="auto"/>
        </w:rPr>
      </w:pPr>
    </w:p>
    <w:p>
      <w:pPr>
        <w:ind w:left="300" w:right="80" w:firstLine="3"/>
        <w:spacing w:after="0" w:line="457" w:lineRule="auto"/>
        <w:tabs>
          <w:tab w:leader="none" w:pos="598"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may choose not to file a patent for certain trade secrets or know-how, and a third party may subsequently file a patent covering such intellectual property. Should any of these events occur, they could materially adversely affect our business, financial condition, results of operations and prospects.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Our Class A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trading market for our Class A common stock may not be sustained.</w:t>
      </w:r>
    </w:p>
    <w:p>
      <w:pPr>
        <w:spacing w:after="0" w:line="158" w:lineRule="exact"/>
        <w:rPr>
          <w:sz w:val="20"/>
          <w:szCs w:val="20"/>
          <w:color w:val="auto"/>
        </w:rPr>
      </w:pPr>
    </w:p>
    <w:p>
      <w:pPr>
        <w:ind w:firstLine="303"/>
        <w:spacing w:after="0" w:line="258" w:lineRule="auto"/>
        <w:rPr>
          <w:sz w:val="20"/>
          <w:szCs w:val="20"/>
          <w:color w:val="auto"/>
        </w:rPr>
      </w:pPr>
      <w:r>
        <w:rPr>
          <w:rFonts w:ascii="Arial" w:cs="Arial" w:eastAsia="Arial" w:hAnsi="Arial"/>
          <w:sz w:val="17"/>
          <w:szCs w:val="17"/>
          <w:color w:val="auto"/>
        </w:rPr>
        <w:t>Although our Class A common stock is traded on the Nasdaq Global Select Market under the symbol “SEER,” there is a very limited trading history and an active trading market for our Class A common stock may not be sustained. Accordingly, we cannot assure you of your ability to sell your shares of Class A common stock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49"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desired or the prices that you may obtain for your shares. If an active market for our Class A common stock with meaningful trading volume is not sustained, the market price of our Class A common stock may decline materially and you may not be able to sell your shares.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Class A common stock may be volatile.</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Some of the factors that may cause the market price of our Class A common stock to fluctuate include, but are not limited to:</w:t>
      </w:r>
    </w:p>
    <w:p>
      <w:pPr>
        <w:spacing w:after="0" w:line="158" w:lineRule="exact"/>
        <w:rPr>
          <w:sz w:val="20"/>
          <w:szCs w:val="20"/>
          <w:color w:val="auto"/>
        </w:rPr>
      </w:pPr>
    </w:p>
    <w:p>
      <w:pPr>
        <w:ind w:left="600" w:hanging="297"/>
        <w:spacing w:after="0" w:line="270" w:lineRule="auto"/>
        <w:tabs>
          <w:tab w:leader="none" w:pos="59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timing of our launch and commercialization of our products and degree to which such launch and commercialization meets the expectations of securities analysts and investors;</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actual or anticipated fluctuations in our operating results, including fluctuations in our quarterly and annual results;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operating expenses being more than anticipated;</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failure or discontinuation of any of our product development and research programs;</w:t>
      </w:r>
    </w:p>
    <w:p>
      <w:pPr>
        <w:spacing w:after="0" w:line="157" w:lineRule="exact"/>
        <w:rPr>
          <w:rFonts w:ascii="Arial" w:cs="Arial" w:eastAsia="Arial" w:hAnsi="Arial"/>
          <w:sz w:val="17"/>
          <w:szCs w:val="17"/>
          <w:color w:val="auto"/>
        </w:rPr>
      </w:pPr>
    </w:p>
    <w:p>
      <w:pPr>
        <w:ind w:left="600" w:right="280" w:hanging="297"/>
        <w:spacing w:after="0" w:line="270" w:lineRule="auto"/>
        <w:tabs>
          <w:tab w:leader="none" w:pos="596"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the structure or funding of research at academic and research laboratories and institutions, including changes that would affect their ability to purchase our instruments or consumables;</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success of existing or new competitive businesses or technologies;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announcements about new research programs or products of our competitors;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litigation and governmental investigations involving us, our industry or both;</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regulatory or legal developments in the United States and other countries;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volatility and variations in market conditions in the life sciences technology sector generally, or the proteomics or genomics sectors specifically;</w:t>
      </w:r>
    </w:p>
    <w:p>
      <w:pPr>
        <w:spacing w:after="0" w:line="169" w:lineRule="exact"/>
        <w:rPr>
          <w:rFonts w:ascii="Arial" w:cs="Arial" w:eastAsia="Arial" w:hAnsi="Arial"/>
          <w:sz w:val="16"/>
          <w:szCs w:val="16"/>
          <w:color w:val="auto"/>
        </w:rPr>
      </w:pPr>
    </w:p>
    <w:p>
      <w:pPr>
        <w:ind w:left="600" w:hanging="297"/>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investor perceptions of us or our industry;</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level of expenses related to any of our research and development programs or products;</w:t>
      </w:r>
    </w:p>
    <w:p>
      <w:pPr>
        <w:spacing w:after="0" w:line="157" w:lineRule="exact"/>
        <w:rPr>
          <w:rFonts w:ascii="Arial" w:cs="Arial" w:eastAsia="Arial" w:hAnsi="Arial"/>
          <w:sz w:val="17"/>
          <w:szCs w:val="17"/>
          <w:color w:val="auto"/>
        </w:rPr>
      </w:pPr>
    </w:p>
    <w:p>
      <w:pPr>
        <w:ind w:left="600" w:right="160" w:hanging="297"/>
        <w:spacing w:after="0" w:line="258" w:lineRule="auto"/>
        <w:tabs>
          <w:tab w:leader="none" w:pos="596"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spacing w:after="0" w:line="126" w:lineRule="exact"/>
        <w:rPr>
          <w:rFonts w:ascii="Arial" w:cs="Arial" w:eastAsia="Arial" w:hAnsi="Arial"/>
          <w:sz w:val="17"/>
          <w:szCs w:val="17"/>
          <w:color w:val="auto"/>
        </w:rPr>
      </w:pPr>
    </w:p>
    <w:p>
      <w:pPr>
        <w:ind w:left="600" w:hanging="297"/>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whether our financial results meet the expectations of securities analysts or investors;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announcement or expectation of additional financing efforts;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sales of our Class A common stock by us or sales of our Class A common stock or Class B common stock by our insiders or other stockholders;</w:t>
      </w:r>
    </w:p>
    <w:p>
      <w:pPr>
        <w:spacing w:after="0" w:line="169" w:lineRule="exact"/>
        <w:rPr>
          <w:rFonts w:ascii="Arial" w:cs="Arial" w:eastAsia="Arial" w:hAnsi="Arial"/>
          <w:sz w:val="16"/>
          <w:szCs w:val="16"/>
          <w:color w:val="auto"/>
        </w:rPr>
      </w:pPr>
    </w:p>
    <w:p>
      <w:pPr>
        <w:ind w:left="600" w:hanging="297"/>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expiration of market standoff or lock-up agreements;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general economic, industry and market conditions; and</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COVID-19 pandemic, natural disasters or major catastrophic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70" w:name="page71"/>
    <w:bookmarkEnd w:id="70"/>
    <w:p>
      <w:pPr>
        <w:spacing w:after="0" w:line="49" w:lineRule="exact"/>
        <w:rPr>
          <w:sz w:val="20"/>
          <w:szCs w:val="20"/>
          <w:color w:val="auto"/>
        </w:rPr>
      </w:pPr>
    </w:p>
    <w:p>
      <w:pPr>
        <w:ind w:right="40" w:firstLine="303"/>
        <w:spacing w:after="0" w:line="292" w:lineRule="auto"/>
        <w:rPr>
          <w:sz w:val="20"/>
          <w:szCs w:val="20"/>
          <w:color w:val="auto"/>
        </w:rPr>
      </w:pPr>
      <w:r>
        <w:rPr>
          <w:rFonts w:ascii="Arial" w:cs="Arial" w:eastAsia="Arial" w:hAnsi="Arial"/>
          <w:sz w:val="15"/>
          <w:szCs w:val="15"/>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Class A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03"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b w:val="1"/>
          <w:bCs w:val="1"/>
          <w:i w:val="1"/>
          <w:iCs w:val="1"/>
          <w:color w:val="auto"/>
        </w:rPr>
        <w:t>The multi-class structure of our common stock will have the effect of concentrating voting control with certain stockholders and it may depress the trading price of our Class A common stock.</w:t>
      </w:r>
    </w:p>
    <w:p>
      <w:pPr>
        <w:spacing w:after="0" w:line="115" w:lineRule="exact"/>
        <w:rPr>
          <w:sz w:val="20"/>
          <w:szCs w:val="20"/>
          <w:color w:val="auto"/>
        </w:rPr>
      </w:pPr>
    </w:p>
    <w:p>
      <w:pPr>
        <w:ind w:right="120" w:firstLine="303"/>
        <w:spacing w:after="0" w:line="258" w:lineRule="auto"/>
        <w:rPr>
          <w:sz w:val="20"/>
          <w:szCs w:val="20"/>
          <w:color w:val="auto"/>
        </w:rPr>
      </w:pPr>
      <w:r>
        <w:rPr>
          <w:rFonts w:ascii="Arial" w:cs="Arial" w:eastAsia="Arial" w:hAnsi="Arial"/>
          <w:sz w:val="17"/>
          <w:szCs w:val="17"/>
          <w:color w:val="auto"/>
        </w:rPr>
        <w:t>Our Class A common stock, which is our publicly-traded class of stock, has one vote per share, and our Class B common stock has ten votes per share, except as otherwise required by law. Our Class B common stock is held by our founders and early investors. Following our February 2021 public offering, the holders of our Class B common stock hold in the aggregate 45.7% of the voting power of our capital stock.</w:t>
      </w:r>
    </w:p>
    <w:p>
      <w:pPr>
        <w:spacing w:after="0" w:line="126" w:lineRule="exact"/>
        <w:rPr>
          <w:sz w:val="20"/>
          <w:szCs w:val="20"/>
          <w:color w:val="auto"/>
        </w:rPr>
      </w:pPr>
    </w:p>
    <w:p>
      <w:pPr>
        <w:ind w:firstLine="303"/>
        <w:spacing w:after="0" w:line="267" w:lineRule="auto"/>
        <w:rPr>
          <w:sz w:val="20"/>
          <w:szCs w:val="20"/>
          <w:color w:val="auto"/>
        </w:rPr>
      </w:pPr>
      <w:r>
        <w:rPr>
          <w:rFonts w:ascii="Arial" w:cs="Arial" w:eastAsia="Arial" w:hAnsi="Arial"/>
          <w:sz w:val="16"/>
          <w:szCs w:val="16"/>
          <w:color w:val="auto"/>
        </w:rPr>
        <w:t>As a result, the holders of our Class B common stock collectively will continue to control a significant amount of the combined voting power of our common stock and therefore may be able to control matters submitted to our stockholders for approval. This control will limit to the stockholders’ influence over corporate matters for approximately five years following our initial public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on December 8, 2025. The conversion of Class B common stock to Class A common stock will have the effect, over time, of increasing the relative voting power of those individual holders of Class B common stock who retain their shares over the long term.</w:t>
      </w:r>
    </w:p>
    <w:p>
      <w:pPr>
        <w:spacing w:after="0" w:line="125" w:lineRule="exact"/>
        <w:rPr>
          <w:sz w:val="20"/>
          <w:szCs w:val="20"/>
          <w:color w:val="auto"/>
        </w:rPr>
      </w:pPr>
    </w:p>
    <w:p>
      <w:pPr>
        <w:ind w:right="20" w:firstLine="303"/>
        <w:spacing w:after="0" w:line="269" w:lineRule="auto"/>
        <w:rPr>
          <w:sz w:val="20"/>
          <w:szCs w:val="20"/>
          <w:color w:val="auto"/>
        </w:rPr>
      </w:pPr>
      <w:r>
        <w:rPr>
          <w:rFonts w:ascii="Arial" w:cs="Arial" w:eastAsia="Arial" w:hAnsi="Arial"/>
          <w:sz w:val="16"/>
          <w:szCs w:val="16"/>
          <w:color w:val="auto"/>
        </w:rPr>
        <w:t>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Under the announced policies, our multi-class capital structure would make us ineligible for inclusion in any of these indices, and as a result, mutual funds, exchange-traded funds and other investment vehicles that attempt to passively track these indices will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spacing w:after="0" w:line="120"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evaluations of our Class A common stock, the price of our Class A common stock could decline.</w:t>
      </w:r>
    </w:p>
    <w:p>
      <w:pPr>
        <w:spacing w:after="0" w:line="115" w:lineRule="exact"/>
        <w:rPr>
          <w:sz w:val="20"/>
          <w:szCs w:val="20"/>
          <w:color w:val="auto"/>
        </w:rPr>
      </w:pPr>
    </w:p>
    <w:p>
      <w:pPr>
        <w:ind w:right="80" w:firstLine="303"/>
        <w:spacing w:after="0" w:line="253" w:lineRule="auto"/>
        <w:rPr>
          <w:sz w:val="20"/>
          <w:szCs w:val="20"/>
          <w:color w:val="auto"/>
        </w:rPr>
      </w:pPr>
      <w:r>
        <w:rPr>
          <w:rFonts w:ascii="Arial" w:cs="Arial" w:eastAsia="Arial" w:hAnsi="Arial"/>
          <w:sz w:val="17"/>
          <w:szCs w:val="17"/>
          <w:color w:val="auto"/>
        </w:rPr>
        <w:t>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a substantial number of shares of our Class A common stock by our existing stockholders could cause the price of our Class A common stock to decline.</w:t>
      </w:r>
    </w:p>
    <w:p>
      <w:pPr>
        <w:spacing w:after="0" w:line="192" w:lineRule="exact"/>
        <w:rPr>
          <w:sz w:val="20"/>
          <w:szCs w:val="20"/>
          <w:color w:val="auto"/>
        </w:rPr>
      </w:pPr>
    </w:p>
    <w:p>
      <w:pPr>
        <w:jc w:val="both"/>
        <w:ind w:right="80" w:firstLine="303"/>
        <w:spacing w:after="0" w:line="258" w:lineRule="auto"/>
        <w:rPr>
          <w:sz w:val="20"/>
          <w:szCs w:val="20"/>
          <w:color w:val="auto"/>
        </w:rPr>
      </w:pPr>
      <w:r>
        <w:rPr>
          <w:rFonts w:ascii="Arial" w:cs="Arial" w:eastAsia="Arial" w:hAnsi="Arial"/>
          <w:sz w:val="17"/>
          <w:szCs w:val="17"/>
          <w:color w:val="auto"/>
        </w:rPr>
        <w:t>Sales of a substantial number of shares of our Class A common stock in the public market could occur at any time following the expiration of the market standoff and lock-up agreements or the early release of these agreements or the perception in the market that the holders of a large number of shares of Class A common stock intend to sell shares and could reduce the market price of our Class A common stock.</w:t>
      </w:r>
    </w:p>
    <w:p>
      <w:pPr>
        <w:spacing w:after="0" w:line="126" w:lineRule="exact"/>
        <w:rPr>
          <w:sz w:val="20"/>
          <w:szCs w:val="20"/>
          <w:color w:val="auto"/>
        </w:rPr>
      </w:pPr>
    </w:p>
    <w:p>
      <w:pPr>
        <w:ind w:firstLine="303"/>
        <w:spacing w:after="0" w:line="268" w:lineRule="auto"/>
        <w:rPr>
          <w:sz w:val="20"/>
          <w:szCs w:val="20"/>
          <w:color w:val="auto"/>
        </w:rPr>
      </w:pPr>
      <w:r>
        <w:rPr>
          <w:rFonts w:ascii="Arial" w:cs="Arial" w:eastAsia="Arial" w:hAnsi="Arial"/>
          <w:sz w:val="16"/>
          <w:szCs w:val="16"/>
          <w:color w:val="auto"/>
        </w:rPr>
        <w:t>The selling stockholders who sold greater than 5% and up to 20.8% of their existing holdings in our February 2021 public offering have entered into lock-up agreements which expire January 27, 2022. Additionally stockholders were given the opportunity to have a portion of their stockholdings released from the lock-up agreements entered into in connection with our initial public offering if they agreed to the same additional terms as the selling stockholders in our February 2021 public offering. As a result, following our February 2021 public offering, 3,028,622 shares of Class A common stock and 3,565,416 shares of our Class B common stock (and any share of Class A common stock into which they are converted) are currently prohibited or otherwise restricted from being sold in the public market under securities laws, lock-up agreements entered into with the underwriters in connection our February 2021 public offering, market standoff agreements entered into by our stockholders with us, or lock-up agreements entered into by our stockholders. The representatives may, in their sole discretion, release all or some portion of the shares subject to lock-up agreements at any time and for any reason.</w:t>
      </w:r>
    </w:p>
    <w:p>
      <w:pPr>
        <w:spacing w:after="0" w:line="122" w:lineRule="exact"/>
        <w:rPr>
          <w:sz w:val="20"/>
          <w:szCs w:val="20"/>
          <w:color w:val="auto"/>
        </w:rPr>
      </w:pPr>
    </w:p>
    <w:p>
      <w:pPr>
        <w:ind w:right="100" w:firstLine="303"/>
        <w:spacing w:after="0" w:line="258" w:lineRule="auto"/>
        <w:rPr>
          <w:sz w:val="20"/>
          <w:szCs w:val="20"/>
          <w:color w:val="auto"/>
        </w:rPr>
      </w:pPr>
      <w:r>
        <w:rPr>
          <w:rFonts w:ascii="Arial" w:cs="Arial" w:eastAsia="Arial" w:hAnsi="Arial"/>
          <w:sz w:val="17"/>
          <w:szCs w:val="17"/>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126"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b w:val="1"/>
          <w:bCs w:val="1"/>
          <w:i w:val="1"/>
          <w:iCs w:val="1"/>
          <w:color w:val="auto"/>
        </w:rPr>
        <w:t>We have not paid dividends in the past and do not expect to pay dividends in the future, and, as a result, any return on investment may be limited to the value of our stock.</w:t>
      </w:r>
    </w:p>
    <w:p>
      <w:pPr>
        <w:spacing w:after="0" w:line="115" w:lineRule="exact"/>
        <w:rPr>
          <w:sz w:val="20"/>
          <w:szCs w:val="20"/>
          <w:color w:val="auto"/>
        </w:rPr>
      </w:pPr>
    </w:p>
    <w:p>
      <w:pPr>
        <w:ind w:right="40" w:firstLine="303"/>
        <w:spacing w:after="0" w:line="252" w:lineRule="auto"/>
        <w:rPr>
          <w:sz w:val="20"/>
          <w:szCs w:val="20"/>
          <w:color w:val="auto"/>
        </w:rPr>
      </w:pPr>
      <w:r>
        <w:rPr>
          <w:rFonts w:ascii="Arial" w:cs="Arial" w:eastAsia="Arial" w:hAnsi="Arial"/>
          <w:sz w:val="17"/>
          <w:szCs w:val="17"/>
          <w:color w:val="auto"/>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spacing w:after="0" w:line="130"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27" w:lineRule="exact"/>
        <w:rPr>
          <w:sz w:val="20"/>
          <w:szCs w:val="20"/>
          <w:color w:val="auto"/>
        </w:rPr>
      </w:pPr>
    </w:p>
    <w:p>
      <w:pPr>
        <w:ind w:right="80" w:firstLine="303"/>
        <w:spacing w:after="0" w:line="267" w:lineRule="auto"/>
        <w:rPr>
          <w:sz w:val="20"/>
          <w:szCs w:val="20"/>
          <w:color w:val="auto"/>
        </w:rPr>
      </w:pPr>
      <w:r>
        <w:rPr>
          <w:rFonts w:ascii="Arial" w:cs="Arial" w:eastAsia="Arial" w:hAnsi="Arial"/>
          <w:sz w:val="16"/>
          <w:szCs w:val="16"/>
          <w:color w:val="auto"/>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exclusive forum provision will not apply to suits brought to enforce any liability or duty created by the Exchange Act.</w:t>
      </w:r>
    </w:p>
    <w:p>
      <w:pPr>
        <w:spacing w:after="0" w:line="158" w:lineRule="exact"/>
        <w:rPr>
          <w:sz w:val="20"/>
          <w:szCs w:val="20"/>
          <w:color w:val="auto"/>
        </w:rPr>
      </w:pPr>
    </w:p>
    <w:p>
      <w:pPr>
        <w:ind w:firstLine="303"/>
        <w:spacing w:after="0" w:line="299" w:lineRule="auto"/>
        <w:rPr>
          <w:sz w:val="20"/>
          <w:szCs w:val="20"/>
          <w:color w:val="auto"/>
        </w:rPr>
      </w:pPr>
      <w:r>
        <w:rPr>
          <w:rFonts w:ascii="Arial" w:cs="Arial" w:eastAsia="Arial" w:hAnsi="Arial"/>
          <w:sz w:val="15"/>
          <w:szCs w:val="15"/>
          <w:color w:val="auto"/>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spacing w:after="0" w:line="99" w:lineRule="exact"/>
        <w:rPr>
          <w:sz w:val="20"/>
          <w:szCs w:val="20"/>
          <w:color w:val="auto"/>
        </w:rPr>
      </w:pPr>
    </w:p>
    <w:p>
      <w:pPr>
        <w:ind w:right="100" w:firstLine="303"/>
        <w:spacing w:after="0" w:line="288" w:lineRule="auto"/>
        <w:rPr>
          <w:sz w:val="20"/>
          <w:szCs w:val="20"/>
          <w:color w:val="auto"/>
        </w:rPr>
      </w:pPr>
      <w:r>
        <w:rPr>
          <w:rFonts w:ascii="Arial" w:cs="Arial" w:eastAsia="Arial" w:hAnsi="Arial"/>
          <w:sz w:val="15"/>
          <w:szCs w:val="15"/>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spacing w:after="0" w:line="109" w:lineRule="exact"/>
        <w:rPr>
          <w:sz w:val="20"/>
          <w:szCs w:val="20"/>
          <w:color w:val="auto"/>
        </w:rPr>
      </w:pPr>
    </w:p>
    <w:p>
      <w:pPr>
        <w:ind w:right="380"/>
        <w:spacing w:after="0" w:line="338" w:lineRule="auto"/>
        <w:rPr>
          <w:sz w:val="20"/>
          <w:szCs w:val="20"/>
          <w:color w:val="auto"/>
        </w:rPr>
      </w:pPr>
      <w:r>
        <w:rPr>
          <w:rFonts w:ascii="Arial" w:cs="Arial" w:eastAsia="Arial" w:hAnsi="Arial"/>
          <w:sz w:val="15"/>
          <w:szCs w:val="15"/>
          <w:b w:val="1"/>
          <w:bCs w:val="1"/>
          <w:i w:val="1"/>
          <w:iCs w:val="1"/>
          <w:color w:val="auto"/>
        </w:rPr>
        <w:t>Delaware law and provisions in our amended and restated certificate of incorporation and amended and restated bylaws might discourage, delay or prevent a change in control of our company or changes in our management and, therefore, depress the trading price of our Class A common stock.</w:t>
      </w:r>
    </w:p>
    <w:p>
      <w:pPr>
        <w:spacing w:after="0" w:line="69" w:lineRule="exact"/>
        <w:rPr>
          <w:sz w:val="20"/>
          <w:szCs w:val="20"/>
          <w:color w:val="auto"/>
        </w:rPr>
      </w:pPr>
    </w:p>
    <w:p>
      <w:pPr>
        <w:ind w:right="280" w:firstLine="303"/>
        <w:spacing w:after="0" w:line="276"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12" w:lineRule="exact"/>
        <w:rPr>
          <w:sz w:val="20"/>
          <w:szCs w:val="20"/>
          <w:color w:val="auto"/>
        </w:rPr>
      </w:pPr>
    </w:p>
    <w:p>
      <w:pPr>
        <w:ind w:left="600" w:right="140" w:hanging="297"/>
        <w:spacing w:after="0" w:line="270" w:lineRule="auto"/>
        <w:tabs>
          <w:tab w:leader="none" w:pos="596"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transaction that would result in a change in control of our company requires the approval of a majority of our outstanding Class B common stock voting as a separate class;</w:t>
      </w:r>
    </w:p>
    <w:p>
      <w:pPr>
        <w:spacing w:after="0" w:line="114" w:lineRule="exact"/>
        <w:rPr>
          <w:rFonts w:ascii="Arial" w:cs="Arial" w:eastAsia="Arial" w:hAnsi="Arial"/>
          <w:sz w:val="17"/>
          <w:szCs w:val="17"/>
          <w:color w:val="auto"/>
        </w:rPr>
      </w:pPr>
    </w:p>
    <w:p>
      <w:pPr>
        <w:ind w:left="600" w:right="420" w:hanging="297"/>
        <w:spacing w:after="0" w:line="258" w:lineRule="auto"/>
        <w:tabs>
          <w:tab w:leader="none" w:pos="596"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spacing w:after="0" w:line="126" w:lineRule="exact"/>
        <w:rPr>
          <w:rFonts w:ascii="Arial" w:cs="Arial" w:eastAsia="Arial" w:hAnsi="Arial"/>
          <w:sz w:val="17"/>
          <w:szCs w:val="17"/>
          <w:color w:val="auto"/>
        </w:rPr>
      </w:pPr>
    </w:p>
    <w:p>
      <w:pPr>
        <w:ind w:left="600" w:right="60" w:hanging="297"/>
        <w:spacing w:after="0" w:line="301" w:lineRule="auto"/>
        <w:tabs>
          <w:tab w:leader="none" w:pos="596"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board of directors is classified into three classes of directors with staggered three-year terms and directors will only be able to be removed from office for cause by the affirmative vote of holders of at least two-thirds of the voting power of our then outstanding capital stock;</w:t>
      </w:r>
    </w:p>
    <w:p>
      <w:pPr>
        <w:spacing w:after="0" w:line="93" w:lineRule="exact"/>
        <w:rPr>
          <w:rFonts w:ascii="Arial" w:cs="Arial" w:eastAsia="Arial" w:hAnsi="Arial"/>
          <w:sz w:val="16"/>
          <w:szCs w:val="16"/>
          <w:color w:val="auto"/>
        </w:rPr>
      </w:pPr>
    </w:p>
    <w:p>
      <w:pPr>
        <w:ind w:left="600" w:right="200" w:hanging="297"/>
        <w:spacing w:after="0" w:line="270" w:lineRule="auto"/>
        <w:tabs>
          <w:tab w:leader="none" w:pos="596" w:val="left"/>
        </w:tabs>
        <w:numPr>
          <w:ilvl w:val="0"/>
          <w:numId w:val="37"/>
        </w:numPr>
        <w:rPr>
          <w:rFonts w:ascii="Arial" w:cs="Arial" w:eastAsia="Arial" w:hAnsi="Arial"/>
          <w:sz w:val="17"/>
          <w:szCs w:val="17"/>
          <w:color w:val="auto"/>
        </w:rPr>
      </w:pPr>
      <w:r>
        <w:rPr>
          <w:rFonts w:ascii="Arial" w:cs="Arial" w:eastAsia="Arial" w:hAnsi="Arial"/>
          <w:sz w:val="17"/>
          <w:szCs w:val="17"/>
          <w:color w:val="auto"/>
        </w:rPr>
        <w:t>certain amendments to our amended and restated certificate of incorporation require the approval of stockholders holding two-thirds of the voting power of our then outstanding capital stock;</w:t>
      </w:r>
    </w:p>
    <w:p>
      <w:pPr>
        <w:spacing w:after="0" w:line="114" w:lineRule="exact"/>
        <w:rPr>
          <w:rFonts w:ascii="Arial" w:cs="Arial" w:eastAsia="Arial" w:hAnsi="Arial"/>
          <w:sz w:val="17"/>
          <w:szCs w:val="17"/>
          <w:color w:val="auto"/>
        </w:rPr>
      </w:pPr>
    </w:p>
    <w:p>
      <w:pPr>
        <w:ind w:left="600" w:right="60" w:hanging="297"/>
        <w:spacing w:after="0" w:line="270" w:lineRule="auto"/>
        <w:tabs>
          <w:tab w:leader="none" w:pos="596"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stockholder-proposed amendment to our amended and restated bylaws require the approval of stockholders holding two-thirds of the voting power of our then outstanding capital stock;</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stockholders may only be able to take action at a meeting of stockholders and may not be able to take action by written consent for any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49" w:lineRule="exact"/>
        <w:rPr>
          <w:sz w:val="20"/>
          <w:szCs w:val="20"/>
          <w:color w:val="auto"/>
        </w:rPr>
      </w:pPr>
    </w:p>
    <w:p>
      <w:pPr>
        <w:ind w:left="600" w:hanging="297"/>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stockholders are be able to act by written consent only if the action is first recommended or approved by the board of directors;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vacancies on our board of directors may be filled only by our board of directors and not by stockholders;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only the chair of the board of directors, chief executive officer or a majority of the board of directors are authorized to call a special meeting of stockholders;</w:t>
      </w:r>
    </w:p>
    <w:p>
      <w:pPr>
        <w:spacing w:after="0" w:line="180" w:lineRule="exact"/>
        <w:rPr>
          <w:rFonts w:ascii="Arial" w:cs="Arial" w:eastAsia="Arial" w:hAnsi="Arial"/>
          <w:sz w:val="15"/>
          <w:szCs w:val="15"/>
          <w:color w:val="auto"/>
        </w:rPr>
      </w:pPr>
    </w:p>
    <w:p>
      <w:pPr>
        <w:ind w:left="600" w:hanging="297"/>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certain litigation against us can only be brought in Delaware;</w:t>
      </w:r>
    </w:p>
    <w:p>
      <w:pPr>
        <w:spacing w:after="0" w:line="157" w:lineRule="exact"/>
        <w:rPr>
          <w:rFonts w:ascii="Arial" w:cs="Arial" w:eastAsia="Arial" w:hAnsi="Arial"/>
          <w:sz w:val="17"/>
          <w:szCs w:val="17"/>
          <w:color w:val="auto"/>
        </w:rPr>
      </w:pPr>
    </w:p>
    <w:p>
      <w:pPr>
        <w:ind w:left="600" w:right="120" w:hanging="297"/>
        <w:spacing w:after="0" w:line="270" w:lineRule="auto"/>
        <w:tabs>
          <w:tab w:leader="none" w:pos="596"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restated certificate of incorporation authorizes undesignated preferred stock, the terms of which may be established and shares of which may be issued, without the approval of the holders of our capital stock; and</w:t>
      </w:r>
    </w:p>
    <w:p>
      <w:pPr>
        <w:spacing w:after="0" w:line="114" w:lineRule="exact"/>
        <w:rPr>
          <w:rFonts w:ascii="Arial" w:cs="Arial" w:eastAsia="Arial" w:hAnsi="Arial"/>
          <w:sz w:val="17"/>
          <w:szCs w:val="17"/>
          <w:color w:val="auto"/>
        </w:rPr>
      </w:pPr>
    </w:p>
    <w:p>
      <w:pPr>
        <w:ind w:left="600" w:right="780" w:hanging="297"/>
        <w:spacing w:after="0" w:line="270" w:lineRule="auto"/>
        <w:tabs>
          <w:tab w:leader="none" w:pos="596" w:val="left"/>
        </w:tabs>
        <w:numPr>
          <w:ilvl w:val="0"/>
          <w:numId w:val="38"/>
        </w:numPr>
        <w:rPr>
          <w:rFonts w:ascii="Arial" w:cs="Arial" w:eastAsia="Arial" w:hAnsi="Arial"/>
          <w:sz w:val="17"/>
          <w:szCs w:val="17"/>
          <w:color w:val="auto"/>
        </w:rPr>
      </w:pPr>
      <w:r>
        <w:rPr>
          <w:rFonts w:ascii="Arial" w:cs="Arial" w:eastAsia="Arial" w:hAnsi="Arial"/>
          <w:sz w:val="17"/>
          <w:szCs w:val="17"/>
          <w:color w:val="auto"/>
        </w:rPr>
        <w:t>advance notice procedures apply for stockholders to nominate candidates for election as directors or to bring matters before an annual meeting of stockholders.</w:t>
      </w:r>
    </w:p>
    <w:p>
      <w:pPr>
        <w:spacing w:after="0" w:line="115" w:lineRule="exact"/>
        <w:rPr>
          <w:sz w:val="20"/>
          <w:szCs w:val="20"/>
          <w:color w:val="auto"/>
        </w:rPr>
      </w:pPr>
    </w:p>
    <w:p>
      <w:pPr>
        <w:ind w:right="160" w:firstLine="303"/>
        <w:spacing w:after="0" w:line="255"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158" w:lineRule="exact"/>
        <w:rPr>
          <w:sz w:val="20"/>
          <w:szCs w:val="20"/>
          <w:color w:val="auto"/>
        </w:rPr>
      </w:pPr>
    </w:p>
    <w:p>
      <w:pPr>
        <w:ind w:right="20" w:firstLine="303"/>
        <w:spacing w:after="0" w:line="285" w:lineRule="auto"/>
        <w:rPr>
          <w:sz w:val="20"/>
          <w:szCs w:val="20"/>
          <w:color w:val="auto"/>
        </w:rPr>
      </w:pPr>
      <w:r>
        <w:rPr>
          <w:rFonts w:ascii="Arial" w:cs="Arial" w:eastAsia="Arial" w:hAnsi="Arial"/>
          <w:sz w:val="15"/>
          <w:szCs w:val="15"/>
          <w:color w:val="auto"/>
        </w:rPr>
        <w:t>As of December 31, 2020 we had U.S. federal and state net operating loss carryforwards (NOLs) of $36.2 million and $33.0 million, respectively, which if not utilized will expire in 2031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multiple “ownership changes.”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1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the reduced disclosure requirements applicable to emerging growth companies and smaller reporting companies may make our Class A common stock less attractive to investors.</w:t>
      </w:r>
    </w:p>
    <w:p>
      <w:pPr>
        <w:spacing w:after="0" w:line="115" w:lineRule="exact"/>
        <w:rPr>
          <w:sz w:val="20"/>
          <w:szCs w:val="20"/>
          <w:color w:val="auto"/>
        </w:rPr>
      </w:pPr>
    </w:p>
    <w:p>
      <w:pPr>
        <w:ind w:firstLine="303"/>
        <w:spacing w:after="0" w:line="270" w:lineRule="auto"/>
        <w:rPr>
          <w:sz w:val="20"/>
          <w:szCs w:val="20"/>
          <w:color w:val="auto"/>
        </w:rPr>
      </w:pPr>
      <w:r>
        <w:rPr>
          <w:rFonts w:ascii="Arial" w:cs="Arial" w:eastAsia="Arial" w:hAnsi="Arial"/>
          <w:sz w:val="16"/>
          <w:szCs w:val="16"/>
          <w:color w:val="auto"/>
        </w:rPr>
        <w:t>We are an “emerging growth company,” as defined in the JOBS Act a “smaller reporting company,” as such term is defined in Rule 12b-2 under the Securities Exchange Act of 1934 and are currently relying on exemptions from certain disclosure requirements that are applicable to other SEC registered public companies that are not emerging growth companies or smaller reporting companies. These exemptions include not being required to comply with the auditor attestation requirements of Section 404 of the SOX, not being required to comply with any requirement that may be adopted by the Public Company Accounting Oversight Board regarding mandatory audit firm rotation or a supplement to the auditor’s report providing additional information about the audit and the consolidated financial statements, reduced disclosure obligations regarding executive compensation and exemptions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74" w:name="page75"/>
    <w:bookmarkEnd w:id="74"/>
    <w:p>
      <w:pPr>
        <w:spacing w:after="0" w:line="49"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anticipate we will cease to be an emerging growth company and smaller reporting company on December 31, 2021.</w:t>
      </w:r>
    </w:p>
    <w:p>
      <w:pPr>
        <w:spacing w:after="0" w:line="108" w:lineRule="exact"/>
        <w:rPr>
          <w:sz w:val="20"/>
          <w:szCs w:val="20"/>
          <w:color w:val="auto"/>
        </w:rPr>
      </w:pPr>
    </w:p>
    <w:p>
      <w:pPr>
        <w:ind w:firstLine="303"/>
        <w:spacing w:after="0" w:line="258" w:lineRule="auto"/>
        <w:rPr>
          <w:sz w:val="20"/>
          <w:szCs w:val="20"/>
          <w:color w:val="auto"/>
        </w:rPr>
      </w:pPr>
      <w:r>
        <w:rPr>
          <w:rFonts w:ascii="Arial" w:cs="Arial" w:eastAsia="Arial" w:hAnsi="Arial"/>
          <w:sz w:val="17"/>
          <w:szCs w:val="17"/>
          <w:color w:val="auto"/>
        </w:rPr>
        <w:t>We cannot predict whether investors will find our Class A common stock less attractive if we rely on these exemptions while we are an emerging growth company and smaller reporting company. If some investors find our Class A common stock less attractive as a result, there may be a less active trading market for our Class A common stock and our stock price may be more volatile.</w:t>
      </w:r>
    </w:p>
    <w:p>
      <w:pPr>
        <w:spacing w:after="0" w:line="126" w:lineRule="exact"/>
        <w:rPr>
          <w:sz w:val="20"/>
          <w:szCs w:val="20"/>
          <w:color w:val="auto"/>
        </w:rPr>
      </w:pPr>
    </w:p>
    <w:p>
      <w:pPr>
        <w:ind w:right="80" w:firstLine="303"/>
        <w:spacing w:after="0" w:line="295" w:lineRule="auto"/>
        <w:rPr>
          <w:sz w:val="20"/>
          <w:szCs w:val="20"/>
          <w:color w:val="auto"/>
        </w:rPr>
      </w:pPr>
      <w:r>
        <w:rPr>
          <w:rFonts w:ascii="Arial" w:cs="Arial" w:eastAsia="Arial" w:hAnsi="Arial"/>
          <w:sz w:val="15"/>
          <w:szCs w:val="15"/>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consolidated financial statements may not be comparable to companies that comply with new or revised accounting pronouncements as of public company effective dates.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continue to incur significant increased costs and management resources as a result of operating as a public company.</w:t>
      </w:r>
    </w:p>
    <w:p>
      <w:pPr>
        <w:spacing w:after="0" w:line="158" w:lineRule="exact"/>
        <w:rPr>
          <w:sz w:val="20"/>
          <w:szCs w:val="20"/>
          <w:color w:val="auto"/>
        </w:rPr>
      </w:pPr>
    </w:p>
    <w:p>
      <w:pPr>
        <w:ind w:right="20" w:firstLine="303"/>
        <w:spacing w:after="0" w:line="276" w:lineRule="auto"/>
        <w:rPr>
          <w:sz w:val="20"/>
          <w:szCs w:val="20"/>
          <w:color w:val="auto"/>
        </w:rPr>
      </w:pPr>
      <w:r>
        <w:rPr>
          <w:rFonts w:ascii="Arial" w:cs="Arial" w:eastAsia="Arial" w:hAnsi="Arial"/>
          <w:sz w:val="16"/>
          <w:szCs w:val="16"/>
          <w:color w:val="auto"/>
        </w:rPr>
        <w:t>As a public company, we continue to incur significant legal, accounting, compliance and other expenses that we did not incur as a private company and these expenses may increase even more after we are no longer an “emerging growth company.” Our management and other personnel need to devote a substantial amount of time and incur significant expense in connection with compliance initiatives. As a public company, we continue to bear all of the internal and external costs of preparing and distributing periodic public reports in compliance with our obligations under the securities laws.</w:t>
      </w:r>
    </w:p>
    <w:p>
      <w:pPr>
        <w:spacing w:after="0" w:line="112" w:lineRule="exact"/>
        <w:rPr>
          <w:sz w:val="20"/>
          <w:szCs w:val="20"/>
          <w:color w:val="auto"/>
        </w:rPr>
      </w:pPr>
    </w:p>
    <w:p>
      <w:pPr>
        <w:ind w:right="180" w:firstLine="303"/>
        <w:spacing w:after="0" w:line="267" w:lineRule="auto"/>
        <w:rPr>
          <w:sz w:val="20"/>
          <w:szCs w:val="20"/>
          <w:color w:val="auto"/>
        </w:rPr>
      </w:pPr>
      <w:r>
        <w:rPr>
          <w:rFonts w:ascii="Arial" w:cs="Arial" w:eastAsia="Arial" w:hAnsi="Arial"/>
          <w:sz w:val="16"/>
          <w:szCs w:val="16"/>
          <w:color w:val="auto"/>
        </w:rPr>
        <w:t>In addition, regulations and standards relating to corporate governance and public disclosure, including SOX, and the related rules and regulations implemented by the SEC and the Nasdaq Stock Market, LLC, or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Risks</w:t>
      </w:r>
    </w:p>
    <w:p>
      <w:pPr>
        <w:spacing w:after="0" w:line="162"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b w:val="1"/>
          <w:bCs w:val="1"/>
          <w:i w:val="1"/>
          <w:iCs w:val="1"/>
          <w:color w:val="auto"/>
        </w:rPr>
        <w:t>If our facilities or our third-party manufacturers’ facilities become unavailable or inoperable, our research and development program and commercialization launch plan could be adversely impacted and manufacturing of our instruments and consumables could be interrupted.</w:t>
      </w:r>
    </w:p>
    <w:p>
      <w:pPr>
        <w:spacing w:after="0" w:line="93" w:lineRule="exact"/>
        <w:rPr>
          <w:sz w:val="20"/>
          <w:szCs w:val="20"/>
          <w:color w:val="auto"/>
        </w:rPr>
      </w:pPr>
    </w:p>
    <w:p>
      <w:pPr>
        <w:ind w:right="280" w:firstLine="303"/>
        <w:spacing w:after="0" w:line="338" w:lineRule="auto"/>
        <w:rPr>
          <w:sz w:val="20"/>
          <w:szCs w:val="20"/>
          <w:color w:val="auto"/>
        </w:rPr>
      </w:pPr>
      <w:r>
        <w:rPr>
          <w:rFonts w:ascii="Arial" w:cs="Arial" w:eastAsia="Arial" w:hAnsi="Arial"/>
          <w:sz w:val="15"/>
          <w:szCs w:val="15"/>
          <w:color w:val="auto"/>
        </w:rPr>
        <w:t>Our Redwood City, California, facilities house our corporate, research and development and quality assurance teams. Our instruments are manufactured at our third-party manufacturer’s facilities in Nevada, and our consumables are manufactured at various locations in the United States and internationally.</w:t>
      </w:r>
    </w:p>
    <w:p>
      <w:pPr>
        <w:spacing w:after="0" w:line="69" w:lineRule="exact"/>
        <w:rPr>
          <w:sz w:val="20"/>
          <w:szCs w:val="20"/>
          <w:color w:val="auto"/>
        </w:rPr>
      </w:pPr>
    </w:p>
    <w:p>
      <w:pPr>
        <w:ind w:right="220" w:firstLine="303"/>
        <w:spacing w:after="0" w:line="255" w:lineRule="auto"/>
        <w:rPr>
          <w:sz w:val="20"/>
          <w:szCs w:val="20"/>
          <w:color w:val="auto"/>
        </w:rPr>
      </w:pPr>
      <w:r>
        <w:rPr>
          <w:rFonts w:ascii="Arial" w:cs="Arial" w:eastAsia="Arial" w:hAnsi="Arial"/>
          <w:sz w:val="17"/>
          <w:szCs w:val="17"/>
          <w:color w:val="auto"/>
        </w:rPr>
        <w:t>Our facilities in Redwood City and those of our third-party manufacturers are vulnerable to natural disasters, public health crises, including the impact of the COVID-19 pandemic, and catastrophic events. For example, our Redwood City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49" w:lineRule="exact"/>
        <w:rPr>
          <w:sz w:val="20"/>
          <w:szCs w:val="20"/>
          <w:color w:val="auto"/>
        </w:rPr>
      </w:pPr>
    </w:p>
    <w:p>
      <w:pPr>
        <w:ind w:right="60"/>
        <w:spacing w:after="0" w:line="290" w:lineRule="auto"/>
        <w:rPr>
          <w:sz w:val="20"/>
          <w:szCs w:val="20"/>
          <w:color w:val="auto"/>
        </w:rPr>
      </w:pPr>
      <w:r>
        <w:rPr>
          <w:rFonts w:ascii="Arial" w:cs="Arial" w:eastAsia="Arial" w:hAnsi="Arial"/>
          <w:sz w:val="15"/>
          <w:szCs w:val="15"/>
          <w:color w:val="auto"/>
        </w:rPr>
        <w:t>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spacing w:after="0" w:line="104" w:lineRule="exact"/>
        <w:rPr>
          <w:sz w:val="20"/>
          <w:szCs w:val="20"/>
          <w:color w:val="auto"/>
        </w:rPr>
      </w:pPr>
    </w:p>
    <w:p>
      <w:pPr>
        <w:ind w:right="20" w:firstLine="303"/>
        <w:spacing w:after="0" w:line="295" w:lineRule="auto"/>
        <w:rPr>
          <w:sz w:val="20"/>
          <w:szCs w:val="20"/>
          <w:color w:val="auto"/>
        </w:rPr>
      </w:pPr>
      <w:r>
        <w:rPr>
          <w:rFonts w:ascii="Arial" w:cs="Arial" w:eastAsia="Arial" w:hAnsi="Arial"/>
          <w:sz w:val="15"/>
          <w:szCs w:val="15"/>
          <w:color w:val="auto"/>
        </w:rPr>
        <w:t>If our research and development program or commercialization program were disrupted by a disaster or catastrophe, the launch of new products, including our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181" w:lineRule="exact"/>
        <w:rPr>
          <w:sz w:val="20"/>
          <w:szCs w:val="20"/>
          <w:color w:val="auto"/>
        </w:rPr>
      </w:pPr>
    </w:p>
    <w:p>
      <w:pPr>
        <w:ind w:firstLine="303"/>
        <w:spacing w:after="0" w:line="266" w:lineRule="auto"/>
        <w:rPr>
          <w:sz w:val="20"/>
          <w:szCs w:val="20"/>
          <w:color w:val="auto"/>
        </w:rPr>
      </w:pPr>
      <w:r>
        <w:rPr>
          <w:rFonts w:ascii="Arial" w:cs="Arial" w:eastAsia="Arial" w:hAnsi="Arial"/>
          <w:sz w:val="16"/>
          <w:szCs w:val="16"/>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(including denial of service, ransomware, and other 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121" w:lineRule="exact"/>
        <w:rPr>
          <w:sz w:val="20"/>
          <w:szCs w:val="20"/>
          <w:color w:val="auto"/>
        </w:rPr>
      </w:pPr>
    </w:p>
    <w:p>
      <w:pPr>
        <w:ind w:right="20" w:firstLine="303"/>
        <w:spacing w:after="0" w:line="267" w:lineRule="auto"/>
        <w:rPr>
          <w:sz w:val="20"/>
          <w:szCs w:val="20"/>
          <w:color w:val="auto"/>
        </w:rPr>
      </w:pPr>
      <w:r>
        <w:rPr>
          <w:rFonts w:ascii="Arial" w:cs="Arial" w:eastAsia="Arial" w:hAnsi="Arial"/>
          <w:sz w:val="16"/>
          <w:szCs w:val="16"/>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49" w:lineRule="exact"/>
        <w:rPr>
          <w:sz w:val="20"/>
          <w:szCs w:val="20"/>
          <w:color w:val="auto"/>
        </w:rPr>
      </w:pPr>
    </w:p>
    <w:p>
      <w:pPr>
        <w:ind w:right="360"/>
        <w:spacing w:after="0" w:line="270" w:lineRule="auto"/>
        <w:rPr>
          <w:sz w:val="20"/>
          <w:szCs w:val="20"/>
          <w:color w:val="auto"/>
        </w:rPr>
      </w:pPr>
      <w:r>
        <w:rPr>
          <w:rFonts w:ascii="Arial" w:cs="Arial" w:eastAsia="Arial" w:hAnsi="Arial"/>
          <w:sz w:val="17"/>
          <w:szCs w:val="17"/>
          <w:color w:val="auto"/>
        </w:rPr>
        <w:t>personal information, including sensitive personal information, of our employees, customers and others, any of which could have a material adverse effect on our business, reputation, financial condition and results of operations.</w:t>
      </w:r>
    </w:p>
    <w:p>
      <w:pPr>
        <w:spacing w:after="0" w:line="115" w:lineRule="exact"/>
        <w:rPr>
          <w:sz w:val="20"/>
          <w:szCs w:val="20"/>
          <w:color w:val="auto"/>
        </w:rPr>
      </w:pPr>
    </w:p>
    <w:p>
      <w:pPr>
        <w:ind w:right="20" w:firstLine="303"/>
        <w:spacing w:after="0" w:line="283" w:lineRule="auto"/>
        <w:rPr>
          <w:sz w:val="20"/>
          <w:szCs w:val="20"/>
          <w:color w:val="auto"/>
        </w:rPr>
      </w:pPr>
      <w:r>
        <w:rPr>
          <w:rFonts w:ascii="Arial" w:cs="Arial" w:eastAsia="Arial" w:hAnsi="Arial"/>
          <w:sz w:val="15"/>
          <w:szCs w:val="15"/>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The CPRA will restrict use of certain categories of sensitive personal information that we may handle, establish restrictions on the retention of personal information, expand the types of data breaches subject to the private right of action, and establish the California Privacy Protection Agency to implement and enforce the new law and impose administrative fines. The majority of the CPRA’s provisions will go into effect on January 1, 2023, and additional compliance investment and potential business process changes will likely be required. Similar laws have been proposed in other states and at the federal level, reflecting a trend toward more stringent data privacy and security legislation in the United States. For example, on March 2, 2021, Virginia enacted the Virginia Consumer Data Protection Act, or CDPA, which becomes effective on January 1, 2023, and on June 8, 2021, Colorado enacted the Colorado Privacy Act, or CPA, which takes effect on July 1, 2023. The CPA and CDPA share similarities with the CCPA, CPRA, and legislation proposed in other states. Aspects of these state privacy statutes remain unclear, resulting in further uncertainty and potentially requiring us to modify our data practices and policies and to incur substantial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321" w:lineRule="exact"/>
        <w:rPr>
          <w:sz w:val="20"/>
          <w:szCs w:val="20"/>
          <w:color w:val="auto"/>
        </w:rPr>
      </w:pPr>
    </w:p>
    <w:p>
      <w:pPr>
        <w:ind w:firstLine="303"/>
        <w:spacing w:after="0" w:line="287" w:lineRule="auto"/>
        <w:rPr>
          <w:sz w:val="20"/>
          <w:szCs w:val="20"/>
          <w:color w:val="auto"/>
        </w:rPr>
      </w:pPr>
      <w:r>
        <w:rPr>
          <w:rFonts w:ascii="Arial" w:cs="Arial" w:eastAsia="Arial" w:hAnsi="Arial"/>
          <w:sz w:val="15"/>
          <w:szCs w:val="15"/>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While we currently maintain cybersecurity insurance,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110" w:lineRule="exact"/>
        <w:rPr>
          <w:sz w:val="20"/>
          <w:szCs w:val="20"/>
          <w:color w:val="auto"/>
        </w:rPr>
      </w:pPr>
    </w:p>
    <w:p>
      <w:pPr>
        <w:ind w:right="200"/>
        <w:spacing w:after="0" w:line="309" w:lineRule="auto"/>
        <w:rPr>
          <w:sz w:val="20"/>
          <w:szCs w:val="20"/>
          <w:color w:val="auto"/>
        </w:rPr>
      </w:pPr>
      <w:r>
        <w:rPr>
          <w:rFonts w:ascii="Arial" w:cs="Arial" w:eastAsia="Arial" w:hAnsi="Arial"/>
          <w:sz w:val="15"/>
          <w:szCs w:val="15"/>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90" w:lineRule="exact"/>
        <w:rPr>
          <w:sz w:val="20"/>
          <w:szCs w:val="20"/>
          <w:color w:val="auto"/>
        </w:rPr>
      </w:pPr>
    </w:p>
    <w:p>
      <w:pPr>
        <w:jc w:val="both"/>
        <w:ind w:right="180" w:firstLine="303"/>
        <w:spacing w:after="0" w:line="258" w:lineRule="auto"/>
        <w:rPr>
          <w:sz w:val="20"/>
          <w:szCs w:val="20"/>
          <w:color w:val="auto"/>
        </w:rPr>
      </w:pPr>
      <w:r>
        <w:rPr>
          <w:rFonts w:ascii="Arial" w:cs="Arial" w:eastAsia="Arial" w:hAnsi="Arial"/>
          <w:sz w:val="17"/>
          <w:szCs w:val="17"/>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49" w:lineRule="exact"/>
        <w:rPr>
          <w:sz w:val="20"/>
          <w:szCs w:val="20"/>
          <w:color w:val="auto"/>
        </w:rPr>
      </w:pPr>
    </w:p>
    <w:p>
      <w:pPr>
        <w:ind w:right="200"/>
        <w:spacing w:after="0" w:line="292" w:lineRule="auto"/>
        <w:rPr>
          <w:sz w:val="20"/>
          <w:szCs w:val="20"/>
          <w:color w:val="auto"/>
        </w:rPr>
      </w:pPr>
      <w:r>
        <w:rPr>
          <w:rFonts w:ascii="Arial" w:cs="Arial" w:eastAsia="Arial" w:hAnsi="Arial"/>
          <w:sz w:val="15"/>
          <w:szCs w:val="15"/>
          <w:color w:val="auto"/>
        </w:rPr>
        <w:t>maintenance, and transmission of this critical information are vital to our operations and business strategy. We are, and may increasingly become, subject to various laws and regulation relating to data privacy and security in the jurisdictions in which we operate. We also may be subject to contractual obligations and may be, or may be asserted to be, subject to industry standards relating to privacy and data security.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03" w:lineRule="exact"/>
        <w:rPr>
          <w:sz w:val="20"/>
          <w:szCs w:val="20"/>
          <w:color w:val="auto"/>
        </w:rPr>
      </w:pPr>
    </w:p>
    <w:p>
      <w:pPr>
        <w:ind w:firstLine="303"/>
        <w:spacing w:after="0" w:line="267" w:lineRule="auto"/>
        <w:rPr>
          <w:sz w:val="20"/>
          <w:szCs w:val="20"/>
          <w:color w:val="auto"/>
        </w:rPr>
      </w:pPr>
      <w:r>
        <w:rPr>
          <w:rFonts w:ascii="Arial" w:cs="Arial" w:eastAsia="Arial" w:hAnsi="Arial"/>
          <w:sz w:val="16"/>
          <w:szCs w:val="16"/>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19" w:lineRule="exact"/>
        <w:rPr>
          <w:sz w:val="20"/>
          <w:szCs w:val="20"/>
          <w:color w:val="auto"/>
        </w:rPr>
      </w:pPr>
    </w:p>
    <w:p>
      <w:pPr>
        <w:ind w:right="60" w:firstLine="303"/>
        <w:spacing w:after="0" w:line="285" w:lineRule="auto"/>
        <w:rPr>
          <w:sz w:val="20"/>
          <w:szCs w:val="20"/>
          <w:color w:val="auto"/>
        </w:rPr>
      </w:pPr>
      <w:r>
        <w:rPr>
          <w:rFonts w:ascii="Arial" w:cs="Arial" w:eastAsia="Arial" w:hAnsi="Arial"/>
          <w:sz w:val="15"/>
          <w:szCs w:val="15"/>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14" w:lineRule="exact"/>
        <w:rPr>
          <w:sz w:val="20"/>
          <w:szCs w:val="20"/>
          <w:color w:val="auto"/>
        </w:rPr>
      </w:pPr>
    </w:p>
    <w:p>
      <w:pPr>
        <w:ind w:right="100" w:firstLine="303"/>
        <w:spacing w:after="0" w:line="290" w:lineRule="auto"/>
        <w:rPr>
          <w:sz w:val="20"/>
          <w:szCs w:val="20"/>
          <w:color w:val="auto"/>
        </w:rPr>
      </w:pPr>
      <w:r>
        <w:rPr>
          <w:rFonts w:ascii="Arial" w:cs="Arial" w:eastAsia="Arial" w:hAnsi="Arial"/>
          <w:sz w:val="15"/>
          <w:szCs w:val="15"/>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49"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 during the six months ended June 30, 2021.</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 from Public Offering of Common Stock</w:t>
      </w:r>
    </w:p>
    <w:p>
      <w:pPr>
        <w:spacing w:after="0" w:line="162" w:lineRule="exact"/>
        <w:rPr>
          <w:sz w:val="20"/>
          <w:szCs w:val="20"/>
          <w:color w:val="auto"/>
        </w:rPr>
      </w:pPr>
    </w:p>
    <w:p>
      <w:pPr>
        <w:ind w:right="40" w:firstLine="303"/>
        <w:spacing w:after="0" w:line="295" w:lineRule="auto"/>
        <w:rPr>
          <w:sz w:val="20"/>
          <w:szCs w:val="20"/>
          <w:color w:val="auto"/>
        </w:rPr>
      </w:pPr>
      <w:r>
        <w:rPr>
          <w:rFonts w:ascii="Arial" w:cs="Arial" w:eastAsia="Arial" w:hAnsi="Arial"/>
          <w:sz w:val="15"/>
          <w:szCs w:val="15"/>
          <w:color w:val="auto"/>
        </w:rPr>
        <w:t>On December 8, 2020, we closed our initial public offering, or IPO, of 10,592,106 shares of common stock (inclusive of 1,381,579 shares of common stock from the full exercise of the overallotment option of shares granted to the underwriters). The offer and sale of all of the shares in the initial public offering were registered under the Securities Act pursuant to a registration statement on Form S-1 (File Nos. 333-250035 and 333-251116), which was declared effective by the SEC on December 3, 2020. J.P. Morgan Securities LLC, Morgan Stanley &amp; Co. LLC, BofA Securities, Inc. and Cowen and Company, LLC acted as the underwriters. The public offering price of the shares sold in the offering was $19.00 per share. The total gross proceeds from the offering were $201.3 million.</w:t>
      </w:r>
    </w:p>
    <w:p>
      <w:pPr>
        <w:spacing w:after="0" w:line="100" w:lineRule="exact"/>
        <w:rPr>
          <w:sz w:val="20"/>
          <w:szCs w:val="20"/>
          <w:color w:val="auto"/>
        </w:rPr>
      </w:pPr>
    </w:p>
    <w:p>
      <w:pPr>
        <w:ind w:right="320" w:firstLine="303"/>
        <w:spacing w:after="0" w:line="270" w:lineRule="auto"/>
        <w:rPr>
          <w:sz w:val="20"/>
          <w:szCs w:val="20"/>
          <w:color w:val="auto"/>
        </w:rPr>
      </w:pPr>
      <w:r>
        <w:rPr>
          <w:rFonts w:ascii="Arial" w:cs="Arial" w:eastAsia="Arial" w:hAnsi="Arial"/>
          <w:sz w:val="17"/>
          <w:szCs w:val="17"/>
          <w:color w:val="auto"/>
        </w:rPr>
        <w:t>After deducting underwriting discounts and commissions of $14.1 million and offering expenses paid or payable by us of approximately $3.3 million, the net proceeds from the offering were approximately $183.9 million.</w:t>
      </w:r>
    </w:p>
    <w:p>
      <w:pPr>
        <w:spacing w:after="0" w:line="115" w:lineRule="exact"/>
        <w:rPr>
          <w:sz w:val="20"/>
          <w:szCs w:val="20"/>
          <w:color w:val="auto"/>
        </w:rPr>
      </w:pPr>
    </w:p>
    <w:p>
      <w:pPr>
        <w:jc w:val="both"/>
        <w:ind w:firstLine="303"/>
        <w:spacing w:after="0" w:line="258" w:lineRule="auto"/>
        <w:rPr>
          <w:sz w:val="20"/>
          <w:szCs w:val="20"/>
          <w:color w:val="auto"/>
        </w:rPr>
      </w:pPr>
      <w:r>
        <w:rPr>
          <w:rFonts w:ascii="Arial" w:cs="Arial" w:eastAsia="Arial" w:hAnsi="Arial"/>
          <w:sz w:val="17"/>
          <w:szCs w:val="17"/>
          <w:color w:val="auto"/>
        </w:rPr>
        <w:t>There has been no material change in the planned use of proceeds from our IPO as described in our final IPO prospectus filed with the SEC on December 4, 2020 pursuant to rule 424(b) of the Securities Act. We invested the funds received in short-term and long-term, interest-bearing investment-grade securities and government securities.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9" w:name="page80"/>
    <w:bookmarkEnd w:id="79"/>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Exhibit Number</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780" w:type="dxa"/>
            <w:vAlign w:val="bottom"/>
            <w:gridSpan w:val="11"/>
          </w:tcPr>
          <w:p>
            <w:pPr>
              <w:ind w:left="440"/>
              <w:spacing w:after="0"/>
              <w:rPr>
                <w:sz w:val="20"/>
                <w:szCs w:val="20"/>
                <w:color w:val="auto"/>
              </w:rPr>
            </w:pPr>
            <w:r>
              <w:rPr>
                <w:rFonts w:ascii="Arial" w:cs="Arial" w:eastAsia="Arial" w:hAnsi="Arial"/>
                <w:sz w:val="13"/>
                <w:szCs w:val="13"/>
                <w:b w:val="1"/>
                <w:bCs w:val="1"/>
                <w:color w:val="auto"/>
              </w:rPr>
              <w:t>Description</w:t>
            </w:r>
          </w:p>
        </w:tc>
        <w:tc>
          <w:tcPr>
            <w:tcW w:w="1640" w:type="dxa"/>
            <w:vAlign w:val="bottom"/>
          </w:tcPr>
          <w:p>
            <w:pPr>
              <w:ind w:left="640"/>
              <w:spacing w:after="0"/>
              <w:rPr>
                <w:sz w:val="20"/>
                <w:szCs w:val="20"/>
                <w:color w:val="auto"/>
              </w:rPr>
            </w:pPr>
            <w:r>
              <w:rPr>
                <w:rFonts w:ascii="Arial" w:cs="Arial" w:eastAsia="Arial" w:hAnsi="Arial"/>
                <w:sz w:val="13"/>
                <w:szCs w:val="13"/>
                <w:b w:val="1"/>
                <w:bCs w:val="1"/>
                <w:color w:val="auto"/>
              </w:rPr>
              <w:t>Form</w:t>
            </w:r>
          </w:p>
        </w:tc>
        <w:tc>
          <w:tcPr>
            <w:tcW w:w="1560" w:type="dxa"/>
            <w:vAlign w:val="bottom"/>
          </w:tcPr>
          <w:p>
            <w:pPr>
              <w:ind w:left="660"/>
              <w:spacing w:after="0"/>
              <w:rPr>
                <w:sz w:val="20"/>
                <w:szCs w:val="20"/>
                <w:color w:val="auto"/>
              </w:rPr>
            </w:pPr>
            <w:r>
              <w:rPr>
                <w:rFonts w:ascii="Arial" w:cs="Arial" w:eastAsia="Arial" w:hAnsi="Arial"/>
                <w:sz w:val="13"/>
                <w:szCs w:val="13"/>
                <w:b w:val="1"/>
                <w:bCs w:val="1"/>
                <w:color w:val="auto"/>
              </w:rPr>
              <w:t>File No.</w:t>
            </w:r>
          </w:p>
        </w:tc>
        <w:tc>
          <w:tcPr>
            <w:tcW w:w="1280" w:type="dxa"/>
            <w:vAlign w:val="bottom"/>
          </w:tcPr>
          <w:p>
            <w:pPr>
              <w:ind w:left="460"/>
              <w:spacing w:after="0"/>
              <w:rPr>
                <w:sz w:val="20"/>
                <w:szCs w:val="20"/>
                <w:color w:val="auto"/>
              </w:rPr>
            </w:pPr>
            <w:r>
              <w:rPr>
                <w:rFonts w:ascii="Arial" w:cs="Arial" w:eastAsia="Arial" w:hAnsi="Arial"/>
                <w:sz w:val="13"/>
                <w:szCs w:val="13"/>
                <w:b w:val="1"/>
                <w:bCs w:val="1"/>
                <w:color w:val="auto"/>
              </w:rPr>
              <w:t>Exhibit</w:t>
            </w:r>
          </w:p>
        </w:tc>
        <w:tc>
          <w:tcPr>
            <w:tcW w:w="1040" w:type="dxa"/>
            <w:vAlign w:val="bottom"/>
          </w:tcPr>
          <w:p>
            <w:pPr>
              <w:ind w:left="400"/>
              <w:spacing w:after="0"/>
              <w:rPr>
                <w:sz w:val="20"/>
                <w:szCs w:val="20"/>
                <w:color w:val="auto"/>
              </w:rPr>
            </w:pPr>
            <w:r>
              <w:rPr>
                <w:rFonts w:ascii="Arial" w:cs="Arial" w:eastAsia="Arial" w:hAnsi="Arial"/>
                <w:sz w:val="13"/>
                <w:szCs w:val="13"/>
                <w:b w:val="1"/>
                <w:bCs w:val="1"/>
                <w:color w:val="auto"/>
                <w:w w:val="93"/>
              </w:rPr>
              <w:t>Filing Date</w:t>
            </w:r>
          </w:p>
        </w:tc>
      </w:tr>
      <w:tr>
        <w:trPr>
          <w:trHeight w:val="23"/>
        </w:trPr>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9"/>
        </w:trPr>
        <w:tc>
          <w:tcPr>
            <w:tcW w:w="1120" w:type="dxa"/>
            <w:vAlign w:val="bottom"/>
          </w:tcPr>
          <w:p>
            <w:pPr>
              <w:jc w:val="center"/>
              <w:spacing w:after="0" w:line="169" w:lineRule="exact"/>
              <w:rPr>
                <w:sz w:val="20"/>
                <w:szCs w:val="20"/>
                <w:color w:val="auto"/>
              </w:rPr>
            </w:pPr>
            <w:r>
              <w:rPr>
                <w:rFonts w:ascii="Arial" w:cs="Arial" w:eastAsia="Arial" w:hAnsi="Arial"/>
                <w:sz w:val="16"/>
                <w:szCs w:val="16"/>
                <w:color w:val="auto"/>
                <w:w w:val="89"/>
              </w:rPr>
              <w:t>10.1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60" w:type="dxa"/>
            <w:vAlign w:val="bottom"/>
            <w:tcBorders>
              <w:bottom w:val="single" w:sz="8" w:color="0000FF"/>
            </w:tcBorders>
            <w:gridSpan w:val="9"/>
          </w:tcPr>
          <w:p>
            <w:pPr>
              <w:spacing w:after="0" w:line="169" w:lineRule="exact"/>
              <w:rPr>
                <w:rFonts w:ascii="Arial" w:cs="Arial" w:eastAsia="Arial" w:hAnsi="Arial"/>
                <w:sz w:val="16"/>
                <w:szCs w:val="16"/>
                <w:color w:val="0000FF"/>
                <w:w w:val="89"/>
              </w:rPr>
            </w:pPr>
            <w:hyperlink w:anchor="page82">
              <w:r>
                <w:rPr>
                  <w:rFonts w:ascii="Arial" w:cs="Arial" w:eastAsia="Arial" w:hAnsi="Arial"/>
                  <w:sz w:val="16"/>
                  <w:szCs w:val="16"/>
                  <w:color w:val="0000FF"/>
                  <w:w w:val="89"/>
                </w:rPr>
                <w:t>Outside Director Compensation Policy (as amended on June</w:t>
              </w:r>
            </w:hyperlink>
          </w:p>
        </w:tc>
        <w:tc>
          <w:tcPr>
            <w:tcW w:w="140" w:type="dxa"/>
            <w:vAlign w:val="bottom"/>
            <w:gridSpan w:val="4"/>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20"/>
              <w:spacing w:after="0" w:line="169" w:lineRule="exact"/>
              <w:rPr>
                <w:rFonts w:ascii="Arial" w:cs="Arial" w:eastAsia="Arial" w:hAnsi="Arial"/>
                <w:sz w:val="16"/>
                <w:szCs w:val="16"/>
                <w:color w:val="0000FF"/>
                <w:w w:val="85"/>
              </w:rPr>
            </w:pPr>
            <w:hyperlink w:anchor="page82">
              <w:r>
                <w:rPr>
                  <w:rFonts w:ascii="Arial" w:cs="Arial" w:eastAsia="Arial" w:hAnsi="Arial"/>
                  <w:sz w:val="16"/>
                  <w:szCs w:val="16"/>
                  <w:color w:val="0000FF"/>
                  <w:w w:val="85"/>
                </w:rPr>
                <w:t>16, 2021)</w:t>
              </w:r>
            </w:hyperlink>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21"/>
        </w:trPr>
        <w:tc>
          <w:tcPr>
            <w:tcW w:w="112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gridSpan w:val="13"/>
          </w:tcPr>
          <w:p>
            <w:pPr>
              <w:spacing w:after="0"/>
              <w:rPr>
                <w:rFonts w:ascii="Arial" w:cs="Arial" w:eastAsia="Arial" w:hAnsi="Arial"/>
                <w:sz w:val="16"/>
                <w:szCs w:val="16"/>
                <w:color w:val="0000FF"/>
              </w:rPr>
            </w:pPr>
            <w:hyperlink w:anchor="page87">
              <w:r>
                <w:rPr>
                  <w:rFonts w:ascii="Arial" w:cs="Arial" w:eastAsia="Arial" w:hAnsi="Arial"/>
                  <w:sz w:val="16"/>
                  <w:szCs w:val="16"/>
                  <w:color w:val="0000FF"/>
                </w:rPr>
                <w:t>2020 Employee Stock Purchase Plan</w:t>
              </w:r>
            </w:hyperlink>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as amended.</w:t>
            </w: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21"/>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31.1†</w:t>
            </w:r>
          </w:p>
        </w:tc>
        <w:tc>
          <w:tcPr>
            <w:tcW w:w="20" w:type="dxa"/>
            <w:vAlign w:val="bottom"/>
          </w:tcPr>
          <w:p>
            <w:pPr>
              <w:spacing w:after="0"/>
              <w:rPr>
                <w:sz w:val="24"/>
                <w:szCs w:val="24"/>
                <w:color w:val="auto"/>
              </w:rPr>
            </w:pPr>
          </w:p>
        </w:tc>
        <w:tc>
          <w:tcPr>
            <w:tcW w:w="3940" w:type="dxa"/>
            <w:vAlign w:val="bottom"/>
            <w:tcBorders>
              <w:bottom w:val="single" w:sz="8" w:color="0000FF"/>
            </w:tcBorders>
            <w:gridSpan w:val="11"/>
          </w:tcPr>
          <w:p>
            <w:pPr>
              <w:spacing w:after="0"/>
              <w:rPr>
                <w:rFonts w:ascii="Arial" w:cs="Arial" w:eastAsia="Arial" w:hAnsi="Arial"/>
                <w:sz w:val="16"/>
                <w:szCs w:val="16"/>
                <w:color w:val="0000FF"/>
                <w:w w:val="92"/>
              </w:rPr>
            </w:pPr>
            <w:hyperlink w:anchor="page112">
              <w:r>
                <w:rPr>
                  <w:rFonts w:ascii="Arial" w:cs="Arial" w:eastAsia="Arial" w:hAnsi="Arial"/>
                  <w:sz w:val="16"/>
                  <w:szCs w:val="16"/>
                  <w:color w:val="0000FF"/>
                  <w:w w:val="92"/>
                </w:rPr>
                <w:t>Certification of Principal Executive Officer Pursuant to Rules</w:t>
              </w:r>
            </w:hyperlink>
          </w:p>
        </w:tc>
        <w:tc>
          <w:tcPr>
            <w:tcW w:w="60" w:type="dxa"/>
            <w:vAlign w:val="bottom"/>
            <w:gridSpan w:val="2"/>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80" w:type="dxa"/>
            <w:vAlign w:val="bottom"/>
            <w:tcBorders>
              <w:bottom w:val="single" w:sz="8" w:color="0000FF"/>
            </w:tcBorders>
            <w:gridSpan w:val="12"/>
          </w:tcPr>
          <w:p>
            <w:pPr>
              <w:spacing w:after="0" w:line="169" w:lineRule="exact"/>
              <w:rPr>
                <w:rFonts w:ascii="Arial" w:cs="Arial" w:eastAsia="Arial" w:hAnsi="Arial"/>
                <w:sz w:val="16"/>
                <w:szCs w:val="16"/>
                <w:color w:val="0000FF"/>
                <w:w w:val="89"/>
              </w:rPr>
            </w:pPr>
            <w:hyperlink w:anchor="page112">
              <w:r>
                <w:rPr>
                  <w:rFonts w:ascii="Arial" w:cs="Arial" w:eastAsia="Arial" w:hAnsi="Arial"/>
                  <w:sz w:val="16"/>
                  <w:szCs w:val="16"/>
                  <w:color w:val="0000FF"/>
                  <w:w w:val="89"/>
                </w:rPr>
                <w:t>13a-14(a) and 15d-14(a) under the Securities Exchange Act of</w:t>
              </w:r>
            </w:hyperlink>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60" w:type="dxa"/>
            <w:vAlign w:val="bottom"/>
            <w:tcBorders>
              <w:bottom w:val="single" w:sz="8" w:color="0000FF"/>
            </w:tcBorders>
            <w:gridSpan w:val="7"/>
          </w:tcPr>
          <w:p>
            <w:pPr>
              <w:spacing w:after="0" w:line="169" w:lineRule="exact"/>
              <w:rPr>
                <w:rFonts w:ascii="Arial" w:cs="Arial" w:eastAsia="Arial" w:hAnsi="Arial"/>
                <w:sz w:val="16"/>
                <w:szCs w:val="16"/>
                <w:color w:val="0000FF"/>
                <w:w w:val="88"/>
              </w:rPr>
            </w:pPr>
            <w:hyperlink w:anchor="page112">
              <w:r>
                <w:rPr>
                  <w:rFonts w:ascii="Arial" w:cs="Arial" w:eastAsia="Arial" w:hAnsi="Arial"/>
                  <w:sz w:val="16"/>
                  <w:szCs w:val="16"/>
                  <w:color w:val="0000FF"/>
                  <w:w w:val="88"/>
                </w:rPr>
                <w:t>1934, as Adopted Pursuant to Section 302 of the Sarbanes-</w:t>
              </w:r>
            </w:hyperlink>
          </w:p>
        </w:tc>
        <w:tc>
          <w:tcPr>
            <w:tcW w:w="240" w:type="dxa"/>
            <w:vAlign w:val="bottom"/>
            <w:gridSpan w:val="6"/>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0" w:type="dxa"/>
            <w:vAlign w:val="bottom"/>
            <w:gridSpan w:val="13"/>
          </w:tcPr>
          <w:p>
            <w:pPr>
              <w:spacing w:after="0" w:line="169" w:lineRule="exact"/>
              <w:rPr>
                <w:rFonts w:ascii="Arial" w:cs="Arial" w:eastAsia="Arial" w:hAnsi="Arial"/>
                <w:sz w:val="16"/>
                <w:szCs w:val="16"/>
                <w:color w:val="0000FF"/>
              </w:rPr>
            </w:pPr>
            <w:hyperlink w:anchor="page112">
              <w:r>
                <w:rPr>
                  <w:rFonts w:ascii="Arial" w:cs="Arial" w:eastAsia="Arial" w:hAnsi="Arial"/>
                  <w:sz w:val="16"/>
                  <w:szCs w:val="16"/>
                  <w:color w:val="0000FF"/>
                </w:rPr>
                <w:t>Oxley Act of 2002.</w:t>
              </w:r>
            </w:hyperlink>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21"/>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31.2†</w:t>
            </w:r>
          </w:p>
        </w:tc>
        <w:tc>
          <w:tcPr>
            <w:tcW w:w="20" w:type="dxa"/>
            <w:vAlign w:val="bottom"/>
          </w:tcPr>
          <w:p>
            <w:pPr>
              <w:spacing w:after="0"/>
              <w:rPr>
                <w:sz w:val="24"/>
                <w:szCs w:val="24"/>
                <w:color w:val="auto"/>
              </w:rPr>
            </w:pPr>
          </w:p>
        </w:tc>
        <w:tc>
          <w:tcPr>
            <w:tcW w:w="4000" w:type="dxa"/>
            <w:vAlign w:val="bottom"/>
            <w:gridSpan w:val="13"/>
          </w:tcPr>
          <w:p>
            <w:pPr>
              <w:spacing w:after="0"/>
              <w:rPr>
                <w:rFonts w:ascii="Arial" w:cs="Arial" w:eastAsia="Arial" w:hAnsi="Arial"/>
                <w:sz w:val="16"/>
                <w:szCs w:val="16"/>
                <w:color w:val="0000FF"/>
                <w:w w:val="94"/>
              </w:rPr>
            </w:pPr>
            <w:hyperlink w:anchor="page114">
              <w:r>
                <w:rPr>
                  <w:rFonts w:ascii="Arial" w:cs="Arial" w:eastAsia="Arial" w:hAnsi="Arial"/>
                  <w:sz w:val="16"/>
                  <w:szCs w:val="16"/>
                  <w:color w:val="0000FF"/>
                  <w:w w:val="94"/>
                </w:rPr>
                <w:t>Certification of Principal Financial Officer Pursuant to Rules</w:t>
              </w:r>
            </w:hyperlink>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80" w:type="dxa"/>
            <w:vAlign w:val="bottom"/>
            <w:tcBorders>
              <w:bottom w:val="single" w:sz="8" w:color="0000FF"/>
            </w:tcBorders>
            <w:gridSpan w:val="12"/>
          </w:tcPr>
          <w:p>
            <w:pPr>
              <w:spacing w:after="0" w:line="169" w:lineRule="exact"/>
              <w:rPr>
                <w:rFonts w:ascii="Arial" w:cs="Arial" w:eastAsia="Arial" w:hAnsi="Arial"/>
                <w:sz w:val="16"/>
                <w:szCs w:val="16"/>
                <w:color w:val="0000FF"/>
                <w:w w:val="89"/>
              </w:rPr>
            </w:pPr>
            <w:hyperlink w:anchor="page114">
              <w:r>
                <w:rPr>
                  <w:rFonts w:ascii="Arial" w:cs="Arial" w:eastAsia="Arial" w:hAnsi="Arial"/>
                  <w:sz w:val="16"/>
                  <w:szCs w:val="16"/>
                  <w:color w:val="0000FF"/>
                  <w:w w:val="89"/>
                </w:rPr>
                <w:t>13a-14(a) and 15d-14(a) under the Securities Exchange Act of</w:t>
              </w:r>
            </w:hyperlink>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60" w:type="dxa"/>
            <w:vAlign w:val="bottom"/>
            <w:tcBorders>
              <w:bottom w:val="single" w:sz="8" w:color="0000FF"/>
            </w:tcBorders>
            <w:gridSpan w:val="7"/>
          </w:tcPr>
          <w:p>
            <w:pPr>
              <w:spacing w:after="0" w:line="169" w:lineRule="exact"/>
              <w:rPr>
                <w:rFonts w:ascii="Arial" w:cs="Arial" w:eastAsia="Arial" w:hAnsi="Arial"/>
                <w:sz w:val="16"/>
                <w:szCs w:val="16"/>
                <w:color w:val="0000FF"/>
                <w:w w:val="88"/>
              </w:rPr>
            </w:pPr>
            <w:hyperlink w:anchor="page114">
              <w:r>
                <w:rPr>
                  <w:rFonts w:ascii="Arial" w:cs="Arial" w:eastAsia="Arial" w:hAnsi="Arial"/>
                  <w:sz w:val="16"/>
                  <w:szCs w:val="16"/>
                  <w:color w:val="0000FF"/>
                  <w:w w:val="88"/>
                </w:rPr>
                <w:t>1934, as Adopted Pursuant to Section 302 of the Sarbanes-</w:t>
              </w:r>
            </w:hyperlink>
          </w:p>
        </w:tc>
        <w:tc>
          <w:tcPr>
            <w:tcW w:w="240" w:type="dxa"/>
            <w:vAlign w:val="bottom"/>
            <w:gridSpan w:val="6"/>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0" w:type="dxa"/>
            <w:vAlign w:val="bottom"/>
            <w:gridSpan w:val="13"/>
          </w:tcPr>
          <w:p>
            <w:pPr>
              <w:spacing w:after="0" w:line="169" w:lineRule="exact"/>
              <w:rPr>
                <w:rFonts w:ascii="Arial" w:cs="Arial" w:eastAsia="Arial" w:hAnsi="Arial"/>
                <w:sz w:val="16"/>
                <w:szCs w:val="16"/>
                <w:color w:val="0000FF"/>
              </w:rPr>
            </w:pPr>
            <w:hyperlink w:anchor="page114">
              <w:r>
                <w:rPr>
                  <w:rFonts w:ascii="Arial" w:cs="Arial" w:eastAsia="Arial" w:hAnsi="Arial"/>
                  <w:sz w:val="16"/>
                  <w:szCs w:val="16"/>
                  <w:color w:val="0000FF"/>
                </w:rPr>
                <w:t>Oxley Act of 2002.</w:t>
              </w:r>
            </w:hyperlink>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21"/>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32.1†</w:t>
            </w:r>
          </w:p>
        </w:tc>
        <w:tc>
          <w:tcPr>
            <w:tcW w:w="20" w:type="dxa"/>
            <w:vAlign w:val="bottom"/>
          </w:tcPr>
          <w:p>
            <w:pPr>
              <w:spacing w:after="0"/>
              <w:rPr>
                <w:sz w:val="24"/>
                <w:szCs w:val="24"/>
                <w:color w:val="auto"/>
              </w:rPr>
            </w:pPr>
          </w:p>
        </w:tc>
        <w:tc>
          <w:tcPr>
            <w:tcW w:w="4000" w:type="dxa"/>
            <w:vAlign w:val="bottom"/>
            <w:gridSpan w:val="13"/>
          </w:tcPr>
          <w:p>
            <w:pPr>
              <w:spacing w:after="0"/>
              <w:rPr>
                <w:rFonts w:ascii="Arial" w:cs="Arial" w:eastAsia="Arial" w:hAnsi="Arial"/>
                <w:sz w:val="16"/>
                <w:szCs w:val="16"/>
                <w:color w:val="0000FF"/>
                <w:w w:val="99"/>
              </w:rPr>
            </w:pPr>
            <w:hyperlink w:anchor="page116">
              <w:r>
                <w:rPr>
                  <w:rFonts w:ascii="Arial" w:cs="Arial" w:eastAsia="Arial" w:hAnsi="Arial"/>
                  <w:sz w:val="16"/>
                  <w:szCs w:val="16"/>
                  <w:color w:val="0000FF"/>
                  <w:w w:val="99"/>
                </w:rPr>
                <w:t>Certification of Principal Executive Officer Pursuant to 18</w:t>
              </w:r>
            </w:hyperlink>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40" w:type="dxa"/>
            <w:vAlign w:val="bottom"/>
            <w:tcBorders>
              <w:bottom w:val="single" w:sz="8" w:color="0000FF"/>
            </w:tcBorders>
            <w:gridSpan w:val="8"/>
          </w:tcPr>
          <w:p>
            <w:pPr>
              <w:spacing w:after="0" w:line="169" w:lineRule="exact"/>
              <w:rPr>
                <w:rFonts w:ascii="Arial" w:cs="Arial" w:eastAsia="Arial" w:hAnsi="Arial"/>
                <w:sz w:val="16"/>
                <w:szCs w:val="16"/>
                <w:color w:val="0000FF"/>
                <w:w w:val="89"/>
              </w:rPr>
            </w:pPr>
            <w:hyperlink w:anchor="page116">
              <w:r>
                <w:rPr>
                  <w:rFonts w:ascii="Arial" w:cs="Arial" w:eastAsia="Arial" w:hAnsi="Arial"/>
                  <w:sz w:val="16"/>
                  <w:szCs w:val="16"/>
                  <w:color w:val="0000FF"/>
                  <w:w w:val="89"/>
                </w:rPr>
                <w:t>U.S.C. Section 1350, as Adopted Pursuant to Section 906 of</w:t>
              </w:r>
            </w:hyperlink>
          </w:p>
        </w:tc>
        <w:tc>
          <w:tcPr>
            <w:tcW w:w="160" w:type="dxa"/>
            <w:vAlign w:val="bottom"/>
            <w:gridSpan w:val="5"/>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tcBorders>
              <w:bottom w:val="single" w:sz="8" w:color="0000FF"/>
            </w:tcBorders>
            <w:gridSpan w:val="4"/>
          </w:tcPr>
          <w:p>
            <w:pPr>
              <w:spacing w:after="0" w:line="169" w:lineRule="exact"/>
              <w:rPr>
                <w:rFonts w:ascii="Arial" w:cs="Arial" w:eastAsia="Arial" w:hAnsi="Arial"/>
                <w:sz w:val="16"/>
                <w:szCs w:val="16"/>
                <w:color w:val="0000FF"/>
                <w:w w:val="90"/>
              </w:rPr>
            </w:pPr>
            <w:hyperlink w:anchor="page116">
              <w:r>
                <w:rPr>
                  <w:rFonts w:ascii="Arial" w:cs="Arial" w:eastAsia="Arial" w:hAnsi="Arial"/>
                  <w:sz w:val="16"/>
                  <w:szCs w:val="16"/>
                  <w:color w:val="0000FF"/>
                  <w:w w:val="90"/>
                </w:rPr>
                <w:t>the Sarbanes-Oxley Act of 2002.</w:t>
              </w:r>
            </w:hyperlink>
          </w:p>
        </w:tc>
        <w:tc>
          <w:tcPr>
            <w:tcW w:w="1880" w:type="dxa"/>
            <w:vAlign w:val="bottom"/>
            <w:gridSpan w:val="9"/>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421"/>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32.2†</w:t>
            </w:r>
          </w:p>
        </w:tc>
        <w:tc>
          <w:tcPr>
            <w:tcW w:w="20" w:type="dxa"/>
            <w:vAlign w:val="bottom"/>
          </w:tcPr>
          <w:p>
            <w:pPr>
              <w:spacing w:after="0"/>
              <w:rPr>
                <w:sz w:val="24"/>
                <w:szCs w:val="24"/>
                <w:color w:val="auto"/>
              </w:rPr>
            </w:pPr>
          </w:p>
        </w:tc>
        <w:tc>
          <w:tcPr>
            <w:tcW w:w="4000" w:type="dxa"/>
            <w:vAlign w:val="bottom"/>
            <w:gridSpan w:val="13"/>
          </w:tcPr>
          <w:p>
            <w:pPr>
              <w:spacing w:after="0"/>
              <w:rPr>
                <w:rFonts w:ascii="Arial" w:cs="Arial" w:eastAsia="Arial" w:hAnsi="Arial"/>
                <w:sz w:val="16"/>
                <w:szCs w:val="16"/>
                <w:color w:val="0000FF"/>
              </w:rPr>
            </w:pPr>
            <w:hyperlink w:anchor="page117">
              <w:r>
                <w:rPr>
                  <w:rFonts w:ascii="Arial" w:cs="Arial" w:eastAsia="Arial" w:hAnsi="Arial"/>
                  <w:sz w:val="16"/>
                  <w:szCs w:val="16"/>
                  <w:color w:val="0000FF"/>
                </w:rPr>
                <w:t>Certification of Principal Financial Officer Pursuant to 18</w:t>
              </w:r>
            </w:hyperlink>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40" w:type="dxa"/>
            <w:vAlign w:val="bottom"/>
            <w:tcBorders>
              <w:bottom w:val="single" w:sz="8" w:color="0000FF"/>
            </w:tcBorders>
            <w:gridSpan w:val="8"/>
          </w:tcPr>
          <w:p>
            <w:pPr>
              <w:spacing w:after="0" w:line="169" w:lineRule="exact"/>
              <w:rPr>
                <w:rFonts w:ascii="Arial" w:cs="Arial" w:eastAsia="Arial" w:hAnsi="Arial"/>
                <w:sz w:val="16"/>
                <w:szCs w:val="16"/>
                <w:color w:val="0000FF"/>
                <w:w w:val="89"/>
              </w:rPr>
            </w:pPr>
            <w:hyperlink w:anchor="page117">
              <w:r>
                <w:rPr>
                  <w:rFonts w:ascii="Arial" w:cs="Arial" w:eastAsia="Arial" w:hAnsi="Arial"/>
                  <w:sz w:val="16"/>
                  <w:szCs w:val="16"/>
                  <w:color w:val="0000FF"/>
                  <w:w w:val="89"/>
                </w:rPr>
                <w:t>U.S.C. Section 1350, as Adopted Pursuant to Section 906 of</w:t>
              </w:r>
            </w:hyperlink>
          </w:p>
        </w:tc>
        <w:tc>
          <w:tcPr>
            <w:tcW w:w="160" w:type="dxa"/>
            <w:vAlign w:val="bottom"/>
            <w:gridSpan w:val="5"/>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Borders>
              <w:bottom w:val="single" w:sz="8" w:color="0000FF"/>
            </w:tcBorders>
            <w:gridSpan w:val="3"/>
          </w:tcPr>
          <w:p>
            <w:pPr>
              <w:spacing w:after="0" w:line="169" w:lineRule="exact"/>
              <w:rPr>
                <w:rFonts w:ascii="Arial" w:cs="Arial" w:eastAsia="Arial" w:hAnsi="Arial"/>
                <w:sz w:val="16"/>
                <w:szCs w:val="16"/>
                <w:color w:val="0000FF"/>
                <w:w w:val="89"/>
              </w:rPr>
            </w:pPr>
            <w:hyperlink w:anchor="page117">
              <w:r>
                <w:rPr>
                  <w:rFonts w:ascii="Arial" w:cs="Arial" w:eastAsia="Arial" w:hAnsi="Arial"/>
                  <w:sz w:val="16"/>
                  <w:szCs w:val="16"/>
                  <w:color w:val="0000FF"/>
                  <w:w w:val="89"/>
                </w:rPr>
                <w:t>the Sarbanes-Oxley Act of 2002.</w:t>
              </w:r>
            </w:hyperlink>
          </w:p>
        </w:tc>
        <w:tc>
          <w:tcPr>
            <w:tcW w:w="1900" w:type="dxa"/>
            <w:vAlign w:val="bottom"/>
            <w:gridSpan w:val="10"/>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457"/>
        </w:trPr>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101.INS</w:t>
            </w:r>
          </w:p>
        </w:tc>
        <w:tc>
          <w:tcPr>
            <w:tcW w:w="20" w:type="dxa"/>
            <w:vAlign w:val="bottom"/>
          </w:tcPr>
          <w:p>
            <w:pPr>
              <w:spacing w:after="0"/>
              <w:rPr>
                <w:sz w:val="24"/>
                <w:szCs w:val="24"/>
                <w:color w:val="auto"/>
              </w:rPr>
            </w:pPr>
          </w:p>
        </w:tc>
        <w:tc>
          <w:tcPr>
            <w:tcW w:w="4000" w:type="dxa"/>
            <w:vAlign w:val="bottom"/>
            <w:gridSpan w:val="13"/>
          </w:tcPr>
          <w:p>
            <w:pPr>
              <w:spacing w:after="0"/>
              <w:rPr>
                <w:sz w:val="20"/>
                <w:szCs w:val="20"/>
                <w:color w:val="auto"/>
              </w:rPr>
            </w:pPr>
            <w:r>
              <w:rPr>
                <w:rFonts w:ascii="Arial" w:cs="Arial" w:eastAsia="Arial" w:hAnsi="Arial"/>
                <w:sz w:val="16"/>
                <w:szCs w:val="16"/>
                <w:color w:val="auto"/>
              </w:rPr>
              <w:t>XBRL Instance Document</w:t>
            </w: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0"/>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101.SCH</w:t>
            </w:r>
          </w:p>
        </w:tc>
        <w:tc>
          <w:tcPr>
            <w:tcW w:w="20" w:type="dxa"/>
            <w:vAlign w:val="bottom"/>
          </w:tcPr>
          <w:p>
            <w:pPr>
              <w:spacing w:after="0"/>
              <w:rPr>
                <w:sz w:val="24"/>
                <w:szCs w:val="24"/>
                <w:color w:val="auto"/>
              </w:rPr>
            </w:pPr>
          </w:p>
        </w:tc>
        <w:tc>
          <w:tcPr>
            <w:tcW w:w="4000" w:type="dxa"/>
            <w:vAlign w:val="bottom"/>
            <w:gridSpan w:val="13"/>
          </w:tcPr>
          <w:p>
            <w:pPr>
              <w:spacing w:after="0"/>
              <w:rPr>
                <w:sz w:val="20"/>
                <w:szCs w:val="20"/>
                <w:color w:val="auto"/>
              </w:rPr>
            </w:pPr>
            <w:r>
              <w:rPr>
                <w:rFonts w:ascii="Arial" w:cs="Arial" w:eastAsia="Arial" w:hAnsi="Arial"/>
                <w:sz w:val="16"/>
                <w:szCs w:val="16"/>
                <w:color w:val="auto"/>
              </w:rPr>
              <w:t>XBRL Taxonomy Extension Schema Document</w:t>
            </w: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0"/>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101.CAL</w:t>
            </w:r>
          </w:p>
        </w:tc>
        <w:tc>
          <w:tcPr>
            <w:tcW w:w="20" w:type="dxa"/>
            <w:vAlign w:val="bottom"/>
          </w:tcPr>
          <w:p>
            <w:pPr>
              <w:spacing w:after="0"/>
              <w:rPr>
                <w:sz w:val="24"/>
                <w:szCs w:val="24"/>
                <w:color w:val="auto"/>
              </w:rPr>
            </w:pPr>
          </w:p>
        </w:tc>
        <w:tc>
          <w:tcPr>
            <w:tcW w:w="4000" w:type="dxa"/>
            <w:vAlign w:val="bottom"/>
            <w:gridSpan w:val="13"/>
          </w:tcPr>
          <w:p>
            <w:pPr>
              <w:spacing w:after="0"/>
              <w:rPr>
                <w:sz w:val="20"/>
                <w:szCs w:val="20"/>
                <w:color w:val="auto"/>
              </w:rPr>
            </w:pPr>
            <w:r>
              <w:rPr>
                <w:rFonts w:ascii="Arial" w:cs="Arial" w:eastAsia="Arial" w:hAnsi="Arial"/>
                <w:sz w:val="16"/>
                <w:szCs w:val="16"/>
                <w:color w:val="auto"/>
                <w:w w:val="93"/>
              </w:rPr>
              <w:t>XBRL Taxonomy Extension Calculation Linkbase Document</w:t>
            </w: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0"/>
        </w:trPr>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101.DEF</w:t>
            </w:r>
          </w:p>
        </w:tc>
        <w:tc>
          <w:tcPr>
            <w:tcW w:w="20" w:type="dxa"/>
            <w:vAlign w:val="bottom"/>
          </w:tcPr>
          <w:p>
            <w:pPr>
              <w:spacing w:after="0"/>
              <w:rPr>
                <w:sz w:val="24"/>
                <w:szCs w:val="24"/>
                <w:color w:val="auto"/>
              </w:rPr>
            </w:pPr>
          </w:p>
        </w:tc>
        <w:tc>
          <w:tcPr>
            <w:tcW w:w="4000" w:type="dxa"/>
            <w:vAlign w:val="bottom"/>
            <w:gridSpan w:val="13"/>
          </w:tcPr>
          <w:p>
            <w:pPr>
              <w:spacing w:after="0"/>
              <w:rPr>
                <w:sz w:val="20"/>
                <w:szCs w:val="20"/>
                <w:color w:val="auto"/>
              </w:rPr>
            </w:pPr>
            <w:r>
              <w:rPr>
                <w:rFonts w:ascii="Arial" w:cs="Arial" w:eastAsia="Arial" w:hAnsi="Arial"/>
                <w:sz w:val="16"/>
                <w:szCs w:val="16"/>
                <w:color w:val="auto"/>
                <w:w w:val="96"/>
              </w:rPr>
              <w:t>XBRL Taxonomy Extension Definition Linkbase Document</w:t>
            </w: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0"/>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97"/>
              </w:rPr>
              <w:t>101.LAB</w:t>
            </w:r>
          </w:p>
        </w:tc>
        <w:tc>
          <w:tcPr>
            <w:tcW w:w="20" w:type="dxa"/>
            <w:vAlign w:val="bottom"/>
          </w:tcPr>
          <w:p>
            <w:pPr>
              <w:spacing w:after="0"/>
              <w:rPr>
                <w:sz w:val="24"/>
                <w:szCs w:val="24"/>
                <w:color w:val="auto"/>
              </w:rPr>
            </w:pPr>
          </w:p>
        </w:tc>
        <w:tc>
          <w:tcPr>
            <w:tcW w:w="4000" w:type="dxa"/>
            <w:vAlign w:val="bottom"/>
            <w:gridSpan w:val="13"/>
          </w:tcPr>
          <w:p>
            <w:pPr>
              <w:spacing w:after="0"/>
              <w:rPr>
                <w:sz w:val="20"/>
                <w:szCs w:val="20"/>
                <w:color w:val="auto"/>
              </w:rPr>
            </w:pPr>
            <w:r>
              <w:rPr>
                <w:rFonts w:ascii="Arial" w:cs="Arial" w:eastAsia="Arial" w:hAnsi="Arial"/>
                <w:sz w:val="16"/>
                <w:szCs w:val="16"/>
                <w:color w:val="auto"/>
              </w:rPr>
              <w:t>XBRL Taxonomy Extension Label Linkbase Document</w:t>
            </w: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0"/>
        </w:trPr>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101.PRE</w:t>
            </w:r>
          </w:p>
        </w:tc>
        <w:tc>
          <w:tcPr>
            <w:tcW w:w="20" w:type="dxa"/>
            <w:vAlign w:val="bottom"/>
          </w:tcPr>
          <w:p>
            <w:pPr>
              <w:spacing w:after="0"/>
              <w:rPr>
                <w:sz w:val="24"/>
                <w:szCs w:val="24"/>
                <w:color w:val="auto"/>
              </w:rPr>
            </w:pPr>
          </w:p>
        </w:tc>
        <w:tc>
          <w:tcPr>
            <w:tcW w:w="4000" w:type="dxa"/>
            <w:vAlign w:val="bottom"/>
            <w:gridSpan w:val="13"/>
          </w:tcPr>
          <w:p>
            <w:pPr>
              <w:spacing w:after="0"/>
              <w:rPr>
                <w:sz w:val="20"/>
                <w:szCs w:val="20"/>
                <w:color w:val="auto"/>
              </w:rPr>
            </w:pPr>
            <w:r>
              <w:rPr>
                <w:rFonts w:ascii="Arial" w:cs="Arial" w:eastAsia="Arial" w:hAnsi="Arial"/>
                <w:sz w:val="16"/>
                <w:szCs w:val="16"/>
                <w:color w:val="auto"/>
                <w:w w:val="91"/>
              </w:rPr>
              <w:t>XBRL Taxonomy Extension Presentation Linkbase Document</w:t>
            </w: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__________</w:t>
      </w:r>
    </w:p>
    <w:p>
      <w:pPr>
        <w:spacing w:after="0" w:line="12" w:lineRule="exact"/>
        <w:rPr>
          <w:sz w:val="20"/>
          <w:szCs w:val="20"/>
          <w:color w:val="auto"/>
        </w:rPr>
      </w:pPr>
    </w:p>
    <w:p>
      <w:pPr>
        <w:ind w:left="300" w:hanging="299"/>
        <w:spacing w:after="0" w:line="251" w:lineRule="auto"/>
        <w:tabs>
          <w:tab w:leader="none" w:pos="98"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certifications attached as Exhibit 31.1, 31.2,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4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SIGNATURES</w:t>
      </w:r>
    </w:p>
    <w:p>
      <w:pPr>
        <w:spacing w:after="0" w:line="162" w:lineRule="exact"/>
        <w:rPr>
          <w:sz w:val="20"/>
          <w:szCs w:val="20"/>
          <w:color w:val="auto"/>
        </w:rPr>
      </w:pPr>
    </w:p>
    <w:p>
      <w:pPr>
        <w:ind w:firstLine="303"/>
        <w:spacing w:after="0" w:line="27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0"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auto"/>
        </w:rPr>
        <w:t>SEER, INC.</w:t>
      </w:r>
    </w:p>
    <w:p>
      <w:pPr>
        <w:spacing w:after="0" w:line="313" w:lineRule="exact"/>
        <w:rPr>
          <w:sz w:val="20"/>
          <w:szCs w:val="20"/>
          <w:color w:val="auto"/>
        </w:rPr>
      </w:pPr>
    </w:p>
    <w:p>
      <w:pPr>
        <w:ind w:left="20"/>
        <w:spacing w:after="0"/>
        <w:tabs>
          <w:tab w:leader="none" w:pos="5820" w:val="left"/>
          <w:tab w:leader="none" w:pos="6420" w:val="left"/>
        </w:tabs>
        <w:rPr>
          <w:sz w:val="20"/>
          <w:szCs w:val="20"/>
          <w:color w:val="auto"/>
        </w:rPr>
      </w:pPr>
      <w:r>
        <w:rPr>
          <w:rFonts w:ascii="Arial" w:cs="Arial" w:eastAsia="Arial" w:hAnsi="Arial"/>
          <w:sz w:val="17"/>
          <w:szCs w:val="17"/>
          <w:color w:val="auto"/>
        </w:rPr>
        <w:t>Date: August 12,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4075430</wp:posOffset>
            </wp:positionH>
            <wp:positionV relativeFrom="paragraph">
              <wp:posOffset>27940</wp:posOffset>
            </wp:positionV>
            <wp:extent cx="30664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66415" cy="8255"/>
                    </a:xfrm>
                    <a:prstGeom prst="rect">
                      <a:avLst/>
                    </a:prstGeom>
                    <a:noFill/>
                  </pic:spPr>
                </pic:pic>
              </a:graphicData>
            </a:graphic>
          </wp:anchor>
        </w:drawing>
      </w:r>
    </w:p>
    <w:p>
      <w:pPr>
        <w:spacing w:after="0" w:line="49"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Omid Farokhzad, M.D.</w:t>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Chief Executive Officer and</w:t>
      </w:r>
    </w:p>
    <w:p>
      <w:pPr>
        <w:spacing w:after="0" w:line="18"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Chair of the Board of Directors</w:t>
      </w:r>
    </w:p>
    <w:p>
      <w:pPr>
        <w:spacing w:after="0" w:line="45"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tabs>
          <w:tab w:leader="none" w:pos="5820" w:val="left"/>
          <w:tab w:leader="none" w:pos="6420" w:val="left"/>
        </w:tabs>
        <w:rPr>
          <w:sz w:val="20"/>
          <w:szCs w:val="20"/>
          <w:color w:val="auto"/>
        </w:rPr>
      </w:pPr>
      <w:r>
        <w:rPr>
          <w:rFonts w:ascii="Arial" w:cs="Arial" w:eastAsia="Arial" w:hAnsi="Arial"/>
          <w:sz w:val="17"/>
          <w:szCs w:val="17"/>
          <w:color w:val="auto"/>
        </w:rPr>
        <w:t>Date: August 12,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David R.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4075430</wp:posOffset>
            </wp:positionH>
            <wp:positionV relativeFrom="paragraph">
              <wp:posOffset>27940</wp:posOffset>
            </wp:positionV>
            <wp:extent cx="30664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66415" cy="8255"/>
                    </a:xfrm>
                    <a:prstGeom prst="rect">
                      <a:avLst/>
                    </a:prstGeom>
                    <a:noFill/>
                  </pic:spPr>
                </pic:pic>
              </a:graphicData>
            </a:graphic>
          </wp:anchor>
        </w:drawing>
      </w:r>
    </w:p>
    <w:p>
      <w:pPr>
        <w:spacing w:after="0" w:line="49"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David R. Horn</w:t>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Chief Financial Officer</w:t>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 and Accounting Officer</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0760"/>
          </w:cols>
          <w:pgMar w:left="320" w:top="1440" w:right="819" w:bottom="1440" w:gutter="0" w:footer="0" w:header="0"/>
        </w:sectPr>
      </w:pPr>
    </w:p>
    <w:bookmarkStart w:id="81" w:name="page82"/>
    <w:bookmarkEnd w:id="81"/>
    <w:p>
      <w:pPr>
        <w:spacing w:after="0"/>
        <w:rPr>
          <w:sz w:val="20"/>
          <w:szCs w:val="20"/>
          <w:color w:val="auto"/>
        </w:rPr>
      </w:pPr>
      <w:r>
        <w:rPr>
          <w:rFonts w:ascii="Arial" w:cs="Arial" w:eastAsia="Arial" w:hAnsi="Arial"/>
          <w:sz w:val="20"/>
          <w:szCs w:val="20"/>
          <w:b w:val="1"/>
          <w:bCs w:val="1"/>
          <w:color w:val="auto"/>
        </w:rPr>
        <w:t>Ex.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SEER,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OUTSIDE DIRECTOR COMPENSATION POLICY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amended and restated on June 16, 2021 (the “Restatement Date”))</w:t>
      </w:r>
    </w:p>
    <w:p>
      <w:pPr>
        <w:spacing w:after="0" w:line="200" w:lineRule="exact"/>
        <w:rPr>
          <w:sz w:val="20"/>
          <w:szCs w:val="20"/>
          <w:color w:val="auto"/>
        </w:rPr>
      </w:pPr>
    </w:p>
    <w:p>
      <w:pPr>
        <w:spacing w:after="0" w:line="213" w:lineRule="exact"/>
        <w:rPr>
          <w:sz w:val="20"/>
          <w:szCs w:val="20"/>
          <w:color w:val="auto"/>
        </w:rPr>
      </w:pPr>
    </w:p>
    <w:p>
      <w:pPr>
        <w:jc w:val="both"/>
        <w:ind w:firstLine="605"/>
        <w:spacing w:after="0" w:line="269" w:lineRule="auto"/>
        <w:rPr>
          <w:sz w:val="20"/>
          <w:szCs w:val="20"/>
          <w:color w:val="auto"/>
        </w:rPr>
      </w:pPr>
      <w:r>
        <w:rPr>
          <w:rFonts w:ascii="Arial" w:cs="Arial" w:eastAsia="Arial" w:hAnsi="Arial"/>
          <w:sz w:val="19"/>
          <w:szCs w:val="19"/>
          <w:color w:val="auto"/>
        </w:rPr>
        <w:t>Seer, Inc. (the “</w:t>
      </w:r>
      <w:r>
        <w:rPr>
          <w:rFonts w:ascii="Arial" w:cs="Arial" w:eastAsia="Arial" w:hAnsi="Arial"/>
          <w:sz w:val="19"/>
          <w:szCs w:val="19"/>
          <w:b w:val="1"/>
          <w:bCs w:val="1"/>
          <w:color w:val="auto"/>
        </w:rPr>
        <w:t>Company</w:t>
      </w:r>
      <w:r>
        <w:rPr>
          <w:rFonts w:ascii="Arial" w:cs="Arial" w:eastAsia="Arial" w:hAnsi="Arial"/>
          <w:sz w:val="19"/>
          <w:szCs w:val="19"/>
          <w:color w:val="auto"/>
        </w:rPr>
        <w:t>”) believes that the granting of equity and cash compensation to members of the Company’s Board of Directors (the “</w:t>
      </w:r>
      <w:r>
        <w:rPr>
          <w:rFonts w:ascii="Arial" w:cs="Arial" w:eastAsia="Arial" w:hAnsi="Arial"/>
          <w:sz w:val="19"/>
          <w:szCs w:val="19"/>
          <w:b w:val="1"/>
          <w:bCs w:val="1"/>
          <w:color w:val="auto"/>
        </w:rPr>
        <w:t>Board</w:t>
      </w:r>
      <w:r>
        <w:rPr>
          <w:rFonts w:ascii="Arial" w:cs="Arial" w:eastAsia="Arial" w:hAnsi="Arial"/>
          <w:sz w:val="19"/>
          <w:szCs w:val="19"/>
          <w:color w:val="auto"/>
        </w:rPr>
        <w:t>,” and members of the Board, “</w:t>
      </w:r>
      <w:r>
        <w:rPr>
          <w:rFonts w:ascii="Arial" w:cs="Arial" w:eastAsia="Arial" w:hAnsi="Arial"/>
          <w:sz w:val="19"/>
          <w:szCs w:val="19"/>
          <w:b w:val="1"/>
          <w:bCs w:val="1"/>
          <w:color w:val="auto"/>
        </w:rPr>
        <w:t>Directors</w:t>
      </w:r>
      <w:r>
        <w:rPr>
          <w:rFonts w:ascii="Arial" w:cs="Arial" w:eastAsia="Arial" w:hAnsi="Arial"/>
          <w:sz w:val="19"/>
          <w:szCs w:val="19"/>
          <w:color w:val="auto"/>
        </w:rPr>
        <w:t>”) represents an effective tool to attract, retain and reward Directors who are not employees of the Company (“</w:t>
      </w:r>
      <w:r>
        <w:rPr>
          <w:rFonts w:ascii="Arial" w:cs="Arial" w:eastAsia="Arial" w:hAnsi="Arial"/>
          <w:sz w:val="19"/>
          <w:szCs w:val="19"/>
          <w:b w:val="1"/>
          <w:bCs w:val="1"/>
          <w:color w:val="auto"/>
        </w:rPr>
        <w:t>Outside Directors</w:t>
      </w:r>
      <w:r>
        <w:rPr>
          <w:rFonts w:ascii="Arial" w:cs="Arial" w:eastAsia="Arial" w:hAnsi="Arial"/>
          <w:sz w:val="19"/>
          <w:szCs w:val="19"/>
          <w:color w:val="auto"/>
        </w:rPr>
        <w:t>”). This Outside Director Compensation Policy (the “</w:t>
      </w:r>
      <w:r>
        <w:rPr>
          <w:rFonts w:ascii="Arial" w:cs="Arial" w:eastAsia="Arial" w:hAnsi="Arial"/>
          <w:sz w:val="19"/>
          <w:szCs w:val="19"/>
          <w:b w:val="1"/>
          <w:bCs w:val="1"/>
          <w:color w:val="auto"/>
        </w:rPr>
        <w:t>Policy</w:t>
      </w:r>
      <w:r>
        <w:rPr>
          <w:rFonts w:ascii="Arial" w:cs="Arial" w:eastAsia="Arial" w:hAnsi="Arial"/>
          <w:sz w:val="19"/>
          <w:szCs w:val="19"/>
          <w:color w:val="auto"/>
        </w:rPr>
        <w:t>”) is intended to formalize the Company’s policy regarding cash compensation and grants of equity awards to its Outside Directors. Unless otherwise defined herein, capitalized terms used in this Policy will have the meaning given such term in the Company’s 2020 Equity Incentive Plan, as amended from time to time, or if such plan no longer is in use at the time of the grant of an equity award, the meaning given such term or similar term in the equity plan then in place under which the equity award is granted (the “</w:t>
      </w:r>
      <w:r>
        <w:rPr>
          <w:rFonts w:ascii="Arial" w:cs="Arial" w:eastAsia="Arial" w:hAnsi="Arial"/>
          <w:sz w:val="19"/>
          <w:szCs w:val="19"/>
          <w:b w:val="1"/>
          <w:bCs w:val="1"/>
          <w:color w:val="auto"/>
        </w:rPr>
        <w:t>Plan</w:t>
      </w:r>
      <w:r>
        <w:rPr>
          <w:rFonts w:ascii="Arial" w:cs="Arial" w:eastAsia="Arial" w:hAnsi="Arial"/>
          <w:sz w:val="19"/>
          <w:szCs w:val="19"/>
          <w:color w:val="auto"/>
        </w:rPr>
        <w:t>”). Each Outside Director will be solely responsible for any tax obligations incurred by such Outside Director as a result of the equity awards and cash and other compensation such Outside Director receives under this Policy.</w:t>
      </w:r>
    </w:p>
    <w:p>
      <w:pPr>
        <w:spacing w:after="0" w:line="154" w:lineRule="exact"/>
        <w:rPr>
          <w:sz w:val="20"/>
          <w:szCs w:val="20"/>
          <w:color w:val="auto"/>
        </w:rPr>
      </w:pPr>
    </w:p>
    <w:p>
      <w:pPr>
        <w:jc w:val="both"/>
        <w:ind w:firstLine="606"/>
        <w:spacing w:after="0" w:line="258" w:lineRule="auto"/>
        <w:tabs>
          <w:tab w:leader="none" w:pos="1210" w:val="left"/>
        </w:tabs>
        <w:numPr>
          <w:ilvl w:val="0"/>
          <w:numId w:val="40"/>
        </w:numPr>
        <w:rPr>
          <w:rFonts w:ascii="Arial" w:cs="Arial" w:eastAsia="Arial" w:hAnsi="Arial"/>
          <w:sz w:val="20"/>
          <w:szCs w:val="20"/>
          <w:color w:val="auto"/>
        </w:rPr>
      </w:pPr>
      <w:r>
        <w:rPr>
          <w:rFonts w:ascii="Arial" w:cs="Arial" w:eastAsia="Arial" w:hAnsi="Arial"/>
          <w:sz w:val="20"/>
          <w:szCs w:val="20"/>
          <w:b w:val="1"/>
          <w:bCs w:val="1"/>
          <w:color w:val="auto"/>
        </w:rPr>
        <w:t>Effective Date</w:t>
      </w:r>
      <w:r>
        <w:rPr>
          <w:rFonts w:ascii="Arial" w:cs="Arial" w:eastAsia="Arial" w:hAnsi="Arial"/>
          <w:sz w:val="20"/>
          <w:szCs w:val="20"/>
          <w:color w:val="auto"/>
        </w:rPr>
        <w:t>. This Policy, as initially adopted and prior to its amendment and restatement herein, became be effective as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day immediately prior to the effective date of the first registration statement that is filed by the Company and declared effective pursuant to Section 12(b) of the U.S. Securities Exchange Act of 1934, as amended, with respect to any class of the Company’s securities (the effective date of such registration statement, the “</w:t>
      </w:r>
      <w:r>
        <w:rPr>
          <w:rFonts w:ascii="Arial" w:cs="Arial" w:eastAsia="Arial" w:hAnsi="Arial"/>
          <w:sz w:val="20"/>
          <w:szCs w:val="20"/>
          <w:b w:val="1"/>
          <w:bCs w:val="1"/>
          <w:color w:val="auto"/>
        </w:rPr>
        <w:t>Registration Date</w:t>
      </w:r>
      <w:r>
        <w:rPr>
          <w:rFonts w:ascii="Arial" w:cs="Arial" w:eastAsia="Arial" w:hAnsi="Arial"/>
          <w:sz w:val="20"/>
          <w:szCs w:val="20"/>
          <w:color w:val="auto"/>
        </w:rPr>
        <w:t>,” and the effective date of this Policy, the “</w:t>
      </w:r>
      <w:r>
        <w:rPr>
          <w:rFonts w:ascii="Arial" w:cs="Arial" w:eastAsia="Arial" w:hAnsi="Arial"/>
          <w:sz w:val="20"/>
          <w:szCs w:val="20"/>
          <w:b w:val="1"/>
          <w:bCs w:val="1"/>
          <w:color w:val="auto"/>
        </w:rPr>
        <w:t>Effective Date</w:t>
      </w:r>
      <w:r>
        <w:rPr>
          <w:rFonts w:ascii="Arial" w:cs="Arial" w:eastAsia="Arial" w:hAnsi="Arial"/>
          <w:sz w:val="20"/>
          <w:szCs w:val="20"/>
          <w:color w:val="auto"/>
        </w:rPr>
        <w:t>”). This Policy, as amended and restated, is effective as of the Restatement Date.</w:t>
      </w:r>
    </w:p>
    <w:p>
      <w:pPr>
        <w:spacing w:after="0" w:line="163" w:lineRule="exact"/>
        <w:rPr>
          <w:rFonts w:ascii="Arial" w:cs="Arial" w:eastAsia="Arial" w:hAnsi="Arial"/>
          <w:sz w:val="20"/>
          <w:szCs w:val="20"/>
          <w:color w:val="auto"/>
        </w:rPr>
      </w:pPr>
    </w:p>
    <w:p>
      <w:pPr>
        <w:ind w:left="1220" w:hanging="614"/>
        <w:spacing w:after="0"/>
        <w:tabs>
          <w:tab w:leader="none" w:pos="1220" w:val="left"/>
        </w:tabs>
        <w:numPr>
          <w:ilvl w:val="0"/>
          <w:numId w:val="40"/>
        </w:numPr>
        <w:rPr>
          <w:rFonts w:ascii="Arial" w:cs="Arial" w:eastAsia="Arial" w:hAnsi="Arial"/>
          <w:sz w:val="20"/>
          <w:szCs w:val="20"/>
          <w:color w:val="auto"/>
        </w:rPr>
      </w:pPr>
      <w:r>
        <w:rPr>
          <w:rFonts w:ascii="Arial" w:cs="Arial" w:eastAsia="Arial" w:hAnsi="Arial"/>
          <w:sz w:val="20"/>
          <w:szCs w:val="20"/>
          <w:b w:val="1"/>
          <w:bCs w:val="1"/>
          <w:color w:val="auto"/>
        </w:rPr>
        <w:t>Cash Compensation</w:t>
      </w:r>
      <w:r>
        <w:rPr>
          <w:rFonts w:ascii="Arial" w:cs="Arial" w:eastAsia="Arial" w:hAnsi="Arial"/>
          <w:sz w:val="20"/>
          <w:szCs w:val="20"/>
          <w:color w:val="auto"/>
        </w:rPr>
        <w:t>.</w:t>
      </w:r>
    </w:p>
    <w:p>
      <w:pPr>
        <w:spacing w:after="0" w:line="211" w:lineRule="exact"/>
        <w:rPr>
          <w:sz w:val="20"/>
          <w:szCs w:val="20"/>
          <w:color w:val="auto"/>
        </w:rPr>
      </w:pPr>
    </w:p>
    <w:p>
      <w:pPr>
        <w:jc w:val="both"/>
        <w:ind w:firstLine="1210"/>
        <w:spacing w:after="0" w:line="266"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b w:val="1"/>
          <w:bCs w:val="1"/>
          <w:color w:val="auto"/>
        </w:rPr>
        <w:t>Board Member Annual Cash Retainer</w:t>
      </w:r>
      <w:r>
        <w:rPr>
          <w:rFonts w:ascii="Arial" w:cs="Arial" w:eastAsia="Arial" w:hAnsi="Arial"/>
          <w:sz w:val="20"/>
          <w:szCs w:val="20"/>
          <w:color w:val="auto"/>
        </w:rPr>
        <w:t>. Following the Effective Date, each Outside Director will be paid an annual cash retainer of $40,000. There are no permeeting attendance fees for attending Board meetings or meetings of any committee of the Board.</w:t>
      </w:r>
    </w:p>
    <w:p>
      <w:pPr>
        <w:spacing w:after="0" w:line="156" w:lineRule="exact"/>
        <w:rPr>
          <w:sz w:val="20"/>
          <w:szCs w:val="20"/>
          <w:color w:val="auto"/>
        </w:rPr>
      </w:pPr>
    </w:p>
    <w:p>
      <w:pPr>
        <w:jc w:val="both"/>
        <w:ind w:firstLine="1210"/>
        <w:spacing w:after="0" w:line="310"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b w:val="1"/>
          <w:bCs w:val="1"/>
          <w:color w:val="auto"/>
        </w:rPr>
        <w:t>Additional Annual Cash Retainers</w:t>
      </w:r>
      <w:r>
        <w:rPr>
          <w:rFonts w:ascii="Arial" w:cs="Arial" w:eastAsia="Arial" w:hAnsi="Arial"/>
          <w:sz w:val="19"/>
          <w:szCs w:val="19"/>
          <w:color w:val="auto"/>
        </w:rPr>
        <w:t>. Following the Effective Date, each Outside Director who serves as the Lead Independent Director, or the chair or a member of a committee of the Board, will be eligible to earn additional annual fees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color w:val="auto"/>
        </w:rPr>
        <w:t>Seer - Outside Director Compensation Policy (IPO) 4851-7371-2846 v.8.docx</w:t>
      </w:r>
    </w:p>
    <w:p>
      <w:pPr>
        <w:sectPr>
          <w:pgSz w:w="11900" w:h="16838" w:orient="portrait"/>
          <w:cols w:equalWidth="0" w:num="1">
            <w:col w:w="11240"/>
          </w:cols>
          <w:pgMar w:left="320" w:top="127"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308"/>
        </w:trPr>
        <w:tc>
          <w:tcPr>
            <w:tcW w:w="6020" w:type="dxa"/>
            <w:vAlign w:val="bottom"/>
          </w:tcPr>
          <w:p>
            <w:pPr>
              <w:ind w:left="20"/>
              <w:spacing w:after="0"/>
              <w:rPr>
                <w:sz w:val="20"/>
                <w:szCs w:val="20"/>
                <w:color w:val="auto"/>
              </w:rPr>
            </w:pPr>
            <w:r>
              <w:rPr>
                <w:rFonts w:ascii="Arial" w:cs="Arial" w:eastAsia="Arial" w:hAnsi="Arial"/>
                <w:sz w:val="20"/>
                <w:szCs w:val="20"/>
                <w:color w:val="auto"/>
              </w:rPr>
              <w:t>Lead Independent Director:</w:t>
            </w:r>
          </w:p>
        </w:tc>
        <w:tc>
          <w:tcPr>
            <w:tcW w:w="5220" w:type="dxa"/>
            <w:vAlign w:val="bottom"/>
          </w:tcPr>
          <w:p>
            <w:pPr>
              <w:ind w:left="1120"/>
              <w:spacing w:after="0"/>
              <w:rPr>
                <w:sz w:val="20"/>
                <w:szCs w:val="20"/>
                <w:color w:val="auto"/>
              </w:rPr>
            </w:pPr>
            <w:r>
              <w:rPr>
                <w:rFonts w:ascii="Arial" w:cs="Arial" w:eastAsia="Arial" w:hAnsi="Arial"/>
                <w:sz w:val="20"/>
                <w:szCs w:val="20"/>
                <w:color w:val="auto"/>
              </w:rPr>
              <w:t>$20,000</w:t>
            </w:r>
          </w:p>
        </w:tc>
      </w:tr>
      <w:tr>
        <w:trPr>
          <w:trHeight w:val="66"/>
        </w:trPr>
        <w:tc>
          <w:tcPr>
            <w:tcW w:w="6020" w:type="dxa"/>
            <w:vAlign w:val="bottom"/>
          </w:tcPr>
          <w:p>
            <w:pPr>
              <w:spacing w:after="0"/>
              <w:rPr>
                <w:sz w:val="5"/>
                <w:szCs w:val="5"/>
                <w:color w:val="auto"/>
              </w:rPr>
            </w:pPr>
          </w:p>
        </w:tc>
        <w:tc>
          <w:tcPr>
            <w:tcW w:w="5220" w:type="dxa"/>
            <w:vAlign w:val="bottom"/>
          </w:tcPr>
          <w:p>
            <w:pPr>
              <w:spacing w:after="0"/>
              <w:rPr>
                <w:sz w:val="5"/>
                <w:szCs w:val="5"/>
                <w:color w:val="auto"/>
              </w:rPr>
            </w:pPr>
          </w:p>
        </w:tc>
      </w:tr>
      <w:tr>
        <w:trPr>
          <w:trHeight w:val="325"/>
        </w:trPr>
        <w:tc>
          <w:tcPr>
            <w:tcW w:w="6020" w:type="dxa"/>
            <w:vAlign w:val="bottom"/>
            <w:shd w:val="clear" w:color="auto" w:fill="D9D9D9"/>
          </w:tcPr>
          <w:p>
            <w:pPr>
              <w:ind w:left="20"/>
              <w:spacing w:after="0"/>
              <w:rPr>
                <w:sz w:val="20"/>
                <w:szCs w:val="20"/>
                <w:color w:val="auto"/>
              </w:rPr>
            </w:pPr>
            <w:r>
              <w:rPr>
                <w:rFonts w:ascii="Arial" w:cs="Arial" w:eastAsia="Arial" w:hAnsi="Arial"/>
                <w:sz w:val="20"/>
                <w:szCs w:val="20"/>
                <w:color w:val="auto"/>
              </w:rPr>
              <w:t>Audit Committee Chair:</w:t>
            </w:r>
          </w:p>
        </w:tc>
        <w:tc>
          <w:tcPr>
            <w:tcW w:w="5220" w:type="dxa"/>
            <w:vAlign w:val="bottom"/>
            <w:shd w:val="clear" w:color="auto" w:fill="D9D9D9"/>
          </w:tcPr>
          <w:p>
            <w:pPr>
              <w:ind w:left="1120"/>
              <w:spacing w:after="0"/>
              <w:rPr>
                <w:sz w:val="20"/>
                <w:szCs w:val="20"/>
                <w:color w:val="auto"/>
              </w:rPr>
            </w:pPr>
            <w:r>
              <w:rPr>
                <w:rFonts w:ascii="Arial" w:cs="Arial" w:eastAsia="Arial" w:hAnsi="Arial"/>
                <w:sz w:val="20"/>
                <w:szCs w:val="20"/>
                <w:color w:val="auto"/>
              </w:rPr>
              <w:t>$20,000</w:t>
            </w:r>
          </w:p>
        </w:tc>
      </w:tr>
      <w:tr>
        <w:trPr>
          <w:trHeight w:val="66"/>
        </w:trPr>
        <w:tc>
          <w:tcPr>
            <w:tcW w:w="6020" w:type="dxa"/>
            <w:vAlign w:val="bottom"/>
            <w:shd w:val="clear" w:color="auto" w:fill="D9D9D9"/>
          </w:tcPr>
          <w:p>
            <w:pPr>
              <w:spacing w:after="0"/>
              <w:rPr>
                <w:sz w:val="5"/>
                <w:szCs w:val="5"/>
                <w:color w:val="auto"/>
              </w:rPr>
            </w:pPr>
          </w:p>
        </w:tc>
        <w:tc>
          <w:tcPr>
            <w:tcW w:w="5220" w:type="dxa"/>
            <w:vAlign w:val="bottom"/>
            <w:shd w:val="clear" w:color="auto" w:fill="D9D9D9"/>
          </w:tcPr>
          <w:p>
            <w:pPr>
              <w:spacing w:after="0"/>
              <w:rPr>
                <w:sz w:val="5"/>
                <w:szCs w:val="5"/>
                <w:color w:val="auto"/>
              </w:rPr>
            </w:pPr>
          </w:p>
        </w:tc>
      </w:tr>
      <w:tr>
        <w:trPr>
          <w:trHeight w:val="282"/>
        </w:trPr>
        <w:tc>
          <w:tcPr>
            <w:tcW w:w="6020" w:type="dxa"/>
            <w:vAlign w:val="bottom"/>
          </w:tcPr>
          <w:p>
            <w:pPr>
              <w:ind w:left="20"/>
              <w:spacing w:after="0"/>
              <w:rPr>
                <w:sz w:val="20"/>
                <w:szCs w:val="20"/>
                <w:color w:val="auto"/>
              </w:rPr>
            </w:pPr>
            <w:r>
              <w:rPr>
                <w:rFonts w:ascii="Arial" w:cs="Arial" w:eastAsia="Arial" w:hAnsi="Arial"/>
                <w:sz w:val="20"/>
                <w:szCs w:val="20"/>
                <w:color w:val="auto"/>
              </w:rPr>
              <w:t>Audit Committee Member:</w:t>
            </w:r>
          </w:p>
        </w:tc>
        <w:tc>
          <w:tcPr>
            <w:tcW w:w="5220" w:type="dxa"/>
            <w:vAlign w:val="bottom"/>
          </w:tcPr>
          <w:p>
            <w:pPr>
              <w:ind w:left="1080"/>
              <w:spacing w:after="0"/>
              <w:rPr>
                <w:sz w:val="20"/>
                <w:szCs w:val="20"/>
                <w:color w:val="auto"/>
              </w:rPr>
            </w:pPr>
            <w:r>
              <w:rPr>
                <w:rFonts w:ascii="Arial" w:cs="Arial" w:eastAsia="Arial" w:hAnsi="Arial"/>
                <w:sz w:val="20"/>
                <w:szCs w:val="20"/>
                <w:color w:val="auto"/>
              </w:rPr>
              <w:t>$10,000</w:t>
            </w:r>
          </w:p>
        </w:tc>
      </w:tr>
      <w:tr>
        <w:trPr>
          <w:trHeight w:val="333"/>
        </w:trPr>
        <w:tc>
          <w:tcPr>
            <w:tcW w:w="6020" w:type="dxa"/>
            <w:vAlign w:val="bottom"/>
            <w:shd w:val="clear" w:color="auto" w:fill="D9D9D9"/>
          </w:tcPr>
          <w:p>
            <w:pPr>
              <w:ind w:left="20"/>
              <w:spacing w:after="0"/>
              <w:rPr>
                <w:sz w:val="20"/>
                <w:szCs w:val="20"/>
                <w:color w:val="auto"/>
              </w:rPr>
            </w:pPr>
            <w:r>
              <w:rPr>
                <w:rFonts w:ascii="Arial" w:cs="Arial" w:eastAsia="Arial" w:hAnsi="Arial"/>
                <w:sz w:val="20"/>
                <w:szCs w:val="20"/>
                <w:color w:val="auto"/>
              </w:rPr>
              <w:t>Compensation Committee Chair:</w:t>
            </w:r>
          </w:p>
        </w:tc>
        <w:tc>
          <w:tcPr>
            <w:tcW w:w="5220" w:type="dxa"/>
            <w:vAlign w:val="bottom"/>
            <w:shd w:val="clear" w:color="auto" w:fill="D9D9D9"/>
          </w:tcPr>
          <w:p>
            <w:pPr>
              <w:ind w:left="1120"/>
              <w:spacing w:after="0"/>
              <w:rPr>
                <w:sz w:val="20"/>
                <w:szCs w:val="20"/>
                <w:color w:val="auto"/>
              </w:rPr>
            </w:pPr>
            <w:r>
              <w:rPr>
                <w:rFonts w:ascii="Arial" w:cs="Arial" w:eastAsia="Arial" w:hAnsi="Arial"/>
                <w:sz w:val="20"/>
                <w:szCs w:val="20"/>
                <w:color w:val="auto"/>
              </w:rPr>
              <w:t>$12,000</w:t>
            </w:r>
          </w:p>
        </w:tc>
      </w:tr>
      <w:tr>
        <w:trPr>
          <w:trHeight w:val="66"/>
        </w:trPr>
        <w:tc>
          <w:tcPr>
            <w:tcW w:w="6020" w:type="dxa"/>
            <w:vAlign w:val="bottom"/>
            <w:shd w:val="clear" w:color="auto" w:fill="D9D9D9"/>
          </w:tcPr>
          <w:p>
            <w:pPr>
              <w:spacing w:after="0"/>
              <w:rPr>
                <w:sz w:val="5"/>
                <w:szCs w:val="5"/>
                <w:color w:val="auto"/>
              </w:rPr>
            </w:pPr>
          </w:p>
        </w:tc>
        <w:tc>
          <w:tcPr>
            <w:tcW w:w="5220" w:type="dxa"/>
            <w:vAlign w:val="bottom"/>
            <w:shd w:val="clear" w:color="auto" w:fill="D9D9D9"/>
          </w:tcPr>
          <w:p>
            <w:pPr>
              <w:spacing w:after="0"/>
              <w:rPr>
                <w:sz w:val="5"/>
                <w:szCs w:val="5"/>
                <w:color w:val="auto"/>
              </w:rPr>
            </w:pPr>
          </w:p>
        </w:tc>
      </w:tr>
      <w:tr>
        <w:trPr>
          <w:trHeight w:val="325"/>
        </w:trPr>
        <w:tc>
          <w:tcPr>
            <w:tcW w:w="6020" w:type="dxa"/>
            <w:vAlign w:val="bottom"/>
          </w:tcPr>
          <w:p>
            <w:pPr>
              <w:ind w:left="20"/>
              <w:spacing w:after="0"/>
              <w:rPr>
                <w:sz w:val="20"/>
                <w:szCs w:val="20"/>
                <w:color w:val="auto"/>
              </w:rPr>
            </w:pPr>
            <w:r>
              <w:rPr>
                <w:rFonts w:ascii="Arial" w:cs="Arial" w:eastAsia="Arial" w:hAnsi="Arial"/>
                <w:sz w:val="20"/>
                <w:szCs w:val="20"/>
                <w:color w:val="auto"/>
              </w:rPr>
              <w:t>Compensation Committee Member:</w:t>
            </w:r>
          </w:p>
        </w:tc>
        <w:tc>
          <w:tcPr>
            <w:tcW w:w="5220" w:type="dxa"/>
            <w:vAlign w:val="bottom"/>
          </w:tcPr>
          <w:p>
            <w:pPr>
              <w:ind w:left="1120"/>
              <w:spacing w:after="0"/>
              <w:rPr>
                <w:sz w:val="20"/>
                <w:szCs w:val="20"/>
                <w:color w:val="auto"/>
              </w:rPr>
            </w:pPr>
            <w:r>
              <w:rPr>
                <w:rFonts w:ascii="Arial" w:cs="Arial" w:eastAsia="Arial" w:hAnsi="Arial"/>
                <w:sz w:val="20"/>
                <w:szCs w:val="20"/>
                <w:color w:val="auto"/>
              </w:rPr>
              <w:t>$6,000</w:t>
            </w:r>
          </w:p>
        </w:tc>
      </w:tr>
      <w:tr>
        <w:trPr>
          <w:trHeight w:val="66"/>
        </w:trPr>
        <w:tc>
          <w:tcPr>
            <w:tcW w:w="6020" w:type="dxa"/>
            <w:vAlign w:val="bottom"/>
          </w:tcPr>
          <w:p>
            <w:pPr>
              <w:spacing w:after="0"/>
              <w:rPr>
                <w:sz w:val="5"/>
                <w:szCs w:val="5"/>
                <w:color w:val="auto"/>
              </w:rPr>
            </w:pPr>
          </w:p>
        </w:tc>
        <w:tc>
          <w:tcPr>
            <w:tcW w:w="5220" w:type="dxa"/>
            <w:vAlign w:val="bottom"/>
          </w:tcPr>
          <w:p>
            <w:pPr>
              <w:spacing w:after="0"/>
              <w:rPr>
                <w:sz w:val="5"/>
                <w:szCs w:val="5"/>
                <w:color w:val="auto"/>
              </w:rPr>
            </w:pPr>
          </w:p>
        </w:tc>
      </w:tr>
      <w:tr>
        <w:trPr>
          <w:trHeight w:val="325"/>
        </w:trPr>
        <w:tc>
          <w:tcPr>
            <w:tcW w:w="6020" w:type="dxa"/>
            <w:vAlign w:val="bottom"/>
            <w:shd w:val="clear" w:color="auto" w:fill="D9D9D9"/>
          </w:tcPr>
          <w:p>
            <w:pPr>
              <w:ind w:left="20"/>
              <w:spacing w:after="0"/>
              <w:rPr>
                <w:sz w:val="20"/>
                <w:szCs w:val="20"/>
                <w:color w:val="auto"/>
              </w:rPr>
            </w:pPr>
            <w:r>
              <w:rPr>
                <w:rFonts w:ascii="Arial" w:cs="Arial" w:eastAsia="Arial" w:hAnsi="Arial"/>
                <w:sz w:val="20"/>
                <w:szCs w:val="20"/>
                <w:color w:val="auto"/>
              </w:rPr>
              <w:t>Corporate Governance and Nominating Committee Chair:</w:t>
            </w:r>
          </w:p>
        </w:tc>
        <w:tc>
          <w:tcPr>
            <w:tcW w:w="5220" w:type="dxa"/>
            <w:vAlign w:val="bottom"/>
            <w:shd w:val="clear" w:color="auto" w:fill="D9D9D9"/>
          </w:tcPr>
          <w:p>
            <w:pPr>
              <w:ind w:left="1120"/>
              <w:spacing w:after="0"/>
              <w:rPr>
                <w:sz w:val="20"/>
                <w:szCs w:val="20"/>
                <w:color w:val="auto"/>
              </w:rPr>
            </w:pPr>
            <w:r>
              <w:rPr>
                <w:rFonts w:ascii="Arial" w:cs="Arial" w:eastAsia="Arial" w:hAnsi="Arial"/>
                <w:sz w:val="20"/>
                <w:szCs w:val="20"/>
                <w:color w:val="auto"/>
              </w:rPr>
              <w:t>$10,000</w:t>
            </w:r>
          </w:p>
        </w:tc>
      </w:tr>
      <w:tr>
        <w:trPr>
          <w:trHeight w:val="66"/>
        </w:trPr>
        <w:tc>
          <w:tcPr>
            <w:tcW w:w="6020" w:type="dxa"/>
            <w:vAlign w:val="bottom"/>
            <w:shd w:val="clear" w:color="auto" w:fill="D9D9D9"/>
          </w:tcPr>
          <w:p>
            <w:pPr>
              <w:spacing w:after="0"/>
              <w:rPr>
                <w:sz w:val="5"/>
                <w:szCs w:val="5"/>
                <w:color w:val="auto"/>
              </w:rPr>
            </w:pPr>
          </w:p>
        </w:tc>
        <w:tc>
          <w:tcPr>
            <w:tcW w:w="5220" w:type="dxa"/>
            <w:vAlign w:val="bottom"/>
            <w:shd w:val="clear" w:color="auto" w:fill="D9D9D9"/>
          </w:tcPr>
          <w:p>
            <w:pPr>
              <w:spacing w:after="0"/>
              <w:rPr>
                <w:sz w:val="5"/>
                <w:szCs w:val="5"/>
                <w:color w:val="auto"/>
              </w:rPr>
            </w:pPr>
          </w:p>
        </w:tc>
      </w:tr>
      <w:tr>
        <w:trPr>
          <w:trHeight w:val="325"/>
        </w:trPr>
        <w:tc>
          <w:tcPr>
            <w:tcW w:w="6020" w:type="dxa"/>
            <w:vAlign w:val="bottom"/>
          </w:tcPr>
          <w:p>
            <w:pPr>
              <w:ind w:left="20"/>
              <w:spacing w:after="0"/>
              <w:rPr>
                <w:sz w:val="20"/>
                <w:szCs w:val="20"/>
                <w:color w:val="auto"/>
              </w:rPr>
            </w:pPr>
            <w:r>
              <w:rPr>
                <w:rFonts w:ascii="Arial" w:cs="Arial" w:eastAsia="Arial" w:hAnsi="Arial"/>
                <w:sz w:val="20"/>
                <w:szCs w:val="20"/>
                <w:color w:val="auto"/>
              </w:rPr>
              <w:t>Corporate Governance and Nominating Committee Member:</w:t>
            </w:r>
          </w:p>
        </w:tc>
        <w:tc>
          <w:tcPr>
            <w:tcW w:w="5220" w:type="dxa"/>
            <w:vAlign w:val="bottom"/>
          </w:tcPr>
          <w:p>
            <w:pPr>
              <w:ind w:left="1120"/>
              <w:spacing w:after="0"/>
              <w:rPr>
                <w:sz w:val="20"/>
                <w:szCs w:val="20"/>
                <w:color w:val="auto"/>
              </w:rPr>
            </w:pPr>
            <w:r>
              <w:rPr>
                <w:rFonts w:ascii="Arial" w:cs="Arial" w:eastAsia="Arial" w:hAnsi="Arial"/>
                <w:sz w:val="20"/>
                <w:szCs w:val="20"/>
                <w:color w:val="auto"/>
              </w:rPr>
              <w:t>$5,000</w:t>
            </w:r>
          </w:p>
        </w:tc>
      </w:tr>
      <w:tr>
        <w:trPr>
          <w:trHeight w:val="340"/>
        </w:trPr>
        <w:tc>
          <w:tcPr>
            <w:tcW w:w="6020" w:type="dxa"/>
            <w:vAlign w:val="bottom"/>
          </w:tcPr>
          <w:p>
            <w:pPr>
              <w:ind w:left="20"/>
              <w:spacing w:after="0"/>
              <w:rPr>
                <w:sz w:val="20"/>
                <w:szCs w:val="20"/>
                <w:color w:val="auto"/>
              </w:rPr>
            </w:pPr>
            <w:r>
              <w:rPr>
                <w:rFonts w:ascii="Arial" w:cs="Arial" w:eastAsia="Arial" w:hAnsi="Arial"/>
                <w:sz w:val="20"/>
                <w:szCs w:val="20"/>
                <w:color w:val="auto"/>
              </w:rPr>
              <w:t>Science and Technology Committee Chair:</w:t>
            </w:r>
          </w:p>
        </w:tc>
        <w:tc>
          <w:tcPr>
            <w:tcW w:w="5220" w:type="dxa"/>
            <w:vAlign w:val="bottom"/>
          </w:tcPr>
          <w:p>
            <w:pPr>
              <w:ind w:left="1080"/>
              <w:spacing w:after="0"/>
              <w:rPr>
                <w:sz w:val="20"/>
                <w:szCs w:val="20"/>
                <w:color w:val="auto"/>
              </w:rPr>
            </w:pPr>
            <w:r>
              <w:rPr>
                <w:rFonts w:ascii="Arial" w:cs="Arial" w:eastAsia="Arial" w:hAnsi="Arial"/>
                <w:sz w:val="20"/>
                <w:szCs w:val="20"/>
                <w:color w:val="auto"/>
              </w:rPr>
              <w:t>$10,000</w:t>
            </w:r>
          </w:p>
        </w:tc>
      </w:tr>
      <w:tr>
        <w:trPr>
          <w:trHeight w:val="340"/>
        </w:trPr>
        <w:tc>
          <w:tcPr>
            <w:tcW w:w="6020" w:type="dxa"/>
            <w:vAlign w:val="bottom"/>
          </w:tcPr>
          <w:p>
            <w:pPr>
              <w:ind w:left="20"/>
              <w:spacing w:after="0"/>
              <w:rPr>
                <w:sz w:val="20"/>
                <w:szCs w:val="20"/>
                <w:color w:val="auto"/>
              </w:rPr>
            </w:pPr>
            <w:r>
              <w:rPr>
                <w:rFonts w:ascii="Arial" w:cs="Arial" w:eastAsia="Arial" w:hAnsi="Arial"/>
                <w:sz w:val="20"/>
                <w:szCs w:val="20"/>
                <w:color w:val="auto"/>
              </w:rPr>
              <w:t>Science and Technology Committee Member:</w:t>
            </w:r>
          </w:p>
        </w:tc>
        <w:tc>
          <w:tcPr>
            <w:tcW w:w="5220" w:type="dxa"/>
            <w:vAlign w:val="bottom"/>
          </w:tcPr>
          <w:p>
            <w:pPr>
              <w:ind w:left="1120"/>
              <w:spacing w:after="0"/>
              <w:rPr>
                <w:sz w:val="20"/>
                <w:szCs w:val="20"/>
                <w:color w:val="auto"/>
              </w:rPr>
            </w:pPr>
            <w:r>
              <w:rPr>
                <w:rFonts w:ascii="Arial" w:cs="Arial" w:eastAsia="Arial" w:hAnsi="Arial"/>
                <w:sz w:val="20"/>
                <w:szCs w:val="20"/>
                <w:color w:val="auto"/>
              </w:rPr>
              <w:t>$5,000</w:t>
            </w:r>
          </w:p>
        </w:tc>
      </w:tr>
    </w:tbl>
    <w:p>
      <w:pPr>
        <w:spacing w:after="0" w:line="347" w:lineRule="exact"/>
        <w:rPr>
          <w:sz w:val="20"/>
          <w:szCs w:val="20"/>
          <w:color w:val="auto"/>
        </w:rPr>
      </w:pPr>
    </w:p>
    <w:p>
      <w:pPr>
        <w:jc w:val="both"/>
        <w:ind w:firstLine="1210"/>
        <w:spacing w:after="0" w:line="259" w:lineRule="auto"/>
        <w:rPr>
          <w:sz w:val="20"/>
          <w:szCs w:val="20"/>
          <w:color w:val="auto"/>
        </w:rPr>
      </w:pPr>
      <w:r>
        <w:rPr>
          <w:rFonts w:ascii="Arial" w:cs="Arial" w:eastAsia="Arial" w:hAnsi="Arial"/>
          <w:sz w:val="20"/>
          <w:szCs w:val="20"/>
          <w:color w:val="auto"/>
        </w:rPr>
        <w:t>For clarity, each Outside Director who serves as the chair of a committee will receive only the additional annual fee as the chair of the committee and not the additional annual fee as a member of such committee while serving as such chair, provided, that the Outside Director who serves as the Lead Independent Director will receive the annual fee for services provided in such role as well as the annual fee as an Outside Director.</w:t>
      </w:r>
    </w:p>
    <w:p>
      <w:pPr>
        <w:spacing w:after="0" w:line="163" w:lineRule="exact"/>
        <w:rPr>
          <w:sz w:val="20"/>
          <w:szCs w:val="20"/>
          <w:color w:val="auto"/>
        </w:rPr>
      </w:pPr>
    </w:p>
    <w:p>
      <w:pPr>
        <w:jc w:val="both"/>
        <w:ind w:firstLine="1210"/>
        <w:spacing w:after="0" w:line="267"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b w:val="1"/>
          <w:bCs w:val="1"/>
          <w:color w:val="auto"/>
        </w:rPr>
        <w:t>Payment Timing and Proration</w:t>
      </w:r>
      <w:r>
        <w:rPr>
          <w:rFonts w:ascii="Arial" w:cs="Arial" w:eastAsia="Arial" w:hAnsi="Arial"/>
          <w:sz w:val="19"/>
          <w:szCs w:val="19"/>
          <w:color w:val="auto"/>
        </w:rPr>
        <w:t>. Each annual cash retainer under this Policy will be paid quarterly in arrears on a prorated basis to each Outside Director who has served in the relevant capacity at any time during the immediately preceding fiscal quarter of the Company (“</w:t>
      </w:r>
      <w:r>
        <w:rPr>
          <w:rFonts w:ascii="Arial" w:cs="Arial" w:eastAsia="Arial" w:hAnsi="Arial"/>
          <w:sz w:val="19"/>
          <w:szCs w:val="19"/>
          <w:b w:val="1"/>
          <w:bCs w:val="1"/>
          <w:color w:val="auto"/>
        </w:rPr>
        <w:t>Fiscal Quarter</w:t>
      </w:r>
      <w:r>
        <w:rPr>
          <w:rFonts w:ascii="Arial" w:cs="Arial" w:eastAsia="Arial" w:hAnsi="Arial"/>
          <w:sz w:val="19"/>
          <w:szCs w:val="19"/>
          <w:color w:val="auto"/>
        </w:rPr>
        <w:t>”), and such payment will be made no later than thirty (30) days following the end of such immediately preceding Fiscal Quarter. For clarity, an Outside Director who has served as an Outside Director, as a member of an applicable committee (or chair thereof), or as Lead Independent Director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 For clarity, an Outside Director who served as an Outside Director, as a member of an applicable committee (or chair thereof), or as Lead Independent Director from the Effective Date through the end of the Fiscal Quarter containing the Effective Date (the “</w:t>
      </w:r>
      <w:r>
        <w:rPr>
          <w:rFonts w:ascii="Arial" w:cs="Arial" w:eastAsia="Arial" w:hAnsi="Arial"/>
          <w:sz w:val="19"/>
          <w:szCs w:val="19"/>
          <w:b w:val="1"/>
          <w:bCs w:val="1"/>
          <w:color w:val="auto"/>
        </w:rPr>
        <w:t>Initial Period</w:t>
      </w:r>
      <w:r>
        <w:rPr>
          <w:rFonts w:ascii="Arial" w:cs="Arial" w:eastAsia="Arial" w:hAnsi="Arial"/>
          <w:sz w:val="19"/>
          <w:szCs w:val="19"/>
          <w:color w:val="auto"/>
        </w:rPr>
        <w:t>”), as applicable, received a prorated payment of the quarterly installment of the applicable annual cash retainer(s), calculated based on the number of days during the Initial Period that such Outside Director has served in the relevant capacities.</w:t>
      </w:r>
    </w:p>
    <w:p>
      <w:pPr>
        <w:spacing w:after="0" w:line="163" w:lineRule="exact"/>
        <w:rPr>
          <w:sz w:val="20"/>
          <w:szCs w:val="20"/>
          <w:color w:val="auto"/>
        </w:rPr>
      </w:pPr>
    </w:p>
    <w:p>
      <w:pPr>
        <w:jc w:val="both"/>
        <w:ind w:firstLine="606"/>
        <w:spacing w:after="0" w:line="261" w:lineRule="auto"/>
        <w:tabs>
          <w:tab w:leader="none" w:pos="1210" w:val="left"/>
        </w:tabs>
        <w:numPr>
          <w:ilvl w:val="0"/>
          <w:numId w:val="41"/>
        </w:numPr>
        <w:rPr>
          <w:rFonts w:ascii="Arial" w:cs="Arial" w:eastAsia="Arial" w:hAnsi="Arial"/>
          <w:sz w:val="20"/>
          <w:szCs w:val="20"/>
          <w:color w:val="auto"/>
        </w:rPr>
      </w:pPr>
      <w:r>
        <w:rPr>
          <w:rFonts w:ascii="Arial" w:cs="Arial" w:eastAsia="Arial" w:hAnsi="Arial"/>
          <w:sz w:val="20"/>
          <w:szCs w:val="20"/>
          <w:b w:val="1"/>
          <w:bCs w:val="1"/>
          <w:color w:val="auto"/>
        </w:rPr>
        <w:t>Equity Compensation</w:t>
      </w:r>
      <w:r>
        <w:rPr>
          <w:rFonts w:ascii="Arial" w:cs="Arial" w:eastAsia="Arial" w:hAnsi="Arial"/>
          <w:sz w:val="20"/>
          <w:szCs w:val="20"/>
          <w:color w:val="auto"/>
        </w:rPr>
        <w:t>. Outside Directors will be eligible to receive all types of Awards (except Incentive Stock</w:t>
      </w:r>
      <w:r>
        <w:rPr>
          <w:rFonts w:ascii="Arial" w:cs="Arial" w:eastAsia="Arial" w:hAnsi="Arial"/>
          <w:sz w:val="20"/>
          <w:szCs w:val="20"/>
          <w:b w:val="1"/>
          <w:bCs w:val="1"/>
          <w:color w:val="auto"/>
        </w:rPr>
        <w:t xml:space="preserve"> </w:t>
      </w:r>
      <w:r>
        <w:rPr>
          <w:rFonts w:ascii="Arial" w:cs="Arial" w:eastAsia="Arial" w:hAnsi="Arial"/>
          <w:sz w:val="20"/>
          <w:szCs w:val="20"/>
          <w:color w:val="auto"/>
        </w:rPr>
        <w:t>Options) under the Plan, including discretionary Awards not covered under this Policy. All grants of Awards to Outside Directors pursuant to Sections 3.2 and 3.3 of this Policy will be automatic and nondiscretionary, except as otherwise provided herein, and will be made in accordance with the following provisions: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392" w:right="339" w:bottom="1440" w:gutter="0" w:footer="0" w:header="0"/>
        </w:sectPr>
      </w:pPr>
    </w:p>
    <w:bookmarkStart w:id="83" w:name="page84"/>
    <w:bookmarkEnd w:id="83"/>
    <w:p>
      <w:pPr>
        <w:spacing w:after="0" w:line="99" w:lineRule="exact"/>
        <w:rPr>
          <w:sz w:val="20"/>
          <w:szCs w:val="20"/>
          <w:color w:val="auto"/>
        </w:rPr>
      </w:pPr>
    </w:p>
    <w:p>
      <w:pPr>
        <w:jc w:val="both"/>
        <w:ind w:firstLine="1210"/>
        <w:spacing w:after="0" w:line="310"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b w:val="1"/>
          <w:bCs w:val="1"/>
          <w:color w:val="auto"/>
        </w:rPr>
        <w:t>No Discretion</w:t>
      </w:r>
      <w:r>
        <w:rPr>
          <w:rFonts w:ascii="Arial" w:cs="Arial" w:eastAsia="Arial" w:hAnsi="Arial"/>
          <w:sz w:val="19"/>
          <w:szCs w:val="19"/>
          <w:color w:val="auto"/>
        </w:rPr>
        <w:t>. No person will have any discretion to select which Outside Directors will be granted Awards under this Policy or to determine the number of Shares to be covered by such Awards (except as provided in Sections 3.4.4 and 10 below).</w:t>
      </w:r>
    </w:p>
    <w:p>
      <w:pPr>
        <w:spacing w:after="0" w:line="116" w:lineRule="exact"/>
        <w:rPr>
          <w:sz w:val="20"/>
          <w:szCs w:val="20"/>
          <w:color w:val="auto"/>
        </w:rPr>
      </w:pPr>
    </w:p>
    <w:p>
      <w:pPr>
        <w:jc w:val="both"/>
        <w:ind w:firstLine="1210"/>
        <w:spacing w:after="0" w:line="269"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b w:val="1"/>
          <w:bCs w:val="1"/>
          <w:color w:val="auto"/>
        </w:rPr>
        <w:t>Initial Awards</w:t>
      </w:r>
      <w:r>
        <w:rPr>
          <w:rFonts w:ascii="Arial" w:cs="Arial" w:eastAsia="Arial" w:hAnsi="Arial"/>
          <w:sz w:val="19"/>
          <w:szCs w:val="19"/>
          <w:color w:val="auto"/>
        </w:rPr>
        <w:t>. Each individual who first becomes an Outside Director on or following the Restatement Date automatically will be granted an award of Options (an “</w:t>
      </w:r>
      <w:r>
        <w:rPr>
          <w:rFonts w:ascii="Arial" w:cs="Arial" w:eastAsia="Arial" w:hAnsi="Arial"/>
          <w:sz w:val="19"/>
          <w:szCs w:val="19"/>
          <w:b w:val="1"/>
          <w:bCs w:val="1"/>
          <w:color w:val="auto"/>
        </w:rPr>
        <w:t>Initial Award</w:t>
      </w:r>
      <w:r>
        <w:rPr>
          <w:rFonts w:ascii="Arial" w:cs="Arial" w:eastAsia="Arial" w:hAnsi="Arial"/>
          <w:sz w:val="19"/>
          <w:szCs w:val="19"/>
          <w:color w:val="auto"/>
        </w:rPr>
        <w:t>”) to purchase 30,000 Shares. The grant date of the Initial Award will be the first Trading Day on or after the date on which such individual first becomes an Outside Director (such first date as an Outside Director, the “</w:t>
      </w:r>
      <w:r>
        <w:rPr>
          <w:rFonts w:ascii="Arial" w:cs="Arial" w:eastAsia="Arial" w:hAnsi="Arial"/>
          <w:sz w:val="19"/>
          <w:szCs w:val="19"/>
          <w:b w:val="1"/>
          <w:bCs w:val="1"/>
          <w:color w:val="auto"/>
        </w:rPr>
        <w:t>Initial Start Date</w:t>
      </w:r>
      <w:r>
        <w:rPr>
          <w:rFonts w:ascii="Arial" w:cs="Arial" w:eastAsia="Arial" w:hAnsi="Arial"/>
          <w:sz w:val="19"/>
          <w:szCs w:val="19"/>
          <w:color w:val="auto"/>
        </w:rPr>
        <w:t>”), whether through election by the stockholders of the Company or appointment by the Board to fill a vacancy. If an individual was an Inside Director, becoming an Outside Director due to termination of the individual’s status as an Employee will not entitle the Outside Director to an Initial Award. Each Initial Award will be scheduled to vest as to one thirtysixth (1/36th) of the Shares subject to the Initial Award on a monthly basis following the Initial Award’s grant date on the same day of the month as such grant date (or on the last day of the month, if there is no corresponding day in such month), subject to the Outside Director remaining a Service Provider through the applicable vesting date.</w:t>
      </w:r>
    </w:p>
    <w:p>
      <w:pPr>
        <w:spacing w:after="0" w:line="154" w:lineRule="exact"/>
        <w:rPr>
          <w:sz w:val="20"/>
          <w:szCs w:val="20"/>
          <w:color w:val="auto"/>
        </w:rPr>
      </w:pPr>
    </w:p>
    <w:p>
      <w:pPr>
        <w:jc w:val="both"/>
        <w:ind w:firstLine="1210"/>
        <w:spacing w:after="0" w:line="267"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b w:val="1"/>
          <w:bCs w:val="1"/>
          <w:color w:val="auto"/>
        </w:rPr>
        <w:t>Annual Award</w:t>
      </w:r>
      <w:r>
        <w:rPr>
          <w:rFonts w:ascii="Arial" w:cs="Arial" w:eastAsia="Arial" w:hAnsi="Arial"/>
          <w:sz w:val="19"/>
          <w:szCs w:val="19"/>
          <w:color w:val="auto"/>
        </w:rPr>
        <w:t>. On the first Trading Day immediately following each Annual Meeting of the Company’s stockholders (an “</w:t>
      </w:r>
      <w:r>
        <w:rPr>
          <w:rFonts w:ascii="Arial" w:cs="Arial" w:eastAsia="Arial" w:hAnsi="Arial"/>
          <w:sz w:val="19"/>
          <w:szCs w:val="19"/>
          <w:b w:val="1"/>
          <w:bCs w:val="1"/>
          <w:color w:val="auto"/>
        </w:rPr>
        <w:t>Annual Meeting</w:t>
      </w:r>
      <w:r>
        <w:rPr>
          <w:rFonts w:ascii="Arial" w:cs="Arial" w:eastAsia="Arial" w:hAnsi="Arial"/>
          <w:sz w:val="19"/>
          <w:szCs w:val="19"/>
          <w:color w:val="auto"/>
        </w:rPr>
        <w:t>”) that occurs after the Restatement Date, each Outside Director automatically will be granted an award of Options to purchase 15,000 Shares (the “</w:t>
      </w:r>
      <w:r>
        <w:rPr>
          <w:rFonts w:ascii="Arial" w:cs="Arial" w:eastAsia="Arial" w:hAnsi="Arial"/>
          <w:sz w:val="19"/>
          <w:szCs w:val="19"/>
          <w:b w:val="1"/>
          <w:bCs w:val="1"/>
          <w:color w:val="auto"/>
        </w:rPr>
        <w:t>Annual Award</w:t>
      </w:r>
      <w:r>
        <w:rPr>
          <w:rFonts w:ascii="Arial" w:cs="Arial" w:eastAsia="Arial" w:hAnsi="Arial"/>
          <w:sz w:val="19"/>
          <w:szCs w:val="19"/>
          <w:color w:val="auto"/>
        </w:rPr>
        <w:t>”); provided, however, that if an individual commenced service as an Outside Director after the date of the Annual Meeting that occurred immediately prior to such Annual Meeting (or if there is no such prior Annual Meeting, then after the Registration Date), then the Annual Award granted to such Outside Director will be prorated based on the number of whole months that the individual served as an Outside Director prior to the Annual Award’s grant date during the twelve (12) month period immediately preceding such Annual Meeting (or such Registration Date, as applicable) (with any resulting fractional Share rounded down to the nearest whole Share). The Annual Award will be scheduled to vest as to all of the Shares subject to the Annual Award on the earlier of (i) the one (1) year anniversary of the date the Annual Award is granted or (ii) the day immediately before the date of the next Annual Meeting that occurs after the Annual Award’s grant date, subject to the Outside Director remaining a Service Provider through the applicable vesting date.</w:t>
      </w:r>
    </w:p>
    <w:p>
      <w:pPr>
        <w:spacing w:after="0" w:line="163" w:lineRule="exact"/>
        <w:rPr>
          <w:sz w:val="20"/>
          <w:szCs w:val="20"/>
          <w:color w:val="auto"/>
        </w:rPr>
      </w:pPr>
    </w:p>
    <w:p>
      <w:pPr>
        <w:jc w:val="both"/>
        <w:ind w:firstLine="1210"/>
        <w:spacing w:after="0" w:line="283"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b w:val="1"/>
          <w:bCs w:val="1"/>
          <w:color w:val="auto"/>
        </w:rPr>
        <w:t>Additional Terms of Initial Awards and Annual Awards</w:t>
      </w:r>
      <w:r>
        <w:rPr>
          <w:rFonts w:ascii="Arial" w:cs="Arial" w:eastAsia="Arial" w:hAnsi="Arial"/>
          <w:sz w:val="20"/>
          <w:szCs w:val="20"/>
          <w:color w:val="auto"/>
        </w:rPr>
        <w:t>. The terms and conditions of each Initial Award and Annual Award (each, a “</w:t>
      </w:r>
      <w:r>
        <w:rPr>
          <w:rFonts w:ascii="Arial" w:cs="Arial" w:eastAsia="Arial" w:hAnsi="Arial"/>
          <w:sz w:val="20"/>
          <w:szCs w:val="20"/>
          <w:b w:val="1"/>
          <w:bCs w:val="1"/>
          <w:color w:val="auto"/>
        </w:rPr>
        <w:t>Policy Award</w:t>
      </w:r>
      <w:r>
        <w:rPr>
          <w:rFonts w:ascii="Arial" w:cs="Arial" w:eastAsia="Arial" w:hAnsi="Arial"/>
          <w:sz w:val="20"/>
          <w:szCs w:val="20"/>
          <w:color w:val="auto"/>
        </w:rPr>
        <w:t>”) will be as follows.</w:t>
      </w:r>
    </w:p>
    <w:p>
      <w:pPr>
        <w:spacing w:after="0" w:line="142" w:lineRule="exact"/>
        <w:rPr>
          <w:sz w:val="20"/>
          <w:szCs w:val="20"/>
          <w:color w:val="auto"/>
        </w:rPr>
      </w:pPr>
    </w:p>
    <w:p>
      <w:pPr>
        <w:ind w:left="2420"/>
        <w:spacing w:after="0"/>
        <w:tabs>
          <w:tab w:leader="none" w:pos="3000" w:val="left"/>
        </w:tabs>
        <w:rPr>
          <w:sz w:val="20"/>
          <w:szCs w:val="20"/>
          <w:color w:val="auto"/>
        </w:rPr>
      </w:pPr>
      <w:r>
        <w:rPr>
          <w:rFonts w:ascii="Arial" w:cs="Arial" w:eastAsia="Arial" w:hAnsi="Arial"/>
          <w:sz w:val="20"/>
          <w:szCs w:val="20"/>
          <w:color w:val="auto"/>
        </w:rPr>
        <w:t>3.4.1</w:t>
      </w:r>
      <w:r>
        <w:rPr>
          <w:sz w:val="20"/>
          <w:szCs w:val="20"/>
          <w:color w:val="auto"/>
        </w:rPr>
        <w:tab/>
      </w:r>
      <w:r>
        <w:rPr>
          <w:rFonts w:ascii="Arial" w:cs="Arial" w:eastAsia="Arial" w:hAnsi="Arial"/>
          <w:sz w:val="18"/>
          <w:szCs w:val="18"/>
          <w:color w:val="auto"/>
        </w:rPr>
        <w:t>The term of each Policy Award will be ten (10) years, subject to earlier termination as provided in the</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Plan.</w:t>
      </w:r>
    </w:p>
    <w:p>
      <w:pPr>
        <w:spacing w:after="0" w:line="193" w:lineRule="exact"/>
        <w:rPr>
          <w:sz w:val="20"/>
          <w:szCs w:val="20"/>
          <w:color w:val="auto"/>
        </w:rPr>
      </w:pPr>
    </w:p>
    <w:p>
      <w:pPr>
        <w:jc w:val="both"/>
        <w:ind w:firstLine="2421"/>
        <w:spacing w:after="0" w:line="278" w:lineRule="auto"/>
        <w:rPr>
          <w:sz w:val="20"/>
          <w:szCs w:val="20"/>
          <w:color w:val="auto"/>
        </w:rPr>
      </w:pPr>
      <w:r>
        <w:rPr>
          <w:rFonts w:ascii="Arial" w:cs="Arial" w:eastAsia="Arial" w:hAnsi="Arial"/>
          <w:sz w:val="20"/>
          <w:szCs w:val="20"/>
          <w:color w:val="auto"/>
        </w:rPr>
        <w:t>3.4.2 The per Share exercise price of each Policy Award will be equal to one hundred percent (100%) of the Fair Market Value per Share on such Policy Award’s grant date.</w:t>
      </w:r>
    </w:p>
    <w:p>
      <w:pPr>
        <w:spacing w:after="0" w:line="148" w:lineRule="exact"/>
        <w:rPr>
          <w:sz w:val="20"/>
          <w:szCs w:val="20"/>
          <w:color w:val="auto"/>
        </w:rPr>
      </w:pPr>
    </w:p>
    <w:p>
      <w:pPr>
        <w:jc w:val="both"/>
        <w:ind w:firstLine="2421"/>
        <w:spacing w:after="0" w:line="264" w:lineRule="auto"/>
        <w:rPr>
          <w:sz w:val="20"/>
          <w:szCs w:val="20"/>
          <w:color w:val="auto"/>
        </w:rPr>
      </w:pPr>
      <w:r>
        <w:rPr>
          <w:rFonts w:ascii="Arial" w:cs="Arial" w:eastAsia="Arial" w:hAnsi="Arial"/>
          <w:sz w:val="20"/>
          <w:szCs w:val="20"/>
          <w:color w:val="auto"/>
        </w:rPr>
        <w:t>3.4.3 Each Policy Award will be granted under and subject to the terms and conditions of the Plan and the applicable form of Award Agreement previously approved by the Board or its Committee (as defined below), as applicable, for use thereunder.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03" w:lineRule="exact"/>
        <w:rPr>
          <w:sz w:val="20"/>
          <w:szCs w:val="20"/>
          <w:color w:val="auto"/>
        </w:rPr>
      </w:pPr>
    </w:p>
    <w:p>
      <w:pPr>
        <w:jc w:val="both"/>
        <w:ind w:firstLine="2421"/>
        <w:spacing w:after="0" w:line="264" w:lineRule="auto"/>
        <w:rPr>
          <w:sz w:val="20"/>
          <w:szCs w:val="20"/>
          <w:color w:val="auto"/>
        </w:rPr>
      </w:pPr>
      <w:r>
        <w:rPr>
          <w:rFonts w:ascii="Arial" w:cs="Arial" w:eastAsia="Arial" w:hAnsi="Arial"/>
          <w:sz w:val="20"/>
          <w:szCs w:val="20"/>
          <w:color w:val="auto"/>
        </w:rPr>
        <w:t>3.4.4 The Board or its Committee, as applicable and in its discretion, may change and otherwise revise the terms of Policy Awards to be granted in the future pursuant to this Policy, including without limitation the number of Shares subject thereto and type of Award.</w:t>
      </w:r>
    </w:p>
    <w:p>
      <w:pPr>
        <w:spacing w:after="0" w:line="157" w:lineRule="exact"/>
        <w:rPr>
          <w:sz w:val="20"/>
          <w:szCs w:val="20"/>
          <w:color w:val="auto"/>
        </w:rPr>
      </w:pPr>
    </w:p>
    <w:p>
      <w:pPr>
        <w:jc w:val="both"/>
        <w:ind w:firstLine="606"/>
        <w:spacing w:after="0" w:line="261" w:lineRule="auto"/>
        <w:tabs>
          <w:tab w:leader="none" w:pos="1210"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Change in Control</w:t>
      </w:r>
      <w:r>
        <w:rPr>
          <w:rFonts w:ascii="Arial" w:cs="Arial" w:eastAsia="Arial" w:hAnsi="Arial"/>
          <w:sz w:val="20"/>
          <w:szCs w:val="20"/>
          <w:color w:val="auto"/>
        </w:rPr>
        <w:t>. In the event of a Change in Control, each Outside Director will fully vest in his or her outstanding</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equity awards that were granted to him or her while an Outside Director, as of immediately prior to the Change in Control, including any Policy Award, provided that the Outside Director continues to be an Outside Director through the date of such Change in Control.</w:t>
      </w:r>
    </w:p>
    <w:p>
      <w:pPr>
        <w:spacing w:after="0" w:line="159" w:lineRule="exact"/>
        <w:rPr>
          <w:rFonts w:ascii="Arial" w:cs="Arial" w:eastAsia="Arial" w:hAnsi="Arial"/>
          <w:sz w:val="20"/>
          <w:szCs w:val="20"/>
          <w:color w:val="auto"/>
        </w:rPr>
      </w:pPr>
    </w:p>
    <w:p>
      <w:pPr>
        <w:jc w:val="both"/>
        <w:ind w:firstLine="606"/>
        <w:spacing w:after="0" w:line="272" w:lineRule="auto"/>
        <w:tabs>
          <w:tab w:leader="none" w:pos="1210"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auto"/>
        </w:rPr>
        <w:t>Annual Compensation Limit</w:t>
      </w:r>
      <w:r>
        <w:rPr>
          <w:rFonts w:ascii="Arial" w:cs="Arial" w:eastAsia="Arial" w:hAnsi="Arial"/>
          <w:sz w:val="19"/>
          <w:szCs w:val="19"/>
          <w:color w:val="auto"/>
        </w:rPr>
        <w:t>. No Outside Director may be granted, in any Fiscal Year, Awards with values (based on their</w:t>
      </w:r>
      <w:r>
        <w:rPr>
          <w:rFonts w:ascii="Arial" w:cs="Arial" w:eastAsia="Arial" w:hAnsi="Arial"/>
          <w:sz w:val="19"/>
          <w:szCs w:val="19"/>
          <w:b w:val="1"/>
          <w:bCs w:val="1"/>
          <w:color w:val="auto"/>
        </w:rPr>
        <w:t xml:space="preserve"> </w:t>
      </w:r>
      <w:r>
        <w:rPr>
          <w:rFonts w:ascii="Arial" w:cs="Arial" w:eastAsia="Arial" w:hAnsi="Arial"/>
          <w:sz w:val="19"/>
          <w:szCs w:val="19"/>
          <w:color w:val="auto"/>
        </w:rPr>
        <w:t>grant date fair value determined in accordance with U.S. generally accepted accounting principles), and be provided any other compensation (including without limitation any cash retainers or fees) in amounts that, in any Fiscal Year, in the aggregate, exceed $750,000, provided that such amount is increased to $1,000,000 in the Fiscal Year of his or her initial service as an Outside Director. Any Awards or other compensation provided to an individual (a) for his or her services as an Employee, or for his or her services as a Consultant other than as an Outside Director, or (b) prior to the Registration Date, will be excluded for purposes of this Section 5.</w:t>
      </w:r>
    </w:p>
    <w:p>
      <w:pPr>
        <w:spacing w:after="0" w:line="153" w:lineRule="exact"/>
        <w:rPr>
          <w:rFonts w:ascii="Arial" w:cs="Arial" w:eastAsia="Arial" w:hAnsi="Arial"/>
          <w:sz w:val="19"/>
          <w:szCs w:val="19"/>
          <w:color w:val="auto"/>
        </w:rPr>
      </w:pPr>
    </w:p>
    <w:p>
      <w:pPr>
        <w:ind w:firstLine="606"/>
        <w:spacing w:after="0" w:line="283" w:lineRule="auto"/>
        <w:tabs>
          <w:tab w:leader="none" w:pos="1210"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Travel Expenses</w:t>
      </w:r>
      <w:r>
        <w:rPr>
          <w:rFonts w:ascii="Arial" w:cs="Arial" w:eastAsia="Arial" w:hAnsi="Arial"/>
          <w:sz w:val="20"/>
          <w:szCs w:val="20"/>
          <w:color w:val="auto"/>
        </w:rPr>
        <w:t>. Each Outside Director’s reasonable, customary and properly documented travel expenses to meetings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and any of its committees, as applicable, will be reimbursed by the Company.</w:t>
      </w:r>
    </w:p>
    <w:p>
      <w:pPr>
        <w:spacing w:after="0" w:line="138" w:lineRule="exact"/>
        <w:rPr>
          <w:rFonts w:ascii="Arial" w:cs="Arial" w:eastAsia="Arial" w:hAnsi="Arial"/>
          <w:sz w:val="20"/>
          <w:szCs w:val="20"/>
          <w:color w:val="auto"/>
        </w:rPr>
      </w:pPr>
    </w:p>
    <w:p>
      <w:pPr>
        <w:jc w:val="both"/>
        <w:ind w:firstLine="606"/>
        <w:spacing w:after="0" w:line="255" w:lineRule="auto"/>
        <w:tabs>
          <w:tab w:leader="none" w:pos="1210"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Adjustments</w:t>
      </w:r>
      <w:r>
        <w:rPr>
          <w:rFonts w:ascii="Arial" w:cs="Arial" w:eastAsia="Arial" w:hAnsi="Arial"/>
          <w:sz w:val="20"/>
          <w:szCs w:val="20"/>
          <w:color w:val="auto"/>
        </w:rPr>
        <w:t>. In the event that any dividend or other distribution (whether in the form of cash, Shares, other securities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Policy, will adjust the number and class of shares of stock that may be delivered pursuant to Policy Awards and/or the number, class, and price of shares of stock covered by each outstanding Policy Award.</w:t>
      </w:r>
    </w:p>
    <w:p>
      <w:pPr>
        <w:spacing w:after="0" w:line="168" w:lineRule="exact"/>
        <w:rPr>
          <w:rFonts w:ascii="Arial" w:cs="Arial" w:eastAsia="Arial" w:hAnsi="Arial"/>
          <w:sz w:val="20"/>
          <w:szCs w:val="20"/>
          <w:color w:val="auto"/>
        </w:rPr>
      </w:pPr>
    </w:p>
    <w:p>
      <w:pPr>
        <w:jc w:val="both"/>
        <w:ind w:firstLine="606"/>
        <w:spacing w:after="0" w:line="286" w:lineRule="auto"/>
        <w:tabs>
          <w:tab w:leader="none" w:pos="121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In no event will cash compensation or expense reimbursement payments under this Policy be paid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later of (a) the fifteenth (15th) day of the third (3rd) month following the end of the Company’s taxable year in which the compensation is earned or expenses are incurred, as applicable, or (b) the fifteenth (15th) day of the third (3rd)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Parents or Subsidiaries have any responsibility, liability, or obligation to reimburse, indemnify, or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03" w:lineRule="exact"/>
        <w:rPr>
          <w:sz w:val="20"/>
          <w:szCs w:val="20"/>
          <w:color w:val="auto"/>
        </w:rPr>
      </w:pPr>
    </w:p>
    <w:p>
      <w:pPr>
        <w:spacing w:after="0"/>
        <w:rPr>
          <w:sz w:val="20"/>
          <w:szCs w:val="20"/>
          <w:color w:val="auto"/>
        </w:rPr>
      </w:pPr>
      <w:r>
        <w:rPr>
          <w:rFonts w:ascii="Arial" w:cs="Arial" w:eastAsia="Arial" w:hAnsi="Arial"/>
          <w:sz w:val="19"/>
          <w:szCs w:val="19"/>
          <w:color w:val="auto"/>
        </w:rPr>
        <w:t>hold harmless an Outside Director (or any other person) for any taxes imposed, or other costs incurred, as a result of Section 409A.</w:t>
      </w:r>
    </w:p>
    <w:p>
      <w:pPr>
        <w:spacing w:after="0" w:line="219" w:lineRule="exact"/>
        <w:rPr>
          <w:sz w:val="20"/>
          <w:szCs w:val="20"/>
          <w:color w:val="auto"/>
        </w:rPr>
      </w:pPr>
    </w:p>
    <w:p>
      <w:pPr>
        <w:jc w:val="both"/>
        <w:ind w:firstLine="606"/>
        <w:spacing w:after="0" w:line="261" w:lineRule="auto"/>
        <w:tabs>
          <w:tab w:leader="none" w:pos="1210" w:val="left"/>
        </w:tabs>
        <w:numPr>
          <w:ilvl w:val="0"/>
          <w:numId w:val="43"/>
        </w:numPr>
        <w:rPr>
          <w:rFonts w:ascii="Arial" w:cs="Arial" w:eastAsia="Arial" w:hAnsi="Arial"/>
          <w:sz w:val="20"/>
          <w:szCs w:val="20"/>
          <w:color w:val="auto"/>
        </w:rPr>
      </w:pPr>
      <w:r>
        <w:rPr>
          <w:rFonts w:ascii="Arial" w:cs="Arial" w:eastAsia="Arial" w:hAnsi="Arial"/>
          <w:sz w:val="20"/>
          <w:szCs w:val="20"/>
          <w:b w:val="1"/>
          <w:bCs w:val="1"/>
          <w:color w:val="auto"/>
        </w:rPr>
        <w:t>Stockholder Approval</w:t>
      </w:r>
      <w:r>
        <w:rPr>
          <w:rFonts w:ascii="Arial" w:cs="Arial" w:eastAsia="Arial" w:hAnsi="Arial"/>
          <w:sz w:val="20"/>
          <w:szCs w:val="20"/>
          <w:color w:val="auto"/>
        </w:rPr>
        <w:t>. This Policy as initially adopted was approved by the Company’s stockholders prior to its initial</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date. Unless otherwise required by applicable law, following such approval, this Policy will not be subject to approval by the Company’s stockholders, including, for clarity, as a result of or in connection with any action taken with respect to this Policy as contemplated in Section 10.</w:t>
      </w:r>
    </w:p>
    <w:p>
      <w:pPr>
        <w:spacing w:after="0" w:line="159" w:lineRule="exact"/>
        <w:rPr>
          <w:rFonts w:ascii="Arial" w:cs="Arial" w:eastAsia="Arial" w:hAnsi="Arial"/>
          <w:sz w:val="20"/>
          <w:szCs w:val="20"/>
          <w:color w:val="auto"/>
        </w:rPr>
      </w:pPr>
    </w:p>
    <w:p>
      <w:pPr>
        <w:jc w:val="both"/>
        <w:ind w:firstLine="606"/>
        <w:spacing w:after="0" w:line="254" w:lineRule="auto"/>
        <w:tabs>
          <w:tab w:leader="none" w:pos="1210" w:val="left"/>
        </w:tabs>
        <w:numPr>
          <w:ilvl w:val="0"/>
          <w:numId w:val="43"/>
        </w:numPr>
        <w:rPr>
          <w:rFonts w:ascii="Arial" w:cs="Arial" w:eastAsia="Arial" w:hAnsi="Arial"/>
          <w:sz w:val="20"/>
          <w:szCs w:val="20"/>
          <w:color w:val="auto"/>
        </w:rPr>
      </w:pPr>
      <w:r>
        <w:rPr>
          <w:rFonts w:ascii="Arial" w:cs="Arial" w:eastAsia="Arial" w:hAnsi="Arial"/>
          <w:sz w:val="20"/>
          <w:szCs w:val="20"/>
          <w:b w:val="1"/>
          <w:bCs w:val="1"/>
          <w:color w:val="auto"/>
        </w:rPr>
        <w:t>Revisions</w:t>
      </w:r>
      <w:r>
        <w:rPr>
          <w:rFonts w:ascii="Arial" w:cs="Arial" w:eastAsia="Arial" w:hAnsi="Arial"/>
          <w:sz w:val="20"/>
          <w:szCs w:val="20"/>
          <w:color w:val="auto"/>
        </w:rPr>
        <w:t>. The Board or any committee of the Board that has been designated appropriate authority with respect to Outside</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 compensation (or with respect to any applicable element or elements thereof, authority with respect to such element or elements) (the “</w:t>
      </w:r>
      <w:r>
        <w:rPr>
          <w:rFonts w:ascii="Arial" w:cs="Arial" w:eastAsia="Arial" w:hAnsi="Arial"/>
          <w:sz w:val="20"/>
          <w:szCs w:val="20"/>
          <w:b w:val="1"/>
          <w:bCs w:val="1"/>
          <w:color w:val="auto"/>
        </w:rPr>
        <w:t>Committee</w:t>
      </w:r>
      <w:r>
        <w:rPr>
          <w:rFonts w:ascii="Arial" w:cs="Arial" w:eastAsia="Arial" w:hAnsi="Arial"/>
          <w:sz w:val="20"/>
          <w:szCs w:val="20"/>
          <w:color w:val="auto"/>
        </w:rPr>
        <w:t>”) may amend, alter, suspend or terminate this Policy at any time and for any reason.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Committee’s ability to exercise the powers granted to it with respect to Awards granted under the Plan pursuant to this Policy before the date of such termination, including without limitation such applicable powers set forth in the Plan.</w:t>
      </w:r>
    </w:p>
    <w:p>
      <w:pPr>
        <w:spacing w:after="0" w:line="70" w:lineRule="exact"/>
        <w:rPr>
          <w:rFonts w:ascii="Arial" w:cs="Arial" w:eastAsia="Arial" w:hAnsi="Arial"/>
          <w:sz w:val="20"/>
          <w:szCs w:val="20"/>
          <w:color w:val="auto"/>
        </w:rPr>
      </w:pPr>
    </w:p>
    <w:p>
      <w:pPr>
        <w:ind w:left="4940"/>
        <w:spacing w:after="0"/>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440" w:right="339" w:bottom="1440" w:gutter="0" w:footer="0" w:header="0"/>
        </w:sectPr>
      </w:pPr>
    </w:p>
    <w:bookmarkStart w:id="86" w:name="page87"/>
    <w:bookmarkEnd w:id="86"/>
    <w:p>
      <w:pPr>
        <w:spacing w:after="0"/>
        <w:rPr>
          <w:sz w:val="20"/>
          <w:szCs w:val="20"/>
          <w:color w:val="auto"/>
        </w:rPr>
      </w:pPr>
      <w:r>
        <w:rPr>
          <w:rFonts w:ascii="Arial" w:cs="Arial" w:eastAsia="Arial" w:hAnsi="Arial"/>
          <w:sz w:val="20"/>
          <w:szCs w:val="20"/>
          <w:b w:val="1"/>
          <w:bCs w:val="1"/>
          <w:color w:val="auto"/>
        </w:rPr>
        <w:t>Ex.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SEER,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EMPLOYEE STOCK PURCHASE PLAN</w:t>
      </w:r>
    </w:p>
    <w:p>
      <w:pPr>
        <w:spacing w:after="0" w:line="211" w:lineRule="exact"/>
        <w:rPr>
          <w:sz w:val="20"/>
          <w:szCs w:val="20"/>
          <w:color w:val="auto"/>
        </w:rPr>
      </w:pPr>
    </w:p>
    <w:p>
      <w:pPr>
        <w:jc w:val="both"/>
        <w:ind w:firstLine="606"/>
        <w:spacing w:after="0" w:line="284" w:lineRule="auto"/>
        <w:tabs>
          <w:tab w:leader="none" w:pos="121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purpose of the Plan is to provide employees of the Company and its Designated Companies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opportunity to purchase Common Stock through accumulated Contributions. The Company intends for the Plan to have two components: a component that is intended to qualify as an “employee stock purchase plan” under Code Section 423 (the “</w:t>
      </w:r>
      <w:r>
        <w:rPr>
          <w:rFonts w:ascii="Arial" w:cs="Arial" w:eastAsia="Arial" w:hAnsi="Arial"/>
          <w:sz w:val="18"/>
          <w:szCs w:val="18"/>
          <w:b w:val="1"/>
          <w:bCs w:val="1"/>
          <w:color w:val="auto"/>
        </w:rPr>
        <w:t>423 Component</w:t>
      </w:r>
      <w:r>
        <w:rPr>
          <w:rFonts w:ascii="Arial" w:cs="Arial" w:eastAsia="Arial" w:hAnsi="Arial"/>
          <w:sz w:val="18"/>
          <w:szCs w:val="18"/>
          <w:color w:val="auto"/>
        </w:rPr>
        <w:t>”) and a component that is not intended to qualify as an “employee stock purchase plan” under Code Section 423 (the “</w:t>
      </w:r>
      <w:r>
        <w:rPr>
          <w:rFonts w:ascii="Arial" w:cs="Arial" w:eastAsia="Arial" w:hAnsi="Arial"/>
          <w:sz w:val="18"/>
          <w:szCs w:val="18"/>
          <w:b w:val="1"/>
          <w:bCs w:val="1"/>
          <w:color w:val="auto"/>
        </w:rPr>
        <w:t>Non-423 Component</w:t>
      </w:r>
      <w:r>
        <w:rPr>
          <w:rFonts w:ascii="Arial" w:cs="Arial" w:eastAsia="Arial" w:hAnsi="Arial"/>
          <w:sz w:val="18"/>
          <w:szCs w:val="18"/>
          <w:color w:val="auto"/>
        </w:rPr>
        <w:t>”). The provisions of the 423 Component, accordingly, will be construed so as to extend and limit Plan participation in a uniform and nondiscriminatory basis consistent with the requirements of Code Section 423. In addition, this Plan authorizes the grant of an option to purchase shares of Common Stock under the Non423 Component that does not qualify as an “employee stock purchase plan” under Code Section 423; an option granted under the Non-423 Component will provide for substantially the same benefits as an option granted under the 423 Component, except that a Non-423 Component option may include features necessary to comply with applicable nonU.S. laws pursuant to rules, procedures or subplans adopted by the Administrator. Except as otherwise provided herein or by the Administrator, the Non423 Component will operate and be administered in the same manner as the 423 Component.</w:t>
      </w:r>
    </w:p>
    <w:p>
      <w:pPr>
        <w:spacing w:after="0" w:line="142" w:lineRule="exact"/>
        <w:rPr>
          <w:rFonts w:ascii="Arial" w:cs="Arial" w:eastAsia="Arial" w:hAnsi="Arial"/>
          <w:sz w:val="18"/>
          <w:szCs w:val="18"/>
          <w:color w:val="auto"/>
        </w:rPr>
      </w:pPr>
    </w:p>
    <w:p>
      <w:pPr>
        <w:ind w:left="1220" w:hanging="614"/>
        <w:spacing w:after="0"/>
        <w:tabs>
          <w:tab w:leader="none" w:pos="1220" w:val="left"/>
        </w:tabs>
        <w:numPr>
          <w:ilvl w:val="0"/>
          <w:numId w:val="44"/>
        </w:numPr>
        <w:rPr>
          <w:rFonts w:ascii="Arial" w:cs="Arial" w:eastAsia="Arial" w:hAnsi="Arial"/>
          <w:sz w:val="20"/>
          <w:szCs w:val="20"/>
          <w:color w:val="auto"/>
        </w:rPr>
      </w:pPr>
      <w:r>
        <w:rPr>
          <w:rFonts w:ascii="Arial" w:cs="Arial" w:eastAsia="Arial" w:hAnsi="Arial"/>
          <w:sz w:val="20"/>
          <w:szCs w:val="20"/>
          <w:b w:val="1"/>
          <w:bCs w:val="1"/>
          <w:color w:val="auto"/>
        </w:rPr>
        <w:t>Definitions</w:t>
      </w:r>
      <w:r>
        <w:rPr>
          <w:rFonts w:ascii="Arial" w:cs="Arial" w:eastAsia="Arial" w:hAnsi="Arial"/>
          <w:sz w:val="20"/>
          <w:szCs w:val="20"/>
          <w:color w:val="auto"/>
        </w:rPr>
        <w:t>.</w:t>
      </w:r>
    </w:p>
    <w:p>
      <w:pPr>
        <w:spacing w:after="0" w:line="211" w:lineRule="exact"/>
        <w:rPr>
          <w:sz w:val="20"/>
          <w:szCs w:val="20"/>
          <w:color w:val="auto"/>
        </w:rPr>
      </w:pPr>
    </w:p>
    <w:p>
      <w:pPr>
        <w:ind w:left="1220"/>
        <w:spacing w:after="0"/>
        <w:tabs>
          <w:tab w:leader="none" w:pos="180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 means the Board or any Committee designated by the Board to administer the Plan pursuant to</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Section 3.</w:t>
      </w:r>
    </w:p>
    <w:p>
      <w:pPr>
        <w:spacing w:after="0" w:line="189" w:lineRule="exact"/>
        <w:rPr>
          <w:sz w:val="20"/>
          <w:szCs w:val="20"/>
          <w:color w:val="auto"/>
        </w:rPr>
      </w:pPr>
    </w:p>
    <w:p>
      <w:pPr>
        <w:jc w:val="both"/>
        <w:ind w:firstLine="1210"/>
        <w:spacing w:after="0" w:line="298" w:lineRule="auto"/>
        <w:rPr>
          <w:sz w:val="20"/>
          <w:szCs w:val="20"/>
          <w:color w:val="auto"/>
        </w:rPr>
      </w:pPr>
      <w:r>
        <w:rPr>
          <w:rFonts w:ascii="Arial" w:cs="Arial" w:eastAsia="Arial" w:hAnsi="Arial"/>
          <w:sz w:val="18"/>
          <w:szCs w:val="18"/>
          <w:color w:val="auto"/>
        </w:rPr>
        <w:t>2.2 “</w:t>
      </w:r>
      <w:r>
        <w:rPr>
          <w:rFonts w:ascii="Arial" w:cs="Arial" w:eastAsia="Arial" w:hAnsi="Arial"/>
          <w:sz w:val="18"/>
          <w:szCs w:val="18"/>
          <w:b w:val="1"/>
          <w:bCs w:val="1"/>
          <w:color w:val="auto"/>
        </w:rPr>
        <w:t>Applicable Laws</w:t>
      </w:r>
      <w:r>
        <w:rPr>
          <w:rFonts w:ascii="Arial" w:cs="Arial" w:eastAsia="Arial" w:hAnsi="Arial"/>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options are, or will be, granted under the Plan.</w:t>
      </w:r>
    </w:p>
    <w:p>
      <w:pPr>
        <w:spacing w:after="0" w:line="132" w:lineRule="exact"/>
        <w:rPr>
          <w:sz w:val="20"/>
          <w:szCs w:val="20"/>
          <w:color w:val="auto"/>
        </w:rPr>
      </w:pPr>
    </w:p>
    <w:p>
      <w:pPr>
        <w:ind w:left="1220"/>
        <w:spacing w:after="0"/>
        <w:tabs>
          <w:tab w:leader="none" w:pos="180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211" w:lineRule="exact"/>
        <w:rPr>
          <w:sz w:val="20"/>
          <w:szCs w:val="20"/>
          <w:color w:val="auto"/>
        </w:rPr>
      </w:pPr>
    </w:p>
    <w:p>
      <w:pPr>
        <w:jc w:val="both"/>
        <w:ind w:firstLine="1210"/>
        <w:spacing w:after="0" w:line="283" w:lineRule="auto"/>
        <w:rPr>
          <w:sz w:val="20"/>
          <w:szCs w:val="20"/>
          <w:color w:val="auto"/>
        </w:rPr>
      </w:pPr>
      <w:r>
        <w:rPr>
          <w:rFonts w:ascii="Arial" w:cs="Arial" w:eastAsia="Arial" w:hAnsi="Arial"/>
          <w:sz w:val="20"/>
          <w:szCs w:val="20"/>
          <w:color w:val="auto"/>
        </w:rPr>
        <w:t>2.4 “</w:t>
      </w:r>
      <w:r>
        <w:rPr>
          <w:rFonts w:ascii="Arial" w:cs="Arial" w:eastAsia="Arial" w:hAnsi="Arial"/>
          <w:sz w:val="20"/>
          <w:szCs w:val="20"/>
          <w:b w:val="1"/>
          <w:bCs w:val="1"/>
          <w:color w:val="auto"/>
        </w:rPr>
        <w:t>Change in Control</w:t>
      </w:r>
      <w:r>
        <w:rPr>
          <w:rFonts w:ascii="Arial" w:cs="Arial" w:eastAsia="Arial" w:hAnsi="Arial"/>
          <w:sz w:val="20"/>
          <w:szCs w:val="20"/>
          <w:color w:val="auto"/>
        </w:rPr>
        <w:t>” means the occurrence of any of the following events, unless specifically provided otherwise by the Administrator with respect to a particular Offering:</w:t>
      </w:r>
    </w:p>
    <w:p>
      <w:pPr>
        <w:spacing w:after="0" w:line="138" w:lineRule="exact"/>
        <w:rPr>
          <w:sz w:val="20"/>
          <w:szCs w:val="20"/>
          <w:color w:val="auto"/>
        </w:rPr>
      </w:pPr>
    </w:p>
    <w:p>
      <w:pPr>
        <w:jc w:val="both"/>
        <w:ind w:firstLine="1816"/>
        <w:spacing w:after="0" w:line="272" w:lineRule="auto"/>
        <w:tabs>
          <w:tab w:leader="none" w:pos="2418" w:val="left"/>
        </w:tabs>
        <w:numPr>
          <w:ilvl w:val="0"/>
          <w:numId w:val="45"/>
        </w:numPr>
        <w:rPr>
          <w:rFonts w:ascii="Arial" w:cs="Arial" w:eastAsia="Arial" w:hAnsi="Arial"/>
          <w:sz w:val="19"/>
          <w:szCs w:val="19"/>
          <w:color w:val="auto"/>
        </w:rPr>
      </w:pPr>
      <w:r>
        <w:rPr>
          <w:rFonts w:ascii="Arial" w:cs="Arial" w:eastAsia="Arial" w:hAnsi="Arial"/>
          <w:sz w:val="19"/>
          <w:szCs w:val="19"/>
          <w:b w:val="1"/>
          <w:bCs w:val="1"/>
          <w:color w:val="auto"/>
        </w:rPr>
        <w:t>Change in Ownership of the Company</w:t>
      </w:r>
      <w:r>
        <w:rPr>
          <w:rFonts w:ascii="Arial" w:cs="Arial" w:eastAsia="Arial" w:hAnsi="Arial"/>
          <w:sz w:val="19"/>
          <w:szCs w:val="19"/>
          <w:color w:val="auto"/>
        </w:rPr>
        <w:t>. A change in the ownership of the Company which occurs on the</w:t>
      </w:r>
      <w:r>
        <w:rPr>
          <w:rFonts w:ascii="Arial" w:cs="Arial" w:eastAsia="Arial" w:hAnsi="Arial"/>
          <w:sz w:val="19"/>
          <w:szCs w:val="19"/>
          <w:b w:val="1"/>
          <w:bCs w:val="1"/>
          <w:color w:val="auto"/>
        </w:rPr>
        <w:t xml:space="preserve"> </w:t>
      </w:r>
      <w:r>
        <w:rPr>
          <w:rFonts w:ascii="Arial" w:cs="Arial" w:eastAsia="Arial" w:hAnsi="Arial"/>
          <w:sz w:val="19"/>
          <w:szCs w:val="19"/>
          <w:color w:val="auto"/>
        </w:rPr>
        <w:t>date that any one person, or more than one person acting as a group (“</w:t>
      </w:r>
      <w:r>
        <w:rPr>
          <w:rFonts w:ascii="Arial" w:cs="Arial" w:eastAsia="Arial" w:hAnsi="Arial"/>
          <w:sz w:val="19"/>
          <w:szCs w:val="19"/>
          <w:b w:val="1"/>
          <w:bCs w:val="1"/>
          <w:color w:val="auto"/>
        </w:rPr>
        <w:t>Person</w:t>
      </w:r>
      <w:r>
        <w:rPr>
          <w:rFonts w:ascii="Arial" w:cs="Arial" w:eastAsia="Arial" w:hAnsi="Arial"/>
          <w:sz w:val="19"/>
          <w:szCs w:val="19"/>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Seer - 2020 Employee Stock Purchase Plan (IPO)(11.15.2020) 4816-8411-7454 v.8.docx</w:t>
      </w:r>
    </w:p>
    <w:p>
      <w:pPr>
        <w:sectPr>
          <w:pgSz w:w="11900" w:h="16838" w:orient="portrait"/>
          <w:cols w:equalWidth="0" w:num="1">
            <w:col w:w="11240"/>
          </w:cols>
          <w:pgMar w:left="320" w:top="127" w:right="339" w:bottom="1440" w:gutter="0" w:footer="0" w:header="0"/>
        </w:sectPr>
      </w:pPr>
    </w:p>
    <w:bookmarkStart w:id="87" w:name="page88"/>
    <w:bookmarkEnd w:id="87"/>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67" w:lineRule="exact"/>
        <w:rPr>
          <w:sz w:val="20"/>
          <w:szCs w:val="20"/>
          <w:color w:val="auto"/>
        </w:rPr>
      </w:pPr>
    </w:p>
    <w:p>
      <w:pPr>
        <w:jc w:val="both"/>
        <w:ind w:firstLine="1816"/>
        <w:spacing w:after="0" w:line="256" w:lineRule="auto"/>
        <w:tabs>
          <w:tab w:leader="none" w:pos="2416"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Change in Effective Control of the Company</w:t>
      </w:r>
      <w:r>
        <w:rPr>
          <w:rFonts w:ascii="Arial" w:cs="Arial" w:eastAsia="Arial" w:hAnsi="Arial"/>
          <w:sz w:val="20"/>
          <w:szCs w:val="20"/>
          <w:color w:val="auto"/>
        </w:rPr>
        <w:t>. If the Company has a class of securities registered pursuant</w:t>
      </w:r>
      <w:r>
        <w:rPr>
          <w:rFonts w:ascii="Arial" w:cs="Arial" w:eastAsia="Arial" w:hAnsi="Arial"/>
          <w:sz w:val="20"/>
          <w:szCs w:val="20"/>
          <w:b w:val="1"/>
          <w:bCs w:val="1"/>
          <w:color w:val="auto"/>
        </w:rPr>
        <w:t xml:space="preserve"> </w:t>
      </w:r>
      <w:r>
        <w:rPr>
          <w:rFonts w:ascii="Arial" w:cs="Arial" w:eastAsia="Arial" w:hAnsi="Arial"/>
          <w:sz w:val="20"/>
          <w:szCs w:val="20"/>
          <w:color w:val="auto"/>
        </w:rPr>
        <w:t>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67" w:lineRule="exact"/>
        <w:rPr>
          <w:rFonts w:ascii="Arial" w:cs="Arial" w:eastAsia="Arial" w:hAnsi="Arial"/>
          <w:sz w:val="20"/>
          <w:szCs w:val="20"/>
          <w:color w:val="auto"/>
        </w:rPr>
      </w:pPr>
    </w:p>
    <w:p>
      <w:pPr>
        <w:jc w:val="both"/>
        <w:ind w:firstLine="1816"/>
        <w:spacing w:after="0" w:line="280" w:lineRule="auto"/>
        <w:tabs>
          <w:tab w:leader="none" w:pos="2418"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Change in Ownership of a Substantial Portion of the Company’s Assets</w:t>
      </w:r>
      <w:r>
        <w:rPr>
          <w:rFonts w:ascii="Arial" w:cs="Arial" w:eastAsia="Arial" w:hAnsi="Arial"/>
          <w:sz w:val="18"/>
          <w:szCs w:val="18"/>
          <w:color w:val="auto"/>
        </w:rPr>
        <w:t>. A change in the ownership of a</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w:t>
      </w:r>
    </w:p>
    <w:p>
      <w:pPr>
        <w:spacing w:after="0" w:line="260" w:lineRule="auto"/>
        <w:rPr>
          <w:rFonts w:ascii="Arial" w:cs="Arial" w:eastAsia="Arial" w:hAnsi="Arial"/>
          <w:sz w:val="18"/>
          <w:szCs w:val="18"/>
          <w:color w:val="auto"/>
        </w:rPr>
      </w:pPr>
      <w:r>
        <w:rPr>
          <w:rFonts w:ascii="Arial" w:cs="Arial" w:eastAsia="Arial" w:hAnsi="Arial"/>
          <w:sz w:val="20"/>
          <w:szCs w:val="20"/>
          <w:color w:val="auto"/>
        </w:rPr>
        <w:t>(C). For purposes of this subsection (c), gross fair market value means the value of the assets of the Company, or the value of the assets being disposed of, determined without regard to any liabilities associated with such assets.</w:t>
      </w:r>
    </w:p>
    <w:p>
      <w:pPr>
        <w:spacing w:after="0" w:line="165" w:lineRule="exact"/>
        <w:rPr>
          <w:sz w:val="20"/>
          <w:szCs w:val="20"/>
          <w:color w:val="auto"/>
        </w:rPr>
      </w:pPr>
    </w:p>
    <w:p>
      <w:pPr>
        <w:ind w:firstLine="1210"/>
        <w:spacing w:after="0" w:line="306" w:lineRule="auto"/>
        <w:rPr>
          <w:sz w:val="20"/>
          <w:szCs w:val="20"/>
          <w:color w:val="auto"/>
        </w:rPr>
      </w:pPr>
      <w:r>
        <w:rPr>
          <w:rFonts w:ascii="Arial" w:cs="Arial" w:eastAsia="Arial" w:hAnsi="Arial"/>
          <w:sz w:val="19"/>
          <w:szCs w:val="19"/>
          <w:color w:val="auto"/>
        </w:rPr>
        <w:t>For purposes of this Section 2.4, persons will be considered to be acting as a group if they are owners of a corporation that enters into a merger, consolidation, purchase or acquisition of stock, or similar business transaction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03" w:lineRule="exact"/>
        <w:rPr>
          <w:sz w:val="20"/>
          <w:szCs w:val="20"/>
          <w:color w:val="auto"/>
        </w:rPr>
      </w:pPr>
    </w:p>
    <w:p>
      <w:pPr>
        <w:jc w:val="both"/>
        <w:ind w:firstLine="1210"/>
        <w:spacing w:after="0" w:line="278" w:lineRule="auto"/>
        <w:rPr>
          <w:sz w:val="20"/>
          <w:szCs w:val="20"/>
          <w:color w:val="auto"/>
        </w:rPr>
      </w:pPr>
      <w:r>
        <w:rPr>
          <w:rFonts w:ascii="Arial" w:cs="Arial" w:eastAsia="Arial" w:hAnsi="Arial"/>
          <w:sz w:val="20"/>
          <w:szCs w:val="20"/>
          <w:color w:val="auto"/>
        </w:rPr>
        <w:t>Notwithstanding the foregoing, a transaction will not be deemed a Change in Control unless the transaction qualifies as a change in control event within the meaning of Section 409A.</w:t>
      </w:r>
    </w:p>
    <w:p>
      <w:pPr>
        <w:spacing w:after="0" w:line="148" w:lineRule="exact"/>
        <w:rPr>
          <w:sz w:val="20"/>
          <w:szCs w:val="20"/>
          <w:color w:val="auto"/>
        </w:rPr>
      </w:pPr>
    </w:p>
    <w:p>
      <w:pPr>
        <w:jc w:val="both"/>
        <w:ind w:firstLine="1210"/>
        <w:spacing w:after="0" w:line="284" w:lineRule="auto"/>
        <w:rPr>
          <w:sz w:val="20"/>
          <w:szCs w:val="20"/>
          <w:color w:val="auto"/>
        </w:rPr>
      </w:pPr>
      <w:r>
        <w:rPr>
          <w:rFonts w:ascii="Arial" w:cs="Arial" w:eastAsia="Arial" w:hAnsi="Arial"/>
          <w:sz w:val="19"/>
          <w:szCs w:val="19"/>
          <w:color w:val="auto"/>
        </w:rPr>
        <w:t>Further and for the avoidance of doubt,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spacing w:after="0" w:line="141" w:lineRule="exact"/>
        <w:rPr>
          <w:sz w:val="20"/>
          <w:szCs w:val="20"/>
          <w:color w:val="auto"/>
        </w:rPr>
      </w:pPr>
    </w:p>
    <w:p>
      <w:pPr>
        <w:jc w:val="both"/>
        <w:ind w:firstLine="1210"/>
        <w:spacing w:after="0" w:line="261" w:lineRule="auto"/>
        <w:rPr>
          <w:sz w:val="20"/>
          <w:szCs w:val="20"/>
          <w:color w:val="auto"/>
        </w:rPr>
      </w:pPr>
      <w:r>
        <w:rPr>
          <w:rFonts w:ascii="Arial" w:cs="Arial" w:eastAsia="Arial" w:hAnsi="Arial"/>
          <w:sz w:val="20"/>
          <w:szCs w:val="20"/>
          <w:color w:val="auto"/>
        </w:rPr>
        <w:t>2.5 “</w:t>
      </w:r>
      <w:r>
        <w:rPr>
          <w:rFonts w:ascii="Arial" w:cs="Arial" w:eastAsia="Arial" w:hAnsi="Arial"/>
          <w:sz w:val="20"/>
          <w:szCs w:val="20"/>
          <w:b w:val="1"/>
          <w:bCs w:val="1"/>
          <w:color w:val="auto"/>
        </w:rPr>
        <w:t>Code</w:t>
      </w:r>
      <w:r>
        <w:rPr>
          <w:rFonts w:ascii="Arial" w:cs="Arial" w:eastAsia="Arial" w:hAnsi="Arial"/>
          <w:sz w:val="20"/>
          <w:szCs w:val="20"/>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60" w:lineRule="exact"/>
        <w:rPr>
          <w:sz w:val="20"/>
          <w:szCs w:val="20"/>
          <w:color w:val="auto"/>
        </w:rPr>
      </w:pPr>
    </w:p>
    <w:p>
      <w:pPr>
        <w:ind w:left="1220"/>
        <w:spacing w:after="0"/>
        <w:tabs>
          <w:tab w:leader="none" w:pos="180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a committee of the Board appointed in accordance with Section 3 hereof.</w:t>
      </w:r>
    </w:p>
    <w:p>
      <w:pPr>
        <w:spacing w:after="0" w:line="211" w:lineRule="exact"/>
        <w:rPr>
          <w:sz w:val="20"/>
          <w:szCs w:val="20"/>
          <w:color w:val="auto"/>
        </w:rPr>
      </w:pPr>
    </w:p>
    <w:p>
      <w:pPr>
        <w:ind w:left="1220"/>
        <w:spacing w:after="0"/>
        <w:tabs>
          <w:tab w:leader="none" w:pos="180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Class A common stock of the Company.</w:t>
      </w:r>
    </w:p>
    <w:p>
      <w:pPr>
        <w:spacing w:after="0" w:line="211" w:lineRule="exact"/>
        <w:rPr>
          <w:sz w:val="20"/>
          <w:szCs w:val="20"/>
          <w:color w:val="auto"/>
        </w:rPr>
      </w:pPr>
    </w:p>
    <w:p>
      <w:pPr>
        <w:ind w:left="1220"/>
        <w:spacing w:after="0"/>
        <w:tabs>
          <w:tab w:leader="none" w:pos="180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Seer, Inc., a Delaware corporation, or any successor thereto.</w:t>
      </w:r>
    </w:p>
    <w:p>
      <w:pPr>
        <w:spacing w:after="0" w:line="211" w:lineRule="exact"/>
        <w:rPr>
          <w:sz w:val="20"/>
          <w:szCs w:val="20"/>
          <w:color w:val="auto"/>
        </w:rPr>
      </w:pPr>
    </w:p>
    <w:p>
      <w:pPr>
        <w:jc w:val="both"/>
        <w:ind w:firstLine="1210"/>
        <w:spacing w:after="0" w:line="261" w:lineRule="auto"/>
        <w:rPr>
          <w:sz w:val="20"/>
          <w:szCs w:val="20"/>
          <w:color w:val="auto"/>
        </w:rPr>
      </w:pPr>
      <w:r>
        <w:rPr>
          <w:rFonts w:ascii="Arial" w:cs="Arial" w:eastAsia="Arial" w:hAnsi="Arial"/>
          <w:sz w:val="20"/>
          <w:szCs w:val="20"/>
          <w:color w:val="auto"/>
        </w:rPr>
        <w:t>2.9 “</w:t>
      </w:r>
      <w:r>
        <w:rPr>
          <w:rFonts w:ascii="Arial" w:cs="Arial" w:eastAsia="Arial" w:hAnsi="Arial"/>
          <w:sz w:val="20"/>
          <w:szCs w:val="20"/>
          <w:b w:val="1"/>
          <w:bCs w:val="1"/>
          <w:color w:val="auto"/>
        </w:rPr>
        <w:t>Compensation</w:t>
      </w:r>
      <w:r>
        <w:rPr>
          <w:rFonts w:ascii="Arial" w:cs="Arial" w:eastAsia="Arial" w:hAnsi="Arial"/>
          <w:sz w:val="20"/>
          <w:szCs w:val="20"/>
          <w:color w:val="auto"/>
        </w:rPr>
        <w:t>” means an Eligible Employee’s base straight time gross earnings, but exclusive of payments for overtime, shift premium, commissions, incentive compensation, equity compensation, bonuses and other similar compensation. The Administrator, in its discretion, may, on a uniform and nondiscriminatory basis, establish a different definition of Compensation for a subsequent Offering Period.</w:t>
      </w:r>
    </w:p>
    <w:p>
      <w:pPr>
        <w:spacing w:after="0" w:line="160" w:lineRule="exact"/>
        <w:rPr>
          <w:sz w:val="20"/>
          <w:szCs w:val="20"/>
          <w:color w:val="auto"/>
        </w:rPr>
      </w:pPr>
    </w:p>
    <w:p>
      <w:pPr>
        <w:jc w:val="both"/>
        <w:ind w:firstLine="1210"/>
        <w:spacing w:after="0" w:line="283" w:lineRule="auto"/>
        <w:rPr>
          <w:sz w:val="20"/>
          <w:szCs w:val="20"/>
          <w:color w:val="auto"/>
        </w:rPr>
      </w:pPr>
      <w:r>
        <w:rPr>
          <w:rFonts w:ascii="Arial" w:cs="Arial" w:eastAsia="Arial" w:hAnsi="Arial"/>
          <w:sz w:val="20"/>
          <w:szCs w:val="20"/>
          <w:color w:val="auto"/>
        </w:rPr>
        <w:t>2.10 “</w:t>
      </w:r>
      <w:r>
        <w:rPr>
          <w:rFonts w:ascii="Arial" w:cs="Arial" w:eastAsia="Arial" w:hAnsi="Arial"/>
          <w:sz w:val="20"/>
          <w:szCs w:val="20"/>
          <w:b w:val="1"/>
          <w:bCs w:val="1"/>
          <w:color w:val="auto"/>
        </w:rPr>
        <w:t>Contributions</w:t>
      </w:r>
      <w:r>
        <w:rPr>
          <w:rFonts w:ascii="Arial" w:cs="Arial" w:eastAsia="Arial" w:hAnsi="Arial"/>
          <w:sz w:val="20"/>
          <w:szCs w:val="20"/>
          <w:color w:val="auto"/>
        </w:rPr>
        <w:t>” means the payroll deductions and other additional payments that the Company may permit to be made by a Participant to fund the exercise of options granted pursuant to the Plan.</w:t>
      </w:r>
    </w:p>
    <w:p>
      <w:pPr>
        <w:spacing w:after="0" w:line="138" w:lineRule="exact"/>
        <w:rPr>
          <w:sz w:val="20"/>
          <w:szCs w:val="20"/>
          <w:color w:val="auto"/>
        </w:rPr>
      </w:pPr>
    </w:p>
    <w:p>
      <w:pPr>
        <w:jc w:val="both"/>
        <w:ind w:firstLine="1210"/>
        <w:spacing w:after="0" w:line="261" w:lineRule="auto"/>
        <w:rPr>
          <w:sz w:val="20"/>
          <w:szCs w:val="20"/>
          <w:color w:val="auto"/>
        </w:rPr>
      </w:pPr>
      <w:r>
        <w:rPr>
          <w:rFonts w:ascii="Arial" w:cs="Arial" w:eastAsia="Arial" w:hAnsi="Arial"/>
          <w:sz w:val="20"/>
          <w:szCs w:val="20"/>
          <w:color w:val="auto"/>
        </w:rPr>
        <w:t>2.11 “</w:t>
      </w:r>
      <w:r>
        <w:rPr>
          <w:rFonts w:ascii="Arial" w:cs="Arial" w:eastAsia="Arial" w:hAnsi="Arial"/>
          <w:sz w:val="20"/>
          <w:szCs w:val="20"/>
          <w:b w:val="1"/>
          <w:bCs w:val="1"/>
          <w:color w:val="auto"/>
        </w:rPr>
        <w:t>Designated Company</w:t>
      </w:r>
      <w:r>
        <w:rPr>
          <w:rFonts w:ascii="Arial" w:cs="Arial" w:eastAsia="Arial" w:hAnsi="Arial"/>
          <w:sz w:val="20"/>
          <w:szCs w:val="20"/>
          <w:color w:val="auto"/>
        </w:rPr>
        <w:t>” means any Subsidiary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that is a Designated Company under the 423 Component will not be a Designated Company under the Non-423 Component.</w:t>
      </w:r>
    </w:p>
    <w:p>
      <w:pPr>
        <w:spacing w:after="0" w:line="160" w:lineRule="exact"/>
        <w:rPr>
          <w:sz w:val="20"/>
          <w:szCs w:val="20"/>
          <w:color w:val="auto"/>
        </w:rPr>
      </w:pPr>
    </w:p>
    <w:p>
      <w:pPr>
        <w:ind w:left="1220"/>
        <w:spacing w:after="0"/>
        <w:tabs>
          <w:tab w:leader="none" w:pos="180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w:t>
      </w:r>
    </w:p>
    <w:p>
      <w:pPr>
        <w:spacing w:after="0" w:line="211" w:lineRule="exact"/>
        <w:rPr>
          <w:sz w:val="20"/>
          <w:szCs w:val="20"/>
          <w:color w:val="auto"/>
        </w:rPr>
      </w:pPr>
    </w:p>
    <w:p>
      <w:pPr>
        <w:jc w:val="both"/>
        <w:ind w:firstLine="1210"/>
        <w:spacing w:after="0" w:line="258" w:lineRule="auto"/>
        <w:rPr>
          <w:sz w:val="20"/>
          <w:szCs w:val="20"/>
          <w:color w:val="auto"/>
        </w:rPr>
      </w:pPr>
      <w:r>
        <w:rPr>
          <w:rFonts w:ascii="Arial" w:cs="Arial" w:eastAsia="Arial" w:hAnsi="Arial"/>
          <w:sz w:val="20"/>
          <w:szCs w:val="20"/>
          <w:color w:val="auto"/>
        </w:rPr>
        <w:t>2.13 “</w:t>
      </w:r>
      <w:r>
        <w:rPr>
          <w:rFonts w:ascii="Arial" w:cs="Arial" w:eastAsia="Arial" w:hAnsi="Arial"/>
          <w:sz w:val="20"/>
          <w:szCs w:val="20"/>
          <w:b w:val="1"/>
          <w:bCs w:val="1"/>
          <w:color w:val="auto"/>
        </w:rPr>
        <w:t>Eligible Employee</w:t>
      </w:r>
      <w:r>
        <w:rPr>
          <w:rFonts w:ascii="Arial" w:cs="Arial" w:eastAsia="Arial" w:hAnsi="Arial"/>
          <w:sz w:val="20"/>
          <w:szCs w:val="20"/>
          <w:color w:val="auto"/>
        </w:rPr>
        <w:t>” 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for Participants in the Non-423 Component. For purposes of the Plan, the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03"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U.S. Treasury Regulations Section 1.423-2) that the definition of Eligible Employee will or will not include an individual if he or she: (a) has not completed at least two (2) years of service since his or her last hire date (or such lesser period of time as may be determined by the Administrator in its discretion), (b) customarily works not more than twenty (20) hours per week (or such lesser period of time as may be determined by the Administrator in its discretion), (c) customarily works not more than five (5) months per calendar year (or such lesser period of time as may be determined by the Administrator in its discretion), (d) is a highly compensated employee within the meaning of Code Section 414(q), or (e) is a highly compensated employee within the meaning of Code Section 414(q)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employees are participating in that Offering. Each exclusion will be applied with respect to an Offering under the 423 Component in a manner complying with U.S. Treasury Regulations Section 1.423-2(e)(2)(ii). Such exclusions may be applied with respect to an Offering under the Non-423 Component without regard to the limitations of U.S. Treasury Regulations Section 1.423-2.</w:t>
      </w:r>
    </w:p>
    <w:p>
      <w:pPr>
        <w:spacing w:after="0" w:line="150" w:lineRule="exact"/>
        <w:rPr>
          <w:sz w:val="20"/>
          <w:szCs w:val="20"/>
          <w:color w:val="auto"/>
        </w:rPr>
      </w:pPr>
    </w:p>
    <w:p>
      <w:pPr>
        <w:ind w:left="1220"/>
        <w:spacing w:after="0"/>
        <w:tabs>
          <w:tab w:leader="none" w:pos="180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means the employer of the applicable Eligible Employee(s).</w:t>
      </w:r>
    </w:p>
    <w:p>
      <w:pPr>
        <w:spacing w:after="0" w:line="211" w:lineRule="exact"/>
        <w:rPr>
          <w:sz w:val="20"/>
          <w:szCs w:val="20"/>
          <w:color w:val="auto"/>
        </w:rPr>
      </w:pPr>
    </w:p>
    <w:p>
      <w:pPr>
        <w:ind w:left="1220"/>
        <w:spacing w:after="0"/>
        <w:tabs>
          <w:tab w:leader="none" w:pos="180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Enrollment Date</w:t>
      </w:r>
      <w:r>
        <w:rPr>
          <w:rFonts w:ascii="Arial" w:cs="Arial" w:eastAsia="Arial" w:hAnsi="Arial"/>
          <w:sz w:val="18"/>
          <w:szCs w:val="18"/>
          <w:color w:val="auto"/>
        </w:rPr>
        <w:t>” means the first Trading Day of each Offering Period.</w:t>
      </w:r>
    </w:p>
    <w:p>
      <w:pPr>
        <w:spacing w:after="0" w:line="211" w:lineRule="exact"/>
        <w:rPr>
          <w:sz w:val="20"/>
          <w:szCs w:val="20"/>
          <w:color w:val="auto"/>
        </w:rPr>
      </w:pPr>
    </w:p>
    <w:p>
      <w:pPr>
        <w:jc w:val="both"/>
        <w:ind w:firstLine="1210"/>
        <w:spacing w:after="0" w:line="283" w:lineRule="auto"/>
        <w:rPr>
          <w:sz w:val="20"/>
          <w:szCs w:val="20"/>
          <w:color w:val="auto"/>
        </w:rPr>
      </w:pPr>
      <w:r>
        <w:rPr>
          <w:rFonts w:ascii="Arial" w:cs="Arial" w:eastAsia="Arial" w:hAnsi="Arial"/>
          <w:sz w:val="20"/>
          <w:szCs w:val="20"/>
          <w:color w:val="auto"/>
        </w:rPr>
        <w:t>2.16 “</w:t>
      </w:r>
      <w:r>
        <w:rPr>
          <w:rFonts w:ascii="Arial" w:cs="Arial" w:eastAsia="Arial" w:hAnsi="Arial"/>
          <w:sz w:val="20"/>
          <w:szCs w:val="20"/>
          <w:b w:val="1"/>
          <w:bCs w:val="1"/>
          <w:color w:val="auto"/>
        </w:rPr>
        <w:t>Exchange Act</w:t>
      </w:r>
      <w:r>
        <w:rPr>
          <w:rFonts w:ascii="Arial" w:cs="Arial" w:eastAsia="Arial" w:hAnsi="Arial"/>
          <w:sz w:val="20"/>
          <w:szCs w:val="20"/>
          <w:color w:val="auto"/>
        </w:rPr>
        <w:t>” means the U.S. Securities Exchange Act of 1934, as amended, including the rules and regulations promulgated thereunder.</w:t>
      </w:r>
    </w:p>
    <w:p>
      <w:pPr>
        <w:spacing w:after="0" w:line="138" w:lineRule="exact"/>
        <w:rPr>
          <w:sz w:val="20"/>
          <w:szCs w:val="20"/>
          <w:color w:val="auto"/>
        </w:rPr>
      </w:pPr>
    </w:p>
    <w:p>
      <w:pPr>
        <w:jc w:val="both"/>
        <w:ind w:firstLine="1210"/>
        <w:spacing w:after="0" w:line="261" w:lineRule="auto"/>
        <w:rPr>
          <w:sz w:val="20"/>
          <w:szCs w:val="20"/>
          <w:color w:val="auto"/>
        </w:rPr>
      </w:pPr>
      <w:r>
        <w:rPr>
          <w:rFonts w:ascii="Arial" w:cs="Arial" w:eastAsia="Arial" w:hAnsi="Arial"/>
          <w:sz w:val="20"/>
          <w:szCs w:val="20"/>
          <w:color w:val="auto"/>
        </w:rPr>
        <w:t>2.17 “</w:t>
      </w:r>
      <w:r>
        <w:rPr>
          <w:rFonts w:ascii="Arial" w:cs="Arial" w:eastAsia="Arial" w:hAnsi="Arial"/>
          <w:sz w:val="20"/>
          <w:szCs w:val="20"/>
          <w:b w:val="1"/>
          <w:bCs w:val="1"/>
          <w:color w:val="auto"/>
        </w:rPr>
        <w:t>Exercise Date</w:t>
      </w:r>
      <w:r>
        <w:rPr>
          <w:rFonts w:ascii="Arial" w:cs="Arial" w:eastAsia="Arial" w:hAnsi="Arial"/>
          <w:sz w:val="20"/>
          <w:szCs w:val="20"/>
          <w:color w:val="auto"/>
        </w:rPr>
        <w:t>” means the last Trading Day of a Purchase Period. Notwithstanding the foregoing, in the event that an Offering Period is terminated prior to its expiration pursuant to Section 18, the Administrator, in its sole discretion, may determine that any Purchase Period also terminating under such Offering Period will terminate without options being exercised on the Exercise Date(s) that otherwise would have occurred on the last Trading Day of such Purchase Period.</w:t>
      </w:r>
    </w:p>
    <w:p>
      <w:pPr>
        <w:spacing w:after="0" w:line="160" w:lineRule="exact"/>
        <w:rPr>
          <w:sz w:val="20"/>
          <w:szCs w:val="20"/>
          <w:color w:val="auto"/>
        </w:rPr>
      </w:pPr>
    </w:p>
    <w:p>
      <w:pPr>
        <w:ind w:left="1220"/>
        <w:spacing w:after="0"/>
        <w:tabs>
          <w:tab w:leader="none" w:pos="1800" w:val="left"/>
        </w:tabs>
        <w:rPr>
          <w:sz w:val="20"/>
          <w:szCs w:val="20"/>
          <w:color w:val="auto"/>
        </w:rPr>
      </w:pPr>
      <w:r>
        <w:rPr>
          <w:rFonts w:ascii="Arial" w:cs="Arial" w:eastAsia="Arial" w:hAnsi="Arial"/>
          <w:sz w:val="20"/>
          <w:szCs w:val="20"/>
          <w:color w:val="auto"/>
        </w:rPr>
        <w:t>2.18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Fair Market Value</w:t>
      </w:r>
      <w:r>
        <w:rPr>
          <w:rFonts w:ascii="Arial" w:cs="Arial" w:eastAsia="Arial" w:hAnsi="Arial"/>
          <w:sz w:val="19"/>
          <w:szCs w:val="19"/>
          <w:color w:val="auto"/>
        </w:rPr>
        <w:t>” means, as of any date and unless the Administrator determines otherwise, the value of</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Common Stock determined as follows:</w:t>
      </w:r>
    </w:p>
    <w:p>
      <w:pPr>
        <w:spacing w:after="0" w:line="193" w:lineRule="exact"/>
        <w:rPr>
          <w:sz w:val="20"/>
          <w:szCs w:val="20"/>
          <w:color w:val="auto"/>
        </w:rPr>
      </w:pPr>
    </w:p>
    <w:p>
      <w:pPr>
        <w:jc w:val="both"/>
        <w:ind w:firstLine="1816"/>
        <w:spacing w:after="0" w:line="284" w:lineRule="auto"/>
        <w:tabs>
          <w:tab w:leader="none" w:pos="2418" w:val="left"/>
        </w:tabs>
        <w:numPr>
          <w:ilvl w:val="0"/>
          <w:numId w:val="47"/>
        </w:numPr>
        <w:rPr>
          <w:rFonts w:ascii="Arial" w:cs="Arial" w:eastAsia="Arial" w:hAnsi="Arial"/>
          <w:sz w:val="19"/>
          <w:szCs w:val="19"/>
          <w:color w:val="auto"/>
        </w:rPr>
      </w:pPr>
      <w:r>
        <w:rPr>
          <w:rFonts w:ascii="Arial" w:cs="Arial" w:eastAsia="Arial" w:hAnsi="Arial"/>
          <w:sz w:val="19"/>
          <w:szCs w:val="19"/>
          <w:color w:val="auto"/>
        </w:rPr>
        <w:t>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 xml:space="preserve">sales price was reported on that date, as applicable, on the last Trading Day such closing sales price was reported) as quoted on such exchange or system on the date of determination, as reported in </w:t>
      </w:r>
      <w:r>
        <w:rPr>
          <w:rFonts w:ascii="Arial" w:cs="Arial" w:eastAsia="Arial" w:hAnsi="Arial"/>
          <w:sz w:val="20"/>
          <w:szCs w:val="20"/>
          <w:i w:val="1"/>
          <w:iCs w:val="1"/>
          <w:color w:val="auto"/>
        </w:rPr>
        <w:t>The Wall Street Journal</w:t>
      </w:r>
      <w:r>
        <w:rPr>
          <w:rFonts w:ascii="Arial" w:cs="Arial" w:eastAsia="Arial" w:hAnsi="Arial"/>
          <w:sz w:val="20"/>
          <w:szCs w:val="20"/>
          <w:color w:val="auto"/>
        </w:rPr>
        <w:t xml:space="preserve"> or such other source as the Administrator deems reliable;</w:t>
      </w:r>
    </w:p>
    <w:p>
      <w:pPr>
        <w:spacing w:after="0" w:line="161" w:lineRule="exact"/>
        <w:rPr>
          <w:sz w:val="20"/>
          <w:szCs w:val="20"/>
          <w:color w:val="auto"/>
        </w:rPr>
      </w:pPr>
    </w:p>
    <w:p>
      <w:pPr>
        <w:jc w:val="both"/>
        <w:ind w:firstLine="1816"/>
        <w:spacing w:after="0" w:line="277" w:lineRule="auto"/>
        <w:tabs>
          <w:tab w:leader="none" w:pos="2416"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If the Common Stock is regularly quoted by a recognized securities dealer but selling prices are not reported, the Fair Market Value of a share of Common Stock will be the mean between the high bid and low asked prices for the Common Stock on the day of determination (or if no bids and asks were reported on that date, as applicable, on the last Trading Day such bids and asks were reported),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or such other source as the Administrator deems reliable;</w:t>
      </w:r>
    </w:p>
    <w:p>
      <w:pPr>
        <w:spacing w:after="0" w:line="151" w:lineRule="exact"/>
        <w:rPr>
          <w:rFonts w:ascii="Arial" w:cs="Arial" w:eastAsia="Arial" w:hAnsi="Arial"/>
          <w:sz w:val="19"/>
          <w:szCs w:val="19"/>
          <w:color w:val="auto"/>
        </w:rPr>
      </w:pPr>
    </w:p>
    <w:p>
      <w:pPr>
        <w:ind w:firstLine="1816"/>
        <w:spacing w:after="0" w:line="278" w:lineRule="auto"/>
        <w:tabs>
          <w:tab w:leader="none" w:pos="2418" w:val="left"/>
        </w:tabs>
        <w:numPr>
          <w:ilvl w:val="0"/>
          <w:numId w:val="48"/>
        </w:numPr>
        <w:rPr>
          <w:rFonts w:ascii="Arial" w:cs="Arial" w:eastAsia="Arial" w:hAnsi="Arial"/>
          <w:sz w:val="20"/>
          <w:szCs w:val="20"/>
          <w:color w:val="auto"/>
        </w:rPr>
      </w:pPr>
      <w:r>
        <w:rPr>
          <w:rFonts w:ascii="Arial" w:cs="Arial" w:eastAsia="Arial" w:hAnsi="Arial"/>
          <w:sz w:val="20"/>
          <w:szCs w:val="20"/>
          <w:color w:val="auto"/>
        </w:rPr>
        <w:t>In the absence of an established market for the Common Stock, the Fair Market Value will be determined in good faith by the Administrator.</w:t>
      </w:r>
    </w:p>
    <w:p>
      <w:pPr>
        <w:spacing w:after="0" w:line="148" w:lineRule="exact"/>
        <w:rPr>
          <w:sz w:val="20"/>
          <w:szCs w:val="20"/>
          <w:color w:val="auto"/>
        </w:rPr>
      </w:pPr>
    </w:p>
    <w:p>
      <w:pPr>
        <w:ind w:right="500" w:firstLine="1210"/>
        <w:spacing w:after="0" w:line="336" w:lineRule="auto"/>
        <w:rPr>
          <w:sz w:val="20"/>
          <w:szCs w:val="20"/>
          <w:color w:val="auto"/>
        </w:rPr>
      </w:pPr>
      <w:r>
        <w:rPr>
          <w:rFonts w:ascii="Arial" w:cs="Arial" w:eastAsia="Arial" w:hAnsi="Arial"/>
          <w:sz w:val="18"/>
          <w:szCs w:val="18"/>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97" w:lineRule="exact"/>
        <w:rPr>
          <w:sz w:val="20"/>
          <w:szCs w:val="20"/>
          <w:color w:val="auto"/>
        </w:rPr>
      </w:pPr>
    </w:p>
    <w:p>
      <w:pPr>
        <w:ind w:left="1220"/>
        <w:spacing w:after="0"/>
        <w:tabs>
          <w:tab w:leader="none" w:pos="1800" w:val="left"/>
        </w:tabs>
        <w:rPr>
          <w:sz w:val="20"/>
          <w:szCs w:val="20"/>
          <w:color w:val="auto"/>
        </w:rPr>
      </w:pPr>
      <w:r>
        <w:rPr>
          <w:rFonts w:ascii="Arial" w:cs="Arial" w:eastAsia="Arial" w:hAnsi="Arial"/>
          <w:sz w:val="20"/>
          <w:szCs w:val="20"/>
          <w:color w:val="auto"/>
        </w:rPr>
        <w:t>2.19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means the fiscal year of the Company.</w:t>
      </w:r>
    </w:p>
    <w:p>
      <w:pPr>
        <w:spacing w:after="0" w:line="211" w:lineRule="exact"/>
        <w:rPr>
          <w:sz w:val="20"/>
          <w:szCs w:val="20"/>
          <w:color w:val="auto"/>
        </w:rPr>
      </w:pPr>
    </w:p>
    <w:p>
      <w:pPr>
        <w:ind w:left="1220"/>
        <w:spacing w:after="0"/>
        <w:tabs>
          <w:tab w:leader="none" w:pos="1800" w:val="left"/>
        </w:tabs>
        <w:rPr>
          <w:sz w:val="20"/>
          <w:szCs w:val="20"/>
          <w:color w:val="auto"/>
        </w:rPr>
      </w:pPr>
      <w:r>
        <w:rPr>
          <w:rFonts w:ascii="Arial" w:cs="Arial" w:eastAsia="Arial" w:hAnsi="Arial"/>
          <w:sz w:val="20"/>
          <w:szCs w:val="20"/>
          <w:color w:val="auto"/>
        </w:rPr>
        <w:t>2.20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New Exercise Date</w:t>
      </w:r>
      <w:r>
        <w:rPr>
          <w:rFonts w:ascii="Arial" w:cs="Arial" w:eastAsia="Arial" w:hAnsi="Arial"/>
          <w:sz w:val="19"/>
          <w:szCs w:val="19"/>
          <w:color w:val="auto"/>
        </w:rPr>
        <w:t>” means a new Exercise Date if the Administrator shortens any Offering Period then in</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progress.</w:t>
      </w:r>
    </w:p>
    <w:p>
      <w:pPr>
        <w:spacing w:after="0" w:line="189" w:lineRule="exact"/>
        <w:rPr>
          <w:sz w:val="20"/>
          <w:szCs w:val="20"/>
          <w:color w:val="auto"/>
        </w:rPr>
      </w:pPr>
    </w:p>
    <w:p>
      <w:pPr>
        <w:jc w:val="both"/>
        <w:ind w:firstLine="1210"/>
        <w:spacing w:after="0" w:line="272" w:lineRule="auto"/>
        <w:rPr>
          <w:sz w:val="20"/>
          <w:szCs w:val="20"/>
          <w:color w:val="auto"/>
        </w:rPr>
      </w:pPr>
      <w:r>
        <w:rPr>
          <w:rFonts w:ascii="Arial" w:cs="Arial" w:eastAsia="Arial" w:hAnsi="Arial"/>
          <w:sz w:val="19"/>
          <w:szCs w:val="19"/>
          <w:color w:val="auto"/>
        </w:rPr>
        <w:t>2.21 “</w:t>
      </w:r>
      <w:r>
        <w:rPr>
          <w:rFonts w:ascii="Arial" w:cs="Arial" w:eastAsia="Arial" w:hAnsi="Arial"/>
          <w:sz w:val="19"/>
          <w:szCs w:val="19"/>
          <w:b w:val="1"/>
          <w:bCs w:val="1"/>
          <w:color w:val="auto"/>
        </w:rPr>
        <w:t>Offering</w:t>
      </w:r>
      <w:r>
        <w:rPr>
          <w:rFonts w:ascii="Arial" w:cs="Arial" w:eastAsia="Arial" w:hAnsi="Arial"/>
          <w:sz w:val="19"/>
          <w:szCs w:val="19"/>
          <w:color w:val="auto"/>
        </w:rPr>
        <w:t>” means an offer under the Plan of an option that may be exercised during an Offering Period as further described in Section 6.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Regulations Section 1.423-2(a)(1), the terms of each Offering need not be identical provided that the terms of the Plan and an Offering together satisfy U.S. Treasury Regulations Section 1.423-2(a)(2) and (a)(3).</w:t>
      </w:r>
    </w:p>
    <w:p>
      <w:pPr>
        <w:spacing w:after="0" w:line="153" w:lineRule="exact"/>
        <w:rPr>
          <w:sz w:val="20"/>
          <w:szCs w:val="20"/>
          <w:color w:val="auto"/>
        </w:rPr>
      </w:pPr>
    </w:p>
    <w:p>
      <w:pPr>
        <w:jc w:val="both"/>
        <w:ind w:firstLine="1210"/>
        <w:spacing w:after="0" w:line="254" w:lineRule="auto"/>
        <w:rPr>
          <w:sz w:val="20"/>
          <w:szCs w:val="20"/>
          <w:color w:val="auto"/>
        </w:rPr>
      </w:pPr>
      <w:r>
        <w:rPr>
          <w:rFonts w:ascii="Arial" w:cs="Arial" w:eastAsia="Arial" w:hAnsi="Arial"/>
          <w:sz w:val="20"/>
          <w:szCs w:val="20"/>
          <w:color w:val="auto"/>
        </w:rPr>
        <w:t>2.22 “</w:t>
      </w:r>
      <w:r>
        <w:rPr>
          <w:rFonts w:ascii="Arial" w:cs="Arial" w:eastAsia="Arial" w:hAnsi="Arial"/>
          <w:sz w:val="20"/>
          <w:szCs w:val="20"/>
          <w:b w:val="1"/>
          <w:bCs w:val="1"/>
          <w:color w:val="auto"/>
        </w:rPr>
        <w:t>Offering Period</w:t>
      </w:r>
      <w:r>
        <w:rPr>
          <w:rFonts w:ascii="Arial" w:cs="Arial" w:eastAsia="Arial" w:hAnsi="Arial"/>
          <w:sz w:val="20"/>
          <w:szCs w:val="20"/>
          <w:color w:val="auto"/>
        </w:rPr>
        <w:t>” means a period beginning on such date as may be determined by the Administrator, in its discretion, during which an Option granted pursuant to the Plan may be exercised. Upon the Administrator’s determination that Offering Periods shall commence under the Plan (the “</w:t>
      </w:r>
      <w:r>
        <w:rPr>
          <w:rFonts w:ascii="Arial" w:cs="Arial" w:eastAsia="Arial" w:hAnsi="Arial"/>
          <w:sz w:val="20"/>
          <w:szCs w:val="20"/>
          <w:b w:val="1"/>
          <w:bCs w:val="1"/>
          <w:color w:val="auto"/>
        </w:rPr>
        <w:t>Offer Commencement Approval</w:t>
      </w:r>
      <w:r>
        <w:rPr>
          <w:rFonts w:ascii="Arial" w:cs="Arial" w:eastAsia="Arial" w:hAnsi="Arial"/>
          <w:sz w:val="20"/>
          <w:szCs w:val="20"/>
          <w:color w:val="auto"/>
        </w:rPr>
        <w:t>”) and unless determined otherwise by the Administrator prior to the Enrollment Date of an Offering Period, Offering Periods will be the consecutive periods of approximately six (6) months commencing on the first Trading Day on or after May 15 and November 15 of each year following the date of the Offer Commencement Approval, and terminating on the first Trading Day on or after November 15 and May 15, respectively, approximately six (6) months later; provided, however, that the first Offering Period under the Plan will commence with the first Trading Day on or after July 15, 2021 and will end on the first Trading Day on or after November 15, 2021. The duration and timing of Offering Periods may be changed pursuant to Sections 6 and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91" w:name="page92"/>
    <w:bookmarkEnd w:id="91"/>
    <w:p>
      <w:pPr>
        <w:spacing w:after="0" w:line="99" w:lineRule="exact"/>
        <w:rPr>
          <w:sz w:val="20"/>
          <w:szCs w:val="20"/>
          <w:color w:val="auto"/>
        </w:rPr>
      </w:pPr>
    </w:p>
    <w:p>
      <w:pPr>
        <w:ind w:left="1220"/>
        <w:spacing w:after="0"/>
        <w:tabs>
          <w:tab w:leader="none" w:pos="180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means a “</w:t>
      </w:r>
      <w:r>
        <w:rPr>
          <w:rFonts w:ascii="Arial" w:cs="Arial" w:eastAsia="Arial" w:hAnsi="Arial"/>
          <w:sz w:val="18"/>
          <w:szCs w:val="18"/>
          <w:b w:val="1"/>
          <w:bCs w:val="1"/>
          <w:color w:val="auto"/>
        </w:rPr>
        <w:t>parent corporation,</w:t>
      </w:r>
      <w:r>
        <w:rPr>
          <w:rFonts w:ascii="Arial" w:cs="Arial" w:eastAsia="Arial" w:hAnsi="Arial"/>
          <w:sz w:val="18"/>
          <w:szCs w:val="18"/>
          <w:color w:val="auto"/>
        </w:rPr>
        <w:t>” whether now or hereafter existing, as defined in Code Section 424(e).</w:t>
      </w:r>
    </w:p>
    <w:p>
      <w:pPr>
        <w:spacing w:after="0" w:line="211" w:lineRule="exact"/>
        <w:rPr>
          <w:sz w:val="20"/>
          <w:szCs w:val="20"/>
          <w:color w:val="auto"/>
        </w:rPr>
      </w:pPr>
    </w:p>
    <w:p>
      <w:pPr>
        <w:ind w:left="1220"/>
        <w:spacing w:after="0"/>
        <w:tabs>
          <w:tab w:leader="none" w:pos="1800" w:val="left"/>
        </w:tabs>
        <w:rPr>
          <w:sz w:val="20"/>
          <w:szCs w:val="20"/>
          <w:color w:val="auto"/>
        </w:rPr>
      </w:pPr>
      <w:r>
        <w:rPr>
          <w:rFonts w:ascii="Arial" w:cs="Arial" w:eastAsia="Arial" w:hAnsi="Arial"/>
          <w:sz w:val="20"/>
          <w:szCs w:val="20"/>
          <w:color w:val="auto"/>
        </w:rPr>
        <w:t>2.24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an Eligible Employee that participates in the Plan.</w:t>
      </w:r>
    </w:p>
    <w:p>
      <w:pPr>
        <w:spacing w:after="0" w:line="211" w:lineRule="exact"/>
        <w:rPr>
          <w:sz w:val="20"/>
          <w:szCs w:val="20"/>
          <w:color w:val="auto"/>
        </w:rPr>
      </w:pPr>
    </w:p>
    <w:p>
      <w:pPr>
        <w:ind w:left="1220"/>
        <w:spacing w:after="0"/>
        <w:tabs>
          <w:tab w:leader="none" w:pos="1800" w:val="left"/>
        </w:tabs>
        <w:rPr>
          <w:sz w:val="20"/>
          <w:szCs w:val="20"/>
          <w:color w:val="auto"/>
        </w:rPr>
      </w:pPr>
      <w:r>
        <w:rPr>
          <w:rFonts w:ascii="Arial" w:cs="Arial" w:eastAsia="Arial" w:hAnsi="Arial"/>
          <w:sz w:val="20"/>
          <w:szCs w:val="20"/>
          <w:color w:val="auto"/>
        </w:rPr>
        <w:t>2.25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this Seer, Inc. 2020 Employee Stock Purchase Plan.</w:t>
      </w:r>
    </w:p>
    <w:p>
      <w:pPr>
        <w:spacing w:after="0" w:line="211" w:lineRule="exact"/>
        <w:rPr>
          <w:sz w:val="20"/>
          <w:szCs w:val="20"/>
          <w:color w:val="auto"/>
        </w:rPr>
      </w:pPr>
    </w:p>
    <w:p>
      <w:pPr>
        <w:jc w:val="both"/>
        <w:ind w:firstLine="1210"/>
        <w:spacing w:after="0" w:line="256" w:lineRule="auto"/>
        <w:rPr>
          <w:sz w:val="20"/>
          <w:szCs w:val="20"/>
          <w:color w:val="auto"/>
        </w:rPr>
      </w:pPr>
      <w:r>
        <w:rPr>
          <w:rFonts w:ascii="Arial" w:cs="Arial" w:eastAsia="Arial" w:hAnsi="Arial"/>
          <w:sz w:val="20"/>
          <w:szCs w:val="20"/>
          <w:color w:val="auto"/>
        </w:rPr>
        <w:t>2.26 “</w:t>
      </w:r>
      <w:r>
        <w:rPr>
          <w:rFonts w:ascii="Arial" w:cs="Arial" w:eastAsia="Arial" w:hAnsi="Arial"/>
          <w:sz w:val="20"/>
          <w:szCs w:val="20"/>
          <w:b w:val="1"/>
          <w:bCs w:val="1"/>
          <w:color w:val="auto"/>
        </w:rPr>
        <w:t>Purchase Period</w:t>
      </w:r>
      <w:r>
        <w:rPr>
          <w:rFonts w:ascii="Arial" w:cs="Arial" w:eastAsia="Arial" w:hAnsi="Arial"/>
          <w:sz w:val="20"/>
          <w:szCs w:val="20"/>
          <w:color w:val="auto"/>
        </w:rPr>
        <w:t>” means the period during an Offering Period and during which shares of Common Stock may be purchased on behalf of Participants thereunder in accordance with the terms of the Plan. Purchase Periods will have such duration as determined by the Administrator, commencing after one Exercise Date and ending with the next Exercise Date, except that the first Purchase Period of any Offering Period will commence on the Enrollment Date and end with the next Exercise Date. Unless the Administrator provides otherwise, a Purchase Period in an Offering Period will have the same duration as, and coincide with the length of, such Offering Period.</w:t>
      </w:r>
    </w:p>
    <w:p>
      <w:pPr>
        <w:spacing w:after="0" w:line="167" w:lineRule="exact"/>
        <w:rPr>
          <w:sz w:val="20"/>
          <w:szCs w:val="20"/>
          <w:color w:val="auto"/>
        </w:rPr>
      </w:pPr>
    </w:p>
    <w:p>
      <w:pPr>
        <w:jc w:val="both"/>
        <w:ind w:firstLine="1210"/>
        <w:spacing w:after="0" w:line="261" w:lineRule="auto"/>
        <w:rPr>
          <w:sz w:val="20"/>
          <w:szCs w:val="20"/>
          <w:color w:val="auto"/>
        </w:rPr>
      </w:pPr>
      <w:r>
        <w:rPr>
          <w:rFonts w:ascii="Arial" w:cs="Arial" w:eastAsia="Arial" w:hAnsi="Arial"/>
          <w:sz w:val="20"/>
          <w:szCs w:val="20"/>
          <w:color w:val="auto"/>
        </w:rPr>
        <w:t>2.27 “</w:t>
      </w:r>
      <w:r>
        <w:rPr>
          <w:rFonts w:ascii="Arial" w:cs="Arial" w:eastAsia="Arial" w:hAnsi="Arial"/>
          <w:sz w:val="20"/>
          <w:szCs w:val="20"/>
          <w:b w:val="1"/>
          <w:bCs w:val="1"/>
          <w:color w:val="auto"/>
        </w:rPr>
        <w:t>Purchase Price</w:t>
      </w:r>
      <w:r>
        <w:rPr>
          <w:rFonts w:ascii="Arial" w:cs="Arial" w:eastAsia="Arial" w:hAnsi="Arial"/>
          <w:sz w:val="20"/>
          <w:szCs w:val="20"/>
          <w:color w:val="auto"/>
        </w:rPr>
        <w:t>” means an amount equal to eighty-five percent (85%) of the Fair Market Value of a share of Common Stock on the Enrollment Date or on the Exercise Date, whichever is lower; provided however, that the Purchase Price may be determined for subsequent Offering Periods by the Administrator subject to compliance with Code Section 423 (or any successor rule or provision or any other Applicable Law, regulation or stock exchange rule) or pursuant to Section 18.</w:t>
      </w:r>
    </w:p>
    <w:p>
      <w:pPr>
        <w:spacing w:after="0" w:line="160" w:lineRule="exact"/>
        <w:rPr>
          <w:sz w:val="20"/>
          <w:szCs w:val="20"/>
          <w:color w:val="auto"/>
        </w:rPr>
      </w:pPr>
    </w:p>
    <w:p>
      <w:pPr>
        <w:jc w:val="both"/>
        <w:ind w:firstLine="1210"/>
        <w:spacing w:after="0" w:line="283" w:lineRule="auto"/>
        <w:rPr>
          <w:sz w:val="20"/>
          <w:szCs w:val="20"/>
          <w:color w:val="auto"/>
        </w:rPr>
      </w:pPr>
      <w:r>
        <w:rPr>
          <w:rFonts w:ascii="Arial" w:cs="Arial" w:eastAsia="Arial" w:hAnsi="Arial"/>
          <w:sz w:val="20"/>
          <w:szCs w:val="20"/>
          <w:color w:val="auto"/>
        </w:rPr>
        <w:t>2.28 “</w:t>
      </w:r>
      <w:r>
        <w:rPr>
          <w:rFonts w:ascii="Arial" w:cs="Arial" w:eastAsia="Arial" w:hAnsi="Arial"/>
          <w:sz w:val="20"/>
          <w:szCs w:val="20"/>
          <w:b w:val="1"/>
          <w:bCs w:val="1"/>
          <w:color w:val="auto"/>
        </w:rPr>
        <w:t>Registration Date</w:t>
      </w:r>
      <w:r>
        <w:rPr>
          <w:rFonts w:ascii="Arial" w:cs="Arial" w:eastAsia="Arial" w:hAnsi="Arial"/>
          <w:sz w:val="20"/>
          <w:szCs w:val="20"/>
          <w:color w:val="auto"/>
        </w:rPr>
        <w:t>” means the effective date of the first registration statement that is filed by the Company and declared effective pursuant to Section 12(b) of the Exchange Act, with respect to any class of the Company’s securities.</w:t>
      </w:r>
    </w:p>
    <w:p>
      <w:pPr>
        <w:spacing w:after="0" w:line="138" w:lineRule="exact"/>
        <w:rPr>
          <w:sz w:val="20"/>
          <w:szCs w:val="20"/>
          <w:color w:val="auto"/>
        </w:rPr>
      </w:pPr>
    </w:p>
    <w:p>
      <w:pPr>
        <w:jc w:val="both"/>
        <w:ind w:firstLine="1210"/>
        <w:spacing w:after="0" w:line="283" w:lineRule="auto"/>
        <w:rPr>
          <w:sz w:val="20"/>
          <w:szCs w:val="20"/>
          <w:color w:val="auto"/>
        </w:rPr>
      </w:pPr>
      <w:r>
        <w:rPr>
          <w:rFonts w:ascii="Arial" w:cs="Arial" w:eastAsia="Arial" w:hAnsi="Arial"/>
          <w:sz w:val="20"/>
          <w:szCs w:val="20"/>
          <w:color w:val="auto"/>
        </w:rPr>
        <w:t>2.29 “</w:t>
      </w:r>
      <w:r>
        <w:rPr>
          <w:rFonts w:ascii="Arial" w:cs="Arial" w:eastAsia="Arial" w:hAnsi="Arial"/>
          <w:sz w:val="20"/>
          <w:szCs w:val="20"/>
          <w:b w:val="1"/>
          <w:bCs w:val="1"/>
          <w:color w:val="auto"/>
        </w:rPr>
        <w:t>Section 409A</w:t>
      </w:r>
      <w:r>
        <w:rPr>
          <w:rFonts w:ascii="Arial" w:cs="Arial" w:eastAsia="Arial" w:hAnsi="Arial"/>
          <w:sz w:val="20"/>
          <w:szCs w:val="20"/>
          <w:color w:val="auto"/>
        </w:rPr>
        <w:t>” means Code Section 409A and the U.S. Treasury Regulations and guidance thereunder, and any applicable state law equivalent, as each may be promulgated, amended or modified from time to time.</w:t>
      </w:r>
    </w:p>
    <w:p>
      <w:pPr>
        <w:spacing w:after="0" w:line="138" w:lineRule="exact"/>
        <w:rPr>
          <w:sz w:val="20"/>
          <w:szCs w:val="20"/>
          <w:color w:val="auto"/>
        </w:rPr>
      </w:pPr>
    </w:p>
    <w:p>
      <w:pPr>
        <w:ind w:left="1220"/>
        <w:spacing w:after="0"/>
        <w:tabs>
          <w:tab w:leader="none" w:pos="1800" w:val="left"/>
        </w:tabs>
        <w:rPr>
          <w:sz w:val="20"/>
          <w:szCs w:val="20"/>
          <w:color w:val="auto"/>
        </w:rPr>
      </w:pPr>
      <w:r>
        <w:rPr>
          <w:rFonts w:ascii="Arial" w:cs="Arial" w:eastAsia="Arial" w:hAnsi="Arial"/>
          <w:sz w:val="20"/>
          <w:szCs w:val="20"/>
          <w:color w:val="auto"/>
        </w:rPr>
        <w:t>2.30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means  a  “subsidiary  corporation,”  whether  now  or  hereafter  existing,  as  defined  in  Code</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Section 424(f).</w:t>
      </w:r>
    </w:p>
    <w:p>
      <w:pPr>
        <w:spacing w:after="0" w:line="189" w:lineRule="exact"/>
        <w:rPr>
          <w:sz w:val="20"/>
          <w:szCs w:val="20"/>
          <w:color w:val="auto"/>
        </w:rPr>
      </w:pPr>
    </w:p>
    <w:p>
      <w:pPr>
        <w:jc w:val="both"/>
        <w:ind w:firstLine="1210"/>
        <w:spacing w:after="0" w:line="266" w:lineRule="auto"/>
        <w:rPr>
          <w:sz w:val="20"/>
          <w:szCs w:val="20"/>
          <w:color w:val="auto"/>
        </w:rPr>
      </w:pPr>
      <w:r>
        <w:rPr>
          <w:rFonts w:ascii="Arial" w:cs="Arial" w:eastAsia="Arial" w:hAnsi="Arial"/>
          <w:sz w:val="20"/>
          <w:szCs w:val="20"/>
          <w:color w:val="auto"/>
        </w:rPr>
        <w:t>2.31 “</w:t>
      </w:r>
      <w:r>
        <w:rPr>
          <w:rFonts w:ascii="Arial" w:cs="Arial" w:eastAsia="Arial" w:hAnsi="Arial"/>
          <w:sz w:val="20"/>
          <w:szCs w:val="20"/>
          <w:b w:val="1"/>
          <w:bCs w:val="1"/>
          <w:color w:val="auto"/>
        </w:rPr>
        <w:t>Trading Day</w:t>
      </w:r>
      <w:r>
        <w:rPr>
          <w:rFonts w:ascii="Arial" w:cs="Arial" w:eastAsia="Arial" w:hAnsi="Arial"/>
          <w:sz w:val="20"/>
          <w:szCs w:val="20"/>
          <w:color w:val="auto"/>
        </w:rPr>
        <w:t>” means a day on which the primary stock exchange, national market system, or other trading platform, as applicable, upon which the Common Stock is listed (or otherwise trades regularly, as determined by the Administrator, in its sole discretion) is open for trading.</w:t>
      </w:r>
    </w:p>
    <w:p>
      <w:pPr>
        <w:spacing w:after="0" w:line="156" w:lineRule="exact"/>
        <w:rPr>
          <w:sz w:val="20"/>
          <w:szCs w:val="20"/>
          <w:color w:val="auto"/>
        </w:rPr>
      </w:pPr>
    </w:p>
    <w:p>
      <w:pPr>
        <w:jc w:val="both"/>
        <w:ind w:firstLine="1210"/>
        <w:spacing w:after="0" w:line="309"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b w:val="1"/>
          <w:bCs w:val="1"/>
          <w:color w:val="auto"/>
        </w:rPr>
        <w:t>U.S. Treasury Regulations</w:t>
      </w:r>
      <w:r>
        <w:rPr>
          <w:rFonts w:ascii="Arial" w:cs="Arial" w:eastAsia="Arial" w:hAnsi="Arial"/>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21" w:lineRule="exact"/>
        <w:rPr>
          <w:sz w:val="20"/>
          <w:szCs w:val="20"/>
          <w:color w:val="auto"/>
        </w:rPr>
      </w:pPr>
    </w:p>
    <w:p>
      <w:pPr>
        <w:ind w:left="1220" w:hanging="614"/>
        <w:spacing w:after="0"/>
        <w:tabs>
          <w:tab w:leader="none" w:pos="1220" w:val="left"/>
        </w:tabs>
        <w:numPr>
          <w:ilvl w:val="0"/>
          <w:numId w:val="49"/>
        </w:numPr>
        <w:rPr>
          <w:rFonts w:ascii="Arial" w:cs="Arial" w:eastAsia="Arial" w:hAnsi="Arial"/>
          <w:sz w:val="20"/>
          <w:szCs w:val="20"/>
          <w:color w:val="auto"/>
        </w:rPr>
      </w:pPr>
      <w:r>
        <w:rPr>
          <w:rFonts w:ascii="Arial" w:cs="Arial" w:eastAsia="Arial" w:hAnsi="Arial"/>
          <w:sz w:val="20"/>
          <w:szCs w:val="20"/>
          <w:b w:val="1"/>
          <w:bCs w:val="1"/>
          <w:color w:val="auto"/>
        </w:rPr>
        <w:t>Stock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92" w:name="page93"/>
    <w:bookmarkEnd w:id="92"/>
    <w:p>
      <w:pPr>
        <w:spacing w:after="0" w:line="99" w:lineRule="exact"/>
        <w:rPr>
          <w:sz w:val="20"/>
          <w:szCs w:val="20"/>
          <w:color w:val="auto"/>
        </w:rPr>
      </w:pPr>
    </w:p>
    <w:p>
      <w:pPr>
        <w:jc w:val="both"/>
        <w:ind w:firstLine="1210"/>
        <w:spacing w:after="0" w:line="266"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b w:val="1"/>
          <w:bCs w:val="1"/>
          <w:color w:val="auto"/>
        </w:rPr>
        <w:t>Stock Subject to the Plan</w:t>
      </w:r>
      <w:r>
        <w:rPr>
          <w:rFonts w:ascii="Arial" w:cs="Arial" w:eastAsia="Arial" w:hAnsi="Arial"/>
          <w:sz w:val="20"/>
          <w:szCs w:val="20"/>
          <w:color w:val="auto"/>
        </w:rPr>
        <w:t>. Subject to adjustment upon changes in capitalization of the Company as provided in Section 17 hereof, the maximum number of shares of Common Stock that will be made available for sale under the Plan will be equal to 602,570 shares of Common Stock.</w:t>
      </w:r>
    </w:p>
    <w:p>
      <w:pPr>
        <w:spacing w:after="0" w:line="156" w:lineRule="exact"/>
        <w:rPr>
          <w:sz w:val="20"/>
          <w:szCs w:val="20"/>
          <w:color w:val="auto"/>
        </w:rPr>
      </w:pPr>
    </w:p>
    <w:p>
      <w:pPr>
        <w:jc w:val="both"/>
        <w:ind w:firstLine="1210"/>
        <w:spacing w:after="0" w:line="28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Automatic Share Reserve Increase</w:t>
      </w:r>
      <w:r>
        <w:rPr>
          <w:rFonts w:ascii="Arial" w:cs="Arial" w:eastAsia="Arial" w:hAnsi="Arial"/>
          <w:sz w:val="18"/>
          <w:szCs w:val="18"/>
          <w:color w:val="auto"/>
        </w:rPr>
        <w:t>. Subject to adjustment upon changes in capitalization of the Company as provided in Section 17 hereof, the number of shares of Common Stock available for issuance under the Plan will be increased on the first day of each Fiscal Year beginning with the 2021 Fiscal Year in an amount equal to the least of (a) 1,807,476 shares of Common Stock, (b) a number of shares of Common Stock equal to one percent (1%) of the total number of shares of all classes of common stock of the Company (whether Class A common stock, Class B common stock or other class of Company common stock) outstanding on the last day of the immediately preceding Fiscal Year, or (c) such number of shares determined by the Administrator no later than the last day of the immediately preceding Fiscal Year. The shares of Common Stock may be authorized, but unissued, or reacquired Common Stock.</w:t>
      </w:r>
    </w:p>
    <w:p>
      <w:pPr>
        <w:spacing w:after="0" w:line="140" w:lineRule="exact"/>
        <w:rPr>
          <w:sz w:val="20"/>
          <w:szCs w:val="20"/>
          <w:color w:val="auto"/>
        </w:rPr>
      </w:pPr>
    </w:p>
    <w:p>
      <w:pPr>
        <w:ind w:firstLine="606"/>
        <w:spacing w:after="0" w:line="310" w:lineRule="auto"/>
        <w:tabs>
          <w:tab w:leader="none" w:pos="1210" w:val="left"/>
        </w:tabs>
        <w:numPr>
          <w:ilvl w:val="0"/>
          <w:numId w:val="50"/>
        </w:numPr>
        <w:rPr>
          <w:rFonts w:ascii="Arial" w:cs="Arial" w:eastAsia="Arial" w:hAnsi="Arial"/>
          <w:sz w:val="19"/>
          <w:szCs w:val="19"/>
          <w:color w:val="auto"/>
        </w:rPr>
      </w:pPr>
      <w:r>
        <w:rPr>
          <w:rFonts w:ascii="Arial" w:cs="Arial" w:eastAsia="Arial" w:hAnsi="Arial"/>
          <w:sz w:val="19"/>
          <w:szCs w:val="19"/>
          <w:b w:val="1"/>
          <w:bCs w:val="1"/>
          <w:color w:val="auto"/>
        </w:rPr>
        <w:t>Administration</w:t>
      </w:r>
      <w:r>
        <w:rPr>
          <w:rFonts w:ascii="Arial" w:cs="Arial" w:eastAsia="Arial" w:hAnsi="Arial"/>
          <w:sz w:val="19"/>
          <w:szCs w:val="19"/>
          <w:color w:val="auto"/>
        </w:rPr>
        <w:t>. The Plan will be administered by the Board or a Committee appointed by the Board, which Committee</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constituted to comply with Applicable Laws. The Administrator will have full and exclusive discretionary authority to</w:t>
      </w:r>
    </w:p>
    <w:p>
      <w:pPr>
        <w:spacing w:after="0" w:line="120" w:lineRule="exact"/>
        <w:rPr>
          <w:rFonts w:ascii="Arial" w:cs="Arial" w:eastAsia="Arial" w:hAnsi="Arial"/>
          <w:sz w:val="19"/>
          <w:szCs w:val="19"/>
          <w:color w:val="auto"/>
        </w:rPr>
      </w:pPr>
    </w:p>
    <w:p>
      <w:pPr>
        <w:ind w:left="1820" w:hanging="609"/>
        <w:spacing w:after="0"/>
        <w:tabs>
          <w:tab w:leader="none" w:pos="1820" w:val="left"/>
        </w:tabs>
        <w:numPr>
          <w:ilvl w:val="1"/>
          <w:numId w:val="50"/>
        </w:numPr>
        <w:rPr>
          <w:rFonts w:ascii="Arial" w:cs="Arial" w:eastAsia="Arial" w:hAnsi="Arial"/>
          <w:sz w:val="20"/>
          <w:szCs w:val="20"/>
          <w:color w:val="auto"/>
        </w:rPr>
      </w:pPr>
      <w:r>
        <w:rPr>
          <w:rFonts w:ascii="Arial" w:cs="Arial" w:eastAsia="Arial" w:hAnsi="Arial"/>
          <w:sz w:val="20"/>
          <w:szCs w:val="20"/>
          <w:color w:val="auto"/>
        </w:rPr>
        <w:t>construe, interpret and apply the terms of the Plan,</w:t>
      </w:r>
    </w:p>
    <w:p>
      <w:pPr>
        <w:spacing w:after="0" w:line="211" w:lineRule="exact"/>
        <w:rPr>
          <w:rFonts w:ascii="Arial" w:cs="Arial" w:eastAsia="Arial" w:hAnsi="Arial"/>
          <w:sz w:val="20"/>
          <w:szCs w:val="20"/>
          <w:color w:val="auto"/>
        </w:rPr>
      </w:pPr>
    </w:p>
    <w:p>
      <w:pPr>
        <w:ind w:left="1820" w:hanging="609"/>
        <w:spacing w:after="0"/>
        <w:tabs>
          <w:tab w:leader="none" w:pos="1820" w:val="left"/>
        </w:tabs>
        <w:numPr>
          <w:ilvl w:val="1"/>
          <w:numId w:val="50"/>
        </w:numPr>
        <w:rPr>
          <w:rFonts w:ascii="Arial" w:cs="Arial" w:eastAsia="Arial" w:hAnsi="Arial"/>
          <w:sz w:val="20"/>
          <w:szCs w:val="20"/>
          <w:color w:val="auto"/>
        </w:rPr>
      </w:pPr>
      <w:r>
        <w:rPr>
          <w:rFonts w:ascii="Arial" w:cs="Arial" w:eastAsia="Arial" w:hAnsi="Arial"/>
          <w:sz w:val="20"/>
          <w:szCs w:val="20"/>
          <w:color w:val="auto"/>
        </w:rPr>
        <w:t>delegate ministerial duties to any of the Company’s employees,</w:t>
      </w:r>
    </w:p>
    <w:p>
      <w:pPr>
        <w:spacing w:after="0" w:line="211" w:lineRule="exact"/>
        <w:rPr>
          <w:rFonts w:ascii="Arial" w:cs="Arial" w:eastAsia="Arial" w:hAnsi="Arial"/>
          <w:sz w:val="20"/>
          <w:szCs w:val="20"/>
          <w:color w:val="auto"/>
        </w:rPr>
      </w:pPr>
    </w:p>
    <w:p>
      <w:pPr>
        <w:ind w:left="1820" w:hanging="609"/>
        <w:spacing w:after="0"/>
        <w:tabs>
          <w:tab w:leader="none" w:pos="1820" w:val="left"/>
        </w:tabs>
        <w:numPr>
          <w:ilvl w:val="1"/>
          <w:numId w:val="50"/>
        </w:numPr>
        <w:rPr>
          <w:rFonts w:ascii="Arial" w:cs="Arial" w:eastAsia="Arial" w:hAnsi="Arial"/>
          <w:sz w:val="20"/>
          <w:szCs w:val="20"/>
          <w:color w:val="auto"/>
        </w:rPr>
      </w:pPr>
      <w:r>
        <w:rPr>
          <w:rFonts w:ascii="Arial" w:cs="Arial" w:eastAsia="Arial" w:hAnsi="Arial"/>
          <w:sz w:val="20"/>
          <w:szCs w:val="20"/>
          <w:color w:val="auto"/>
        </w:rPr>
        <w:t>designate separate Offerings under the Plan,</w:t>
      </w:r>
    </w:p>
    <w:p>
      <w:pPr>
        <w:spacing w:after="0" w:line="211" w:lineRule="exact"/>
        <w:rPr>
          <w:rFonts w:ascii="Arial" w:cs="Arial" w:eastAsia="Arial" w:hAnsi="Arial"/>
          <w:sz w:val="20"/>
          <w:szCs w:val="20"/>
          <w:color w:val="auto"/>
        </w:rPr>
      </w:pPr>
    </w:p>
    <w:p>
      <w:pPr>
        <w:ind w:left="1820" w:hanging="609"/>
        <w:spacing w:after="0"/>
        <w:tabs>
          <w:tab w:leader="none" w:pos="1820" w:val="left"/>
        </w:tabs>
        <w:numPr>
          <w:ilvl w:val="1"/>
          <w:numId w:val="50"/>
        </w:numPr>
        <w:rPr>
          <w:rFonts w:ascii="Arial" w:cs="Arial" w:eastAsia="Arial" w:hAnsi="Arial"/>
          <w:sz w:val="20"/>
          <w:szCs w:val="20"/>
          <w:color w:val="auto"/>
        </w:rPr>
      </w:pPr>
      <w:r>
        <w:rPr>
          <w:rFonts w:ascii="Arial" w:cs="Arial" w:eastAsia="Arial" w:hAnsi="Arial"/>
          <w:sz w:val="20"/>
          <w:szCs w:val="20"/>
          <w:color w:val="auto"/>
        </w:rPr>
        <w:t>designate Subsidiaries as participating in the 423 Component or Non-423 Component,</w:t>
      </w:r>
    </w:p>
    <w:p>
      <w:pPr>
        <w:spacing w:after="0" w:line="211" w:lineRule="exact"/>
        <w:rPr>
          <w:rFonts w:ascii="Arial" w:cs="Arial" w:eastAsia="Arial" w:hAnsi="Arial"/>
          <w:sz w:val="20"/>
          <w:szCs w:val="20"/>
          <w:color w:val="auto"/>
        </w:rPr>
      </w:pPr>
    </w:p>
    <w:p>
      <w:pPr>
        <w:ind w:left="1820" w:hanging="609"/>
        <w:spacing w:after="0"/>
        <w:tabs>
          <w:tab w:leader="none" w:pos="1820" w:val="left"/>
        </w:tabs>
        <w:numPr>
          <w:ilvl w:val="1"/>
          <w:numId w:val="50"/>
        </w:numPr>
        <w:rPr>
          <w:rFonts w:ascii="Arial" w:cs="Arial" w:eastAsia="Arial" w:hAnsi="Arial"/>
          <w:sz w:val="20"/>
          <w:szCs w:val="20"/>
          <w:color w:val="auto"/>
        </w:rPr>
      </w:pPr>
      <w:r>
        <w:rPr>
          <w:rFonts w:ascii="Arial" w:cs="Arial" w:eastAsia="Arial" w:hAnsi="Arial"/>
          <w:sz w:val="20"/>
          <w:szCs w:val="20"/>
          <w:color w:val="auto"/>
        </w:rPr>
        <w:t>determine eligibility,</w:t>
      </w:r>
    </w:p>
    <w:p>
      <w:pPr>
        <w:spacing w:after="0" w:line="211" w:lineRule="exact"/>
        <w:rPr>
          <w:rFonts w:ascii="Arial" w:cs="Arial" w:eastAsia="Arial" w:hAnsi="Arial"/>
          <w:sz w:val="20"/>
          <w:szCs w:val="20"/>
          <w:color w:val="auto"/>
        </w:rPr>
      </w:pPr>
    </w:p>
    <w:p>
      <w:pPr>
        <w:ind w:left="1820" w:hanging="609"/>
        <w:spacing w:after="0"/>
        <w:tabs>
          <w:tab w:leader="none" w:pos="1820" w:val="left"/>
        </w:tabs>
        <w:numPr>
          <w:ilvl w:val="1"/>
          <w:numId w:val="50"/>
        </w:numPr>
        <w:rPr>
          <w:rFonts w:ascii="Arial" w:cs="Arial" w:eastAsia="Arial" w:hAnsi="Arial"/>
          <w:sz w:val="20"/>
          <w:szCs w:val="20"/>
          <w:color w:val="auto"/>
        </w:rPr>
      </w:pPr>
      <w:r>
        <w:rPr>
          <w:rFonts w:ascii="Arial" w:cs="Arial" w:eastAsia="Arial" w:hAnsi="Arial"/>
          <w:sz w:val="20"/>
          <w:szCs w:val="20"/>
          <w:color w:val="auto"/>
        </w:rPr>
        <w:t>adjudicate all disputed claims filed under the Plan, and</w:t>
      </w:r>
    </w:p>
    <w:p>
      <w:pPr>
        <w:spacing w:after="0" w:line="211" w:lineRule="exact"/>
        <w:rPr>
          <w:rFonts w:ascii="Arial" w:cs="Arial" w:eastAsia="Arial" w:hAnsi="Arial"/>
          <w:sz w:val="20"/>
          <w:szCs w:val="20"/>
          <w:color w:val="auto"/>
        </w:rPr>
      </w:pPr>
    </w:p>
    <w:p>
      <w:pPr>
        <w:jc w:val="both"/>
        <w:ind w:firstLine="1211"/>
        <w:spacing w:after="0" w:line="286" w:lineRule="auto"/>
        <w:tabs>
          <w:tab w:leader="none" w:pos="1811" w:val="left"/>
        </w:tabs>
        <w:numPr>
          <w:ilvl w:val="1"/>
          <w:numId w:val="50"/>
        </w:numPr>
        <w:rPr>
          <w:rFonts w:ascii="Arial" w:cs="Arial" w:eastAsia="Arial" w:hAnsi="Arial"/>
          <w:sz w:val="18"/>
          <w:szCs w:val="18"/>
          <w:color w:val="auto"/>
        </w:rPr>
      </w:pPr>
      <w:r>
        <w:rPr>
          <w:rFonts w:ascii="Arial" w:cs="Arial" w:eastAsia="Arial" w:hAnsi="Arial"/>
          <w:sz w:val="18"/>
          <w:szCs w:val="18"/>
          <w:color w:val="auto"/>
        </w:rPr>
        <w:t>establish such procedures that it deems necessary or advisable for the administration of the Plan (including, without limitation, to adopt such procedures, sub-plans, and appendices to the enrollment agreement as are necessary or appropriate to permit the participation in the Plan by employees who are foreign nationals or employed outside the U.S., the terms of which sub-plans and appendices may take precedence over other provisions of this Plan, with the exception of Section 3 hereof, but unless otherwise superseded by the terms of such sub-plan or appendix, the provisions of this Plan will govern the operation of such sub-plan or appendix). Unless otherwise determined by the Administrator, the Eligible Employees eligible to participate in each sub-plan will participate in a separate Offering under the 423 Component, or if the terms would not qualify under the 423 Component, in the Non-423 Component, in either case unless such designation would cause the 423 Component to violate the requirements of Code Section 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03" w:lineRule="exact"/>
        <w:rPr>
          <w:sz w:val="20"/>
          <w:szCs w:val="20"/>
          <w:color w:val="auto"/>
        </w:rPr>
      </w:pPr>
    </w:p>
    <w:p>
      <w:pPr>
        <w:jc w:val="both"/>
        <w:ind w:firstLine="1210"/>
        <w:spacing w:after="0" w:line="268" w:lineRule="auto"/>
        <w:rPr>
          <w:sz w:val="20"/>
          <w:szCs w:val="20"/>
          <w:color w:val="auto"/>
        </w:rPr>
      </w:pPr>
      <w:r>
        <w:rPr>
          <w:rFonts w:ascii="Arial" w:cs="Arial" w:eastAsia="Arial" w:hAnsi="Arial"/>
          <w:sz w:val="19"/>
          <w:szCs w:val="19"/>
          <w:color w:val="auto"/>
        </w:rPr>
        <w:t>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Regulations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58" w:lineRule="exact"/>
        <w:rPr>
          <w:sz w:val="20"/>
          <w:szCs w:val="20"/>
          <w:color w:val="auto"/>
        </w:rPr>
      </w:pPr>
    </w:p>
    <w:p>
      <w:pPr>
        <w:ind w:left="1220" w:hanging="614"/>
        <w:spacing w:after="0"/>
        <w:tabs>
          <w:tab w:leader="none" w:pos="1220" w:val="left"/>
        </w:tabs>
        <w:numPr>
          <w:ilvl w:val="0"/>
          <w:numId w:val="51"/>
        </w:numPr>
        <w:rPr>
          <w:rFonts w:ascii="Arial" w:cs="Arial" w:eastAsia="Arial" w:hAnsi="Arial"/>
          <w:sz w:val="20"/>
          <w:szCs w:val="20"/>
          <w:color w:val="auto"/>
        </w:rPr>
      </w:pPr>
      <w:r>
        <w:rPr>
          <w:rFonts w:ascii="Arial" w:cs="Arial" w:eastAsia="Arial" w:hAnsi="Arial"/>
          <w:sz w:val="20"/>
          <w:szCs w:val="20"/>
          <w:b w:val="1"/>
          <w:bCs w:val="1"/>
          <w:color w:val="auto"/>
        </w:rPr>
        <w:t>Eligibility</w:t>
      </w:r>
      <w:r>
        <w:rPr>
          <w:rFonts w:ascii="Arial" w:cs="Arial" w:eastAsia="Arial" w:hAnsi="Arial"/>
          <w:sz w:val="20"/>
          <w:szCs w:val="20"/>
          <w:color w:val="auto"/>
        </w:rPr>
        <w:t>.</w:t>
      </w:r>
    </w:p>
    <w:p>
      <w:pPr>
        <w:spacing w:after="0" w:line="211" w:lineRule="exact"/>
        <w:rPr>
          <w:sz w:val="20"/>
          <w:szCs w:val="20"/>
          <w:color w:val="auto"/>
        </w:rPr>
      </w:pPr>
    </w:p>
    <w:p>
      <w:pPr>
        <w:jc w:val="both"/>
        <w:ind w:firstLine="1210"/>
        <w:spacing w:after="0" w:line="283"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b w:val="1"/>
          <w:bCs w:val="1"/>
          <w:color w:val="auto"/>
        </w:rPr>
        <w:t>Offering Periods</w:t>
      </w:r>
      <w:r>
        <w:rPr>
          <w:rFonts w:ascii="Arial" w:cs="Arial" w:eastAsia="Arial" w:hAnsi="Arial"/>
          <w:sz w:val="20"/>
          <w:szCs w:val="20"/>
          <w:color w:val="auto"/>
        </w:rPr>
        <w:t>. Any Eligible Employee on a given Enrollment Date will be eligible to participate in the Plan, subject to the requirements of Section 7.</w:t>
      </w:r>
    </w:p>
    <w:p>
      <w:pPr>
        <w:spacing w:after="0" w:line="138" w:lineRule="exact"/>
        <w:rPr>
          <w:sz w:val="20"/>
          <w:szCs w:val="20"/>
          <w:color w:val="auto"/>
        </w:rPr>
      </w:pPr>
    </w:p>
    <w:p>
      <w:pPr>
        <w:jc w:val="both"/>
        <w:ind w:firstLine="1210"/>
        <w:spacing w:after="0" w:line="272"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b w:val="1"/>
          <w:bCs w:val="1"/>
          <w:color w:val="auto"/>
        </w:rPr>
        <w:t>Non-U.S. Employees</w:t>
      </w:r>
      <w:r>
        <w:rPr>
          <w:rFonts w:ascii="Arial" w:cs="Arial" w:eastAsia="Arial" w:hAnsi="Arial"/>
          <w:sz w:val="19"/>
          <w:szCs w:val="19"/>
          <w:color w:val="auto"/>
        </w:rPr>
        <w:t>. Eligible Employees who are citizens or residents of a non-U.S. jurisdiction (without regard to whether they also are citizens or residents of the United States or resident aliens (within the meaning of Code Section 7701(b)(1)(A))) may be excluded from participation in the Plan or an Offering if the participation of such Eligible Employees is prohibited under the laws of the applicable jurisdiction or if complying with the laws of the applicable jurisdiction would cause the Plan or an Offering to violate Code Section 423. In the case of the Non-423 Component, an Eligible Employee may be excluded from participation in the Plan or an Offering if the Administrator has determined that participation of such Eligible Employee is not advisable or practicable.</w:t>
      </w:r>
    </w:p>
    <w:p>
      <w:pPr>
        <w:spacing w:after="0" w:line="153" w:lineRule="exact"/>
        <w:rPr>
          <w:sz w:val="20"/>
          <w:szCs w:val="20"/>
          <w:color w:val="auto"/>
        </w:rPr>
      </w:pPr>
    </w:p>
    <w:p>
      <w:pPr>
        <w:jc w:val="both"/>
        <w:ind w:firstLine="1210"/>
        <w:spacing w:after="0" w:line="28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Limitations</w:t>
      </w:r>
      <w:r>
        <w:rPr>
          <w:rFonts w:ascii="Arial" w:cs="Arial" w:eastAsia="Arial" w:hAnsi="Arial"/>
          <w:sz w:val="18"/>
          <w:szCs w:val="18"/>
          <w:color w:val="auto"/>
        </w:rPr>
        <w:t>. Any provisions of the Plan to the contrary notwithstanding, no Eligible Employee will be granted an option under the Plan (a) to the extent that, immediately after the grant, such Eligible Employee (or any other person whose stock would be attributed to such Eligible Employee pursuant to Code Section 424(d))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(b) to the extent that his or her rights to purchase stock under all employee stock purchase plans (as defined in Code Section 423)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Code Section 423 and the regulations thereunder.</w:t>
      </w:r>
    </w:p>
    <w:p>
      <w:pPr>
        <w:spacing w:after="0" w:line="146" w:lineRule="exact"/>
        <w:rPr>
          <w:sz w:val="20"/>
          <w:szCs w:val="20"/>
          <w:color w:val="auto"/>
        </w:rPr>
      </w:pPr>
    </w:p>
    <w:p>
      <w:pPr>
        <w:jc w:val="both"/>
        <w:ind w:firstLine="606"/>
        <w:spacing w:after="0" w:line="309" w:lineRule="auto"/>
        <w:tabs>
          <w:tab w:leader="none" w:pos="121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Offering Periods</w:t>
      </w:r>
      <w:r>
        <w:rPr>
          <w:rFonts w:ascii="Arial" w:cs="Arial" w:eastAsia="Arial" w:hAnsi="Arial"/>
          <w:sz w:val="18"/>
          <w:szCs w:val="18"/>
          <w:color w:val="auto"/>
        </w:rPr>
        <w:t>. The Plan will be implemented by Offering Periods established by the Administrator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Periods will expire on the earliest to occur of (a) the completion of the purchase of shares on the last Exercise Date occurring within twenty-seven (27) months of the applicable Enrollment Date on which the option to purchase shares was granted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Plan, or (b) such shorter period established prior to the Enrollment Date of the Offering Period by the Administrator, from time to time, in its discretion, on a uniform and nondiscriminatory basis, for all options to be granted on such Enrollment Date.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twenty-seven (27) months.</w:t>
      </w:r>
    </w:p>
    <w:p>
      <w:pPr>
        <w:spacing w:after="0" w:line="153" w:lineRule="exact"/>
        <w:rPr>
          <w:sz w:val="20"/>
          <w:szCs w:val="20"/>
          <w:color w:val="auto"/>
        </w:rPr>
      </w:pPr>
    </w:p>
    <w:p>
      <w:pPr>
        <w:jc w:val="both"/>
        <w:ind w:firstLine="606"/>
        <w:spacing w:after="0" w:line="258" w:lineRule="auto"/>
        <w:tabs>
          <w:tab w:leader="none" w:pos="1210" w:val="left"/>
        </w:tabs>
        <w:numPr>
          <w:ilvl w:val="0"/>
          <w:numId w:val="53"/>
        </w:numPr>
        <w:rPr>
          <w:rFonts w:ascii="Arial" w:cs="Arial" w:eastAsia="Arial" w:hAnsi="Arial"/>
          <w:sz w:val="20"/>
          <w:szCs w:val="20"/>
          <w:color w:val="auto"/>
        </w:rPr>
      </w:pPr>
      <w:r>
        <w:rPr>
          <w:rFonts w:ascii="Arial" w:cs="Arial" w:eastAsia="Arial" w:hAnsi="Arial"/>
          <w:sz w:val="20"/>
          <w:szCs w:val="20"/>
          <w:b w:val="1"/>
          <w:bCs w:val="1"/>
          <w:color w:val="auto"/>
        </w:rPr>
        <w:t>Participation</w:t>
      </w:r>
      <w:r>
        <w:rPr>
          <w:rFonts w:ascii="Arial" w:cs="Arial" w:eastAsia="Arial" w:hAnsi="Arial"/>
          <w:sz w:val="20"/>
          <w:szCs w:val="20"/>
          <w:color w:val="auto"/>
        </w:rPr>
        <w:t>. An Eligible Employee may participate in the Plan pursuant to Section 5.1 by (a) submitting to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Company’s Finance Department (or its designee), a properly completed subscription agreement authorizing Contributions in the form provided by the Administrator for such purpose (which may be similar to the form attached hereto as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or (b) following an electronic or other enrollment procedure determined by the Administrator, in either case, on or before a date determined by the Administrator prior to an applicable Enrollment Date.</w:t>
      </w:r>
    </w:p>
    <w:p>
      <w:pPr>
        <w:spacing w:after="0" w:line="163" w:lineRule="exact"/>
        <w:rPr>
          <w:rFonts w:ascii="Arial" w:cs="Arial" w:eastAsia="Arial" w:hAnsi="Arial"/>
          <w:sz w:val="20"/>
          <w:szCs w:val="20"/>
          <w:color w:val="auto"/>
        </w:rPr>
      </w:pPr>
    </w:p>
    <w:p>
      <w:pPr>
        <w:ind w:left="1220" w:hanging="614"/>
        <w:spacing w:after="0"/>
        <w:tabs>
          <w:tab w:leader="none" w:pos="1220" w:val="left"/>
        </w:tabs>
        <w:numPr>
          <w:ilvl w:val="0"/>
          <w:numId w:val="53"/>
        </w:numPr>
        <w:rPr>
          <w:rFonts w:ascii="Arial" w:cs="Arial" w:eastAsia="Arial" w:hAnsi="Arial"/>
          <w:sz w:val="20"/>
          <w:szCs w:val="20"/>
          <w:color w:val="auto"/>
        </w:rPr>
      </w:pPr>
      <w:r>
        <w:rPr>
          <w:rFonts w:ascii="Arial" w:cs="Arial" w:eastAsia="Arial" w:hAnsi="Arial"/>
          <w:sz w:val="20"/>
          <w:szCs w:val="20"/>
          <w:b w:val="1"/>
          <w:bCs w:val="1"/>
          <w:color w:val="auto"/>
        </w:rPr>
        <w:t>Contributions</w:t>
      </w:r>
      <w:r>
        <w:rPr>
          <w:rFonts w:ascii="Arial" w:cs="Arial" w:eastAsia="Arial" w:hAnsi="Arial"/>
          <w:sz w:val="20"/>
          <w:szCs w:val="20"/>
          <w:color w:val="auto"/>
        </w:rPr>
        <w:t>.</w:t>
      </w:r>
    </w:p>
    <w:p>
      <w:pPr>
        <w:spacing w:after="0" w:line="211" w:lineRule="exact"/>
        <w:rPr>
          <w:sz w:val="20"/>
          <w:szCs w:val="20"/>
          <w:color w:val="auto"/>
        </w:rPr>
      </w:pPr>
    </w:p>
    <w:p>
      <w:pPr>
        <w:jc w:val="both"/>
        <w:ind w:firstLine="1210"/>
        <w:spacing w:after="0" w:line="275"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b w:val="1"/>
          <w:bCs w:val="1"/>
          <w:color w:val="auto"/>
        </w:rPr>
        <w:t>Contribution Amounts</w:t>
      </w:r>
      <w:r>
        <w:rPr>
          <w:rFonts w:ascii="Arial" w:cs="Arial" w:eastAsia="Arial" w:hAnsi="Arial"/>
          <w:sz w:val="19"/>
          <w:szCs w:val="19"/>
          <w:color w:val="auto"/>
        </w:rPr>
        <w:t>. At the time a Participant enrolls in the Plan pursuant to Section 7,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provided, however, that should a pay day occur on an Exercise Date, a Participant will have any Contributions made on such day applied to his or her account under the then-current Purchase Period or Offering Period.</w:t>
      </w:r>
    </w:p>
    <w:p>
      <w:pPr>
        <w:spacing w:after="0" w:line="148" w:lineRule="exact"/>
        <w:rPr>
          <w:sz w:val="20"/>
          <w:szCs w:val="20"/>
          <w:color w:val="auto"/>
        </w:rPr>
      </w:pPr>
    </w:p>
    <w:p>
      <w:pPr>
        <w:jc w:val="both"/>
        <w:ind w:firstLine="1210"/>
        <w:spacing w:after="0" w:line="29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Contribution Methods</w:t>
      </w:r>
      <w:r>
        <w:rPr>
          <w:rFonts w:ascii="Arial" w:cs="Arial" w:eastAsia="Arial" w:hAnsi="Arial"/>
          <w:sz w:val="18"/>
          <w:szCs w:val="18"/>
          <w:color w:val="auto"/>
        </w:rPr>
        <w:t>. The Administrator, in its sole discretion,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Section 12 hereof (or Participant’s participation is terminated as provided in Section 13 hereof).</w:t>
      </w:r>
    </w:p>
    <w:p>
      <w:pPr>
        <w:spacing w:after="0" w:line="136" w:lineRule="exact"/>
        <w:rPr>
          <w:sz w:val="20"/>
          <w:szCs w:val="20"/>
          <w:color w:val="auto"/>
        </w:rPr>
      </w:pPr>
    </w:p>
    <w:p>
      <w:pPr>
        <w:jc w:val="both"/>
        <w:ind w:firstLine="1816"/>
        <w:spacing w:after="0" w:line="259" w:lineRule="auto"/>
        <w:tabs>
          <w:tab w:leader="none" w:pos="2418" w:val="left"/>
        </w:tabs>
        <w:numPr>
          <w:ilvl w:val="0"/>
          <w:numId w:val="54"/>
        </w:numPr>
        <w:rPr>
          <w:rFonts w:ascii="Arial" w:cs="Arial" w:eastAsia="Arial" w:hAnsi="Arial"/>
          <w:sz w:val="20"/>
          <w:szCs w:val="20"/>
          <w:color w:val="auto"/>
        </w:rPr>
      </w:pPr>
      <w:r>
        <w:rPr>
          <w:rFonts w:ascii="Arial" w:cs="Arial" w:eastAsia="Arial" w:hAnsi="Arial"/>
          <w:sz w:val="20"/>
          <w:szCs w:val="20"/>
          <w:color w:val="auto"/>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12 hereof (or Participant’s participation is terminated as provided in Section 13 hereof).</w:t>
      </w:r>
    </w:p>
    <w:p>
      <w:pPr>
        <w:spacing w:after="0" w:line="167" w:lineRule="exact"/>
        <w:rPr>
          <w:rFonts w:ascii="Arial" w:cs="Arial" w:eastAsia="Arial" w:hAnsi="Arial"/>
          <w:sz w:val="20"/>
          <w:szCs w:val="20"/>
          <w:color w:val="auto"/>
        </w:rPr>
      </w:pPr>
    </w:p>
    <w:p>
      <w:pPr>
        <w:jc w:val="both"/>
        <w:ind w:firstLine="1816"/>
        <w:spacing w:after="0" w:line="264" w:lineRule="auto"/>
        <w:tabs>
          <w:tab w:leader="none" w:pos="2416" w:val="left"/>
        </w:tabs>
        <w:numPr>
          <w:ilvl w:val="0"/>
          <w:numId w:val="54"/>
        </w:numPr>
        <w:rPr>
          <w:rFonts w:ascii="Arial" w:cs="Arial" w:eastAsia="Arial" w:hAnsi="Arial"/>
          <w:sz w:val="20"/>
          <w:szCs w:val="20"/>
          <w:color w:val="auto"/>
        </w:rPr>
      </w:pPr>
      <w:r>
        <w:rPr>
          <w:rFonts w:ascii="Arial" w:cs="Arial" w:eastAsia="Arial" w:hAnsi="Arial"/>
          <w:sz w:val="20"/>
          <w:szCs w:val="20"/>
          <w:color w:val="auto"/>
        </w:rPr>
        <w:t>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157" w:lineRule="exact"/>
        <w:rPr>
          <w:sz w:val="20"/>
          <w:szCs w:val="20"/>
          <w:color w:val="auto"/>
        </w:rPr>
      </w:pPr>
    </w:p>
    <w:p>
      <w:pPr>
        <w:jc w:val="both"/>
        <w:ind w:firstLine="1210"/>
        <w:spacing w:after="0" w:line="266"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b w:val="1"/>
          <w:bCs w:val="1"/>
          <w:color w:val="auto"/>
        </w:rPr>
        <w:t>Participant Changes to Contributions</w:t>
      </w:r>
      <w:r>
        <w:rPr>
          <w:rFonts w:ascii="Arial" w:cs="Arial" w:eastAsia="Arial" w:hAnsi="Arial"/>
          <w:sz w:val="20"/>
          <w:szCs w:val="20"/>
          <w:color w:val="auto"/>
        </w:rPr>
        <w:t>. A Participant may discontinue his or her participation in the Plan as provided under Section 12. Until and unless determined otherwise by the Administrator, in its sole discretion, during any Offering Period, a Participant may not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03"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the rate of his or her Contributions and may decrease the rate of his or her Contributions only one (1) time, provided that such decrease is to a Contribution rate of zero percent (0%). In addition, until and unless determined otherwise by the Administrator, in its sole discretion, during any Offering Period, a Participant may increase or decrease the rate of his or her Contributions (as a whole percent to a rate between zero percent (0%) and the maximum percentage specified in Section 8.1), which Contribution rate adjustment will become effective upon the commencement of the next Offering Period and remain in effect for subsequent Offering Periods and, except as set forth in the immediately preceding sentence, any such adjustment will not affect the Contribution rate for any ongoing Offering Period.</w:t>
      </w:r>
    </w:p>
    <w:p>
      <w:pPr>
        <w:spacing w:after="0" w:line="144" w:lineRule="exact"/>
        <w:rPr>
          <w:sz w:val="20"/>
          <w:szCs w:val="20"/>
          <w:color w:val="auto"/>
        </w:rPr>
      </w:pPr>
    </w:p>
    <w:p>
      <w:pPr>
        <w:jc w:val="both"/>
        <w:ind w:firstLine="1816"/>
        <w:spacing w:after="0" w:line="287" w:lineRule="auto"/>
        <w:tabs>
          <w:tab w:leader="none" w:pos="2418"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Participant may make a Contribution rate adjustment pursuant to this Section 8.3 by (A) properly completing and submitting to the Company’s Finance Department (or its designee), a new subscription agreement authorizing the change in Contribution rate in the form provided by the Administrator for such purpose, or (B) following an electronic or other procedure prescribed by the Administrator, in either case, on or before a date determined by the Administrator prior to (x) the scheduled Enrollment Date of the first Offering Period to be affected or (y) an applicable Exercise Date, as applicable. If a Participant has not followed such procedures to change the rate of Contributions, the rate of his or her Contributions will continue at the originally elected rate throughout the Offering Period and future Offering Periods (unless the Participant’s participation is terminated as provided in Sections 12 or 13).</w:t>
      </w:r>
    </w:p>
    <w:p>
      <w:pPr>
        <w:spacing w:after="0" w:line="145" w:lineRule="exact"/>
        <w:rPr>
          <w:rFonts w:ascii="Arial" w:cs="Arial" w:eastAsia="Arial" w:hAnsi="Arial"/>
          <w:sz w:val="18"/>
          <w:szCs w:val="18"/>
          <w:color w:val="auto"/>
        </w:rPr>
      </w:pPr>
    </w:p>
    <w:p>
      <w:pPr>
        <w:jc w:val="both"/>
        <w:ind w:firstLine="1816"/>
        <w:spacing w:after="0" w:line="307" w:lineRule="auto"/>
        <w:tabs>
          <w:tab w:leader="none" w:pos="241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Administrator may, in its sole discretion, limit or amend the nature and/or number of Contribution rate changes (including to permit, prohibit and/or limit increases and/or decreases to rate changes) that may be made by Participants during any Purchase Period or Offering Period, and may establish such other conditions or limitations as it deems appropriate for Plan administration.</w:t>
      </w:r>
    </w:p>
    <w:p>
      <w:pPr>
        <w:spacing w:after="0" w:line="126" w:lineRule="exact"/>
        <w:rPr>
          <w:rFonts w:ascii="Arial" w:cs="Arial" w:eastAsia="Arial" w:hAnsi="Arial"/>
          <w:sz w:val="18"/>
          <w:szCs w:val="18"/>
          <w:color w:val="auto"/>
        </w:rPr>
      </w:pPr>
    </w:p>
    <w:p>
      <w:pPr>
        <w:jc w:val="both"/>
        <w:ind w:firstLine="1816"/>
        <w:spacing w:after="0" w:line="284" w:lineRule="auto"/>
        <w:tabs>
          <w:tab w:leader="none" w:pos="2418" w:val="left"/>
        </w:tabs>
        <w:numPr>
          <w:ilvl w:val="0"/>
          <w:numId w:val="55"/>
        </w:numPr>
        <w:rPr>
          <w:rFonts w:ascii="Arial" w:cs="Arial" w:eastAsia="Arial" w:hAnsi="Arial"/>
          <w:sz w:val="19"/>
          <w:szCs w:val="19"/>
          <w:color w:val="auto"/>
        </w:rPr>
      </w:pPr>
      <w:r>
        <w:rPr>
          <w:rFonts w:ascii="Arial" w:cs="Arial" w:eastAsia="Arial" w:hAnsi="Arial"/>
          <w:sz w:val="19"/>
          <w:szCs w:val="19"/>
          <w:color w:val="auto"/>
        </w:rPr>
        <w:t>Except as provided by this Section 8.3, any change in Contribution rate made pursuant to this Section 8.3 will be effective as of the first full payroll period following five (5) business days after the date on which the change is made by the Participant (unless the Administrator, in its sole discretion, elects to process a given change in Contribution rate earlier).</w:t>
      </w:r>
    </w:p>
    <w:p>
      <w:pPr>
        <w:spacing w:after="0" w:line="141" w:lineRule="exact"/>
        <w:rPr>
          <w:sz w:val="20"/>
          <w:szCs w:val="20"/>
          <w:color w:val="auto"/>
        </w:rPr>
      </w:pPr>
    </w:p>
    <w:p>
      <w:pPr>
        <w:jc w:val="both"/>
        <w:ind w:firstLine="1210"/>
        <w:spacing w:after="0" w:line="272"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b w:val="1"/>
          <w:bCs w:val="1"/>
          <w:color w:val="auto"/>
        </w:rPr>
        <w:t>Other Contribution Changes</w:t>
      </w:r>
      <w:r>
        <w:rPr>
          <w:rFonts w:ascii="Arial" w:cs="Arial" w:eastAsia="Arial" w:hAnsi="Arial"/>
          <w:sz w:val="19"/>
          <w:szCs w:val="19"/>
          <w:color w:val="auto"/>
        </w:rPr>
        <w:t>. Notwithstanding the foregoing, to the extent necessary to comply with Code Section 423(b)(8) and Section 5.3 hereof (which generally limit participation in an Offering Period pursuant to certain Applicable Laws), a Participant’s Contributions may be decreased to zero percent (0%) by the Administrator at any time during an Offering Period (or a Purchase Period, as applicable). Subject to Code Section 423(b)(8) and Section 5.3 hereof, Contributions will recommence at the rate originally elected by the Participant effective as of the beginning of the first Offering Period (or Purchase Period, as applicable) scheduled to end in the following calendar year, unless the Participant’s participation has terminated as provided in Sections 12 or 13.</w:t>
      </w:r>
    </w:p>
    <w:p>
      <w:pPr>
        <w:spacing w:after="0" w:line="153" w:lineRule="exact"/>
        <w:rPr>
          <w:sz w:val="20"/>
          <w:szCs w:val="20"/>
          <w:color w:val="auto"/>
        </w:rPr>
      </w:pPr>
    </w:p>
    <w:p>
      <w:pPr>
        <w:jc w:val="both"/>
        <w:ind w:firstLine="1210"/>
        <w:spacing w:after="0" w:line="266"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b w:val="1"/>
          <w:bCs w:val="1"/>
          <w:color w:val="auto"/>
        </w:rPr>
        <w:t>Cash Contributions</w:t>
      </w:r>
      <w:r>
        <w:rPr>
          <w:rFonts w:ascii="Arial" w:cs="Arial" w:eastAsia="Arial" w:hAnsi="Arial"/>
          <w:sz w:val="20"/>
          <w:szCs w:val="20"/>
          <w:color w:val="auto"/>
        </w:rPr>
        <w:t>. Notwithstanding any provisions to the contrary in the Plan, the Administrator may allow Participants to participate in the Plan via cash contributions instead of payroll deductions if (a) payroll deductions are not permitted or advisable under Applicable Laws, (b) the Administrator determines that cash contributions are permissible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Participants participating in the 423 Component and/or (c) the Participants are participating in the Non-423 Component.</w:t>
      </w:r>
    </w:p>
    <w:p>
      <w:pPr>
        <w:spacing w:after="0" w:line="207" w:lineRule="exact"/>
        <w:rPr>
          <w:sz w:val="20"/>
          <w:szCs w:val="20"/>
          <w:color w:val="auto"/>
        </w:rPr>
      </w:pPr>
    </w:p>
    <w:p>
      <w:pPr>
        <w:jc w:val="both"/>
        <w:ind w:firstLine="1210"/>
        <w:spacing w:after="0" w:line="267" w:lineRule="auto"/>
        <w:rPr>
          <w:sz w:val="20"/>
          <w:szCs w:val="20"/>
          <w:color w:val="auto"/>
        </w:rPr>
      </w:pPr>
      <w:r>
        <w:rPr>
          <w:rFonts w:ascii="Arial" w:cs="Arial" w:eastAsia="Arial" w:hAnsi="Arial"/>
          <w:sz w:val="19"/>
          <w:szCs w:val="19"/>
          <w:color w:val="auto"/>
        </w:rPr>
        <w:t xml:space="preserve">8.6 </w:t>
      </w:r>
      <w:r>
        <w:rPr>
          <w:rFonts w:ascii="Arial" w:cs="Arial" w:eastAsia="Arial" w:hAnsi="Arial"/>
          <w:sz w:val="19"/>
          <w:szCs w:val="19"/>
          <w:b w:val="1"/>
          <w:bCs w:val="1"/>
          <w:color w:val="auto"/>
        </w:rPr>
        <w:t>Tax Withholdings</w:t>
      </w:r>
      <w:r>
        <w:rPr>
          <w:rFonts w:ascii="Arial" w:cs="Arial" w:eastAsia="Arial" w:hAnsi="Arial"/>
          <w:sz w:val="19"/>
          <w:szCs w:val="19"/>
          <w:color w:val="auto"/>
        </w:rPr>
        <w:t>. At the time the option is exercised, in whole or in part, or at the time some or all of the Common Stock issued under the Plan is disposed of (or at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the sale or early disposition of Common Stock by the Eligible Employee. In addition, the Company or the Employer may, but will not be obligated to, withhold from the proceeds of the sale of Common Stock or use any other method of withholding the Company or the Employer deems appropriate to the extent permitted by U.S. Treasury Regulations Section 1.423-2(f).</w:t>
      </w:r>
    </w:p>
    <w:p>
      <w:pPr>
        <w:spacing w:after="0" w:line="163" w:lineRule="exact"/>
        <w:rPr>
          <w:sz w:val="20"/>
          <w:szCs w:val="20"/>
          <w:color w:val="auto"/>
        </w:rPr>
      </w:pPr>
    </w:p>
    <w:p>
      <w:pPr>
        <w:jc w:val="both"/>
        <w:ind w:firstLine="1210"/>
        <w:spacing w:after="0" w:line="271"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b w:val="1"/>
          <w:bCs w:val="1"/>
          <w:color w:val="auto"/>
        </w:rPr>
        <w:t>Use of Funds</w:t>
      </w:r>
      <w:r>
        <w:rPr>
          <w:rFonts w:ascii="Arial" w:cs="Arial" w:eastAsia="Arial" w:hAnsi="Arial"/>
          <w:sz w:val="19"/>
          <w:szCs w:val="19"/>
          <w:color w:val="auto"/>
        </w:rPr>
        <w:t>. The Company may use all Contributions received or held by it under the Plan for any corporate purpose, and the Company will 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Regulations Section 1.423-2(f). Until shares of Common Stock are issued, Participants will have only the rights of an unsecured creditor with respect to such shares.</w:t>
      </w:r>
    </w:p>
    <w:p>
      <w:pPr>
        <w:spacing w:after="0" w:line="152" w:lineRule="exact"/>
        <w:rPr>
          <w:sz w:val="20"/>
          <w:szCs w:val="20"/>
          <w:color w:val="auto"/>
        </w:rPr>
      </w:pPr>
    </w:p>
    <w:p>
      <w:pPr>
        <w:jc w:val="both"/>
        <w:ind w:firstLine="606"/>
        <w:spacing w:after="0" w:line="278" w:lineRule="auto"/>
        <w:tabs>
          <w:tab w:leader="none" w:pos="1210" w:val="left"/>
        </w:tabs>
        <w:numPr>
          <w:ilvl w:val="0"/>
          <w:numId w:val="56"/>
        </w:numPr>
        <w:rPr>
          <w:rFonts w:ascii="Arial" w:cs="Arial" w:eastAsia="Arial" w:hAnsi="Arial"/>
          <w:sz w:val="19"/>
          <w:szCs w:val="19"/>
          <w:color w:val="auto"/>
        </w:rPr>
      </w:pPr>
      <w:r>
        <w:rPr>
          <w:rFonts w:ascii="Arial" w:cs="Arial" w:eastAsia="Arial" w:hAnsi="Arial"/>
          <w:sz w:val="19"/>
          <w:szCs w:val="19"/>
          <w:b w:val="1"/>
          <w:bCs w:val="1"/>
          <w:color w:val="auto"/>
        </w:rPr>
        <w:t>Grant of Option</w:t>
      </w:r>
      <w:r>
        <w:rPr>
          <w:rFonts w:ascii="Arial" w:cs="Arial" w:eastAsia="Arial" w:hAnsi="Arial"/>
          <w:sz w:val="19"/>
          <w:szCs w:val="19"/>
          <w:color w:val="auto"/>
        </w:rPr>
        <w:t>. On the Enrollment Date of each Offering Period, each Eligible Employee participating in such Offering</w:t>
      </w:r>
      <w:r>
        <w:rPr>
          <w:rFonts w:ascii="Arial" w:cs="Arial" w:eastAsia="Arial" w:hAnsi="Arial"/>
          <w:sz w:val="19"/>
          <w:szCs w:val="19"/>
          <w:b w:val="1"/>
          <w:bCs w:val="1"/>
          <w:color w:val="auto"/>
        </w:rPr>
        <w:t xml:space="preserve"> </w:t>
      </w:r>
      <w:r>
        <w:rPr>
          <w:rFonts w:ascii="Arial" w:cs="Arial" w:eastAsia="Arial" w:hAnsi="Arial"/>
          <w:sz w:val="19"/>
          <w:szCs w:val="19"/>
          <w:color w:val="auto"/>
        </w:rPr>
        <w:t>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w:t>
      </w:r>
    </w:p>
    <w:p>
      <w:pPr>
        <w:spacing w:after="0" w:line="148" w:lineRule="exact"/>
        <w:rPr>
          <w:sz w:val="20"/>
          <w:szCs w:val="20"/>
          <w:color w:val="auto"/>
        </w:rPr>
      </w:pPr>
    </w:p>
    <w:p>
      <w:pPr>
        <w:jc w:val="both"/>
        <w:ind w:firstLine="1210"/>
        <w:spacing w:after="0" w:line="258"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b w:val="1"/>
          <w:bCs w:val="1"/>
          <w:color w:val="auto"/>
        </w:rPr>
        <w:t>Certain Option Limits</w:t>
      </w:r>
      <w:r>
        <w:rPr>
          <w:rFonts w:ascii="Arial" w:cs="Arial" w:eastAsia="Arial" w:hAnsi="Arial"/>
          <w:sz w:val="20"/>
          <w:szCs w:val="20"/>
          <w:color w:val="auto"/>
        </w:rPr>
        <w:t>. In no event will an Eligible Employee be permitted to purchase during each Offering Period more than 1,168 shares of Common Stock (subject to any adjustment pursuant to Section 17), and provided further that such purchase will be subject to the limitations set forth in Sections 3 and 5.3 and in the subscription agreement. The Administrator, in its absolute discretion, may increase or decrease the maximum number of shares of Common Stock that an Eligible Employee may purchase during each Purchase Period or Offering Period,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40" w:right="339" w:bottom="1440" w:gutter="0" w:footer="0" w:header="0"/>
        </w:sectPr>
      </w:pPr>
    </w:p>
    <w:bookmarkStart w:id="97" w:name="page98"/>
    <w:bookmarkEnd w:id="97"/>
    <w:p>
      <w:pPr>
        <w:spacing w:after="0" w:line="99" w:lineRule="exact"/>
        <w:rPr>
          <w:sz w:val="20"/>
          <w:szCs w:val="20"/>
          <w:color w:val="auto"/>
        </w:rPr>
      </w:pPr>
    </w:p>
    <w:p>
      <w:pPr>
        <w:ind w:firstLine="1210"/>
        <w:spacing w:after="0" w:line="283"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b w:val="1"/>
          <w:bCs w:val="1"/>
          <w:color w:val="auto"/>
        </w:rPr>
        <w:t>Option Receipt</w:t>
      </w:r>
      <w:r>
        <w:rPr>
          <w:rFonts w:ascii="Arial" w:cs="Arial" w:eastAsia="Arial" w:hAnsi="Arial"/>
          <w:sz w:val="20"/>
          <w:szCs w:val="20"/>
          <w:color w:val="auto"/>
        </w:rPr>
        <w:t>. The Eligible Employee may accept the grant of an option under the Plan by electing to participate in the Plan in accordance with the requirements of Section 7.</w:t>
      </w:r>
    </w:p>
    <w:p>
      <w:pPr>
        <w:spacing w:after="0" w:line="138" w:lineRule="exact"/>
        <w:rPr>
          <w:sz w:val="20"/>
          <w:szCs w:val="20"/>
          <w:color w:val="auto"/>
        </w:rPr>
      </w:pPr>
    </w:p>
    <w:p>
      <w:pPr>
        <w:ind w:firstLine="1210"/>
        <w:spacing w:after="0" w:line="283"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b w:val="1"/>
          <w:bCs w:val="1"/>
          <w:color w:val="auto"/>
        </w:rPr>
        <w:t>Option Term</w:t>
      </w:r>
      <w:r>
        <w:rPr>
          <w:rFonts w:ascii="Arial" w:cs="Arial" w:eastAsia="Arial" w:hAnsi="Arial"/>
          <w:sz w:val="20"/>
          <w:szCs w:val="20"/>
          <w:color w:val="auto"/>
        </w:rPr>
        <w:t>. Exercise of the option will occur as provided in Section 10, unless the Participant’s participation has terminated pursuant to Sections 12 or 13. The option will expire on the last day of the Offering Period.</w:t>
      </w:r>
    </w:p>
    <w:p>
      <w:pPr>
        <w:spacing w:after="0" w:line="138" w:lineRule="exact"/>
        <w:rPr>
          <w:sz w:val="20"/>
          <w:szCs w:val="20"/>
          <w:color w:val="auto"/>
        </w:rPr>
      </w:pPr>
    </w:p>
    <w:p>
      <w:pPr>
        <w:ind w:left="1220" w:hanging="614"/>
        <w:spacing w:after="0"/>
        <w:tabs>
          <w:tab w:leader="none" w:pos="1220" w:val="left"/>
        </w:tabs>
        <w:numPr>
          <w:ilvl w:val="0"/>
          <w:numId w:val="57"/>
        </w:numPr>
        <w:rPr>
          <w:rFonts w:ascii="Arial" w:cs="Arial" w:eastAsia="Arial" w:hAnsi="Arial"/>
          <w:sz w:val="20"/>
          <w:szCs w:val="20"/>
          <w:color w:val="auto"/>
        </w:rPr>
      </w:pPr>
      <w:r>
        <w:rPr>
          <w:rFonts w:ascii="Arial" w:cs="Arial" w:eastAsia="Arial" w:hAnsi="Arial"/>
          <w:sz w:val="20"/>
          <w:szCs w:val="20"/>
          <w:b w:val="1"/>
          <w:bCs w:val="1"/>
          <w:color w:val="auto"/>
        </w:rPr>
        <w:t>Exercise of Option</w:t>
      </w:r>
      <w:r>
        <w:rPr>
          <w:rFonts w:ascii="Arial" w:cs="Arial" w:eastAsia="Arial" w:hAnsi="Arial"/>
          <w:sz w:val="20"/>
          <w:szCs w:val="20"/>
          <w:color w:val="auto"/>
        </w:rPr>
        <w:t>.</w:t>
      </w:r>
    </w:p>
    <w:p>
      <w:pPr>
        <w:spacing w:after="0" w:line="211" w:lineRule="exact"/>
        <w:rPr>
          <w:sz w:val="20"/>
          <w:szCs w:val="20"/>
          <w:color w:val="auto"/>
        </w:rPr>
      </w:pPr>
    </w:p>
    <w:p>
      <w:pPr>
        <w:jc w:val="both"/>
        <w:ind w:firstLine="1210"/>
        <w:spacing w:after="0" w:line="282"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Automatic Exercise</w:t>
      </w:r>
      <w:r>
        <w:rPr>
          <w:rFonts w:ascii="Arial" w:cs="Arial" w:eastAsia="Arial" w:hAnsi="Arial"/>
          <w:sz w:val="18"/>
          <w:szCs w:val="18"/>
          <w:color w:val="auto"/>
        </w:rPr>
        <w:t>. Unless a Participant’s participation in the Plan has terminated as provided in Sections 12 and 13, his or her option for the purchase of shares of Common Stock will be exercised automatically on the Exercise Date, and the maximum number of full shares of Common Stock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withdrawal by the Participant as provided in Sections 12 or</w:t>
      </w:r>
    </w:p>
    <w:p>
      <w:pPr>
        <w:ind w:firstLine="1"/>
        <w:spacing w:after="0" w:line="260" w:lineRule="auto"/>
        <w:tabs>
          <w:tab w:leader="none" w:pos="315" w:val="left"/>
        </w:tabs>
        <w:numPr>
          <w:ilvl w:val="0"/>
          <w:numId w:val="58"/>
        </w:numPr>
        <w:rPr>
          <w:rFonts w:ascii="Arial" w:cs="Arial" w:eastAsia="Arial" w:hAnsi="Arial"/>
          <w:sz w:val="20"/>
          <w:szCs w:val="20"/>
          <w:color w:val="auto"/>
        </w:rPr>
      </w:pPr>
      <w:r>
        <w:rPr>
          <w:rFonts w:ascii="Arial" w:cs="Arial" w:eastAsia="Arial" w:hAnsi="Arial"/>
          <w:sz w:val="20"/>
          <w:szCs w:val="20"/>
          <w:color w:val="auto"/>
        </w:rPr>
        <w:t>Any other funds left over in a Participant’s account after the Exercise Date will be returned to the Participant. During a Participant’s lifetime, a Participant’s option to purchase shares of Common Stock hereunder is exercisable only by him or her.</w:t>
      </w:r>
    </w:p>
    <w:p>
      <w:pPr>
        <w:spacing w:after="0" w:line="161" w:lineRule="exact"/>
        <w:rPr>
          <w:sz w:val="20"/>
          <w:szCs w:val="20"/>
          <w:color w:val="auto"/>
        </w:rPr>
      </w:pPr>
    </w:p>
    <w:p>
      <w:pPr>
        <w:jc w:val="both"/>
        <w:ind w:firstLine="1210"/>
        <w:spacing w:after="0" w:line="283"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Pro Rata Allocations</w:t>
      </w:r>
      <w:r>
        <w:rPr>
          <w:rFonts w:ascii="Arial" w:cs="Arial" w:eastAsia="Arial" w:hAnsi="Arial"/>
          <w:sz w:val="18"/>
          <w:szCs w:val="18"/>
          <w:color w:val="auto"/>
        </w:rPr>
        <w:t>. If the Administrator determines that, on a given Exercise Date, the number of shares of Common Stock with respect to which options are to be exercised may exceed (a) the number of shares of Common Stock that were available for sale under the Plan on the Enrollment Date of the applicable Offering Period, or (b)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18.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spacing w:after="0" w:line="143" w:lineRule="exact"/>
        <w:rPr>
          <w:sz w:val="20"/>
          <w:szCs w:val="20"/>
          <w:color w:val="auto"/>
        </w:rPr>
      </w:pPr>
    </w:p>
    <w:p>
      <w:pPr>
        <w:jc w:val="both"/>
        <w:ind w:firstLine="606"/>
        <w:spacing w:after="0" w:line="286" w:lineRule="auto"/>
        <w:tabs>
          <w:tab w:leader="none" w:pos="1203" w:val="left"/>
        </w:tabs>
        <w:numPr>
          <w:ilvl w:val="0"/>
          <w:numId w:val="59"/>
        </w:numPr>
        <w:rPr>
          <w:rFonts w:ascii="Arial" w:cs="Arial" w:eastAsia="Arial" w:hAnsi="Arial"/>
          <w:sz w:val="19"/>
          <w:szCs w:val="19"/>
          <w:color w:val="auto"/>
        </w:rPr>
      </w:pPr>
      <w:r>
        <w:rPr>
          <w:rFonts w:ascii="Arial" w:cs="Arial" w:eastAsia="Arial" w:hAnsi="Arial"/>
          <w:sz w:val="19"/>
          <w:szCs w:val="19"/>
          <w:b w:val="1"/>
          <w:bCs w:val="1"/>
          <w:color w:val="auto"/>
        </w:rPr>
        <w:t>Delivery</w:t>
      </w:r>
      <w:r>
        <w:rPr>
          <w:rFonts w:ascii="Arial" w:cs="Arial" w:eastAsia="Arial" w:hAnsi="Arial"/>
          <w:sz w:val="19"/>
          <w:szCs w:val="19"/>
          <w:color w:val="auto"/>
        </w:rPr>
        <w:t>. As soon as reasonably practicable after each Exercise Date on which a purchase of shares of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occurs, the Company will arrange the delivery to each Participant of the shares of Common Stock purchased upon exercise of his or her option in a form determined by the Administrator (in its sole discretion) and pursuant to rules established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04"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Administrator. The Company may permit or require that shares of Common Stock be deposited directly with a broker designated by the Company or with a trustee or designated agent of the Company, and the Company may utilize electronic or automated methods of share transfer. The Company may require that shares of Common Stock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11.</w:t>
      </w:r>
    </w:p>
    <w:p>
      <w:pPr>
        <w:spacing w:after="0" w:line="140" w:lineRule="exact"/>
        <w:rPr>
          <w:sz w:val="20"/>
          <w:szCs w:val="20"/>
          <w:color w:val="auto"/>
        </w:rPr>
      </w:pPr>
    </w:p>
    <w:p>
      <w:pPr>
        <w:ind w:left="1220" w:hanging="614"/>
        <w:spacing w:after="0"/>
        <w:tabs>
          <w:tab w:leader="none" w:pos="1220" w:val="left"/>
        </w:tabs>
        <w:numPr>
          <w:ilvl w:val="0"/>
          <w:numId w:val="60"/>
        </w:numPr>
        <w:rPr>
          <w:rFonts w:ascii="Arial" w:cs="Arial" w:eastAsia="Arial" w:hAnsi="Arial"/>
          <w:sz w:val="20"/>
          <w:szCs w:val="20"/>
          <w:color w:val="auto"/>
        </w:rPr>
      </w:pPr>
      <w:r>
        <w:rPr>
          <w:rFonts w:ascii="Arial" w:cs="Arial" w:eastAsia="Arial" w:hAnsi="Arial"/>
          <w:sz w:val="20"/>
          <w:szCs w:val="20"/>
          <w:b w:val="1"/>
          <w:bCs w:val="1"/>
          <w:color w:val="auto"/>
        </w:rPr>
        <w:t>Withdrawal</w:t>
      </w:r>
      <w:r>
        <w:rPr>
          <w:rFonts w:ascii="Arial" w:cs="Arial" w:eastAsia="Arial" w:hAnsi="Arial"/>
          <w:sz w:val="20"/>
          <w:szCs w:val="20"/>
          <w:color w:val="auto"/>
        </w:rPr>
        <w:t>.</w:t>
      </w:r>
    </w:p>
    <w:p>
      <w:pPr>
        <w:spacing w:after="0" w:line="211" w:lineRule="exact"/>
        <w:rPr>
          <w:sz w:val="20"/>
          <w:szCs w:val="20"/>
          <w:color w:val="auto"/>
        </w:rPr>
      </w:pPr>
    </w:p>
    <w:p>
      <w:pPr>
        <w:jc w:val="both"/>
        <w:ind w:firstLine="1210"/>
        <w:spacing w:after="0" w:line="284"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Withdrawal Procedures</w:t>
      </w:r>
      <w:r>
        <w:rPr>
          <w:rFonts w:ascii="Arial" w:cs="Arial" w:eastAsia="Arial" w:hAnsi="Arial"/>
          <w:sz w:val="18"/>
          <w:szCs w:val="18"/>
          <w:color w:val="auto"/>
        </w:rPr>
        <w:t xml:space="preserve">. A Participant may withdraw all but not less than all the Contributions credited to his or her account and not yet used to exercise his or her option under the Plan at any time by (a) submitting to the Company’s Finance Department (or its designee) a written notice of withdrawal in the form determined by the Administrator for such purpose (which may be similar to the form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or (b) 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 to his or her account will be paid to such Participant as soon as administratively practicable after receipt of notice of withdrawal and such Participant’s option for the Offering Period will be automatically terminated, and no further Contributions for the purchase of shares of Common Stock will be made for such Offering Period. If a Participant withdraws from an Offering Period, Contributions will not resume at the beginning of the succeeding Offering Period, unless the Participant re-enrolls in the Plan in accordance with the provisions of Section 7.</w:t>
      </w:r>
    </w:p>
    <w:p>
      <w:pPr>
        <w:spacing w:after="0" w:line="148" w:lineRule="exact"/>
        <w:rPr>
          <w:sz w:val="20"/>
          <w:szCs w:val="20"/>
          <w:color w:val="auto"/>
        </w:rPr>
      </w:pPr>
    </w:p>
    <w:p>
      <w:pPr>
        <w:jc w:val="both"/>
        <w:ind w:firstLine="1210"/>
        <w:spacing w:after="0" w:line="266" w:lineRule="auto"/>
        <w:rPr>
          <w:sz w:val="20"/>
          <w:szCs w:val="20"/>
          <w:color w:val="auto"/>
        </w:rPr>
      </w:pPr>
      <w:r>
        <w:rPr>
          <w:rFonts w:ascii="Arial" w:cs="Arial" w:eastAsia="Arial" w:hAnsi="Arial"/>
          <w:sz w:val="20"/>
          <w:szCs w:val="20"/>
          <w:color w:val="auto"/>
        </w:rPr>
        <w:t xml:space="preserve">12.2 </w:t>
      </w:r>
      <w:r>
        <w:rPr>
          <w:rFonts w:ascii="Arial" w:cs="Arial" w:eastAsia="Arial" w:hAnsi="Arial"/>
          <w:sz w:val="20"/>
          <w:szCs w:val="20"/>
          <w:b w:val="1"/>
          <w:bCs w:val="1"/>
          <w:color w:val="auto"/>
        </w:rPr>
        <w:t>No Effect on Future Participation</w:t>
      </w:r>
      <w:r>
        <w:rPr>
          <w:rFonts w:ascii="Arial" w:cs="Arial" w:eastAsia="Arial" w:hAnsi="Arial"/>
          <w:sz w:val="20"/>
          <w:szCs w:val="20"/>
          <w:color w:val="auto"/>
        </w:rPr>
        <w:t>. 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156" w:lineRule="exact"/>
        <w:rPr>
          <w:sz w:val="20"/>
          <w:szCs w:val="20"/>
          <w:color w:val="auto"/>
        </w:rPr>
      </w:pPr>
    </w:p>
    <w:p>
      <w:pPr>
        <w:jc w:val="both"/>
        <w:ind w:firstLine="606"/>
        <w:spacing w:after="0" w:line="268" w:lineRule="auto"/>
        <w:tabs>
          <w:tab w:leader="none" w:pos="1210" w:val="left"/>
        </w:tabs>
        <w:numPr>
          <w:ilvl w:val="0"/>
          <w:numId w:val="61"/>
        </w:numPr>
        <w:rPr>
          <w:rFonts w:ascii="Arial" w:cs="Arial" w:eastAsia="Arial" w:hAnsi="Arial"/>
          <w:sz w:val="19"/>
          <w:szCs w:val="19"/>
          <w:color w:val="auto"/>
        </w:rPr>
      </w:pPr>
      <w:r>
        <w:rPr>
          <w:rFonts w:ascii="Arial" w:cs="Arial" w:eastAsia="Arial" w:hAnsi="Arial"/>
          <w:sz w:val="19"/>
          <w:szCs w:val="19"/>
          <w:b w:val="1"/>
          <w:bCs w:val="1"/>
          <w:color w:val="auto"/>
        </w:rPr>
        <w:t>Termination of Employment</w:t>
      </w:r>
      <w:r>
        <w:rPr>
          <w:rFonts w:ascii="Arial" w:cs="Arial" w:eastAsia="Arial" w:hAnsi="Arial"/>
          <w:sz w:val="19"/>
          <w:szCs w:val="19"/>
          <w:color w:val="auto"/>
        </w:rPr>
        <w:t>. Upon a Participant’s ceasing to be an Eligible Employee, for any reason, he or she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determined otherwise by the Administrator in a manner that, with respect to an Offering under the 423 Component, is permitted by, and compliant with, Code Section 423, a Participant whose employment transfers between entities through a termination with an immediate rehire (with no break in service) by the Company or a Designated Company will not be treated as terminated under the Plan; however, if a Participant transfers from an Offering under the 423 Component to the Non-423 Component, the exercise of the option will be qualified under the 423 Component only to the extent it complies with Code Section 423; further, no Participant will be deemed to switch from an Offering under the Non-423 Component to an Offering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03"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423 Component or vice versa unless (and then only to the extent) such switch would not cause the 423 Component or any option thereunder to fail to comply with Code Section 423.</w:t>
      </w:r>
    </w:p>
    <w:p>
      <w:pPr>
        <w:spacing w:after="0" w:line="144" w:lineRule="exact"/>
        <w:rPr>
          <w:sz w:val="20"/>
          <w:szCs w:val="20"/>
          <w:color w:val="auto"/>
        </w:rPr>
      </w:pPr>
    </w:p>
    <w:p>
      <w:pPr>
        <w:jc w:val="both"/>
        <w:ind w:firstLine="606"/>
        <w:spacing w:after="0" w:line="267" w:lineRule="auto"/>
        <w:tabs>
          <w:tab w:leader="none" w:pos="1210" w:val="left"/>
        </w:tabs>
        <w:numPr>
          <w:ilvl w:val="0"/>
          <w:numId w:val="62"/>
        </w:numPr>
        <w:rPr>
          <w:rFonts w:ascii="Arial" w:cs="Arial" w:eastAsia="Arial" w:hAnsi="Arial"/>
          <w:sz w:val="19"/>
          <w:szCs w:val="19"/>
          <w:color w:val="auto"/>
        </w:rPr>
      </w:pPr>
      <w:r>
        <w:rPr>
          <w:rFonts w:ascii="Arial" w:cs="Arial" w:eastAsia="Arial" w:hAnsi="Arial"/>
          <w:sz w:val="19"/>
          <w:szCs w:val="19"/>
          <w:b w:val="1"/>
          <w:bCs w:val="1"/>
          <w:color w:val="auto"/>
        </w:rPr>
        <w:t>Section 409A</w:t>
      </w:r>
      <w:r>
        <w:rPr>
          <w:rFonts w:ascii="Arial" w:cs="Arial" w:eastAsia="Arial" w:hAnsi="Arial"/>
          <w:sz w:val="19"/>
          <w:szCs w:val="19"/>
          <w:color w:val="auto"/>
        </w:rPr>
        <w:t>. The Plan is intended to be exempt from the application of Section 409A, and, to the extent not exempt, is</w:t>
      </w:r>
      <w:r>
        <w:rPr>
          <w:rFonts w:ascii="Arial" w:cs="Arial" w:eastAsia="Arial" w:hAnsi="Arial"/>
          <w:sz w:val="19"/>
          <w:szCs w:val="19"/>
          <w:b w:val="1"/>
          <w:bCs w:val="1"/>
          <w:color w:val="auto"/>
        </w:rPr>
        <w:t xml:space="preserve"> </w:t>
      </w:r>
      <w:r>
        <w:rPr>
          <w:rFonts w:ascii="Arial" w:cs="Arial" w:eastAsia="Arial" w:hAnsi="Arial"/>
          <w:sz w:val="19"/>
          <w:szCs w:val="19"/>
          <w:color w:val="auto"/>
        </w:rPr>
        <w:t>intended to comply with Section 409A and any ambiguities herein will be interpreted to so be exempt from, or comply with, Section 409A. In furtherance of the foregoing and notwithstanding any provision in the Plan to the contrary, if the Administrator determines that an option granted under the Plan may be subject to Section 409A or that any provision in the Plan would cause an option under the Plan to be subject to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and any of its Parent or Subsidiaries will have no liability, obligation or responsibility to reimburse, indemnify, or hold harmless a Participant or any other party if the option to purchase Common Stock under the Plan that is intended to be exempt from or compliant with Section 409A is not so exempt or compliant or for any action taken by the Administrator with respect thereto. The Company makes no representation that the option to purchase Common Stock under the Plan is compliant with Section 409A.</w:t>
      </w:r>
    </w:p>
    <w:p>
      <w:pPr>
        <w:spacing w:after="0" w:line="156" w:lineRule="exact"/>
        <w:rPr>
          <w:rFonts w:ascii="Arial" w:cs="Arial" w:eastAsia="Arial" w:hAnsi="Arial"/>
          <w:sz w:val="19"/>
          <w:szCs w:val="19"/>
          <w:color w:val="auto"/>
        </w:rPr>
      </w:pPr>
    </w:p>
    <w:p>
      <w:pPr>
        <w:jc w:val="both"/>
        <w:ind w:firstLine="606"/>
        <w:spacing w:after="0" w:line="275" w:lineRule="auto"/>
        <w:tabs>
          <w:tab w:leader="none" w:pos="1210" w:val="left"/>
        </w:tabs>
        <w:numPr>
          <w:ilvl w:val="0"/>
          <w:numId w:val="62"/>
        </w:numPr>
        <w:rPr>
          <w:rFonts w:ascii="Arial" w:cs="Arial" w:eastAsia="Arial" w:hAnsi="Arial"/>
          <w:sz w:val="19"/>
          <w:szCs w:val="19"/>
          <w:color w:val="auto"/>
        </w:rPr>
      </w:pPr>
      <w:r>
        <w:rPr>
          <w:rFonts w:ascii="Arial" w:cs="Arial" w:eastAsia="Arial" w:hAnsi="Arial"/>
          <w:sz w:val="19"/>
          <w:szCs w:val="19"/>
          <w:b w:val="1"/>
          <w:bCs w:val="1"/>
          <w:color w:val="auto"/>
        </w:rPr>
        <w:t>Rights as Stockholder</w:t>
      </w:r>
      <w:r>
        <w:rPr>
          <w:rFonts w:ascii="Arial" w:cs="Arial" w:eastAsia="Arial" w:hAnsi="Arial"/>
          <w:sz w:val="19"/>
          <w:szCs w:val="19"/>
          <w:color w:val="auto"/>
        </w:rPr>
        <w:t>. Until the shares of Common Stock are issued (as evidenced by the appropriate entry on the books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Company or of a duly authorized transfer agent of the Company), a Participant will have only the rights of an unsecured creditor with respect to such shares, and no right to vote or receive dividends or any other rights as a stockholder will exist with respect to such shares. Shares of Common Stock to be delivered to a Participant under the Plan will be registered in the name of the Participant or, if so required under Applicable Laws, in the name of the Participant and his or her spouse.</w:t>
      </w:r>
    </w:p>
    <w:p>
      <w:pPr>
        <w:spacing w:after="0" w:line="147" w:lineRule="exact"/>
        <w:rPr>
          <w:rFonts w:ascii="Arial" w:cs="Arial" w:eastAsia="Arial" w:hAnsi="Arial"/>
          <w:sz w:val="19"/>
          <w:szCs w:val="19"/>
          <w:color w:val="auto"/>
        </w:rPr>
      </w:pPr>
    </w:p>
    <w:p>
      <w:pPr>
        <w:jc w:val="both"/>
        <w:ind w:firstLine="606"/>
        <w:spacing w:after="0" w:line="258" w:lineRule="auto"/>
        <w:tabs>
          <w:tab w:leader="none" w:pos="1210" w:val="left"/>
        </w:tabs>
        <w:numPr>
          <w:ilvl w:val="0"/>
          <w:numId w:val="62"/>
        </w:numPr>
        <w:rPr>
          <w:rFonts w:ascii="Arial" w:cs="Arial" w:eastAsia="Arial" w:hAnsi="Arial"/>
          <w:sz w:val="20"/>
          <w:szCs w:val="20"/>
          <w:color w:val="auto"/>
        </w:rPr>
      </w:pPr>
      <w:r>
        <w:rPr>
          <w:rFonts w:ascii="Arial" w:cs="Arial" w:eastAsia="Arial" w:hAnsi="Arial"/>
          <w:sz w:val="20"/>
          <w:szCs w:val="20"/>
          <w:b w:val="1"/>
          <w:bCs w:val="1"/>
          <w:color w:val="auto"/>
        </w:rPr>
        <w:t>Transferability</w:t>
      </w:r>
      <w:r>
        <w:rPr>
          <w:rFonts w:ascii="Arial" w:cs="Arial" w:eastAsia="Arial" w:hAnsi="Arial"/>
          <w:sz w:val="20"/>
          <w:szCs w:val="20"/>
          <w:color w:val="auto"/>
        </w:rPr>
        <w:t>. Neither Contributions credited to a Participant’s account nor any rights with regard to the exercise of an</w:t>
      </w:r>
      <w:r>
        <w:rPr>
          <w:rFonts w:ascii="Arial" w:cs="Arial" w:eastAsia="Arial" w:hAnsi="Arial"/>
          <w:sz w:val="20"/>
          <w:szCs w:val="20"/>
          <w:b w:val="1"/>
          <w:bCs w:val="1"/>
          <w:color w:val="auto"/>
        </w:rPr>
        <w:t xml:space="preserve"> </w:t>
      </w:r>
      <w:r>
        <w:rPr>
          <w:rFonts w:ascii="Arial" w:cs="Arial" w:eastAsia="Arial" w:hAnsi="Arial"/>
          <w:sz w:val="20"/>
          <w:szCs w:val="20"/>
          <w:color w:val="auto"/>
        </w:rPr>
        <w:t>option or to receive shares of Common Stock under the Plan may be assigned, transferred, pledged or otherwise disposed of in any way (other than by will or the laws of descent and distribution) by the Participant. Any such attempt at assignment, transfer, pledge or other disposition will be without effect, except that the Company may treat such act as an election to withdraw funds from an Offering Period in accordance with Section 12 hereof.</w:t>
      </w:r>
    </w:p>
    <w:p>
      <w:pPr>
        <w:spacing w:after="0" w:line="163" w:lineRule="exact"/>
        <w:rPr>
          <w:rFonts w:ascii="Arial" w:cs="Arial" w:eastAsia="Arial" w:hAnsi="Arial"/>
          <w:sz w:val="20"/>
          <w:szCs w:val="20"/>
          <w:color w:val="auto"/>
        </w:rPr>
      </w:pPr>
    </w:p>
    <w:p>
      <w:pPr>
        <w:ind w:left="1220" w:hanging="614"/>
        <w:spacing w:after="0"/>
        <w:tabs>
          <w:tab w:leader="none" w:pos="1220" w:val="left"/>
        </w:tabs>
        <w:numPr>
          <w:ilvl w:val="0"/>
          <w:numId w:val="62"/>
        </w:numPr>
        <w:rPr>
          <w:rFonts w:ascii="Arial" w:cs="Arial" w:eastAsia="Arial" w:hAnsi="Arial"/>
          <w:sz w:val="20"/>
          <w:szCs w:val="20"/>
          <w:color w:val="auto"/>
        </w:rPr>
      </w:pPr>
      <w:r>
        <w:rPr>
          <w:rFonts w:ascii="Arial" w:cs="Arial" w:eastAsia="Arial" w:hAnsi="Arial"/>
          <w:sz w:val="20"/>
          <w:szCs w:val="20"/>
          <w:b w:val="1"/>
          <w:bCs w:val="1"/>
          <w:color w:val="auto"/>
        </w:rPr>
        <w:t>Adjustments, Dissolution, Liquidation, Merger or Change in Control</w:t>
      </w:r>
      <w:r>
        <w:rPr>
          <w:rFonts w:ascii="Arial" w:cs="Arial" w:eastAsia="Arial" w:hAnsi="Arial"/>
          <w:sz w:val="20"/>
          <w:szCs w:val="20"/>
          <w:color w:val="auto"/>
        </w:rPr>
        <w:t>.</w:t>
      </w:r>
    </w:p>
    <w:p>
      <w:pPr>
        <w:spacing w:after="0" w:line="211" w:lineRule="exact"/>
        <w:rPr>
          <w:sz w:val="20"/>
          <w:szCs w:val="20"/>
          <w:color w:val="auto"/>
        </w:rPr>
      </w:pPr>
    </w:p>
    <w:p>
      <w:pPr>
        <w:jc w:val="both"/>
        <w:ind w:firstLine="1210"/>
        <w:spacing w:after="0" w:line="272" w:lineRule="auto"/>
        <w:rPr>
          <w:sz w:val="20"/>
          <w:szCs w:val="20"/>
          <w:color w:val="auto"/>
        </w:rPr>
      </w:pPr>
      <w:r>
        <w:rPr>
          <w:rFonts w:ascii="Arial" w:cs="Arial" w:eastAsia="Arial" w:hAnsi="Arial"/>
          <w:sz w:val="19"/>
          <w:szCs w:val="19"/>
          <w:color w:val="auto"/>
        </w:rPr>
        <w:t xml:space="preserve">17.1 </w:t>
      </w:r>
      <w:r>
        <w:rPr>
          <w:rFonts w:ascii="Arial" w:cs="Arial" w:eastAsia="Arial" w:hAnsi="Arial"/>
          <w:sz w:val="19"/>
          <w:szCs w:val="19"/>
          <w:b w:val="1"/>
          <w:bCs w:val="1"/>
          <w:color w:val="auto"/>
        </w:rPr>
        <w:t>Adjustments</w:t>
      </w:r>
      <w:r>
        <w:rPr>
          <w:rFonts w:ascii="Arial" w:cs="Arial" w:eastAsia="Arial" w:hAnsi="Arial"/>
          <w:sz w:val="19"/>
          <w:szCs w:val="19"/>
          <w:color w:val="auto"/>
        </w:rPr>
        <w:t>. In the event that any dividend or other distribution (whether in the form of cash, Common Stock, other securities, or other property), recapitalization, stock split, reverse stock split, reorganization, merger, consolidation, split-up, spin-off, combination, reclassification, repurchase, or exchange of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adjust the number and class of common stock that may be delivered under the Plan,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03"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Purchase Price per share, the class and the number of shares of common stock covered by each option under the Plan that has not yet been exercised, and the numerical share limits of Sections 3 and 9.1.</w:t>
      </w:r>
    </w:p>
    <w:p>
      <w:pPr>
        <w:spacing w:after="0" w:line="144" w:lineRule="exact"/>
        <w:rPr>
          <w:sz w:val="20"/>
          <w:szCs w:val="20"/>
          <w:color w:val="auto"/>
        </w:rPr>
      </w:pPr>
    </w:p>
    <w:p>
      <w:pPr>
        <w:jc w:val="both"/>
        <w:ind w:firstLine="1210"/>
        <w:spacing w:after="0" w:line="254" w:lineRule="auto"/>
        <w:rPr>
          <w:sz w:val="20"/>
          <w:szCs w:val="20"/>
          <w:color w:val="auto"/>
        </w:rPr>
      </w:pPr>
      <w:r>
        <w:rPr>
          <w:rFonts w:ascii="Arial" w:cs="Arial" w:eastAsia="Arial" w:hAnsi="Arial"/>
          <w:sz w:val="20"/>
          <w:szCs w:val="20"/>
          <w:color w:val="auto"/>
        </w:rPr>
        <w:t xml:space="preserve">17.2 </w:t>
      </w:r>
      <w:r>
        <w:rPr>
          <w:rFonts w:ascii="Arial" w:cs="Arial" w:eastAsia="Arial" w:hAnsi="Arial"/>
          <w:sz w:val="20"/>
          <w:szCs w:val="20"/>
          <w:b w:val="1"/>
          <w:bCs w:val="1"/>
          <w:color w:val="auto"/>
        </w:rPr>
        <w:t>Dissolution or Liquidation</w:t>
      </w:r>
      <w:r>
        <w:rPr>
          <w:rFonts w:ascii="Arial" w:cs="Arial" w:eastAsia="Arial" w:hAnsi="Arial"/>
          <w:sz w:val="20"/>
          <w:szCs w:val="20"/>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prior to such New Exercise Date, Participant’s participation has terminated as provided in Section 13 hereof).</w:t>
      </w:r>
    </w:p>
    <w:p>
      <w:pPr>
        <w:spacing w:after="0" w:line="171" w:lineRule="exact"/>
        <w:rPr>
          <w:sz w:val="20"/>
          <w:szCs w:val="20"/>
          <w:color w:val="auto"/>
        </w:rPr>
      </w:pPr>
    </w:p>
    <w:p>
      <w:pPr>
        <w:jc w:val="both"/>
        <w:ind w:firstLine="1210"/>
        <w:spacing w:after="0" w:line="269" w:lineRule="auto"/>
        <w:rPr>
          <w:sz w:val="20"/>
          <w:szCs w:val="20"/>
          <w:color w:val="auto"/>
        </w:rPr>
      </w:pPr>
      <w:r>
        <w:rPr>
          <w:rFonts w:ascii="Arial" w:cs="Arial" w:eastAsia="Arial" w:hAnsi="Arial"/>
          <w:sz w:val="19"/>
          <w:szCs w:val="19"/>
          <w:color w:val="auto"/>
        </w:rPr>
        <w:t xml:space="preserve">17.3 </w:t>
      </w:r>
      <w:r>
        <w:rPr>
          <w:rFonts w:ascii="Arial" w:cs="Arial" w:eastAsia="Arial" w:hAnsi="Arial"/>
          <w:sz w:val="19"/>
          <w:szCs w:val="19"/>
          <w:b w:val="1"/>
          <w:bCs w:val="1"/>
          <w:color w:val="auto"/>
        </w:rPr>
        <w:t>Merger or Change in Control</w:t>
      </w:r>
      <w:r>
        <w:rPr>
          <w:rFonts w:ascii="Arial" w:cs="Arial" w:eastAsia="Arial" w:hAnsi="Arial"/>
          <w:sz w:val="19"/>
          <w:szCs w:val="19"/>
          <w:color w:val="auto"/>
        </w:rPr>
        <w:t>. In the event of a merger of the Company with or into another corporation or other entity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prior to such New Exercise Date, Participant’s participation has terminated as provided in Section 13 hereof).</w:t>
      </w:r>
    </w:p>
    <w:p>
      <w:pPr>
        <w:spacing w:after="0" w:line="154" w:lineRule="exact"/>
        <w:rPr>
          <w:sz w:val="20"/>
          <w:szCs w:val="20"/>
          <w:color w:val="auto"/>
        </w:rPr>
      </w:pPr>
    </w:p>
    <w:p>
      <w:pPr>
        <w:ind w:left="1220" w:hanging="614"/>
        <w:spacing w:after="0"/>
        <w:tabs>
          <w:tab w:leader="none" w:pos="1220" w:val="left"/>
        </w:tabs>
        <w:numPr>
          <w:ilvl w:val="0"/>
          <w:numId w:val="63"/>
        </w:numPr>
        <w:rPr>
          <w:rFonts w:ascii="Arial" w:cs="Arial" w:eastAsia="Arial" w:hAnsi="Arial"/>
          <w:sz w:val="20"/>
          <w:szCs w:val="20"/>
          <w:color w:val="auto"/>
        </w:rPr>
      </w:pPr>
      <w:r>
        <w:rPr>
          <w:rFonts w:ascii="Arial" w:cs="Arial" w:eastAsia="Arial" w:hAnsi="Arial"/>
          <w:sz w:val="20"/>
          <w:szCs w:val="20"/>
          <w:b w:val="1"/>
          <w:bCs w:val="1"/>
          <w:color w:val="auto"/>
        </w:rPr>
        <w:t>Amendment or Termination</w:t>
      </w:r>
      <w:r>
        <w:rPr>
          <w:rFonts w:ascii="Arial" w:cs="Arial" w:eastAsia="Arial" w:hAnsi="Arial"/>
          <w:sz w:val="20"/>
          <w:szCs w:val="20"/>
          <w:color w:val="auto"/>
        </w:rPr>
        <w:t>.</w:t>
      </w:r>
    </w:p>
    <w:p>
      <w:pPr>
        <w:spacing w:after="0" w:line="211" w:lineRule="exact"/>
        <w:rPr>
          <w:sz w:val="20"/>
          <w:szCs w:val="20"/>
          <w:color w:val="auto"/>
        </w:rPr>
      </w:pPr>
    </w:p>
    <w:p>
      <w:pPr>
        <w:jc w:val="both"/>
        <w:ind w:firstLine="1210"/>
        <w:spacing w:after="0" w:line="269" w:lineRule="auto"/>
        <w:rPr>
          <w:sz w:val="20"/>
          <w:szCs w:val="20"/>
          <w:color w:val="auto"/>
        </w:rPr>
      </w:pPr>
      <w:r>
        <w:rPr>
          <w:rFonts w:ascii="Arial" w:cs="Arial" w:eastAsia="Arial" w:hAnsi="Arial"/>
          <w:sz w:val="19"/>
          <w:szCs w:val="19"/>
          <w:color w:val="auto"/>
        </w:rPr>
        <w:t xml:space="preserve">18.1 </w:t>
      </w:r>
      <w:r>
        <w:rPr>
          <w:rFonts w:ascii="Arial" w:cs="Arial" w:eastAsia="Arial" w:hAnsi="Arial"/>
          <w:sz w:val="19"/>
          <w:szCs w:val="19"/>
          <w:b w:val="1"/>
          <w:bCs w:val="1"/>
          <w:color w:val="auto"/>
        </w:rPr>
        <w:t>Amendment, Suspension, Termination</w:t>
      </w:r>
      <w:r>
        <w:rPr>
          <w:rFonts w:ascii="Arial" w:cs="Arial" w:eastAsia="Arial" w:hAnsi="Arial"/>
          <w:sz w:val="19"/>
          <w:szCs w:val="19"/>
          <w:color w:val="auto"/>
        </w:rPr>
        <w:t>. 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17).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22 hereof) as soon as administratively practicable.</w:t>
      </w:r>
    </w:p>
    <w:p>
      <w:pPr>
        <w:spacing w:after="0" w:line="159" w:lineRule="exact"/>
        <w:rPr>
          <w:sz w:val="20"/>
          <w:szCs w:val="20"/>
          <w:color w:val="auto"/>
        </w:rPr>
      </w:pPr>
    </w:p>
    <w:p>
      <w:pPr>
        <w:jc w:val="both"/>
        <w:ind w:firstLine="1210"/>
        <w:spacing w:after="0" w:line="283" w:lineRule="auto"/>
        <w:rPr>
          <w:sz w:val="20"/>
          <w:szCs w:val="20"/>
          <w:color w:val="auto"/>
        </w:rPr>
      </w:pPr>
      <w:r>
        <w:rPr>
          <w:rFonts w:ascii="Arial" w:cs="Arial" w:eastAsia="Arial" w:hAnsi="Arial"/>
          <w:sz w:val="20"/>
          <w:szCs w:val="20"/>
          <w:color w:val="auto"/>
        </w:rPr>
        <w:t xml:space="preserve">18.2 </w:t>
      </w:r>
      <w:r>
        <w:rPr>
          <w:rFonts w:ascii="Arial" w:cs="Arial" w:eastAsia="Arial" w:hAnsi="Arial"/>
          <w:sz w:val="20"/>
          <w:szCs w:val="20"/>
          <w:b w:val="1"/>
          <w:bCs w:val="1"/>
          <w:color w:val="auto"/>
        </w:rPr>
        <w:t>Certain Administrator Changes</w:t>
      </w:r>
      <w:r>
        <w:rPr>
          <w:rFonts w:ascii="Arial" w:cs="Arial" w:eastAsia="Arial" w:hAnsi="Arial"/>
          <w:sz w:val="20"/>
          <w:szCs w:val="20"/>
          <w:color w:val="auto"/>
        </w:rPr>
        <w:t>. Without stockholder consent and without limiting Section 18.1, the Administrator will be entitled to change the Offering Periods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03"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Purchase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40" w:lineRule="exact"/>
        <w:rPr>
          <w:sz w:val="20"/>
          <w:szCs w:val="20"/>
          <w:color w:val="auto"/>
        </w:rPr>
      </w:pPr>
    </w:p>
    <w:p>
      <w:pPr>
        <w:jc w:val="both"/>
        <w:ind w:firstLine="1210"/>
        <w:spacing w:after="0" w:line="261" w:lineRule="auto"/>
        <w:rPr>
          <w:sz w:val="20"/>
          <w:szCs w:val="20"/>
          <w:color w:val="auto"/>
        </w:rPr>
      </w:pPr>
      <w:r>
        <w:rPr>
          <w:rFonts w:ascii="Arial" w:cs="Arial" w:eastAsia="Arial" w:hAnsi="Arial"/>
          <w:sz w:val="20"/>
          <w:szCs w:val="20"/>
          <w:color w:val="auto"/>
        </w:rPr>
        <w:t xml:space="preserve">18.3 </w:t>
      </w:r>
      <w:r>
        <w:rPr>
          <w:rFonts w:ascii="Arial" w:cs="Arial" w:eastAsia="Arial" w:hAnsi="Arial"/>
          <w:sz w:val="20"/>
          <w:szCs w:val="20"/>
          <w:b w:val="1"/>
          <w:bCs w:val="1"/>
          <w:color w:val="auto"/>
        </w:rPr>
        <w:t>Changes Due to Accounting Consequences</w:t>
      </w:r>
      <w:r>
        <w:rPr>
          <w:rFonts w:ascii="Arial" w:cs="Arial" w:eastAsia="Arial" w:hAnsi="Arial"/>
          <w:sz w:val="20"/>
          <w:szCs w:val="20"/>
          <w:color w:val="auto"/>
        </w:rPr>
        <w:t>.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64" w:lineRule="exact"/>
        <w:rPr>
          <w:sz w:val="20"/>
          <w:szCs w:val="20"/>
          <w:color w:val="auto"/>
        </w:rPr>
      </w:pPr>
    </w:p>
    <w:p>
      <w:pPr>
        <w:jc w:val="both"/>
        <w:ind w:firstLine="1816"/>
        <w:spacing w:after="0" w:line="264" w:lineRule="auto"/>
        <w:tabs>
          <w:tab w:leader="none" w:pos="2418" w:val="left"/>
        </w:tabs>
        <w:numPr>
          <w:ilvl w:val="0"/>
          <w:numId w:val="64"/>
        </w:numPr>
        <w:rPr>
          <w:rFonts w:ascii="Arial" w:cs="Arial" w:eastAsia="Arial" w:hAnsi="Arial"/>
          <w:sz w:val="20"/>
          <w:szCs w:val="20"/>
          <w:color w:val="auto"/>
        </w:rPr>
      </w:pPr>
      <w:r>
        <w:rPr>
          <w:rFonts w:ascii="Arial" w:cs="Arial" w:eastAsia="Arial" w:hAnsi="Arial"/>
          <w:sz w:val="20"/>
          <w:szCs w:val="20"/>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61" w:lineRule="exact"/>
        <w:rPr>
          <w:rFonts w:ascii="Arial" w:cs="Arial" w:eastAsia="Arial" w:hAnsi="Arial"/>
          <w:sz w:val="20"/>
          <w:szCs w:val="20"/>
          <w:color w:val="auto"/>
        </w:rPr>
      </w:pPr>
    </w:p>
    <w:p>
      <w:pPr>
        <w:ind w:firstLine="1816"/>
        <w:spacing w:after="0" w:line="278" w:lineRule="auto"/>
        <w:tabs>
          <w:tab w:leader="none" w:pos="2416" w:val="left"/>
        </w:tabs>
        <w:numPr>
          <w:ilvl w:val="0"/>
          <w:numId w:val="64"/>
        </w:numPr>
        <w:rPr>
          <w:rFonts w:ascii="Arial" w:cs="Arial" w:eastAsia="Arial" w:hAnsi="Arial"/>
          <w:sz w:val="20"/>
          <w:szCs w:val="20"/>
          <w:color w:val="auto"/>
        </w:rPr>
      </w:pPr>
      <w:r>
        <w:rPr>
          <w:rFonts w:ascii="Arial" w:cs="Arial" w:eastAsia="Arial" w:hAnsi="Arial"/>
          <w:sz w:val="20"/>
          <w:szCs w:val="20"/>
          <w:color w:val="auto"/>
        </w:rPr>
        <w:t>altering the Purchase Price for any Purchase Period or Offering Period including a Purchase Period or Offering Period underway at the time of the change in Purchase Price;</w:t>
      </w:r>
    </w:p>
    <w:p>
      <w:pPr>
        <w:spacing w:after="0" w:line="148" w:lineRule="exact"/>
        <w:rPr>
          <w:rFonts w:ascii="Arial" w:cs="Arial" w:eastAsia="Arial" w:hAnsi="Arial"/>
          <w:sz w:val="20"/>
          <w:szCs w:val="20"/>
          <w:color w:val="auto"/>
        </w:rPr>
      </w:pPr>
    </w:p>
    <w:p>
      <w:pPr>
        <w:ind w:firstLine="1816"/>
        <w:spacing w:after="0" w:line="278" w:lineRule="auto"/>
        <w:tabs>
          <w:tab w:leader="none" w:pos="2418" w:val="left"/>
        </w:tabs>
        <w:numPr>
          <w:ilvl w:val="0"/>
          <w:numId w:val="64"/>
        </w:numPr>
        <w:rPr>
          <w:rFonts w:ascii="Arial" w:cs="Arial" w:eastAsia="Arial" w:hAnsi="Arial"/>
          <w:sz w:val="20"/>
          <w:szCs w:val="20"/>
          <w:color w:val="auto"/>
        </w:rPr>
      </w:pPr>
      <w:r>
        <w:rPr>
          <w:rFonts w:ascii="Arial" w:cs="Arial" w:eastAsia="Arial" w:hAnsi="Arial"/>
          <w:sz w:val="20"/>
          <w:szCs w:val="20"/>
          <w:color w:val="auto"/>
        </w:rPr>
        <w:t>shortening any Purchase Period or Offering Period by setting a New Exercise Date, including a Purchase Period or Offering Period underway at the time of the Administrator action;</w:t>
      </w:r>
    </w:p>
    <w:p>
      <w:pPr>
        <w:spacing w:after="0" w:line="148" w:lineRule="exact"/>
        <w:rPr>
          <w:rFonts w:ascii="Arial" w:cs="Arial" w:eastAsia="Arial" w:hAnsi="Arial"/>
          <w:sz w:val="20"/>
          <w:szCs w:val="20"/>
          <w:color w:val="auto"/>
        </w:rPr>
      </w:pPr>
    </w:p>
    <w:p>
      <w:pPr>
        <w:ind w:left="2420" w:hanging="604"/>
        <w:spacing w:after="0"/>
        <w:tabs>
          <w:tab w:leader="none" w:pos="2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reducing the maximum percentage of Compensation a Participant may elect to set aside as Contributions;</w:t>
      </w:r>
    </w:p>
    <w:p>
      <w:pPr>
        <w:spacing w:after="0" w:line="5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and</w:t>
      </w:r>
    </w:p>
    <w:p>
      <w:pPr>
        <w:spacing w:after="0" w:line="193" w:lineRule="exact"/>
        <w:rPr>
          <w:rFonts w:ascii="Arial" w:cs="Arial" w:eastAsia="Arial" w:hAnsi="Arial"/>
          <w:sz w:val="18"/>
          <w:szCs w:val="18"/>
          <w:color w:val="auto"/>
        </w:rPr>
      </w:pPr>
    </w:p>
    <w:p>
      <w:pPr>
        <w:ind w:left="2420" w:hanging="604"/>
        <w:spacing w:after="0"/>
        <w:tabs>
          <w:tab w:leader="none" w:pos="2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reducing the maximum number of shares of Common Stock a Participant may purchase during any Purchase</w:t>
      </w:r>
    </w:p>
    <w:p>
      <w:pPr>
        <w:spacing w:after="0" w:line="5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Period or Offering Period.</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Such modifications or amendments will not require stockholder approval or the consent of any Plan Participants.</w:t>
      </w:r>
    </w:p>
    <w:p>
      <w:pPr>
        <w:spacing w:after="0" w:line="207" w:lineRule="exact"/>
        <w:rPr>
          <w:sz w:val="20"/>
          <w:szCs w:val="20"/>
          <w:color w:val="auto"/>
        </w:rPr>
      </w:pPr>
    </w:p>
    <w:p>
      <w:pPr>
        <w:ind w:left="1220" w:hanging="614"/>
        <w:spacing w:after="0"/>
        <w:tabs>
          <w:tab w:leader="none" w:pos="1220" w:val="left"/>
        </w:tabs>
        <w:numPr>
          <w:ilvl w:val="0"/>
          <w:numId w:val="65"/>
        </w:numPr>
        <w:rPr>
          <w:rFonts w:ascii="Arial" w:cs="Arial" w:eastAsia="Arial" w:hAnsi="Arial"/>
          <w:sz w:val="20"/>
          <w:szCs w:val="20"/>
          <w:color w:val="auto"/>
        </w:rPr>
      </w:pPr>
      <w:r>
        <w:rPr>
          <w:rFonts w:ascii="Arial" w:cs="Arial" w:eastAsia="Arial" w:hAnsi="Arial"/>
          <w:sz w:val="20"/>
          <w:szCs w:val="20"/>
          <w:b w:val="1"/>
          <w:bCs w:val="1"/>
          <w:color w:val="auto"/>
        </w:rPr>
        <w:t>Conditions Upon Issuance of Shares</w:t>
      </w:r>
      <w:r>
        <w:rPr>
          <w:rFonts w:ascii="Arial" w:cs="Arial" w:eastAsia="Arial" w:hAnsi="Arial"/>
          <w:sz w:val="20"/>
          <w:szCs w:val="20"/>
          <w:color w:val="auto"/>
        </w:rPr>
        <w:t>.</w:t>
      </w:r>
    </w:p>
    <w:p>
      <w:pPr>
        <w:spacing w:after="0" w:line="211" w:lineRule="exact"/>
        <w:rPr>
          <w:sz w:val="20"/>
          <w:szCs w:val="20"/>
          <w:color w:val="auto"/>
        </w:rPr>
      </w:pPr>
    </w:p>
    <w:p>
      <w:pPr>
        <w:jc w:val="both"/>
        <w:ind w:firstLine="1210"/>
        <w:spacing w:after="0" w:line="266" w:lineRule="auto"/>
        <w:rPr>
          <w:sz w:val="20"/>
          <w:szCs w:val="20"/>
          <w:color w:val="auto"/>
        </w:rPr>
      </w:pPr>
      <w:r>
        <w:rPr>
          <w:rFonts w:ascii="Arial" w:cs="Arial" w:eastAsia="Arial" w:hAnsi="Arial"/>
          <w:sz w:val="20"/>
          <w:szCs w:val="20"/>
          <w:color w:val="auto"/>
        </w:rPr>
        <w:t xml:space="preserve">19.1 </w:t>
      </w:r>
      <w:r>
        <w:rPr>
          <w:rFonts w:ascii="Arial" w:cs="Arial" w:eastAsia="Arial" w:hAnsi="Arial"/>
          <w:sz w:val="20"/>
          <w:szCs w:val="20"/>
          <w:b w:val="1"/>
          <w:bCs w:val="1"/>
          <w:color w:val="auto"/>
        </w:rPr>
        <w:t>Legal Compliance</w:t>
      </w:r>
      <w:r>
        <w:rPr>
          <w:rFonts w:ascii="Arial" w:cs="Arial" w:eastAsia="Arial" w:hAnsi="Arial"/>
          <w:sz w:val="20"/>
          <w:szCs w:val="20"/>
          <w:color w:val="auto"/>
        </w:rPr>
        <w:t>. Shares of Common Stock will not be issued with respect to an option unless the exercise of such option and the issuance and delivery of such shares pursuant thereto will comply with Applicable Laws and will be further subject to the approval of counsel for the Company with respect to such compliance.</w:t>
      </w:r>
    </w:p>
    <w:p>
      <w:pPr>
        <w:spacing w:after="0" w:line="156" w:lineRule="exact"/>
        <w:rPr>
          <w:sz w:val="20"/>
          <w:szCs w:val="20"/>
          <w:color w:val="auto"/>
        </w:rPr>
      </w:pPr>
    </w:p>
    <w:p>
      <w:pPr>
        <w:jc w:val="both"/>
        <w:ind w:firstLine="1210"/>
        <w:spacing w:after="0" w:line="283" w:lineRule="auto"/>
        <w:rPr>
          <w:sz w:val="20"/>
          <w:szCs w:val="20"/>
          <w:color w:val="auto"/>
        </w:rPr>
      </w:pPr>
      <w:r>
        <w:rPr>
          <w:rFonts w:ascii="Arial" w:cs="Arial" w:eastAsia="Arial" w:hAnsi="Arial"/>
          <w:sz w:val="20"/>
          <w:szCs w:val="20"/>
          <w:color w:val="auto"/>
        </w:rPr>
        <w:t xml:space="preserve">19.2 </w:t>
      </w:r>
      <w:r>
        <w:rPr>
          <w:rFonts w:ascii="Arial" w:cs="Arial" w:eastAsia="Arial" w:hAnsi="Arial"/>
          <w:sz w:val="20"/>
          <w:szCs w:val="20"/>
          <w:b w:val="1"/>
          <w:bCs w:val="1"/>
          <w:color w:val="auto"/>
        </w:rPr>
        <w:t>Investment Representations</w:t>
      </w:r>
      <w:r>
        <w:rPr>
          <w:rFonts w:ascii="Arial" w:cs="Arial" w:eastAsia="Arial" w:hAnsi="Arial"/>
          <w:sz w:val="20"/>
          <w:szCs w:val="20"/>
          <w:color w:val="auto"/>
        </w:rPr>
        <w:t>. As a condition to the exercise of an option, the Company may require the person exercising such option to represent and warrant at the time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03"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such exercise that the shares are being purchased only for investment and without any present intention to sell or distribute such shares if, in the opinion of counsel for the Company, such a representation is required.</w:t>
      </w:r>
    </w:p>
    <w:p>
      <w:pPr>
        <w:spacing w:after="0" w:line="144" w:lineRule="exact"/>
        <w:rPr>
          <w:sz w:val="20"/>
          <w:szCs w:val="20"/>
          <w:color w:val="auto"/>
        </w:rPr>
      </w:pPr>
    </w:p>
    <w:p>
      <w:pPr>
        <w:jc w:val="both"/>
        <w:ind w:firstLine="606"/>
        <w:spacing w:after="0" w:line="266" w:lineRule="auto"/>
        <w:tabs>
          <w:tab w:leader="none" w:pos="1210" w:val="left"/>
        </w:tabs>
        <w:numPr>
          <w:ilvl w:val="0"/>
          <w:numId w:val="66"/>
        </w:numPr>
        <w:rPr>
          <w:rFonts w:ascii="Arial" w:cs="Arial" w:eastAsia="Arial" w:hAnsi="Arial"/>
          <w:sz w:val="20"/>
          <w:szCs w:val="20"/>
          <w:color w:val="auto"/>
        </w:rPr>
      </w:pPr>
      <w:r>
        <w:rPr>
          <w:rFonts w:ascii="Arial" w:cs="Arial" w:eastAsia="Arial" w:hAnsi="Arial"/>
          <w:sz w:val="20"/>
          <w:szCs w:val="20"/>
          <w:b w:val="1"/>
          <w:bCs w:val="1"/>
          <w:color w:val="auto"/>
        </w:rPr>
        <w:t>Term of Plan</w:t>
      </w:r>
      <w:r>
        <w:rPr>
          <w:rFonts w:ascii="Arial" w:cs="Arial" w:eastAsia="Arial" w:hAnsi="Arial"/>
          <w:sz w:val="20"/>
          <w:szCs w:val="20"/>
          <w:color w:val="auto"/>
        </w:rPr>
        <w:t>. The Plan will become effective upon the later to occur of (a) its adoption by the Board or (b) the business</w:t>
      </w:r>
      <w:r>
        <w:rPr>
          <w:rFonts w:ascii="Arial" w:cs="Arial" w:eastAsia="Arial" w:hAnsi="Arial"/>
          <w:sz w:val="20"/>
          <w:szCs w:val="20"/>
          <w:b w:val="1"/>
          <w:bCs w:val="1"/>
          <w:color w:val="auto"/>
        </w:rPr>
        <w:t xml:space="preserve"> </w:t>
      </w:r>
      <w:r>
        <w:rPr>
          <w:rFonts w:ascii="Arial" w:cs="Arial" w:eastAsia="Arial" w:hAnsi="Arial"/>
          <w:sz w:val="20"/>
          <w:szCs w:val="20"/>
          <w:color w:val="auto"/>
        </w:rPr>
        <w:t>day immediately prior to the Registration Date. It will continue in effect for a term of twenty (20) years, unless sooner terminated under Section 18.</w:t>
      </w:r>
    </w:p>
    <w:p>
      <w:pPr>
        <w:spacing w:after="0" w:line="155" w:lineRule="exact"/>
        <w:rPr>
          <w:rFonts w:ascii="Arial" w:cs="Arial" w:eastAsia="Arial" w:hAnsi="Arial"/>
          <w:sz w:val="20"/>
          <w:szCs w:val="20"/>
          <w:color w:val="auto"/>
        </w:rPr>
      </w:pPr>
    </w:p>
    <w:p>
      <w:pPr>
        <w:jc w:val="both"/>
        <w:ind w:firstLine="606"/>
        <w:spacing w:after="0" w:line="266" w:lineRule="auto"/>
        <w:tabs>
          <w:tab w:leader="none" w:pos="1210" w:val="left"/>
        </w:tabs>
        <w:numPr>
          <w:ilvl w:val="0"/>
          <w:numId w:val="66"/>
        </w:numPr>
        <w:rPr>
          <w:rFonts w:ascii="Arial" w:cs="Arial" w:eastAsia="Arial" w:hAnsi="Arial"/>
          <w:sz w:val="20"/>
          <w:szCs w:val="20"/>
          <w:color w:val="auto"/>
        </w:rPr>
      </w:pPr>
      <w:r>
        <w:rPr>
          <w:rFonts w:ascii="Arial" w:cs="Arial" w:eastAsia="Arial" w:hAnsi="Arial"/>
          <w:sz w:val="20"/>
          <w:szCs w:val="20"/>
          <w:b w:val="1"/>
          <w:bCs w:val="1"/>
          <w:color w:val="auto"/>
        </w:rPr>
        <w:t>Stockholder Approval</w:t>
      </w:r>
      <w:r>
        <w:rPr>
          <w:rFonts w:ascii="Arial" w:cs="Arial" w:eastAsia="Arial" w:hAnsi="Arial"/>
          <w:sz w:val="20"/>
          <w:szCs w:val="20"/>
          <w:color w:val="auto"/>
        </w:rPr>
        <w:t>. The Plan will be subject to approval by the stockholders of the Company within twelve (12)</w:t>
      </w:r>
      <w:r>
        <w:rPr>
          <w:rFonts w:ascii="Arial" w:cs="Arial" w:eastAsia="Arial" w:hAnsi="Arial"/>
          <w:sz w:val="20"/>
          <w:szCs w:val="20"/>
          <w:b w:val="1"/>
          <w:bCs w:val="1"/>
          <w:color w:val="auto"/>
        </w:rPr>
        <w:t xml:space="preserve"> </w:t>
      </w:r>
      <w:r>
        <w:rPr>
          <w:rFonts w:ascii="Arial" w:cs="Arial" w:eastAsia="Arial" w:hAnsi="Arial"/>
          <w:sz w:val="20"/>
          <w:szCs w:val="20"/>
          <w:color w:val="auto"/>
        </w:rPr>
        <w:t>months after the date the Plan is adopted by the Board. Such stockholder approval will be obtained in the manner and to the degree required under Applicable Laws.</w:t>
      </w:r>
    </w:p>
    <w:p>
      <w:pPr>
        <w:spacing w:after="0" w:line="155" w:lineRule="exact"/>
        <w:rPr>
          <w:rFonts w:ascii="Arial" w:cs="Arial" w:eastAsia="Arial" w:hAnsi="Arial"/>
          <w:sz w:val="20"/>
          <w:szCs w:val="20"/>
          <w:color w:val="auto"/>
        </w:rPr>
      </w:pPr>
    </w:p>
    <w:p>
      <w:pPr>
        <w:jc w:val="both"/>
        <w:ind w:firstLine="606"/>
        <w:spacing w:after="0" w:line="261" w:lineRule="auto"/>
        <w:tabs>
          <w:tab w:leader="none" w:pos="1210" w:val="left"/>
        </w:tabs>
        <w:numPr>
          <w:ilvl w:val="0"/>
          <w:numId w:val="66"/>
        </w:numPr>
        <w:rPr>
          <w:rFonts w:ascii="Arial" w:cs="Arial" w:eastAsia="Arial" w:hAnsi="Arial"/>
          <w:sz w:val="20"/>
          <w:szCs w:val="20"/>
          <w:color w:val="auto"/>
        </w:rPr>
      </w:pPr>
      <w:r>
        <w:rPr>
          <w:rFonts w:ascii="Arial" w:cs="Arial" w:eastAsia="Arial" w:hAnsi="Arial"/>
          <w:sz w:val="20"/>
          <w:szCs w:val="20"/>
          <w:b w:val="1"/>
          <w:bCs w:val="1"/>
          <w:color w:val="auto"/>
        </w:rPr>
        <w:t>Interest</w:t>
      </w:r>
      <w:r>
        <w:rPr>
          <w:rFonts w:ascii="Arial" w:cs="Arial" w:eastAsia="Arial" w:hAnsi="Arial"/>
          <w:sz w:val="20"/>
          <w:szCs w:val="20"/>
          <w:color w:val="auto"/>
        </w:rPr>
        <w:t>. No interest will accrue on the Contributions of a participant in the Plan, except as may be required by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Laws, as determined by the Company, and if so required by the laws of a particular jurisdiction, will apply, with respect to Offerings under the 423 Component, to all Participants in the relevant Offering, except to the extent otherwise permitted by U.S. Treasury Regulations Section 1.423-2(f).</w:t>
      </w:r>
    </w:p>
    <w:p>
      <w:pPr>
        <w:spacing w:after="0" w:line="159" w:lineRule="exact"/>
        <w:rPr>
          <w:rFonts w:ascii="Arial" w:cs="Arial" w:eastAsia="Arial" w:hAnsi="Arial"/>
          <w:sz w:val="20"/>
          <w:szCs w:val="20"/>
          <w:color w:val="auto"/>
        </w:rPr>
      </w:pPr>
    </w:p>
    <w:p>
      <w:pPr>
        <w:jc w:val="both"/>
        <w:ind w:firstLine="606"/>
        <w:spacing w:after="0" w:line="261" w:lineRule="auto"/>
        <w:tabs>
          <w:tab w:leader="none" w:pos="1210" w:val="left"/>
        </w:tabs>
        <w:numPr>
          <w:ilvl w:val="0"/>
          <w:numId w:val="66"/>
        </w:numPr>
        <w:rPr>
          <w:rFonts w:ascii="Arial" w:cs="Arial" w:eastAsia="Arial" w:hAnsi="Arial"/>
          <w:sz w:val="20"/>
          <w:szCs w:val="20"/>
          <w:color w:val="auto"/>
        </w:rPr>
      </w:pPr>
      <w:r>
        <w:rPr>
          <w:rFonts w:ascii="Arial" w:cs="Arial" w:eastAsia="Arial" w:hAnsi="Arial"/>
          <w:sz w:val="20"/>
          <w:szCs w:val="20"/>
          <w:b w:val="1"/>
          <w:bCs w:val="1"/>
          <w:color w:val="auto"/>
        </w:rPr>
        <w:t>No Effect on Employment</w:t>
      </w:r>
      <w:r>
        <w:rPr>
          <w:rFonts w:ascii="Arial" w:cs="Arial" w:eastAsia="Arial" w:hAnsi="Arial"/>
          <w:sz w:val="20"/>
          <w:szCs w:val="20"/>
          <w:color w:val="auto"/>
        </w:rPr>
        <w:t>. Neither the Plan nor any option under the Plan will confer upon any Participant any right with</w:t>
      </w:r>
      <w:r>
        <w:rPr>
          <w:rFonts w:ascii="Arial" w:cs="Arial" w:eastAsia="Arial" w:hAnsi="Arial"/>
          <w:sz w:val="20"/>
          <w:szCs w:val="20"/>
          <w:b w:val="1"/>
          <w:bCs w:val="1"/>
          <w:color w:val="auto"/>
        </w:rPr>
        <w:t xml:space="preserve"> </w:t>
      </w:r>
      <w:r>
        <w:rPr>
          <w:rFonts w:ascii="Arial" w:cs="Arial" w:eastAsia="Arial" w:hAnsi="Arial"/>
          <w:sz w:val="20"/>
          <w:szCs w:val="20"/>
          <w:color w:val="auto"/>
        </w:rPr>
        <w:t>respect to continuing the Participant’s employment with the Company or its Subsidiaries or Parents, as applicable, nor will they interfere in any way with the Participant’s right or the right of the Company and its Subsidiaries or Parents, as applicable, to terminate such employment relationship at any time, free from any liability or any claim under the Plan.</w:t>
      </w:r>
    </w:p>
    <w:p>
      <w:pPr>
        <w:spacing w:after="0" w:line="159" w:lineRule="exact"/>
        <w:rPr>
          <w:rFonts w:ascii="Arial" w:cs="Arial" w:eastAsia="Arial" w:hAnsi="Arial"/>
          <w:sz w:val="20"/>
          <w:szCs w:val="20"/>
          <w:color w:val="auto"/>
        </w:rPr>
      </w:pPr>
    </w:p>
    <w:p>
      <w:pPr>
        <w:jc w:val="both"/>
        <w:ind w:firstLine="606"/>
        <w:spacing w:after="0" w:line="266" w:lineRule="auto"/>
        <w:tabs>
          <w:tab w:leader="none" w:pos="1210" w:val="left"/>
        </w:tabs>
        <w:numPr>
          <w:ilvl w:val="0"/>
          <w:numId w:val="66"/>
        </w:numPr>
        <w:rPr>
          <w:rFonts w:ascii="Arial" w:cs="Arial" w:eastAsia="Arial" w:hAnsi="Arial"/>
          <w:sz w:val="20"/>
          <w:szCs w:val="20"/>
          <w:color w:val="auto"/>
        </w:rPr>
      </w:pPr>
      <w:r>
        <w:rPr>
          <w:rFonts w:ascii="Arial" w:cs="Arial" w:eastAsia="Arial" w:hAnsi="Arial"/>
          <w:sz w:val="20"/>
          <w:szCs w:val="20"/>
          <w:b w:val="1"/>
          <w:bCs w:val="1"/>
          <w:color w:val="auto"/>
        </w:rPr>
        <w:t>Reports</w:t>
      </w:r>
      <w:r>
        <w:rPr>
          <w:rFonts w:ascii="Arial" w:cs="Arial" w:eastAsia="Arial" w:hAnsi="Arial"/>
          <w:sz w:val="20"/>
          <w:szCs w:val="20"/>
          <w:color w:val="auto"/>
        </w:rPr>
        <w:t>. Individual accounts will be maintained for each Participant in the Plan. Statements of account will be given to</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participating Eligible Employees at least annually, which statements will set forth the amounts of Contributions, the Purchase Price, the number of shares of Common Stock purchased and the remaining cash balance, if any.</w:t>
      </w:r>
    </w:p>
    <w:p>
      <w:pPr>
        <w:spacing w:after="0" w:line="155" w:lineRule="exact"/>
        <w:rPr>
          <w:rFonts w:ascii="Arial" w:cs="Arial" w:eastAsia="Arial" w:hAnsi="Arial"/>
          <w:sz w:val="20"/>
          <w:szCs w:val="20"/>
          <w:color w:val="auto"/>
        </w:rPr>
      </w:pPr>
    </w:p>
    <w:p>
      <w:pPr>
        <w:jc w:val="both"/>
        <w:ind w:firstLine="606"/>
        <w:spacing w:after="0" w:line="266" w:lineRule="auto"/>
        <w:tabs>
          <w:tab w:leader="none" w:pos="1210" w:val="left"/>
        </w:tabs>
        <w:numPr>
          <w:ilvl w:val="0"/>
          <w:numId w:val="66"/>
        </w:numPr>
        <w:rPr>
          <w:rFonts w:ascii="Arial" w:cs="Arial" w:eastAsia="Arial" w:hAnsi="Arial"/>
          <w:sz w:val="20"/>
          <w:szCs w:val="20"/>
          <w:color w:val="auto"/>
        </w:rPr>
      </w:pPr>
      <w:r>
        <w:rPr>
          <w:rFonts w:ascii="Arial" w:cs="Arial" w:eastAsia="Arial" w:hAnsi="Arial"/>
          <w:sz w:val="20"/>
          <w:szCs w:val="20"/>
          <w:b w:val="1"/>
          <w:bCs w:val="1"/>
          <w:color w:val="auto"/>
        </w:rPr>
        <w:t>Notices</w:t>
      </w:r>
      <w:r>
        <w:rPr>
          <w:rFonts w:ascii="Arial" w:cs="Arial" w:eastAsia="Arial" w:hAnsi="Arial"/>
          <w:sz w:val="20"/>
          <w:szCs w:val="20"/>
          <w:color w:val="auto"/>
        </w:rPr>
        <w:t>. All notices or other communications by a Participant to the Company under or in connection with the Plan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to have been duly given when received in the form and manner specified by the Company at the location, or by the person, designated by the Company for the receipt thereof.</w:t>
      </w:r>
    </w:p>
    <w:p>
      <w:pPr>
        <w:spacing w:after="0" w:line="155" w:lineRule="exact"/>
        <w:rPr>
          <w:rFonts w:ascii="Arial" w:cs="Arial" w:eastAsia="Arial" w:hAnsi="Arial"/>
          <w:sz w:val="20"/>
          <w:szCs w:val="20"/>
          <w:color w:val="auto"/>
        </w:rPr>
      </w:pPr>
    </w:p>
    <w:p>
      <w:pPr>
        <w:ind w:left="1220" w:hanging="614"/>
        <w:spacing w:after="0"/>
        <w:tabs>
          <w:tab w:leader="none" w:pos="1220" w:val="left"/>
        </w:tabs>
        <w:numPr>
          <w:ilvl w:val="0"/>
          <w:numId w:val="66"/>
        </w:numPr>
        <w:rPr>
          <w:rFonts w:ascii="Arial" w:cs="Arial" w:eastAsia="Arial" w:hAnsi="Arial"/>
          <w:sz w:val="20"/>
          <w:szCs w:val="20"/>
          <w:color w:val="auto"/>
        </w:rPr>
      </w:pPr>
      <w:r>
        <w:rPr>
          <w:rFonts w:ascii="Arial" w:cs="Arial" w:eastAsia="Arial" w:hAnsi="Arial"/>
          <w:sz w:val="20"/>
          <w:szCs w:val="20"/>
          <w:b w:val="1"/>
          <w:bCs w:val="1"/>
          <w:color w:val="auto"/>
        </w:rPr>
        <w:t>Legal Construction</w:t>
      </w:r>
      <w:r>
        <w:rPr>
          <w:rFonts w:ascii="Arial" w:cs="Arial" w:eastAsia="Arial" w:hAnsi="Arial"/>
          <w:sz w:val="20"/>
          <w:szCs w:val="20"/>
          <w:color w:val="auto"/>
        </w:rPr>
        <w:t>.</w:t>
      </w:r>
    </w:p>
    <w:p>
      <w:pPr>
        <w:spacing w:after="0" w:line="211" w:lineRule="exact"/>
        <w:rPr>
          <w:sz w:val="20"/>
          <w:szCs w:val="20"/>
          <w:color w:val="auto"/>
        </w:rPr>
      </w:pPr>
    </w:p>
    <w:p>
      <w:pPr>
        <w:jc w:val="both"/>
        <w:ind w:firstLine="1210"/>
        <w:spacing w:after="0" w:line="266" w:lineRule="auto"/>
        <w:rPr>
          <w:sz w:val="20"/>
          <w:szCs w:val="20"/>
          <w:color w:val="auto"/>
        </w:rPr>
      </w:pPr>
      <w:r>
        <w:rPr>
          <w:rFonts w:ascii="Arial" w:cs="Arial" w:eastAsia="Arial" w:hAnsi="Arial"/>
          <w:sz w:val="20"/>
          <w:szCs w:val="20"/>
          <w:color w:val="auto"/>
        </w:rPr>
        <w:t xml:space="preserve">26.1 </w:t>
      </w:r>
      <w:r>
        <w:rPr>
          <w:rFonts w:ascii="Arial" w:cs="Arial" w:eastAsia="Arial" w:hAnsi="Arial"/>
          <w:sz w:val="20"/>
          <w:szCs w:val="20"/>
          <w:b w:val="1"/>
          <w:bCs w:val="1"/>
          <w:color w:val="auto"/>
        </w:rPr>
        <w:t>Gender and Number</w:t>
      </w:r>
      <w:r>
        <w:rPr>
          <w:rFonts w:ascii="Arial" w:cs="Arial" w:eastAsia="Arial" w:hAnsi="Arial"/>
          <w:sz w:val="20"/>
          <w:szCs w:val="20"/>
          <w:color w:val="auto"/>
        </w:rPr>
        <w:t>. Except where otherwise indicated by the context, any feminine term used herein also will include the masculine and any masculine term used herein also will include the feminine; the plural will include the singular and the singular will include the plural.</w:t>
      </w:r>
    </w:p>
    <w:p>
      <w:pPr>
        <w:spacing w:after="0" w:line="156" w:lineRule="exact"/>
        <w:rPr>
          <w:sz w:val="20"/>
          <w:szCs w:val="20"/>
          <w:color w:val="auto"/>
        </w:rPr>
      </w:pPr>
    </w:p>
    <w:p>
      <w:pPr>
        <w:jc w:val="both"/>
        <w:ind w:firstLine="1210"/>
        <w:spacing w:after="0" w:line="266" w:lineRule="auto"/>
        <w:rPr>
          <w:sz w:val="20"/>
          <w:szCs w:val="20"/>
          <w:color w:val="auto"/>
        </w:rPr>
      </w:pPr>
      <w:r>
        <w:rPr>
          <w:rFonts w:ascii="Arial" w:cs="Arial" w:eastAsia="Arial" w:hAnsi="Arial"/>
          <w:sz w:val="20"/>
          <w:szCs w:val="20"/>
          <w:color w:val="auto"/>
        </w:rPr>
        <w:t xml:space="preserve">26.2 </w:t>
      </w:r>
      <w:r>
        <w:rPr>
          <w:rFonts w:ascii="Arial" w:cs="Arial" w:eastAsia="Arial" w:hAnsi="Arial"/>
          <w:sz w:val="20"/>
          <w:szCs w:val="20"/>
          <w:b w:val="1"/>
          <w:bCs w:val="1"/>
          <w:color w:val="auto"/>
        </w:rPr>
        <w:t>Severability</w:t>
      </w:r>
      <w:r>
        <w:rPr>
          <w:rFonts w:ascii="Arial" w:cs="Arial" w:eastAsia="Arial" w:hAnsi="Arial"/>
          <w:sz w:val="20"/>
          <w:szCs w:val="20"/>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03"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will be construed and enforced as to such jurisdiction or Participant as if the invalid, illegal, or unenforceable provision had not been included.</w:t>
      </w:r>
    </w:p>
    <w:p>
      <w:pPr>
        <w:spacing w:after="0" w:line="144" w:lineRule="exact"/>
        <w:rPr>
          <w:sz w:val="20"/>
          <w:szCs w:val="20"/>
          <w:color w:val="auto"/>
        </w:rPr>
      </w:pPr>
    </w:p>
    <w:p>
      <w:pPr>
        <w:ind w:firstLine="1210"/>
        <w:spacing w:after="0" w:line="283" w:lineRule="auto"/>
        <w:rPr>
          <w:sz w:val="20"/>
          <w:szCs w:val="20"/>
          <w:color w:val="auto"/>
        </w:rPr>
      </w:pPr>
      <w:r>
        <w:rPr>
          <w:rFonts w:ascii="Arial" w:cs="Arial" w:eastAsia="Arial" w:hAnsi="Arial"/>
          <w:sz w:val="20"/>
          <w:szCs w:val="20"/>
          <w:color w:val="auto"/>
        </w:rPr>
        <w:t xml:space="preserve">26.3 </w:t>
      </w:r>
      <w:r>
        <w:rPr>
          <w:rFonts w:ascii="Arial" w:cs="Arial" w:eastAsia="Arial" w:hAnsi="Arial"/>
          <w:sz w:val="20"/>
          <w:szCs w:val="20"/>
          <w:b w:val="1"/>
          <w:bCs w:val="1"/>
          <w:color w:val="auto"/>
        </w:rPr>
        <w:t>Governing Law</w:t>
      </w:r>
      <w:r>
        <w:rPr>
          <w:rFonts w:ascii="Arial" w:cs="Arial" w:eastAsia="Arial" w:hAnsi="Arial"/>
          <w:sz w:val="20"/>
          <w:szCs w:val="20"/>
          <w:color w:val="auto"/>
        </w:rPr>
        <w:t>. The Plan will be governed by, and construed in accordance with, the laws of the State of Delaware, but without regard to its conflict of law provisions.</w:t>
      </w:r>
    </w:p>
    <w:p>
      <w:pPr>
        <w:spacing w:after="0" w:line="138" w:lineRule="exact"/>
        <w:rPr>
          <w:sz w:val="20"/>
          <w:szCs w:val="20"/>
          <w:color w:val="auto"/>
        </w:rPr>
      </w:pPr>
    </w:p>
    <w:p>
      <w:pPr>
        <w:ind w:left="1220"/>
        <w:spacing w:after="0"/>
        <w:tabs>
          <w:tab w:leader="none" w:pos="1800" w:val="left"/>
        </w:tabs>
        <w:rPr>
          <w:sz w:val="20"/>
          <w:szCs w:val="20"/>
          <w:color w:val="auto"/>
        </w:rPr>
      </w:pPr>
      <w:r>
        <w:rPr>
          <w:rFonts w:ascii="Arial" w:cs="Arial" w:eastAsia="Arial" w:hAnsi="Arial"/>
          <w:sz w:val="20"/>
          <w:szCs w:val="20"/>
          <w:color w:val="auto"/>
        </w:rPr>
        <w:t>26.4</w:t>
      </w:r>
      <w:r>
        <w:rPr>
          <w:sz w:val="20"/>
          <w:szCs w:val="20"/>
          <w:color w:val="auto"/>
        </w:rPr>
        <w:tab/>
      </w:r>
      <w:r>
        <w:rPr>
          <w:rFonts w:ascii="Arial" w:cs="Arial" w:eastAsia="Arial" w:hAnsi="Arial"/>
          <w:sz w:val="18"/>
          <w:szCs w:val="18"/>
          <w:b w:val="1"/>
          <w:bCs w:val="1"/>
          <w:color w:val="auto"/>
        </w:rPr>
        <w:t>Headings</w:t>
      </w:r>
      <w:r>
        <w:rPr>
          <w:rFonts w:ascii="Arial" w:cs="Arial" w:eastAsia="Arial" w:hAnsi="Arial"/>
          <w:sz w:val="18"/>
          <w:szCs w:val="18"/>
          <w:color w:val="auto"/>
        </w:rPr>
        <w:t>. Headings are provided herein for convenience only, and will not serve as a basis for interpretation of the</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Plan.</w:t>
      </w:r>
    </w:p>
    <w:p>
      <w:pPr>
        <w:spacing w:after="0" w:line="189" w:lineRule="exact"/>
        <w:rPr>
          <w:sz w:val="20"/>
          <w:szCs w:val="20"/>
          <w:color w:val="auto"/>
        </w:rPr>
      </w:pPr>
    </w:p>
    <w:p>
      <w:pPr>
        <w:ind w:firstLine="606"/>
        <w:spacing w:after="0" w:line="283" w:lineRule="auto"/>
        <w:tabs>
          <w:tab w:leader="none" w:pos="1210" w:val="left"/>
        </w:tabs>
        <w:numPr>
          <w:ilvl w:val="0"/>
          <w:numId w:val="67"/>
        </w:numPr>
        <w:rPr>
          <w:rFonts w:ascii="Arial" w:cs="Arial" w:eastAsia="Arial" w:hAnsi="Arial"/>
          <w:sz w:val="20"/>
          <w:szCs w:val="20"/>
          <w:color w:val="auto"/>
        </w:rPr>
      </w:pPr>
      <w:r>
        <w:rPr>
          <w:rFonts w:ascii="Arial" w:cs="Arial" w:eastAsia="Arial" w:hAnsi="Arial"/>
          <w:sz w:val="20"/>
          <w:szCs w:val="20"/>
          <w:b w:val="1"/>
          <w:bCs w:val="1"/>
          <w:color w:val="auto"/>
        </w:rPr>
        <w:t>Compliance with Applicable Laws</w:t>
      </w:r>
      <w:r>
        <w:rPr>
          <w:rFonts w:ascii="Arial" w:cs="Arial" w:eastAsia="Arial" w:hAnsi="Arial"/>
          <w:sz w:val="20"/>
          <w:szCs w:val="20"/>
          <w:color w:val="auto"/>
        </w:rPr>
        <w:t>. The terms of this Plan are intended to comply with all Applicable Laws and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construed accordingly.</w:t>
      </w:r>
    </w:p>
    <w:p>
      <w:pPr>
        <w:spacing w:after="0" w:line="138" w:lineRule="exact"/>
        <w:rPr>
          <w:rFonts w:ascii="Arial" w:cs="Arial" w:eastAsia="Arial" w:hAnsi="Arial"/>
          <w:sz w:val="20"/>
          <w:szCs w:val="20"/>
          <w:color w:val="auto"/>
        </w:rPr>
      </w:pPr>
    </w:p>
    <w:p>
      <w:pPr>
        <w:jc w:val="both"/>
        <w:ind w:firstLine="606"/>
        <w:spacing w:after="0" w:line="290" w:lineRule="auto"/>
        <w:tabs>
          <w:tab w:leader="none" w:pos="121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Automatic Transfer to Low Price Offering Period</w:t>
      </w:r>
      <w:r>
        <w:rPr>
          <w:rFonts w:ascii="Arial" w:cs="Arial" w:eastAsia="Arial" w:hAnsi="Arial"/>
          <w:sz w:val="18"/>
          <w:szCs w:val="18"/>
          <w:color w:val="auto"/>
        </w:rPr>
        <w:t>. Unless determined otherwise by the Administrator, this Section 28</w:t>
      </w:r>
      <w:r>
        <w:rPr>
          <w:rFonts w:ascii="Arial" w:cs="Arial" w:eastAsia="Arial" w:hAnsi="Arial"/>
          <w:sz w:val="18"/>
          <w:szCs w:val="18"/>
          <w:b w:val="1"/>
          <w:bCs w:val="1"/>
          <w:color w:val="auto"/>
        </w:rPr>
        <w:t xml:space="preserve"> </w:t>
      </w:r>
      <w:r>
        <w:rPr>
          <w:rFonts w:ascii="Arial" w:cs="Arial" w:eastAsia="Arial" w:hAnsi="Arial"/>
          <w:sz w:val="18"/>
          <w:szCs w:val="18"/>
          <w:color w:val="auto"/>
        </w:rPr>
        <w:t>applies to an Offering Period to the extent such Offering Period provides for more than one (1) Exercise Date within such Offering Period. To the extent permitted by Applicable Laws, if the Fair Market Value of a share of Common Stock on any Exercise Date in an Offering Period is less than the Fair Market Value of a share of Common Stock on the Enrollment Date of such Offering Period, then all Participants in such Offering Period will be withdrawn automatically from such Offering Period immediately after the exercise of their option on such Exercise Date and automatically re-enrolled in the immediately following Offering Period as of the first day thereof.</w:t>
      </w:r>
    </w:p>
    <w:p>
      <w:pPr>
        <w:spacing w:after="0" w:line="142" w:lineRule="exact"/>
        <w:rPr>
          <w:rFonts w:ascii="Arial" w:cs="Arial" w:eastAsia="Arial" w:hAnsi="Arial"/>
          <w:sz w:val="18"/>
          <w:szCs w:val="18"/>
          <w:color w:val="auto"/>
        </w:rPr>
      </w:pPr>
    </w:p>
    <w:p>
      <w:pPr>
        <w:ind w:left="5420"/>
        <w:spacing w:after="0"/>
        <w:rPr>
          <w:rFonts w:ascii="Arial" w:cs="Arial" w:eastAsia="Arial" w:hAnsi="Arial"/>
          <w:sz w:val="18"/>
          <w:szCs w:val="18"/>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SEER,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EMPLOYEE STOCK PURCHASE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SUBSCRIPTION AGREEMENT</w:t>
      </w:r>
    </w:p>
    <w:p>
      <w:pPr>
        <w:spacing w:after="0" w:line="215" w:lineRule="exact"/>
        <w:rPr>
          <w:sz w:val="20"/>
          <w:szCs w:val="20"/>
          <w:color w:val="auto"/>
        </w:rPr>
      </w:pPr>
    </w:p>
    <w:p>
      <w:pPr>
        <w:spacing w:after="0"/>
        <w:tabs>
          <w:tab w:leader="none" w:pos="2420" w:val="left"/>
        </w:tabs>
        <w:rPr>
          <w:sz w:val="20"/>
          <w:szCs w:val="20"/>
          <w:color w:val="auto"/>
        </w:rPr>
      </w:pPr>
      <w:r>
        <w:rPr>
          <w:rFonts w:ascii="Arial" w:cs="Arial" w:eastAsia="Arial" w:hAnsi="Arial"/>
          <w:sz w:val="20"/>
          <w:szCs w:val="20"/>
          <w:color w:val="auto"/>
        </w:rPr>
        <w:t>_____ Original Application</w:t>
      </w:r>
      <w:r>
        <w:rPr>
          <w:sz w:val="20"/>
          <w:szCs w:val="20"/>
          <w:color w:val="auto"/>
        </w:rPr>
        <w:tab/>
      </w:r>
      <w:r>
        <w:rPr>
          <w:rFonts w:ascii="Arial" w:cs="Arial" w:eastAsia="Arial" w:hAnsi="Arial"/>
          <w:sz w:val="18"/>
          <w:szCs w:val="18"/>
          <w:color w:val="auto"/>
        </w:rPr>
        <w:t>Offering Date: 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_____ Change in Payroll Deduction Rate</w:t>
      </w:r>
    </w:p>
    <w:p>
      <w:pPr>
        <w:spacing w:after="0" w:line="207" w:lineRule="exact"/>
        <w:rPr>
          <w:sz w:val="20"/>
          <w:szCs w:val="20"/>
          <w:color w:val="auto"/>
        </w:rPr>
      </w:pPr>
    </w:p>
    <w:p>
      <w:pPr>
        <w:jc w:val="both"/>
        <w:ind w:firstLine="606"/>
        <w:spacing w:after="0" w:line="309" w:lineRule="auto"/>
        <w:tabs>
          <w:tab w:leader="none" w:pos="1210" w:val="left"/>
        </w:tabs>
        <w:numPr>
          <w:ilvl w:val="0"/>
          <w:numId w:val="68"/>
        </w:numPr>
        <w:rPr>
          <w:rFonts w:ascii="Arial" w:cs="Arial" w:eastAsia="Arial" w:hAnsi="Arial"/>
          <w:sz w:val="18"/>
          <w:szCs w:val="18"/>
          <w:color w:val="auto"/>
        </w:rPr>
      </w:pPr>
      <w:r>
        <w:rPr>
          <w:rFonts w:ascii="Arial" w:cs="Arial" w:eastAsia="Arial" w:hAnsi="Arial"/>
          <w:sz w:val="18"/>
          <w:szCs w:val="18"/>
          <w:color w:val="auto"/>
        </w:rPr>
        <w:t>____________________ hereby elects to participate in the Seer, Inc. 2020 Employee Stock Purchase Plan (the “</w:t>
      </w:r>
      <w:r>
        <w:rPr>
          <w:rFonts w:ascii="Arial" w:cs="Arial" w:eastAsia="Arial" w:hAnsi="Arial"/>
          <w:sz w:val="18"/>
          <w:szCs w:val="18"/>
          <w:b w:val="1"/>
          <w:bCs w:val="1"/>
          <w:color w:val="auto"/>
        </w:rPr>
        <w:t>Plan</w:t>
      </w:r>
      <w:r>
        <w:rPr>
          <w:rFonts w:ascii="Arial" w:cs="Arial" w:eastAsia="Arial" w:hAnsi="Arial"/>
          <w:sz w:val="18"/>
          <w:szCs w:val="18"/>
          <w:color w:val="auto"/>
        </w:rPr>
        <w:t>”) and subscribes to purchase shares of the Company’s Common Stock in accordance with this Subscription Agreement and the Plan. Any capitalized terms not specifically defined in this Subscription Agreement will have the meaning ascribed to them under the Plan.</w:t>
      </w:r>
    </w:p>
    <w:p>
      <w:pPr>
        <w:spacing w:after="0" w:line="124" w:lineRule="exact"/>
        <w:rPr>
          <w:rFonts w:ascii="Arial" w:cs="Arial" w:eastAsia="Arial" w:hAnsi="Arial"/>
          <w:sz w:val="18"/>
          <w:szCs w:val="18"/>
          <w:color w:val="auto"/>
        </w:rPr>
      </w:pPr>
    </w:p>
    <w:p>
      <w:pPr>
        <w:jc w:val="both"/>
        <w:ind w:firstLine="606"/>
        <w:spacing w:after="0" w:line="255" w:lineRule="auto"/>
        <w:tabs>
          <w:tab w:leader="none" w:pos="1210" w:val="left"/>
        </w:tabs>
        <w:numPr>
          <w:ilvl w:val="0"/>
          <w:numId w:val="68"/>
        </w:numPr>
        <w:rPr>
          <w:rFonts w:ascii="Arial" w:cs="Arial" w:eastAsia="Arial" w:hAnsi="Arial"/>
          <w:sz w:val="20"/>
          <w:szCs w:val="20"/>
          <w:color w:val="auto"/>
        </w:rPr>
      </w:pPr>
      <w:r>
        <w:rPr>
          <w:rFonts w:ascii="Arial" w:cs="Arial" w:eastAsia="Arial" w:hAnsi="Arial"/>
          <w:sz w:val="20"/>
          <w:szCs w:val="20"/>
          <w:color w:val="auto"/>
        </w:rPr>
        <w:t>I hereby authorize and consent to payroll deductions from each paycheck in the amount of ____% of my Compensation on each payday (from 0% to 15%) during the Offering Period in accordance with the Plan. (Please note that no fractional percentages are permitted.) I understand that only my first, one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w:t>
      </w:r>
    </w:p>
    <w:p>
      <w:pPr>
        <w:spacing w:after="0" w:line="172" w:lineRule="exact"/>
        <w:rPr>
          <w:rFonts w:ascii="Arial" w:cs="Arial" w:eastAsia="Arial" w:hAnsi="Arial"/>
          <w:sz w:val="20"/>
          <w:szCs w:val="20"/>
          <w:color w:val="auto"/>
        </w:rPr>
      </w:pPr>
    </w:p>
    <w:p>
      <w:pPr>
        <w:jc w:val="both"/>
        <w:ind w:firstLine="606"/>
        <w:spacing w:after="0" w:line="257" w:lineRule="auto"/>
        <w:tabs>
          <w:tab w:leader="none" w:pos="1210" w:val="left"/>
        </w:tabs>
        <w:numPr>
          <w:ilvl w:val="0"/>
          <w:numId w:val="68"/>
        </w:numPr>
        <w:rPr>
          <w:rFonts w:ascii="Arial" w:cs="Arial" w:eastAsia="Arial" w:hAnsi="Arial"/>
          <w:sz w:val="20"/>
          <w:szCs w:val="20"/>
          <w:color w:val="auto"/>
        </w:rPr>
      </w:pPr>
      <w:r>
        <w:rPr>
          <w:rFonts w:ascii="Arial" w:cs="Arial" w:eastAsia="Arial" w:hAnsi="Arial"/>
          <w:sz w:val="20"/>
          <w:szCs w:val="20"/>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spacing w:after="0" w:line="168" w:lineRule="exact"/>
        <w:rPr>
          <w:rFonts w:ascii="Arial" w:cs="Arial" w:eastAsia="Arial" w:hAnsi="Arial"/>
          <w:sz w:val="20"/>
          <w:szCs w:val="20"/>
          <w:color w:val="auto"/>
        </w:rPr>
      </w:pPr>
    </w:p>
    <w:p>
      <w:pPr>
        <w:ind w:firstLine="606"/>
        <w:spacing w:after="0" w:line="278" w:lineRule="auto"/>
        <w:tabs>
          <w:tab w:leader="none" w:pos="1210" w:val="left"/>
        </w:tabs>
        <w:numPr>
          <w:ilvl w:val="0"/>
          <w:numId w:val="68"/>
        </w:numPr>
        <w:rPr>
          <w:rFonts w:ascii="Arial" w:cs="Arial" w:eastAsia="Arial" w:hAnsi="Arial"/>
          <w:sz w:val="20"/>
          <w:szCs w:val="20"/>
          <w:color w:val="auto"/>
        </w:rPr>
      </w:pPr>
      <w:r>
        <w:rPr>
          <w:rFonts w:ascii="Arial" w:cs="Arial" w:eastAsia="Arial" w:hAnsi="Arial"/>
          <w:sz w:val="20"/>
          <w:szCs w:val="20"/>
          <w:color w:val="auto"/>
        </w:rPr>
        <w:t>I have received a copy of the complete Plan and its accompanying prospectus. I understand that my participation in the Plan is in all respects subject to the terms of the Plan.</w:t>
      </w:r>
    </w:p>
    <w:p>
      <w:pPr>
        <w:spacing w:after="0" w:line="148" w:lineRule="exact"/>
        <w:rPr>
          <w:rFonts w:ascii="Arial" w:cs="Arial" w:eastAsia="Arial" w:hAnsi="Arial"/>
          <w:sz w:val="20"/>
          <w:szCs w:val="20"/>
          <w:color w:val="auto"/>
        </w:rPr>
      </w:pPr>
    </w:p>
    <w:p>
      <w:pPr>
        <w:ind w:firstLine="606"/>
        <w:spacing w:after="0" w:line="278" w:lineRule="auto"/>
        <w:tabs>
          <w:tab w:leader="none" w:pos="1210" w:val="left"/>
        </w:tabs>
        <w:numPr>
          <w:ilvl w:val="0"/>
          <w:numId w:val="68"/>
        </w:numPr>
        <w:rPr>
          <w:rFonts w:ascii="Arial" w:cs="Arial" w:eastAsia="Arial" w:hAnsi="Arial"/>
          <w:sz w:val="20"/>
          <w:szCs w:val="20"/>
          <w:color w:val="auto"/>
        </w:rPr>
      </w:pPr>
      <w:r>
        <w:rPr>
          <w:rFonts w:ascii="Arial" w:cs="Arial" w:eastAsia="Arial" w:hAnsi="Arial"/>
          <w:sz w:val="20"/>
          <w:szCs w:val="20"/>
          <w:color w:val="auto"/>
        </w:rPr>
        <w:t>Shares of Common Stock purchased for me under the Plan should be issued in the name(s) of _____________ (Eligible Employee or Eligible Employee and spouse only).</w:t>
      </w:r>
    </w:p>
    <w:p>
      <w:pPr>
        <w:spacing w:after="0" w:line="148" w:lineRule="exact"/>
        <w:rPr>
          <w:rFonts w:ascii="Arial" w:cs="Arial" w:eastAsia="Arial" w:hAnsi="Arial"/>
          <w:sz w:val="20"/>
          <w:szCs w:val="20"/>
          <w:color w:val="auto"/>
        </w:rPr>
      </w:pPr>
    </w:p>
    <w:p>
      <w:pPr>
        <w:jc w:val="both"/>
        <w:ind w:firstLine="606"/>
        <w:spacing w:after="0" w:line="264" w:lineRule="auto"/>
        <w:tabs>
          <w:tab w:leader="none" w:pos="1210" w:val="left"/>
        </w:tabs>
        <w:numPr>
          <w:ilvl w:val="0"/>
          <w:numId w:val="68"/>
        </w:numPr>
        <w:rPr>
          <w:rFonts w:ascii="Arial" w:cs="Arial" w:eastAsia="Arial" w:hAnsi="Arial"/>
          <w:sz w:val="20"/>
          <w:szCs w:val="20"/>
          <w:color w:val="auto"/>
        </w:rPr>
      </w:pPr>
      <w:r>
        <w:rPr>
          <w:rFonts w:ascii="Arial" w:cs="Arial" w:eastAsia="Arial" w:hAnsi="Arial"/>
          <w:sz w:val="20"/>
          <w:szCs w:val="20"/>
          <w:color w:val="auto"/>
        </w:rPr>
        <w:t>If I am a U.S. taxpayer, I understand that if I dispose of any shares received by me pursuant to the Plan within two (2) years after the Offering Date (the first day of the Offering Period during which I purchased such shares) or one (1) year after the Exercise Date, I will be treated for</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 xml:space="preserve">federal income tax purposes as having received ordinary income at the time of such disposition in an amount equal to the excess of the fair market value of the shares at the time such shares were purchased by me over the price that I paid for the shares. </w:t>
      </w:r>
      <w:r>
        <w:rPr>
          <w:rFonts w:ascii="Arial" w:cs="Arial" w:eastAsia="Arial" w:hAnsi="Arial"/>
          <w:sz w:val="19"/>
          <w:szCs w:val="19"/>
          <w:b w:val="1"/>
          <w:bCs w:val="1"/>
          <w:color w:val="auto"/>
        </w:rPr>
        <w:t>I hereby agree to notify</w:t>
      </w:r>
      <w:r>
        <w:rPr>
          <w:rFonts w:ascii="Arial" w:cs="Arial" w:eastAsia="Arial" w:hAnsi="Arial"/>
          <w:sz w:val="19"/>
          <w:szCs w:val="19"/>
          <w:color w:val="auto"/>
        </w:rPr>
        <w:t xml:space="preserve"> </w:t>
      </w:r>
      <w:r>
        <w:rPr>
          <w:rFonts w:ascii="Arial" w:cs="Arial" w:eastAsia="Arial" w:hAnsi="Arial"/>
          <w:sz w:val="19"/>
          <w:szCs w:val="19"/>
          <w:b w:val="1"/>
          <w:bCs w:val="1"/>
          <w:color w:val="auto"/>
        </w:rPr>
        <w:t>the Company in writing within thirty (30) days after the date of any disposition of my shares and I will make adequate provision for federal, state or other tax withholding obligations, if any, which arise upon the disposition of the Common Stock</w:t>
      </w:r>
      <w:r>
        <w:rPr>
          <w:rFonts w:ascii="Arial" w:cs="Arial" w:eastAsia="Arial" w:hAnsi="Arial"/>
          <w:sz w:val="19"/>
          <w:szCs w:val="19"/>
          <w:color w:val="auto"/>
        </w:rPr>
        <w:t>.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 year and one (1) 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fifteen percent (15%) of the fair market value of the shares on the first day of the Offering Period. The remainder of the gain, if any, recognized on such disposition will be taxed as capital gain.</w:t>
      </w:r>
    </w:p>
    <w:p>
      <w:pPr>
        <w:spacing w:after="0" w:line="160" w:lineRule="exact"/>
        <w:rPr>
          <w:sz w:val="20"/>
          <w:szCs w:val="20"/>
          <w:color w:val="auto"/>
        </w:rPr>
      </w:pPr>
    </w:p>
    <w:p>
      <w:pPr>
        <w:jc w:val="both"/>
        <w:ind w:firstLine="606"/>
        <w:spacing w:after="0" w:line="283" w:lineRule="auto"/>
        <w:tabs>
          <w:tab w:leader="none" w:pos="121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employees that may be subject to tax in non U.S. jurisdictions, I acknowledge and agree that, regardless of any action taken by the Company or any Designated Company with respect to any or all income tax, social security, social insurances, National Insurance Contributions, payroll tax, fringe benefit, or other tax-related items related to my participation in the Plan and legally applicable to me including, without limitation, in connection with the grant of such options, the purchase or sale of shares of Common Stock acquired under the Plan and/or the receipt of any dividends on such shares (“</w:t>
      </w:r>
      <w:r>
        <w:rPr>
          <w:rFonts w:ascii="Arial" w:cs="Arial" w:eastAsia="Arial" w:hAnsi="Arial"/>
          <w:sz w:val="18"/>
          <w:szCs w:val="18"/>
          <w:b w:val="1"/>
          <w:bCs w:val="1"/>
          <w:color w:val="auto"/>
        </w:rPr>
        <w:t>Tax-Related Items</w:t>
      </w:r>
      <w:r>
        <w:rPr>
          <w:rFonts w:ascii="Arial" w:cs="Arial" w:eastAsia="Arial" w:hAnsi="Arial"/>
          <w:sz w:val="18"/>
          <w:szCs w:val="18"/>
          <w:color w:val="auto"/>
        </w:rPr>
        <w:t>”), the ultimate liability for all Tax-Related Items is and remains my responsibility and may exceed the amount actually withheld by the Company or a Designated Company. Furthermore, I acknowledge that the Company and/or any Designated Company (a) make no representations or undertakings regarding the treatment of any Tax-Related Items in connection with any aspect of the options under the Plan and (b) do not commit to and are under no obligation to structure the terms of the grant of options or any aspect of my participation in the Plan to reduce or eliminate my liability for Tax-Related Items or achieve any particular tax result. Further, if I have become subject to tax in more than one jurisdiction between the date of my enrollment and the date of any relevant taxable or tax withholding event, as applicable, I acknowledge that the Company and/or the Employer (or former employer, as applicable) may be required to withhold or account for Tax-Related Items in more than one jurisdiction.</w:t>
      </w:r>
    </w:p>
    <w:p>
      <w:pPr>
        <w:spacing w:after="0" w:line="148" w:lineRule="exact"/>
        <w:rPr>
          <w:sz w:val="20"/>
          <w:szCs w:val="20"/>
          <w:color w:val="auto"/>
        </w:rPr>
      </w:pPr>
    </w:p>
    <w:p>
      <w:pPr>
        <w:jc w:val="both"/>
        <w:ind w:firstLine="605"/>
        <w:spacing w:after="0" w:line="282" w:lineRule="auto"/>
        <w:rPr>
          <w:sz w:val="20"/>
          <w:szCs w:val="20"/>
          <w:color w:val="auto"/>
        </w:rPr>
      </w:pPr>
      <w:r>
        <w:rPr>
          <w:rFonts w:ascii="Arial" w:cs="Arial" w:eastAsia="Arial" w:hAnsi="Arial"/>
          <w:sz w:val="18"/>
          <w:szCs w:val="18"/>
          <w:color w:val="auto"/>
        </w:rPr>
        <w:t>Prior to the purchase of shares of Common Stock under the Plan or any other relevant taxable or tax withholding event, as applicable, I agree to make adequate arrangements satisfactory to the Company and/or the applicable Designated Company to satisfy all Tax-Related Items. In this regard, I authorize the Company and/or the applicable Designated Company, or their respective agents, at their discretion, to satisfy any applicable withholding obligations with regard to all Tax-Related Items by one or a combination of the following:</w:t>
      </w:r>
    </w:p>
    <w:p>
      <w:pPr>
        <w:spacing w:after="0" w:line="3" w:lineRule="exact"/>
        <w:rPr>
          <w:sz w:val="20"/>
          <w:szCs w:val="20"/>
          <w:color w:val="auto"/>
        </w:rPr>
      </w:pPr>
    </w:p>
    <w:p>
      <w:pPr>
        <w:ind w:left="340" w:hanging="339"/>
        <w:spacing w:after="0"/>
        <w:tabs>
          <w:tab w:leader="none" w:pos="340" w:val="left"/>
        </w:tabs>
        <w:numPr>
          <w:ilvl w:val="0"/>
          <w:numId w:val="70"/>
        </w:numPr>
        <w:rPr>
          <w:rFonts w:ascii="Arial" w:cs="Arial" w:eastAsia="Arial" w:hAnsi="Arial"/>
          <w:sz w:val="20"/>
          <w:szCs w:val="20"/>
          <w:color w:val="auto"/>
        </w:rPr>
      </w:pPr>
      <w:r>
        <w:rPr>
          <w:rFonts w:ascii="Arial" w:cs="Arial" w:eastAsia="Arial" w:hAnsi="Arial"/>
          <w:sz w:val="20"/>
          <w:szCs w:val="20"/>
          <w:color w:val="auto"/>
        </w:rPr>
        <w:t>withholding from my wages or Compensation paid to me by the Company and/or the applicable Designated Company; or</w:t>
      </w:r>
    </w:p>
    <w:p>
      <w:pPr>
        <w:spacing w:after="0" w:line="9" w:lineRule="exact"/>
        <w:rPr>
          <w:rFonts w:ascii="Arial" w:cs="Arial" w:eastAsia="Arial" w:hAnsi="Arial"/>
          <w:sz w:val="20"/>
          <w:szCs w:val="20"/>
          <w:color w:val="auto"/>
        </w:rPr>
      </w:pPr>
    </w:p>
    <w:p>
      <w:pPr>
        <w:ind w:left="280" w:hanging="279"/>
        <w:spacing w:after="0"/>
        <w:tabs>
          <w:tab w:leader="none" w:pos="2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withholding from proceeds of the sale of the shares of Common Stock purchased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either through a voluntary sale or through a mandatory sale arranged by the Company (on my behalf pursuant to this authorization). Depending on the withholding method, the Company may withhold or account for Tax-Related Items by considering applicable maximum withholding rates, in which case I will receive a refund of any over-withheld amount in cash and will have no entitlement to the Common Stock equivalent.</w:t>
      </w:r>
    </w:p>
    <w:p>
      <w:pPr>
        <w:spacing w:after="0" w:line="167" w:lineRule="exact"/>
        <w:rPr>
          <w:sz w:val="20"/>
          <w:szCs w:val="20"/>
          <w:color w:val="auto"/>
        </w:rPr>
      </w:pPr>
    </w:p>
    <w:p>
      <w:pPr>
        <w:jc w:val="both"/>
        <w:ind w:firstLine="605"/>
        <w:spacing w:after="0" w:line="257" w:lineRule="auto"/>
        <w:rPr>
          <w:sz w:val="20"/>
          <w:szCs w:val="20"/>
          <w:color w:val="auto"/>
        </w:rPr>
      </w:pPr>
      <w:r>
        <w:rPr>
          <w:rFonts w:ascii="Arial" w:cs="Arial" w:eastAsia="Arial" w:hAnsi="Arial"/>
          <w:sz w:val="20"/>
          <w:szCs w:val="20"/>
          <w:color w:val="auto"/>
        </w:rPr>
        <w:t>Finally, I agree to pay to the Company or the applicable Designated Company any amount of Tax-Related Items that the Company or the applicable Designated Company may be required to withhold as a result of my participation in the Plan that cannot be satisfied by the means previously described. The Company may refuse to purchase shares of Common Stock under the Plan on my behalf and/or refuse to issue or deliver the shares or the proceeds of the sale of shares if I fail to comply with my obligations in connection with the Tax-Related Items.</w:t>
      </w:r>
    </w:p>
    <w:p>
      <w:pPr>
        <w:spacing w:after="0" w:line="168" w:lineRule="exact"/>
        <w:rPr>
          <w:sz w:val="20"/>
          <w:szCs w:val="20"/>
          <w:color w:val="auto"/>
        </w:rPr>
      </w:pPr>
    </w:p>
    <w:p>
      <w:pPr>
        <w:ind w:left="1220" w:hanging="614"/>
        <w:spacing w:after="0"/>
        <w:tabs>
          <w:tab w:leader="none" w:pos="1220" w:val="left"/>
        </w:tabs>
        <w:numPr>
          <w:ilvl w:val="0"/>
          <w:numId w:val="71"/>
        </w:numPr>
        <w:rPr>
          <w:rFonts w:ascii="Arial" w:cs="Arial" w:eastAsia="Arial" w:hAnsi="Arial"/>
          <w:sz w:val="20"/>
          <w:szCs w:val="20"/>
          <w:color w:val="auto"/>
        </w:rPr>
      </w:pPr>
      <w:r>
        <w:rPr>
          <w:rFonts w:ascii="Arial" w:cs="Arial" w:eastAsia="Arial" w:hAnsi="Arial"/>
          <w:sz w:val="20"/>
          <w:szCs w:val="20"/>
          <w:color w:val="auto"/>
        </w:rPr>
        <w:t>By electing to participate in the Plan, I acknowledge, understand and agree that:</w:t>
      </w:r>
    </w:p>
    <w:p>
      <w:pPr>
        <w:spacing w:after="0" w:line="211" w:lineRule="exact"/>
        <w:rPr>
          <w:rFonts w:ascii="Arial" w:cs="Arial" w:eastAsia="Arial" w:hAnsi="Arial"/>
          <w:sz w:val="20"/>
          <w:szCs w:val="20"/>
          <w:color w:val="auto"/>
        </w:rPr>
      </w:pPr>
    </w:p>
    <w:p>
      <w:pPr>
        <w:ind w:left="80" w:firstLine="1131"/>
        <w:spacing w:after="0" w:line="278" w:lineRule="auto"/>
        <w:tabs>
          <w:tab w:leader="none" w:pos="1817" w:val="left"/>
        </w:tabs>
        <w:numPr>
          <w:ilvl w:val="1"/>
          <w:numId w:val="71"/>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provided for in the Plan;</w:t>
      </w:r>
    </w:p>
    <w:p>
      <w:pPr>
        <w:spacing w:after="0" w:line="148" w:lineRule="exact"/>
        <w:rPr>
          <w:rFonts w:ascii="Arial" w:cs="Arial" w:eastAsia="Arial" w:hAnsi="Arial"/>
          <w:sz w:val="20"/>
          <w:szCs w:val="20"/>
          <w:color w:val="auto"/>
        </w:rPr>
      </w:pPr>
    </w:p>
    <w:p>
      <w:pPr>
        <w:ind w:left="1820" w:hanging="609"/>
        <w:spacing w:after="0"/>
        <w:tabs>
          <w:tab w:leader="none" w:pos="18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decisions with respect to future grants under the Plan, if applicable, will be at the sole discretion of the Company;</w:t>
      </w:r>
    </w:p>
    <w:p>
      <w:pPr>
        <w:spacing w:after="0" w:line="234" w:lineRule="exact"/>
        <w:rPr>
          <w:rFonts w:ascii="Arial" w:cs="Arial" w:eastAsia="Arial" w:hAnsi="Arial"/>
          <w:sz w:val="18"/>
          <w:szCs w:val="18"/>
          <w:color w:val="auto"/>
        </w:rPr>
      </w:pPr>
    </w:p>
    <w:p>
      <w:pPr>
        <w:jc w:val="both"/>
        <w:ind w:left="80" w:firstLine="1131"/>
        <w:spacing w:after="0" w:line="264" w:lineRule="auto"/>
        <w:tabs>
          <w:tab w:leader="none" w:pos="1817" w:val="left"/>
        </w:tabs>
        <w:numPr>
          <w:ilvl w:val="1"/>
          <w:numId w:val="71"/>
        </w:numPr>
        <w:rPr>
          <w:rFonts w:ascii="Arial" w:cs="Arial" w:eastAsia="Arial" w:hAnsi="Arial"/>
          <w:sz w:val="20"/>
          <w:szCs w:val="20"/>
          <w:color w:val="auto"/>
        </w:rPr>
      </w:pPr>
      <w:r>
        <w:rPr>
          <w:rFonts w:ascii="Arial" w:cs="Arial" w:eastAsia="Arial" w:hAnsi="Arial"/>
          <w:sz w:val="20"/>
          <w:szCs w:val="20"/>
          <w:color w:val="auto"/>
        </w:rPr>
        <w:t>the grant of options under the Plan will not create a right to employment or be interpreted as forming or amending an employment or service contract with the Company, or any Designated Company, and will not interfere with the ability of the Company or any Designated Company, as applicable, to terminate my employment (if any);</w:t>
      </w:r>
    </w:p>
    <w:p>
      <w:pPr>
        <w:spacing w:after="0" w:line="161" w:lineRule="exact"/>
        <w:rPr>
          <w:rFonts w:ascii="Arial" w:cs="Arial" w:eastAsia="Arial" w:hAnsi="Arial"/>
          <w:sz w:val="20"/>
          <w:szCs w:val="20"/>
          <w:color w:val="auto"/>
        </w:rPr>
      </w:pPr>
    </w:p>
    <w:p>
      <w:pPr>
        <w:ind w:left="1820" w:hanging="609"/>
        <w:spacing w:after="0"/>
        <w:tabs>
          <w:tab w:leader="none" w:pos="1820" w:val="left"/>
        </w:tabs>
        <w:numPr>
          <w:ilvl w:val="1"/>
          <w:numId w:val="71"/>
        </w:numPr>
        <w:rPr>
          <w:rFonts w:ascii="Arial" w:cs="Arial" w:eastAsia="Arial" w:hAnsi="Arial"/>
          <w:sz w:val="20"/>
          <w:szCs w:val="20"/>
          <w:color w:val="auto"/>
        </w:rPr>
      </w:pPr>
      <w:r>
        <w:rPr>
          <w:rFonts w:ascii="Arial" w:cs="Arial" w:eastAsia="Arial" w:hAnsi="Arial"/>
          <w:sz w:val="20"/>
          <w:szCs w:val="20"/>
          <w:color w:val="auto"/>
        </w:rPr>
        <w:t>I am voluntarily participating in the Plan;</w:t>
      </w:r>
    </w:p>
    <w:p>
      <w:pPr>
        <w:spacing w:after="0" w:line="211" w:lineRule="exact"/>
        <w:rPr>
          <w:rFonts w:ascii="Arial" w:cs="Arial" w:eastAsia="Arial" w:hAnsi="Arial"/>
          <w:sz w:val="20"/>
          <w:szCs w:val="20"/>
          <w:color w:val="auto"/>
        </w:rPr>
      </w:pPr>
    </w:p>
    <w:p>
      <w:pPr>
        <w:ind w:left="80" w:firstLine="1131"/>
        <w:spacing w:after="0" w:line="278" w:lineRule="auto"/>
        <w:tabs>
          <w:tab w:leader="none" w:pos="1817" w:val="left"/>
        </w:tabs>
        <w:numPr>
          <w:ilvl w:val="1"/>
          <w:numId w:val="71"/>
        </w:numPr>
        <w:rPr>
          <w:rFonts w:ascii="Arial" w:cs="Arial" w:eastAsia="Arial" w:hAnsi="Arial"/>
          <w:sz w:val="20"/>
          <w:szCs w:val="20"/>
          <w:color w:val="auto"/>
        </w:rPr>
      </w:pPr>
      <w:r>
        <w:rPr>
          <w:rFonts w:ascii="Arial" w:cs="Arial" w:eastAsia="Arial" w:hAnsi="Arial"/>
          <w:sz w:val="20"/>
          <w:szCs w:val="20"/>
          <w:color w:val="auto"/>
        </w:rPr>
        <w:t>the options granted under the Plan and the shares of Common Stock underlying such options, and the income and value of same, are not intended to replace any pension rights or compensation;</w:t>
      </w:r>
    </w:p>
    <w:p>
      <w:pPr>
        <w:spacing w:after="0" w:line="148" w:lineRule="exact"/>
        <w:rPr>
          <w:rFonts w:ascii="Arial" w:cs="Arial" w:eastAsia="Arial" w:hAnsi="Arial"/>
          <w:sz w:val="20"/>
          <w:szCs w:val="20"/>
          <w:color w:val="auto"/>
        </w:rPr>
      </w:pPr>
    </w:p>
    <w:p>
      <w:pPr>
        <w:jc w:val="both"/>
        <w:ind w:left="80" w:firstLine="1131"/>
        <w:spacing w:after="0" w:line="259" w:lineRule="auto"/>
        <w:tabs>
          <w:tab w:leader="none" w:pos="1820" w:val="left"/>
        </w:tabs>
        <w:numPr>
          <w:ilvl w:val="1"/>
          <w:numId w:val="71"/>
        </w:numPr>
        <w:rPr>
          <w:rFonts w:ascii="Arial" w:cs="Arial" w:eastAsia="Arial" w:hAnsi="Arial"/>
          <w:sz w:val="20"/>
          <w:szCs w:val="20"/>
          <w:color w:val="auto"/>
        </w:rPr>
      </w:pPr>
      <w:r>
        <w:rPr>
          <w:rFonts w:ascii="Arial" w:cs="Arial" w:eastAsia="Arial" w:hAnsi="Arial"/>
          <w:sz w:val="20"/>
          <w:szCs w:val="20"/>
          <w:color w:val="auto"/>
        </w:rPr>
        <w:t>the options granted under the Plan and the shares of Common Stock underlying such options, and the income and value of same, are not part of my normal or expected compensation for any purpose, including, but not limited to, calculating any severance, resignation, termination, redundancy, dismissal, end-of-service payments, bonuses, long-service awards, pension or retirement benefits or similar payments;</w:t>
      </w:r>
    </w:p>
    <w:p>
      <w:pPr>
        <w:spacing w:after="0" w:line="167" w:lineRule="exact"/>
        <w:rPr>
          <w:rFonts w:ascii="Arial" w:cs="Arial" w:eastAsia="Arial" w:hAnsi="Arial"/>
          <w:sz w:val="20"/>
          <w:szCs w:val="20"/>
          <w:color w:val="auto"/>
        </w:rPr>
      </w:pPr>
    </w:p>
    <w:p>
      <w:pPr>
        <w:ind w:left="80" w:firstLine="1131"/>
        <w:spacing w:after="0" w:line="278" w:lineRule="auto"/>
        <w:tabs>
          <w:tab w:leader="none" w:pos="1815" w:val="left"/>
        </w:tabs>
        <w:numPr>
          <w:ilvl w:val="1"/>
          <w:numId w:val="71"/>
        </w:numPr>
        <w:rPr>
          <w:rFonts w:ascii="Arial" w:cs="Arial" w:eastAsia="Arial" w:hAnsi="Arial"/>
          <w:sz w:val="20"/>
          <w:szCs w:val="20"/>
          <w:color w:val="auto"/>
        </w:rPr>
      </w:pPr>
      <w:r>
        <w:rPr>
          <w:rFonts w:ascii="Arial" w:cs="Arial" w:eastAsia="Arial" w:hAnsi="Arial"/>
          <w:sz w:val="20"/>
          <w:szCs w:val="20"/>
          <w:color w:val="auto"/>
        </w:rPr>
        <w:t>the future value of the shares of Common Stock offered under the Plan is unknown, indeterminable and cannot be predicted with certainty;</w:t>
      </w:r>
    </w:p>
    <w:p>
      <w:pPr>
        <w:spacing w:after="0" w:line="148" w:lineRule="exact"/>
        <w:rPr>
          <w:rFonts w:ascii="Arial" w:cs="Arial" w:eastAsia="Arial" w:hAnsi="Arial"/>
          <w:sz w:val="20"/>
          <w:szCs w:val="20"/>
          <w:color w:val="auto"/>
        </w:rPr>
      </w:pPr>
    </w:p>
    <w:p>
      <w:pPr>
        <w:ind w:left="1820" w:hanging="609"/>
        <w:spacing w:after="0"/>
        <w:tabs>
          <w:tab w:leader="none" w:pos="1820" w:val="left"/>
        </w:tabs>
        <w:numPr>
          <w:ilvl w:val="1"/>
          <w:numId w:val="71"/>
        </w:numPr>
        <w:rPr>
          <w:rFonts w:ascii="Arial" w:cs="Arial" w:eastAsia="Arial" w:hAnsi="Arial"/>
          <w:sz w:val="19"/>
          <w:szCs w:val="19"/>
          <w:color w:val="auto"/>
        </w:rPr>
      </w:pPr>
      <w:r>
        <w:rPr>
          <w:rFonts w:ascii="Arial" w:cs="Arial" w:eastAsia="Arial" w:hAnsi="Arial"/>
          <w:sz w:val="19"/>
          <w:szCs w:val="19"/>
          <w:color w:val="auto"/>
        </w:rPr>
        <w:t>the shares of Common Stock that I acquire under the Plan may increase or decrease in value, even below the</w:t>
      </w:r>
    </w:p>
    <w:p>
      <w:pPr>
        <w:spacing w:after="0" w:line="39" w:lineRule="exact"/>
        <w:rPr>
          <w:rFonts w:ascii="Arial" w:cs="Arial" w:eastAsia="Arial" w:hAnsi="Arial"/>
          <w:sz w:val="19"/>
          <w:szCs w:val="19"/>
          <w:color w:val="auto"/>
        </w:rPr>
      </w:pPr>
    </w:p>
    <w:p>
      <w:pPr>
        <w:ind w:left="80"/>
        <w:spacing w:after="0"/>
        <w:rPr>
          <w:rFonts w:ascii="Arial" w:cs="Arial" w:eastAsia="Arial" w:hAnsi="Arial"/>
          <w:sz w:val="19"/>
          <w:szCs w:val="19"/>
          <w:color w:val="auto"/>
        </w:rPr>
      </w:pPr>
      <w:r>
        <w:rPr>
          <w:rFonts w:ascii="Arial" w:cs="Arial" w:eastAsia="Arial" w:hAnsi="Arial"/>
          <w:sz w:val="20"/>
          <w:szCs w:val="20"/>
          <w:color w:val="auto"/>
        </w:rPr>
        <w:t>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80" w:firstLine="1131"/>
        <w:spacing w:after="0" w:line="269" w:lineRule="auto"/>
        <w:tabs>
          <w:tab w:leader="none" w:pos="1808" w:val="left"/>
        </w:tabs>
        <w:numPr>
          <w:ilvl w:val="1"/>
          <w:numId w:val="72"/>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will arise from the forfeiture of options granted to me under the Plan as a result of the termination of my status as an Eligible Employee (for any reason whatsoever, and whether or not later found to be invalid or in breach of employment laws in the jurisdiction where I am employed or the terms of my employment agreement, if any) and, in consideration of the grant of options under the Plan to which I am otherwise not entitled, I irrevocably agree never to institute a claim against the Company, or any Designated Company, waive my ability, if any, to bring such claim, and release the Company, and any Designated Company from any such claim that may arise; if, notwithstanding the foregoing, any such claim is allowed by a court of competent jurisdiction, I will be deemed irrevocably to have agreed to not to pursue such claim and agree to execute any and all documents necessary to request dismissal or withdrawal of such claim; and</w:t>
      </w:r>
    </w:p>
    <w:p>
      <w:pPr>
        <w:spacing w:after="0" w:line="159" w:lineRule="exact"/>
        <w:rPr>
          <w:rFonts w:ascii="Arial" w:cs="Arial" w:eastAsia="Arial" w:hAnsi="Arial"/>
          <w:sz w:val="19"/>
          <w:szCs w:val="19"/>
          <w:color w:val="auto"/>
        </w:rPr>
      </w:pPr>
    </w:p>
    <w:p>
      <w:pPr>
        <w:jc w:val="both"/>
        <w:ind w:left="80" w:firstLine="1131"/>
        <w:spacing w:after="0" w:line="268" w:lineRule="auto"/>
        <w:tabs>
          <w:tab w:leader="none" w:pos="1808" w:val="left"/>
        </w:tabs>
        <w:numPr>
          <w:ilvl w:val="1"/>
          <w:numId w:val="72"/>
        </w:numPr>
        <w:rPr>
          <w:rFonts w:ascii="Arial" w:cs="Arial" w:eastAsia="Arial" w:hAnsi="Arial"/>
          <w:sz w:val="19"/>
          <w:szCs w:val="19"/>
          <w:color w:val="auto"/>
        </w:rPr>
      </w:pPr>
      <w:r>
        <w:rPr>
          <w:rFonts w:ascii="Arial" w:cs="Arial" w:eastAsia="Arial" w:hAnsi="Arial"/>
          <w:sz w:val="19"/>
          <w:szCs w:val="19"/>
          <w:color w:val="auto"/>
        </w:rPr>
        <w:t>in the event of the termination of my status as an Eligible Employee (for any reason whatsoever, whether or not later found to be invalid or in breach of employment laws in the jurisdiction where I am employed or the terms of my employment agreement, if any), my right to participate in the Plan and any options granted to me under the Plan, if any, will terminate effective as of the date that I am no longer actively employed by the Company or one of its Designated Companies and, in any event, will not be extended by any notice period mandated under the employment laws in the jurisdiction in which I am employed or the terms of my employment agreement, if any (</w:t>
      </w:r>
      <w:r>
        <w:rPr>
          <w:rFonts w:ascii="Arial" w:cs="Arial" w:eastAsia="Arial" w:hAnsi="Arial"/>
          <w:sz w:val="19"/>
          <w:szCs w:val="19"/>
          <w:i w:val="1"/>
          <w:iCs w:val="1"/>
          <w:color w:val="auto"/>
        </w:rPr>
        <w:t>e.g.</w:t>
      </w:r>
      <w:r>
        <w:rPr>
          <w:rFonts w:ascii="Arial" w:cs="Arial" w:eastAsia="Arial" w:hAnsi="Arial"/>
          <w:sz w:val="19"/>
          <w:szCs w:val="19"/>
          <w:color w:val="auto"/>
        </w:rPr>
        <w:t>, active employment would not include a period of “</w:t>
      </w:r>
      <w:r>
        <w:rPr>
          <w:rFonts w:ascii="Arial" w:cs="Arial" w:eastAsia="Arial" w:hAnsi="Arial"/>
          <w:sz w:val="19"/>
          <w:szCs w:val="19"/>
          <w:b w:val="1"/>
          <w:bCs w:val="1"/>
          <w:color w:val="auto"/>
        </w:rPr>
        <w:t>garden leave</w:t>
      </w:r>
      <w:r>
        <w:rPr>
          <w:rFonts w:ascii="Arial" w:cs="Arial" w:eastAsia="Arial" w:hAnsi="Arial"/>
          <w:sz w:val="19"/>
          <w:szCs w:val="19"/>
          <w:color w:val="auto"/>
        </w:rPr>
        <w:t>” or similar period pursuant to the employment laws in the jurisdiction in which I am employed or the terms of my employment agreement, if any); the Company will have the exclusive discretion to determine when I am no longer actively employed for purposes of my participation in the Plan (including whether I may still be considered to be actively employed while on a leave of absence).</w:t>
      </w:r>
    </w:p>
    <w:p>
      <w:pPr>
        <w:spacing w:after="0" w:line="161" w:lineRule="exact"/>
        <w:rPr>
          <w:rFonts w:ascii="Arial" w:cs="Arial" w:eastAsia="Arial" w:hAnsi="Arial"/>
          <w:sz w:val="19"/>
          <w:szCs w:val="19"/>
          <w:color w:val="auto"/>
        </w:rPr>
      </w:pPr>
    </w:p>
    <w:p>
      <w:pPr>
        <w:jc w:val="both"/>
        <w:ind w:firstLine="606"/>
        <w:spacing w:after="0" w:line="282" w:lineRule="auto"/>
        <w:tabs>
          <w:tab w:leader="none" w:pos="1210"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I understand that the Company and/or any Designated Company may collect, where permissible under applicable law certain personal information about me, including, but not limited to, my name, home address and telephone number, date of birth, social insurance number or other identification number, salary, nationality, job title, any shares of Common Stock or directorships held in the Company, details of all options granted under the Plan or any other entitlement to shares of Common Stock awarded, canceled, exercised, vested, unvested or outstanding in my favor (“</w:t>
      </w:r>
      <w:r>
        <w:rPr>
          <w:rFonts w:ascii="Arial" w:cs="Arial" w:eastAsia="Arial" w:hAnsi="Arial"/>
          <w:sz w:val="18"/>
          <w:szCs w:val="18"/>
          <w:b w:val="1"/>
          <w:bCs w:val="1"/>
          <w:i w:val="1"/>
          <w:iCs w:val="1"/>
          <w:color w:val="auto"/>
        </w:rPr>
        <w:t>Data</w:t>
      </w:r>
      <w:r>
        <w:rPr>
          <w:rFonts w:ascii="Arial" w:cs="Arial" w:eastAsia="Arial" w:hAnsi="Arial"/>
          <w:sz w:val="18"/>
          <w:szCs w:val="18"/>
          <w:i w:val="1"/>
          <w:iCs w:val="1"/>
          <w:color w:val="auto"/>
        </w:rPr>
        <w:t>”), for the exclusive purpose of implementing, administering and managing the Plan. I understand that Company may transfer my Data to the United States, which is not considered by the European Commission to have data protection laws equivalent to the laws in my country. I understand that the Company will transfer my Data to its designated broker, or such other stock plan service provider as may be selected by the Company in the future, which is assisting the Company with the implementation, administration and management of the Plan. I understand that the recipients of the Data may be located in the United States or elsewhere, and that a recipient’s country of operation (e.g., the United States) may have different, including less stringent, data privacy laws that the European Commission or my jurisdiction does not consider to be equivalent to the protections in my country. I understand that I may request a list with the names and addresses of any potential recipients of the Data by contacting my local human resources representative. I authorize the Company, the Company’s designated broker and any other possible recipients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83" w:lineRule="auto"/>
        <w:rPr>
          <w:sz w:val="20"/>
          <w:szCs w:val="20"/>
          <w:color w:val="auto"/>
        </w:rPr>
      </w:pPr>
      <w:r>
        <w:rPr>
          <w:rFonts w:ascii="Arial" w:cs="Arial" w:eastAsia="Arial" w:hAnsi="Arial"/>
          <w:sz w:val="18"/>
          <w:szCs w:val="18"/>
          <w:i w:val="1"/>
          <w:iCs w:val="1"/>
          <w:color w:val="auto"/>
        </w:rPr>
        <w:t>may assist the Company with implementing, administering and managing the Plan to receive, possess, use, retain and transfer the Data, in electronic or other form, for the sole purpose of implementing, administering and managing my participation in the Plan. I understand that Data will be held only as long as is necessary to implement, administer and manage my participation in the Plan. I understand that that I may, at any time, view Data, request additional information about the storage and processing of Data, require any necessary amendments to Data or refuse or withdraw the consents herein, in any case without cost, by contacting in writing my local human resources representative. Further, I understand that I am providing the consents herein on a purely voluntary basis. If I do not consent, or if I later seek to revoke my consent, my employment status or career with the Company or any Designated Company will not be adversely affected; the only adverse consequence of refusing or withdrawing my consent is that the Company would not be able to grant me options under the Plan or other equity awards, or administer or maintain such awards. Therefore, I understand that refusing or withdrawing my consent may affect my ability to participate in the Plan. For more information on the consequences of my refusal to consent or withdrawal of consent, I understand that I may contact my local human resources representative.</w:t>
      </w:r>
    </w:p>
    <w:p>
      <w:pPr>
        <w:spacing w:after="0" w:line="152" w:lineRule="exact"/>
        <w:rPr>
          <w:sz w:val="20"/>
          <w:szCs w:val="20"/>
          <w:color w:val="auto"/>
        </w:rPr>
      </w:pPr>
    </w:p>
    <w:p>
      <w:pPr>
        <w:jc w:val="both"/>
        <w:ind w:firstLine="605"/>
        <w:spacing w:after="0" w:line="307" w:lineRule="auto"/>
        <w:rPr>
          <w:sz w:val="20"/>
          <w:szCs w:val="20"/>
          <w:color w:val="auto"/>
        </w:rPr>
      </w:pPr>
      <w:r>
        <w:rPr>
          <w:rFonts w:ascii="Arial" w:cs="Arial" w:eastAsia="Arial" w:hAnsi="Arial"/>
          <w:sz w:val="18"/>
          <w:szCs w:val="18"/>
          <w:i w:val="1"/>
          <w:iCs w:val="1"/>
          <w:color w:val="auto"/>
        </w:rPr>
        <w:t>If I am an employee outside the U.S., I understand that in accordance with applicable law, I have the right to access, and to request a copy of, the Data held about me. I also understand that I have the right to discontinue the collection, processing, or use of my Data, or supplement, correct, or request deletion of my Data. To exercise my rights, I may contact my local human resources representative.</w:t>
      </w:r>
    </w:p>
    <w:p>
      <w:pPr>
        <w:spacing w:after="0" w:line="126" w:lineRule="exact"/>
        <w:rPr>
          <w:sz w:val="20"/>
          <w:szCs w:val="20"/>
          <w:color w:val="auto"/>
        </w:rPr>
      </w:pPr>
    </w:p>
    <w:p>
      <w:pPr>
        <w:jc w:val="both"/>
        <w:ind w:firstLine="605"/>
        <w:spacing w:after="0" w:line="257" w:lineRule="auto"/>
        <w:rPr>
          <w:sz w:val="20"/>
          <w:szCs w:val="20"/>
          <w:color w:val="auto"/>
        </w:rPr>
      </w:pPr>
      <w:r>
        <w:rPr>
          <w:rFonts w:ascii="Arial" w:cs="Arial" w:eastAsia="Arial" w:hAnsi="Arial"/>
          <w:sz w:val="20"/>
          <w:szCs w:val="20"/>
          <w:i w:val="1"/>
          <w:iCs w:val="1"/>
          <w:color w:val="auto"/>
        </w:rPr>
        <w:t>I hereby explicitly and unambiguously consent to the collection, use and transfer, in electronic or other form, of my personal data as described herein and any other Plan materials by and among, as applicable, the Company and its Subsidiaries for the exclusive purpose of implementing, administering and managing my participation in the Plan. I understand that my consent will be sought and obtained for any processing or transfer of my data for any purpose other than as described in the enrollment form and any other plan materials.</w:t>
      </w:r>
    </w:p>
    <w:p>
      <w:pPr>
        <w:spacing w:after="0" w:line="168" w:lineRule="exact"/>
        <w:rPr>
          <w:sz w:val="20"/>
          <w:szCs w:val="20"/>
          <w:color w:val="auto"/>
        </w:rPr>
      </w:pPr>
    </w:p>
    <w:p>
      <w:pPr>
        <w:jc w:val="both"/>
        <w:ind w:firstLine="606"/>
        <w:spacing w:after="0" w:line="264" w:lineRule="auto"/>
        <w:tabs>
          <w:tab w:leader="none" w:pos="1210" w:val="left"/>
        </w:tabs>
        <w:numPr>
          <w:ilvl w:val="0"/>
          <w:numId w:val="74"/>
        </w:numPr>
        <w:rPr>
          <w:rFonts w:ascii="Arial" w:cs="Arial" w:eastAsia="Arial" w:hAnsi="Arial"/>
          <w:sz w:val="20"/>
          <w:szCs w:val="20"/>
          <w:color w:val="auto"/>
        </w:rPr>
      </w:pPr>
      <w:r>
        <w:rPr>
          <w:rFonts w:ascii="Arial" w:cs="Arial" w:eastAsia="Arial" w:hAnsi="Arial"/>
          <w:sz w:val="20"/>
          <w:szCs w:val="20"/>
          <w:color w:val="auto"/>
        </w:rPr>
        <w:t>If I have received the Subscription Agreement or any other document related to the Plan translated into a language other than English and if the meaning of the translated version is different than the English version, the English version will control, subject to applicable laws.</w:t>
      </w:r>
    </w:p>
    <w:p>
      <w:pPr>
        <w:spacing w:after="0" w:line="161" w:lineRule="exact"/>
        <w:rPr>
          <w:rFonts w:ascii="Arial" w:cs="Arial" w:eastAsia="Arial" w:hAnsi="Arial"/>
          <w:sz w:val="20"/>
          <w:szCs w:val="20"/>
          <w:color w:val="auto"/>
        </w:rPr>
      </w:pPr>
    </w:p>
    <w:p>
      <w:pPr>
        <w:jc w:val="both"/>
        <w:ind w:firstLine="606"/>
        <w:spacing w:after="0" w:line="264" w:lineRule="auto"/>
        <w:tabs>
          <w:tab w:leader="none" w:pos="1203"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provisions of the Subscription Agreement and these appendices are severable and if any one or more provisions are determined to be illegal or otherwise unenforceable, in whole or in part, the remaining provisions nevertheless will be binding and enforceable.</w:t>
      </w:r>
    </w:p>
    <w:p>
      <w:pPr>
        <w:spacing w:after="0" w:line="161" w:lineRule="exact"/>
        <w:rPr>
          <w:rFonts w:ascii="Arial" w:cs="Arial" w:eastAsia="Arial" w:hAnsi="Arial"/>
          <w:sz w:val="20"/>
          <w:szCs w:val="20"/>
          <w:color w:val="auto"/>
        </w:rPr>
      </w:pPr>
    </w:p>
    <w:p>
      <w:pPr>
        <w:jc w:val="both"/>
        <w:ind w:firstLine="606"/>
        <w:spacing w:after="0" w:line="257" w:lineRule="auto"/>
        <w:tabs>
          <w:tab w:leader="none" w:pos="1210" w:val="left"/>
        </w:tabs>
        <w:numPr>
          <w:ilvl w:val="0"/>
          <w:numId w:val="74"/>
        </w:numPr>
        <w:rPr>
          <w:rFonts w:ascii="Arial" w:cs="Arial" w:eastAsia="Arial" w:hAnsi="Arial"/>
          <w:sz w:val="20"/>
          <w:szCs w:val="20"/>
          <w:color w:val="auto"/>
        </w:rPr>
      </w:pPr>
      <w:r>
        <w:rPr>
          <w:rFonts w:ascii="Arial" w:cs="Arial" w:eastAsia="Arial" w:hAnsi="Arial"/>
          <w:sz w:val="20"/>
          <w:szCs w:val="20"/>
          <w:color w:val="auto"/>
        </w:rPr>
        <w:t>Notwithstanding any provisions in this Subscription Agreement, I understand that if I am working or resident in a country other than the United States, my participation in the Plan also will be subject to the additional terms and conditions set forth on Appendix A and any special terms and conditions for my country set forth on Appendix A. Moreover, if I relocate to one of the countries included in Appendix A, the special terms and conditions for such country will apply to me to the extent the Company determines that the application of such terms and conditions is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or advisable for legal or administrative reasons. Appendix A constitutes part of this Subscription Agreement and the provisions of this Subscription Agreement govern each Appendix (to the extent not superseded or supplemented by the terms and conditions set forth in the applicable Appendix).</w:t>
      </w:r>
    </w:p>
    <w:p>
      <w:pPr>
        <w:spacing w:after="0" w:line="161" w:lineRule="exact"/>
        <w:rPr>
          <w:sz w:val="20"/>
          <w:szCs w:val="20"/>
          <w:color w:val="auto"/>
        </w:rPr>
      </w:pPr>
    </w:p>
    <w:p>
      <w:pPr>
        <w:ind w:firstLine="606"/>
        <w:spacing w:after="0" w:line="278" w:lineRule="auto"/>
        <w:tabs>
          <w:tab w:leader="none" w:pos="1210" w:val="left"/>
        </w:tabs>
        <w:numPr>
          <w:ilvl w:val="0"/>
          <w:numId w:val="75"/>
        </w:numPr>
        <w:rPr>
          <w:rFonts w:ascii="Arial" w:cs="Arial" w:eastAsia="Arial" w:hAnsi="Arial"/>
          <w:sz w:val="20"/>
          <w:szCs w:val="20"/>
          <w:color w:val="auto"/>
        </w:rPr>
      </w:pPr>
      <w:r>
        <w:rPr>
          <w:rFonts w:ascii="Arial" w:cs="Arial" w:eastAsia="Arial" w:hAnsi="Arial"/>
          <w:sz w:val="20"/>
          <w:szCs w:val="20"/>
          <w:color w:val="auto"/>
        </w:rPr>
        <w:t>I hereby agree to be bound by the terms of the Plan. The effectiveness of this Subscription Agreement is dependent upon my eligibility to participate in the Plan.</w:t>
      </w: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Arial" w:cs="Arial" w:eastAsia="Arial" w:hAnsi="Arial"/>
          <w:sz w:val="20"/>
          <w:szCs w:val="20"/>
          <w:color w:val="auto"/>
        </w:rPr>
        <w:t>Employee’s Social</w:t>
      </w:r>
    </w:p>
    <w:p>
      <w:pPr>
        <w:spacing w:after="0" w:line="186" w:lineRule="exact"/>
        <w:rPr>
          <w:sz w:val="20"/>
          <w:szCs w:val="20"/>
          <w:color w:val="auto"/>
        </w:rPr>
      </w:pPr>
    </w:p>
    <w:p>
      <w:pPr>
        <w:ind w:left="80"/>
        <w:spacing w:after="0"/>
        <w:rPr>
          <w:sz w:val="20"/>
          <w:szCs w:val="20"/>
          <w:color w:val="auto"/>
        </w:rPr>
      </w:pPr>
      <w:r>
        <w:rPr>
          <w:rFonts w:ascii="Arial" w:cs="Arial" w:eastAsia="Arial" w:hAnsi="Arial"/>
          <w:sz w:val="20"/>
          <w:szCs w:val="20"/>
          <w:color w:val="auto"/>
        </w:rPr>
        <w:t>Security Number</w:t>
      </w:r>
    </w:p>
    <w:p>
      <w:pPr>
        <w:spacing w:after="0" w:line="60" w:lineRule="exact"/>
        <w:rPr>
          <w:sz w:val="20"/>
          <w:szCs w:val="20"/>
          <w:color w:val="auto"/>
        </w:rPr>
      </w:pPr>
    </w:p>
    <w:p>
      <w:pPr>
        <w:ind w:left="80"/>
        <w:spacing w:after="0"/>
        <w:rPr>
          <w:sz w:val="20"/>
          <w:szCs w:val="20"/>
          <w:color w:val="auto"/>
        </w:rPr>
      </w:pPr>
      <w:r>
        <w:rPr>
          <w:rFonts w:ascii="Arial" w:cs="Arial" w:eastAsia="Arial" w:hAnsi="Arial"/>
          <w:sz w:val="20"/>
          <w:szCs w:val="20"/>
          <w:color w:val="auto"/>
        </w:rPr>
        <w:t>(for U.S.-based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27305</wp:posOffset>
            </wp:positionV>
            <wp:extent cx="36588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658870" cy="8255"/>
                    </a:xfrm>
                    <a:prstGeom prst="rect">
                      <a:avLst/>
                    </a:prstGeom>
                    <a:noFill/>
                  </pic:spPr>
                </pic:pic>
              </a:graphicData>
            </a:graphic>
          </wp:anchor>
        </w:drawing>
      </w:r>
    </w:p>
    <w:p>
      <w:pPr>
        <w:spacing w:after="0" w:line="40" w:lineRule="exact"/>
        <w:rPr>
          <w:sz w:val="20"/>
          <w:szCs w:val="20"/>
          <w:color w:val="auto"/>
        </w:rPr>
      </w:pPr>
    </w:p>
    <w:p>
      <w:pPr>
        <w:ind w:left="80"/>
        <w:spacing w:after="0"/>
        <w:rPr>
          <w:sz w:val="20"/>
          <w:szCs w:val="20"/>
          <w:color w:val="auto"/>
        </w:rPr>
      </w:pPr>
      <w:r>
        <w:rPr>
          <w:rFonts w:ascii="Arial" w:cs="Arial" w:eastAsia="Arial" w:hAnsi="Arial"/>
          <w:sz w:val="20"/>
          <w:szCs w:val="20"/>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572135</wp:posOffset>
            </wp:positionV>
            <wp:extent cx="36588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58870" cy="8255"/>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291465</wp:posOffset>
            </wp:positionV>
            <wp:extent cx="36588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58870" cy="8255"/>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27305</wp:posOffset>
            </wp:positionV>
            <wp:extent cx="36588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58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firstLine="605"/>
        <w:spacing w:after="0" w:line="278" w:lineRule="auto"/>
        <w:rPr>
          <w:sz w:val="20"/>
          <w:szCs w:val="20"/>
          <w:color w:val="auto"/>
        </w:rPr>
      </w:pPr>
      <w:r>
        <w:rPr>
          <w:rFonts w:ascii="Arial" w:cs="Arial" w:eastAsia="Arial" w:hAnsi="Arial"/>
          <w:sz w:val="20"/>
          <w:szCs w:val="20"/>
          <w:color w:val="auto"/>
        </w:rPr>
        <w:t>I UNDERSTAND THAT THIS SUBSCRIPTION AGREEMENT WILL REMAIN IN EFFECT THROUGHOUT SUCCESSIVE OFFERING PERIODS UNLESS TERMINATED BY ME.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-12065</wp:posOffset>
            </wp:positionV>
            <wp:extent cx="1282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-12065</wp:posOffset>
            </wp:positionV>
            <wp:extent cx="1282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Signature of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100"/>
        <w:spacing w:after="0"/>
        <w:rPr>
          <w:sz w:val="20"/>
          <w:szCs w:val="20"/>
          <w:color w:val="auto"/>
        </w:rPr>
      </w:pPr>
      <w:r>
        <w:rPr>
          <w:rFonts w:ascii="Arial" w:cs="Arial" w:eastAsia="Arial" w:hAnsi="Arial"/>
          <w:sz w:val="20"/>
          <w:szCs w:val="20"/>
          <w:b w:val="1"/>
          <w:bCs w:val="1"/>
          <w:u w:val="single" w:color="auto"/>
          <w:color w:val="auto"/>
        </w:rPr>
        <w:t>EXHIBIT B</w:t>
      </w:r>
    </w:p>
    <w:p>
      <w:pPr>
        <w:spacing w:after="0" w:line="211"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SEER, INC.</w:t>
      </w:r>
    </w:p>
    <w:p>
      <w:pPr>
        <w:spacing w:after="0" w:line="211" w:lineRule="exact"/>
        <w:rPr>
          <w:sz w:val="20"/>
          <w:szCs w:val="20"/>
          <w:color w:val="auto"/>
        </w:rPr>
      </w:pPr>
    </w:p>
    <w:p>
      <w:pPr>
        <w:ind w:left="3560"/>
        <w:spacing w:after="0"/>
        <w:rPr>
          <w:sz w:val="20"/>
          <w:szCs w:val="20"/>
          <w:color w:val="auto"/>
        </w:rPr>
      </w:pPr>
      <w:r>
        <w:rPr>
          <w:rFonts w:ascii="Arial" w:cs="Arial" w:eastAsia="Arial" w:hAnsi="Arial"/>
          <w:sz w:val="20"/>
          <w:szCs w:val="20"/>
          <w:b w:val="1"/>
          <w:bCs w:val="1"/>
          <w:color w:val="auto"/>
        </w:rPr>
        <w:t>2020 EMPLOYEE STOCK PURCHASE PLAN</w:t>
      </w:r>
    </w:p>
    <w:p>
      <w:pPr>
        <w:spacing w:after="0" w:line="211"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NOTICE OF WITHDRAWAL</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undersigned Participant in the Offering Period of the Seer, Inc. 2020 Employee Stock Purchase Plan (the “</w:t>
      </w:r>
      <w:r>
        <w:rPr>
          <w:rFonts w:ascii="Arial" w:cs="Arial" w:eastAsia="Arial" w:hAnsi="Arial"/>
          <w:sz w:val="18"/>
          <w:szCs w:val="18"/>
          <w:b w:val="1"/>
          <w:bCs w:val="1"/>
          <w:color w:val="auto"/>
        </w:rPr>
        <w:t>Plan</w:t>
      </w:r>
      <w:r>
        <w:rPr>
          <w:rFonts w:ascii="Arial" w:cs="Arial" w:eastAsia="Arial" w:hAnsi="Arial"/>
          <w:sz w:val="18"/>
          <w:szCs w:val="18"/>
          <w:color w:val="auto"/>
        </w:rPr>
        <w:t>”) that began 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____________, ______ (the “</w:t>
      </w:r>
      <w:r>
        <w:rPr>
          <w:rFonts w:ascii="Arial" w:cs="Arial" w:eastAsia="Arial" w:hAnsi="Arial"/>
          <w:sz w:val="18"/>
          <w:szCs w:val="18"/>
          <w:b w:val="1"/>
          <w:bCs w:val="1"/>
          <w:color w:val="auto"/>
        </w:rPr>
        <w:t>Offering Date</w:t>
      </w:r>
      <w:r>
        <w:rPr>
          <w:rFonts w:ascii="Arial" w:cs="Arial" w:eastAsia="Arial" w:hAnsi="Arial"/>
          <w:sz w:val="18"/>
          <w:szCs w:val="18"/>
          <w:color w:val="auto"/>
        </w:rPr>
        <w:t>”) hereby notifies the Company that he or she hereby withdraws from the Offering Period. He</w:t>
      </w:r>
    </w:p>
    <w:p>
      <w:pPr>
        <w:spacing w:after="0" w:line="33"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or she hereby 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Capitalized terms not otherwise defined herein will have the meaning ascribed to them under the Plan.</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267970</wp:posOffset>
            </wp:positionV>
            <wp:extent cx="2559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5905" cy="8255"/>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548005</wp:posOffset>
            </wp:positionV>
            <wp:extent cx="2559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5905" cy="8255"/>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828040</wp:posOffset>
            </wp:positionV>
            <wp:extent cx="2559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5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267970</wp:posOffset>
            </wp:positionV>
            <wp:extent cx="2559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5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2999740</wp:posOffset>
            </wp:positionH>
            <wp:positionV relativeFrom="paragraph">
              <wp:posOffset>-12065</wp:posOffset>
            </wp:positionV>
            <wp:extent cx="1282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b w:val="1"/>
          <w:bCs w:val="1"/>
          <w:color w:val="auto"/>
        </w:rPr>
        <w:t>Ex.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line="275" w:lineRule="auto"/>
        <w:rPr>
          <w:sz w:val="20"/>
          <w:szCs w:val="20"/>
          <w:color w:val="auto"/>
        </w:rPr>
      </w:pPr>
      <w:r>
        <w:rPr>
          <w:rFonts w:ascii="Arial" w:cs="Arial" w:eastAsia="Arial" w:hAnsi="Arial"/>
          <w:sz w:val="17"/>
          <w:szCs w:val="17"/>
          <w:b w:val="1"/>
          <w:bCs w:val="1"/>
          <w:color w:val="auto"/>
        </w:rPr>
        <w:t>CERTIFICATION PURSUANT TO RULES 13a-14(a) AND 15d-14(a) UNDER THE SECURITIES EXCHANGE ACT OF 1934,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I, Omid Farokhzad, certify that:</w:t>
      </w:r>
    </w:p>
    <w:p>
      <w:pPr>
        <w:spacing w:after="0" w:line="233" w:lineRule="exact"/>
        <w:rPr>
          <w:sz w:val="20"/>
          <w:szCs w:val="20"/>
          <w:color w:val="auto"/>
        </w:rPr>
      </w:pPr>
    </w:p>
    <w:p>
      <w:pPr>
        <w:ind w:left="600" w:hanging="297"/>
        <w:spacing w:after="0"/>
        <w:tabs>
          <w:tab w:leader="none" w:pos="6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Seer, Inc.;</w:t>
      </w:r>
    </w:p>
    <w:p>
      <w:pPr>
        <w:spacing w:after="0" w:line="233" w:lineRule="exact"/>
        <w:rPr>
          <w:rFonts w:ascii="Arial" w:cs="Arial" w:eastAsia="Arial" w:hAnsi="Arial"/>
          <w:sz w:val="17"/>
          <w:szCs w:val="17"/>
          <w:color w:val="auto"/>
        </w:rPr>
      </w:pPr>
    </w:p>
    <w:p>
      <w:pPr>
        <w:ind w:left="600" w:right="100" w:hanging="297"/>
        <w:spacing w:after="0" w:line="338" w:lineRule="auto"/>
        <w:tabs>
          <w:tab w:leader="none" w:pos="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5"/>
          <w:szCs w:val="15"/>
          <w:color w:val="auto"/>
        </w:rPr>
      </w:pPr>
    </w:p>
    <w:p>
      <w:pPr>
        <w:ind w:left="600" w:right="200" w:hanging="297"/>
        <w:spacing w:after="0" w:line="270" w:lineRule="auto"/>
        <w:tabs>
          <w:tab w:leader="none" w:pos="6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jc w:val="both"/>
        <w:ind w:left="600" w:hanging="297"/>
        <w:spacing w:after="0" w:line="258" w:lineRule="auto"/>
        <w:tabs>
          <w:tab w:leader="none" w:pos="6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7"/>
          <w:szCs w:val="17"/>
          <w:color w:val="auto"/>
        </w:rPr>
      </w:pPr>
    </w:p>
    <w:p>
      <w:pPr>
        <w:ind w:left="900" w:right="20" w:hanging="294"/>
        <w:spacing w:after="0" w:line="258" w:lineRule="auto"/>
        <w:tabs>
          <w:tab w:leader="none" w:pos="897" w:val="left"/>
        </w:tabs>
        <w:numPr>
          <w:ilvl w:val="1"/>
          <w:numId w:val="7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ind w:left="900" w:right="140" w:hanging="294"/>
        <w:spacing w:after="0" w:line="258" w:lineRule="auto"/>
        <w:tabs>
          <w:tab w:leader="none" w:pos="894" w:val="left"/>
        </w:tabs>
        <w:numPr>
          <w:ilvl w:val="1"/>
          <w:numId w:val="7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900" w:right="180" w:hanging="294"/>
        <w:spacing w:after="0" w:line="301" w:lineRule="auto"/>
        <w:tabs>
          <w:tab w:leader="none" w:pos="897"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ind w:left="900" w:right="220" w:hanging="294"/>
        <w:spacing w:after="0" w:line="258" w:lineRule="auto"/>
        <w:tabs>
          <w:tab w:leader="none" w:pos="894" w:val="left"/>
        </w:tabs>
        <w:numPr>
          <w:ilvl w:val="1"/>
          <w:numId w:val="7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left="600" w:right="760" w:hanging="297"/>
        <w:spacing w:after="0" w:line="301" w:lineRule="auto"/>
        <w:tabs>
          <w:tab w:leader="none" w:pos="6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6"/>
          <w:szCs w:val="16"/>
          <w:color w:val="auto"/>
        </w:rPr>
      </w:pPr>
    </w:p>
    <w:p>
      <w:pPr>
        <w:ind w:left="900" w:right="120" w:hanging="294"/>
        <w:spacing w:after="0" w:line="270" w:lineRule="auto"/>
        <w:tabs>
          <w:tab w:leader="none" w:pos="897" w:val="left"/>
        </w:tabs>
        <w:numPr>
          <w:ilvl w:val="1"/>
          <w:numId w:val="7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900" w:right="340" w:hanging="294"/>
        <w:spacing w:after="0" w:line="270" w:lineRule="auto"/>
        <w:tabs>
          <w:tab w:leader="none" w:pos="894" w:val="left"/>
        </w:tabs>
        <w:numPr>
          <w:ilvl w:val="1"/>
          <w:numId w:val="7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3" w:right="3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b w:val="1"/>
          <w:bCs w:val="1"/>
          <w:color w:val="auto"/>
        </w:rPr>
        <w:t>Ex.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Date: August 12, 2021</w:t>
      </w:r>
    </w:p>
    <w:p>
      <w:pPr>
        <w:spacing w:after="0" w:line="18"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By: /s/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2786380</wp:posOffset>
            </wp:positionH>
            <wp:positionV relativeFrom="paragraph">
              <wp:posOffset>-19050</wp:posOffset>
            </wp:positionV>
            <wp:extent cx="14554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55420" cy="8255"/>
                    </a:xfrm>
                    <a:prstGeom prst="rect">
                      <a:avLst/>
                    </a:prstGeom>
                    <a:noFill/>
                  </pic:spPr>
                </pic:pic>
              </a:graphicData>
            </a:graphic>
          </wp:anchor>
        </w:drawing>
      </w:r>
    </w:p>
    <w:p>
      <w:pPr>
        <w:ind w:left="4380"/>
        <w:spacing w:after="0"/>
        <w:rPr>
          <w:sz w:val="20"/>
          <w:szCs w:val="20"/>
          <w:color w:val="auto"/>
        </w:rPr>
      </w:pPr>
      <w:r>
        <w:rPr>
          <w:rFonts w:ascii="Arial" w:cs="Arial" w:eastAsia="Arial" w:hAnsi="Arial"/>
          <w:sz w:val="17"/>
          <w:szCs w:val="17"/>
          <w:color w:val="auto"/>
        </w:rPr>
        <w:t>Omid Farokhzad</w:t>
      </w:r>
    </w:p>
    <w:p>
      <w:pPr>
        <w:spacing w:after="0" w:line="6"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Chief Executive Officer and Chair of the Board of Directors</w:t>
      </w:r>
    </w:p>
    <w:p>
      <w:pPr>
        <w:spacing w:after="0" w:line="29"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0139"/>
          </w:cols>
          <w:pgMar w:left="320" w:top="123" w:right="1440"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b w:val="1"/>
          <w:bCs w:val="1"/>
          <w:color w:val="auto"/>
        </w:rPr>
        <w:t>Ex.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line="275" w:lineRule="auto"/>
        <w:rPr>
          <w:sz w:val="20"/>
          <w:szCs w:val="20"/>
          <w:color w:val="auto"/>
        </w:rPr>
      </w:pPr>
      <w:r>
        <w:rPr>
          <w:rFonts w:ascii="Arial" w:cs="Arial" w:eastAsia="Arial" w:hAnsi="Arial"/>
          <w:sz w:val="17"/>
          <w:szCs w:val="17"/>
          <w:b w:val="1"/>
          <w:bCs w:val="1"/>
          <w:color w:val="auto"/>
        </w:rPr>
        <w:t>CERTIFICATION PURSUANT TO RULES 13a-14(a) AND 15d-14(a) UNDER THE SECURITIES EXCHANGE ACT OF 1934,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I, David Horn, certify that:</w:t>
      </w:r>
    </w:p>
    <w:p>
      <w:pPr>
        <w:spacing w:after="0" w:line="233" w:lineRule="exact"/>
        <w:rPr>
          <w:sz w:val="20"/>
          <w:szCs w:val="20"/>
          <w:color w:val="auto"/>
        </w:rPr>
      </w:pPr>
    </w:p>
    <w:p>
      <w:pPr>
        <w:ind w:left="600" w:hanging="297"/>
        <w:spacing w:after="0"/>
        <w:tabs>
          <w:tab w:leader="none" w:pos="6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Seer, Inc.;</w:t>
      </w:r>
    </w:p>
    <w:p>
      <w:pPr>
        <w:spacing w:after="0" w:line="233" w:lineRule="exact"/>
        <w:rPr>
          <w:rFonts w:ascii="Arial" w:cs="Arial" w:eastAsia="Arial" w:hAnsi="Arial"/>
          <w:sz w:val="17"/>
          <w:szCs w:val="17"/>
          <w:color w:val="auto"/>
        </w:rPr>
      </w:pPr>
    </w:p>
    <w:p>
      <w:pPr>
        <w:ind w:left="600" w:right="100" w:hanging="297"/>
        <w:spacing w:after="0" w:line="338" w:lineRule="auto"/>
        <w:tabs>
          <w:tab w:leader="none" w:pos="6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5"/>
          <w:szCs w:val="15"/>
          <w:color w:val="auto"/>
        </w:rPr>
      </w:pPr>
    </w:p>
    <w:p>
      <w:pPr>
        <w:ind w:left="600" w:right="200" w:hanging="297"/>
        <w:spacing w:after="0" w:line="270" w:lineRule="auto"/>
        <w:tabs>
          <w:tab w:leader="none" w:pos="6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jc w:val="both"/>
        <w:ind w:left="600" w:hanging="297"/>
        <w:spacing w:after="0" w:line="258" w:lineRule="auto"/>
        <w:tabs>
          <w:tab w:leader="none" w:pos="6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7"/>
          <w:szCs w:val="17"/>
          <w:color w:val="auto"/>
        </w:rPr>
      </w:pPr>
    </w:p>
    <w:p>
      <w:pPr>
        <w:ind w:left="900" w:right="20" w:hanging="294"/>
        <w:spacing w:after="0" w:line="258" w:lineRule="auto"/>
        <w:tabs>
          <w:tab w:leader="none" w:pos="897" w:val="left"/>
        </w:tabs>
        <w:numPr>
          <w:ilvl w:val="1"/>
          <w:numId w:val="7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ind w:left="900" w:right="140" w:hanging="294"/>
        <w:spacing w:after="0" w:line="258" w:lineRule="auto"/>
        <w:tabs>
          <w:tab w:leader="none" w:pos="894" w:val="left"/>
        </w:tabs>
        <w:numPr>
          <w:ilvl w:val="1"/>
          <w:numId w:val="7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900" w:right="180" w:hanging="294"/>
        <w:spacing w:after="0" w:line="301" w:lineRule="auto"/>
        <w:tabs>
          <w:tab w:leader="none" w:pos="897"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ind w:left="900" w:right="220" w:hanging="294"/>
        <w:spacing w:after="0" w:line="258" w:lineRule="auto"/>
        <w:tabs>
          <w:tab w:leader="none" w:pos="894" w:val="left"/>
        </w:tabs>
        <w:numPr>
          <w:ilvl w:val="1"/>
          <w:numId w:val="7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left="600" w:right="760" w:hanging="297"/>
        <w:spacing w:after="0" w:line="270"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120" w:hanging="294"/>
        <w:spacing w:after="0" w:line="255" w:lineRule="auto"/>
        <w:tabs>
          <w:tab w:leader="none" w:pos="897" w:val="left"/>
        </w:tabs>
        <w:numPr>
          <w:ilvl w:val="1"/>
          <w:numId w:val="7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7"/>
          <w:szCs w:val="17"/>
          <w:color w:val="auto"/>
        </w:rPr>
      </w:pPr>
    </w:p>
    <w:p>
      <w:pPr>
        <w:ind w:left="900" w:right="340" w:hanging="294"/>
        <w:spacing w:after="0" w:line="270" w:lineRule="auto"/>
        <w:tabs>
          <w:tab w:leader="none" w:pos="894" w:val="left"/>
        </w:tabs>
        <w:numPr>
          <w:ilvl w:val="1"/>
          <w:numId w:val="7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3" w:right="3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b w:val="1"/>
          <w:bCs w:val="1"/>
          <w:color w:val="auto"/>
        </w:rPr>
        <w:t>Ex.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Date: August 12, 2021</w:t>
      </w:r>
    </w:p>
    <w:p>
      <w:pPr>
        <w:spacing w:after="0" w:line="18"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By: /s/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2786380</wp:posOffset>
            </wp:positionH>
            <wp:positionV relativeFrom="paragraph">
              <wp:posOffset>-19050</wp:posOffset>
            </wp:positionV>
            <wp:extent cx="12420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ind w:left="4380"/>
        <w:spacing w:after="0"/>
        <w:rPr>
          <w:sz w:val="20"/>
          <w:szCs w:val="20"/>
          <w:color w:val="auto"/>
        </w:rPr>
      </w:pPr>
      <w:r>
        <w:rPr>
          <w:rFonts w:ascii="Arial" w:cs="Arial" w:eastAsia="Arial" w:hAnsi="Arial"/>
          <w:sz w:val="17"/>
          <w:szCs w:val="17"/>
          <w:color w:val="auto"/>
        </w:rPr>
        <w:t>David Horn</w:t>
      </w:r>
    </w:p>
    <w:p>
      <w:pPr>
        <w:spacing w:after="0" w:line="6"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Chief Financial Officer</w:t>
      </w:r>
    </w:p>
    <w:p>
      <w:pPr>
        <w:spacing w:after="0" w:line="6"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(Principal Financial and Accounting Officer)</w:t>
      </w:r>
    </w:p>
    <w:p>
      <w:pPr>
        <w:sectPr>
          <w:pgSz w:w="11900" w:h="16838" w:orient="portrait"/>
          <w:cols w:equalWidth="0" w:num="1">
            <w:col w:w="10139"/>
          </w:cols>
          <w:pgMar w:left="320" w:top="123" w:right="1440"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b w:val="1"/>
          <w:bCs w:val="1"/>
          <w:color w:val="auto"/>
        </w:rPr>
        <w:t>Ex.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b w:val="1"/>
          <w:bCs w:val="1"/>
          <w:color w:val="auto"/>
        </w:rPr>
        <w:t>CERTIFICATION OF PRINCIPAL EXECUTIVE OFFICER PURSUANT TO 18 U.S.C. SECTION 1350, AS ADOPTED PURSUANT TO SECTION 906 OF THE SARBANES-OXLEY ACT OF 2002</w:t>
      </w:r>
    </w:p>
    <w:p>
      <w:pPr>
        <w:spacing w:after="0" w:line="186"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 connection with the Quarterly Report of Seer, Inc. (the “Company”) on Form 10-Q for the period ended June 30, 2021 as filed with the Securities and Exchange Commission on the date hereof (the “Report”), I, Omid Farokhzad, hereby certify, pursuant to 18 U.S.C. § 1350, as adopted pursuant to § 906 of the Sarbanes-Oxley Act of 2002, that:</w:t>
      </w:r>
    </w:p>
    <w:p>
      <w:pPr>
        <w:spacing w:after="0" w:line="202" w:lineRule="exact"/>
        <w:rPr>
          <w:sz w:val="20"/>
          <w:szCs w:val="20"/>
          <w:color w:val="auto"/>
        </w:rPr>
      </w:pPr>
    </w:p>
    <w:p>
      <w:pPr>
        <w:ind w:left="600" w:hanging="297"/>
        <w:spacing w:after="0"/>
        <w:tabs>
          <w:tab w:leader="none" w:pos="6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3" w:lineRule="exact"/>
        <w:rPr>
          <w:rFonts w:ascii="Arial" w:cs="Arial" w:eastAsia="Arial" w:hAnsi="Arial"/>
          <w:sz w:val="17"/>
          <w:szCs w:val="17"/>
          <w:color w:val="auto"/>
        </w:rPr>
      </w:pPr>
    </w:p>
    <w:p>
      <w:pPr>
        <w:ind w:left="600" w:hanging="297"/>
        <w:spacing w:after="0"/>
        <w:tabs>
          <w:tab w:leader="none" w:pos="6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Date: August 12, 2021</w:t>
      </w:r>
    </w:p>
    <w:p>
      <w:pPr>
        <w:spacing w:after="0" w:line="18"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By: /s/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2786380</wp:posOffset>
            </wp:positionH>
            <wp:positionV relativeFrom="paragraph">
              <wp:posOffset>-19050</wp:posOffset>
            </wp:positionV>
            <wp:extent cx="14554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55420" cy="8255"/>
                    </a:xfrm>
                    <a:prstGeom prst="rect">
                      <a:avLst/>
                    </a:prstGeom>
                    <a:noFill/>
                  </pic:spPr>
                </pic:pic>
              </a:graphicData>
            </a:graphic>
          </wp:anchor>
        </w:drawing>
      </w:r>
    </w:p>
    <w:p>
      <w:pPr>
        <w:ind w:left="4380"/>
        <w:spacing w:after="0"/>
        <w:rPr>
          <w:sz w:val="20"/>
          <w:szCs w:val="20"/>
          <w:color w:val="auto"/>
        </w:rPr>
      </w:pPr>
      <w:r>
        <w:rPr>
          <w:rFonts w:ascii="Arial" w:cs="Arial" w:eastAsia="Arial" w:hAnsi="Arial"/>
          <w:sz w:val="17"/>
          <w:szCs w:val="17"/>
          <w:color w:val="auto"/>
        </w:rPr>
        <w:t>Omid Farokhzad</w:t>
      </w:r>
    </w:p>
    <w:p>
      <w:pPr>
        <w:spacing w:after="0" w:line="6"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Chief Executive Officer and Chair of the Board of Directors</w:t>
      </w:r>
    </w:p>
    <w:p>
      <w:pPr>
        <w:spacing w:after="0" w:line="6"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080"/>
          </w:cols>
          <w:pgMar w:left="320" w:top="123" w:right="49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b w:val="1"/>
          <w:bCs w:val="1"/>
          <w:color w:val="auto"/>
        </w:rPr>
        <w:t>Ex.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b w:val="1"/>
          <w:bCs w:val="1"/>
          <w:color w:val="auto"/>
        </w:rPr>
        <w:t>CERTIFICATION OF PRINCIPAL FINANCIAL OFFICER PURSUANT TO 18 U.S.C. SECTION 1350, AS ADOPTED PURSUANT TO SECTION 906 OF THE SARBANES-OXLEY ACT OF 2002</w:t>
      </w:r>
    </w:p>
    <w:p>
      <w:pPr>
        <w:spacing w:after="0" w:line="186"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 connection with the Quarterly Report of Seer, Inc. (the “Company”) on Form 10-Q for the period ended June 30, 2021 as filed with the Securities and Exchange Commission on the date hereof (the “Report”), I, David Horn, hereby certify, pursuant to 18 U.S.C. § 1350, as adopted pursuant to § 906 of the Sarbanes-Oxley Act of 2002, that:</w:t>
      </w:r>
    </w:p>
    <w:p>
      <w:pPr>
        <w:spacing w:after="0" w:line="202" w:lineRule="exact"/>
        <w:rPr>
          <w:sz w:val="20"/>
          <w:szCs w:val="20"/>
          <w:color w:val="auto"/>
        </w:rPr>
      </w:pPr>
    </w:p>
    <w:p>
      <w:pPr>
        <w:ind w:left="600" w:hanging="297"/>
        <w:spacing w:after="0"/>
        <w:tabs>
          <w:tab w:leader="none" w:pos="6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3" w:lineRule="exact"/>
        <w:rPr>
          <w:rFonts w:ascii="Arial" w:cs="Arial" w:eastAsia="Arial" w:hAnsi="Arial"/>
          <w:sz w:val="17"/>
          <w:szCs w:val="17"/>
          <w:color w:val="auto"/>
        </w:rPr>
      </w:pPr>
    </w:p>
    <w:p>
      <w:pPr>
        <w:ind w:left="600" w:hanging="297"/>
        <w:spacing w:after="0"/>
        <w:tabs>
          <w:tab w:leader="none" w:pos="6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Date: August 12, 2021</w:t>
      </w:r>
    </w:p>
    <w:p>
      <w:pPr>
        <w:spacing w:after="0" w:line="18"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By: /s/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2786380</wp:posOffset>
            </wp:positionH>
            <wp:positionV relativeFrom="paragraph">
              <wp:posOffset>-19050</wp:posOffset>
            </wp:positionV>
            <wp:extent cx="12420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ind w:left="4380"/>
        <w:spacing w:after="0"/>
        <w:rPr>
          <w:sz w:val="20"/>
          <w:szCs w:val="20"/>
          <w:color w:val="auto"/>
        </w:rPr>
      </w:pPr>
      <w:r>
        <w:rPr>
          <w:rFonts w:ascii="Arial" w:cs="Arial" w:eastAsia="Arial" w:hAnsi="Arial"/>
          <w:sz w:val="17"/>
          <w:szCs w:val="17"/>
          <w:color w:val="auto"/>
        </w:rPr>
        <w:t>David Horn</w:t>
      </w:r>
    </w:p>
    <w:p>
      <w:pPr>
        <w:spacing w:after="0" w:line="6"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Chief Financial Officer</w:t>
      </w:r>
    </w:p>
    <w:p>
      <w:pPr>
        <w:spacing w:after="0" w:line="6"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(Principal Financial Officer and Accounting Officer)</w:t>
      </w:r>
    </w:p>
    <w:sectPr>
      <w:pgSz w:w="11900" w:h="16838" w:orient="portrait"/>
      <w:cols w:equalWidth="0" w:num="1">
        <w:col w:w="11200"/>
      </w:cols>
      <w:pgMar w:left="320" w:top="12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1."/>
      <w:numFmt w:val="decimal"/>
      <w:start w:val="1"/>
    </w:lvl>
  </w:abstractNum>
  <w:abstractNum w:abstractNumId="2">
    <w:nsid w:val="153EA438"/>
    <w:multiLevelType w:val="hybridMultilevel"/>
    <w:lvl w:ilvl="0">
      <w:lvlJc w:val="left"/>
      <w:lvlText w:val="%1."/>
      <w:numFmt w:val="decimal"/>
      <w:start w:val="2"/>
    </w:lvl>
  </w:abstractNum>
  <w:abstractNum w:abstractNumId="3">
    <w:nsid w:val="3855585C"/>
    <w:multiLevelType w:val="hybridMultilevel"/>
    <w:lvl w:ilvl="0">
      <w:lvlJc w:val="left"/>
      <w:lvlText w:val="%1."/>
      <w:numFmt w:val="decimal"/>
      <w:start w:val="3"/>
    </w:lvl>
  </w:abstractNum>
  <w:abstractNum w:abstractNumId="4">
    <w:nsid w:val="70A64E2A"/>
    <w:multiLevelType w:val="hybridMultilevel"/>
    <w:lvl w:ilvl="0">
      <w:lvlJc w:val="left"/>
      <w:lvlText w:val="%1."/>
      <w:numFmt w:val="decimal"/>
      <w:start w:val="5"/>
    </w:lvl>
  </w:abstractNum>
  <w:abstractNum w:abstractNumId="5">
    <w:nsid w:val="6A2342EC"/>
    <w:multiLevelType w:val="hybridMultilevel"/>
    <w:lvl w:ilvl="0">
      <w:lvlJc w:val="left"/>
      <w:lvlText w:val="%1."/>
      <w:numFmt w:val="decimal"/>
      <w:start w:val="6"/>
    </w:lvl>
  </w:abstractNum>
  <w:abstractNum w:abstractNumId="6">
    <w:nsid w:val="2A487CB0"/>
    <w:multiLevelType w:val="hybridMultilevel"/>
    <w:lvl w:ilvl="0">
      <w:lvlJc w:val="left"/>
      <w:lvlText w:val="%1."/>
      <w:numFmt w:val="decimal"/>
      <w:start w:val="7"/>
    </w:lvl>
  </w:abstractNum>
  <w:abstractNum w:abstractNumId="7">
    <w:nsid w:val="1D4ED43B"/>
    <w:multiLevelType w:val="hybridMultilevel"/>
    <w:lvl w:ilvl="0">
      <w:lvlJc w:val="left"/>
      <w:lvlText w:val="%1."/>
      <w:numFmt w:val="decimal"/>
      <w:start w:val="8"/>
    </w:lvl>
  </w:abstractNum>
  <w:abstractNum w:abstractNumId="8">
    <w:nsid w:val="725A06FB"/>
    <w:multiLevelType w:val="hybridMultilevel"/>
    <w:lvl w:ilvl="0">
      <w:lvlJc w:val="left"/>
      <w:lvlText w:val="%1."/>
      <w:numFmt w:val="decimal"/>
      <w:start w:val="9"/>
    </w:lvl>
  </w:abstractNum>
  <w:abstractNum w:abstractNumId="9">
    <w:nsid w:val="2CD89A32"/>
    <w:multiLevelType w:val="hybridMultilevel"/>
    <w:lvl w:ilvl="0">
      <w:lvlJc w:val="left"/>
      <w:lvlText w:val="%1."/>
      <w:numFmt w:val="decimal"/>
      <w:start w:val="10"/>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1."/>
      <w:numFmt w:val="decimal"/>
      <w:start w:val="1"/>
    </w:lvl>
  </w:abstractNum>
  <w:abstractNum w:abstractNumId="40">
    <w:nsid w:val="741226BB"/>
    <w:multiLevelType w:val="hybridMultilevel"/>
    <w:lvl w:ilvl="0">
      <w:lvlJc w:val="left"/>
      <w:lvlText w:val="%1."/>
      <w:numFmt w:val="decimal"/>
      <w:start w:val="3"/>
    </w:lvl>
  </w:abstractNum>
  <w:abstractNum w:abstractNumId="41">
    <w:nsid w:val="D34B6A8"/>
    <w:multiLevelType w:val="hybridMultilevel"/>
    <w:lvl w:ilvl="0">
      <w:lvlJc w:val="left"/>
      <w:lvlText w:val="%1."/>
      <w:numFmt w:val="decimal"/>
      <w:start w:val="4"/>
    </w:lvl>
  </w:abstractNum>
  <w:abstractNum w:abstractNumId="42">
    <w:nsid w:val="10233C99"/>
    <w:multiLevelType w:val="hybridMultilevel"/>
    <w:lvl w:ilvl="0">
      <w:lvlJc w:val="left"/>
      <w:lvlText w:val="%1."/>
      <w:numFmt w:val="decimal"/>
      <w:start w:val="9"/>
    </w:lvl>
    <w:lvl w:ilvl="1">
      <w:lvlJc w:val="left"/>
      <w:lvlText w:val="*"/>
      <w:numFmt w:val="bullet"/>
      <w:start w:val="1"/>
    </w:lvl>
  </w:abstractNum>
  <w:abstractNum w:abstractNumId="43">
    <w:nsid w:val="3F6AB60F"/>
    <w:multiLevelType w:val="hybridMultilevel"/>
    <w:lvl w:ilvl="0">
      <w:lvlJc w:val="left"/>
      <w:lvlText w:val="%1."/>
      <w:numFmt w:val="decimal"/>
      <w:start w:val="1"/>
    </w:lvl>
  </w:abstractNum>
  <w:abstractNum w:abstractNumId="44">
    <w:nsid w:val="61574095"/>
    <w:multiLevelType w:val="hybridMultilevel"/>
    <w:lvl w:ilvl="0">
      <w:lvlJc w:val="left"/>
      <w:lvlText w:val="(%1)"/>
      <w:numFmt w:val="lowerLetter"/>
      <w:start w:val="1"/>
    </w:lvl>
  </w:abstractNum>
  <w:abstractNum w:abstractNumId="45">
    <w:nsid w:val="7E0C57B1"/>
    <w:multiLevelType w:val="hybridMultilevel"/>
    <w:lvl w:ilvl="0">
      <w:lvlJc w:val="left"/>
      <w:lvlText w:val="(%1)"/>
      <w:numFmt w:val="lowerLetter"/>
      <w:start w:val="2"/>
    </w:lvl>
  </w:abstractNum>
  <w:abstractNum w:abstractNumId="46">
    <w:nsid w:val="77AE35EB"/>
    <w:multiLevelType w:val="hybridMultilevel"/>
    <w:lvl w:ilvl="0">
      <w:lvlJc w:val="left"/>
      <w:lvlText w:val="(%1)"/>
      <w:numFmt w:val="lowerLetter"/>
      <w:start w:val="1"/>
    </w:lvl>
  </w:abstractNum>
  <w:abstractNum w:abstractNumId="47">
    <w:nsid w:val="579BE4F1"/>
    <w:multiLevelType w:val="hybridMultilevel"/>
    <w:lvl w:ilvl="0">
      <w:lvlJc w:val="left"/>
      <w:lvlText w:val="(%1)"/>
      <w:numFmt w:val="lowerLetter"/>
      <w:start w:val="2"/>
    </w:lvl>
  </w:abstractNum>
  <w:abstractNum w:abstractNumId="48">
    <w:nsid w:val="310C50B3"/>
    <w:multiLevelType w:val="hybridMultilevel"/>
    <w:lvl w:ilvl="0">
      <w:lvlJc w:val="left"/>
      <w:lvlText w:val="%1."/>
      <w:numFmt w:val="decimal"/>
      <w:start w:val="3"/>
    </w:lvl>
  </w:abstractNum>
  <w:abstractNum w:abstractNumId="49">
    <w:nsid w:val="5FF87E05"/>
    <w:multiLevelType w:val="hybridMultilevel"/>
    <w:lvl w:ilvl="0">
      <w:lvlJc w:val="left"/>
      <w:lvlText w:val="%1."/>
      <w:numFmt w:val="decimal"/>
      <w:start w:val="4"/>
    </w:lvl>
    <w:lvl w:ilvl="1">
      <w:lvlJc w:val="left"/>
      <w:lvlText w:val="(%2)"/>
      <w:numFmt w:val="lowerLetter"/>
      <w:start w:val="1"/>
    </w:lvl>
  </w:abstractNum>
  <w:abstractNum w:abstractNumId="50">
    <w:nsid w:val="2F305DEF"/>
    <w:multiLevelType w:val="hybridMultilevel"/>
    <w:lvl w:ilvl="0">
      <w:lvlJc w:val="left"/>
      <w:lvlText w:val="%1."/>
      <w:numFmt w:val="decimal"/>
      <w:start w:val="5"/>
    </w:lvl>
  </w:abstractNum>
  <w:abstractNum w:abstractNumId="51">
    <w:nsid w:val="25A70BF7"/>
    <w:multiLevelType w:val="hybridMultilevel"/>
    <w:lvl w:ilvl="0">
      <w:lvlJc w:val="left"/>
      <w:lvlText w:val="%1."/>
      <w:numFmt w:val="decimal"/>
      <w:start w:val="6"/>
    </w:lvl>
  </w:abstractNum>
  <w:abstractNum w:abstractNumId="52">
    <w:nsid w:val="1DBABF00"/>
    <w:multiLevelType w:val="hybridMultilevel"/>
    <w:lvl w:ilvl="0">
      <w:lvlJc w:val="left"/>
      <w:lvlText w:val="%1."/>
      <w:numFmt w:val="decimal"/>
      <w:start w:val="7"/>
    </w:lvl>
  </w:abstractNum>
  <w:abstractNum w:abstractNumId="53">
    <w:nsid w:val="4AD084E9"/>
    <w:multiLevelType w:val="hybridMultilevel"/>
    <w:lvl w:ilvl="0">
      <w:lvlJc w:val="left"/>
      <w:lvlText w:val="(%1)"/>
      <w:numFmt w:val="lowerLetter"/>
      <w:start w:val="1"/>
    </w:lvl>
  </w:abstractNum>
  <w:abstractNum w:abstractNumId="54">
    <w:nsid w:val="1F48EAA1"/>
    <w:multiLevelType w:val="hybridMultilevel"/>
    <w:lvl w:ilvl="0">
      <w:lvlJc w:val="left"/>
      <w:lvlText w:val="(%1)"/>
      <w:numFmt w:val="lowerLetter"/>
      <w:start w:val="1"/>
    </w:lvl>
  </w:abstractNum>
  <w:abstractNum w:abstractNumId="55">
    <w:nsid w:val="1381823A"/>
    <w:multiLevelType w:val="hybridMultilevel"/>
    <w:lvl w:ilvl="0">
      <w:lvlJc w:val="left"/>
      <w:lvlText w:val="%1."/>
      <w:numFmt w:val="decimal"/>
      <w:start w:val="9"/>
    </w:lvl>
  </w:abstractNum>
  <w:abstractNum w:abstractNumId="56">
    <w:nsid w:val="5DB70AE5"/>
    <w:multiLevelType w:val="hybridMultilevel"/>
    <w:lvl w:ilvl="0">
      <w:lvlJc w:val="left"/>
      <w:lvlText w:val="%1."/>
      <w:numFmt w:val="decimal"/>
      <w:start w:val="10"/>
    </w:lvl>
  </w:abstractNum>
  <w:abstractNum w:abstractNumId="57">
    <w:nsid w:val="100F8FCA"/>
    <w:multiLevelType w:val="hybridMultilevel"/>
    <w:lvl w:ilvl="0">
      <w:lvlJc w:val="left"/>
      <w:lvlText w:val="%1."/>
      <w:numFmt w:val="decimal"/>
      <w:start w:val="13"/>
    </w:lvl>
  </w:abstractNum>
  <w:abstractNum w:abstractNumId="58">
    <w:nsid w:val="6590700B"/>
    <w:multiLevelType w:val="hybridMultilevel"/>
    <w:lvl w:ilvl="0">
      <w:lvlJc w:val="left"/>
      <w:lvlText w:val="%1."/>
      <w:numFmt w:val="decimal"/>
      <w:start w:val="11"/>
    </w:lvl>
  </w:abstractNum>
  <w:abstractNum w:abstractNumId="59">
    <w:nsid w:val="15014ACB"/>
    <w:multiLevelType w:val="hybridMultilevel"/>
    <w:lvl w:ilvl="0">
      <w:lvlJc w:val="left"/>
      <w:lvlText w:val="%1."/>
      <w:numFmt w:val="decimal"/>
      <w:start w:val="12"/>
    </w:lvl>
  </w:abstractNum>
  <w:abstractNum w:abstractNumId="60">
    <w:nsid w:val="5F5E7FD0"/>
    <w:multiLevelType w:val="hybridMultilevel"/>
    <w:lvl w:ilvl="0">
      <w:lvlJc w:val="left"/>
      <w:lvlText w:val="%1."/>
      <w:numFmt w:val="decimal"/>
      <w:start w:val="13"/>
    </w:lvl>
  </w:abstractNum>
  <w:abstractNum w:abstractNumId="61">
    <w:nsid w:val="98A3148"/>
    <w:multiLevelType w:val="hybridMultilevel"/>
    <w:lvl w:ilvl="0">
      <w:lvlJc w:val="left"/>
      <w:lvlText w:val="%1."/>
      <w:numFmt w:val="decimal"/>
      <w:start w:val="14"/>
    </w:lvl>
  </w:abstractNum>
  <w:abstractNum w:abstractNumId="62">
    <w:nsid w:val="799D0247"/>
    <w:multiLevelType w:val="hybridMultilevel"/>
    <w:lvl w:ilvl="0">
      <w:lvlJc w:val="left"/>
      <w:lvlText w:val="%1."/>
      <w:numFmt w:val="decimal"/>
      <w:start w:val="18"/>
    </w:lvl>
  </w:abstractNum>
  <w:abstractNum w:abstractNumId="63">
    <w:nsid w:val="6B94764"/>
    <w:multiLevelType w:val="hybridMultilevel"/>
    <w:lvl w:ilvl="0">
      <w:lvlJc w:val="left"/>
      <w:lvlText w:val="(%1)"/>
      <w:numFmt w:val="lowerLetter"/>
      <w:start w:val="1"/>
    </w:lvl>
  </w:abstractNum>
  <w:abstractNum w:abstractNumId="64">
    <w:nsid w:val="42C296BD"/>
    <w:multiLevelType w:val="hybridMultilevel"/>
    <w:lvl w:ilvl="0">
      <w:lvlJc w:val="left"/>
      <w:lvlText w:val="%1."/>
      <w:numFmt w:val="decimal"/>
      <w:start w:val="19"/>
    </w:lvl>
  </w:abstractNum>
  <w:abstractNum w:abstractNumId="65">
    <w:nsid w:val="168E121F"/>
    <w:multiLevelType w:val="hybridMultilevel"/>
    <w:lvl w:ilvl="0">
      <w:lvlJc w:val="left"/>
      <w:lvlText w:val="%1."/>
      <w:numFmt w:val="decimal"/>
      <w:start w:val="20"/>
    </w:lvl>
  </w:abstractNum>
  <w:abstractNum w:abstractNumId="66">
    <w:nsid w:val="1EBA5D23"/>
    <w:multiLevelType w:val="hybridMultilevel"/>
    <w:lvl w:ilvl="0">
      <w:lvlJc w:val="left"/>
      <w:lvlText w:val="%1."/>
      <w:numFmt w:val="decimal"/>
      <w:start w:val="27"/>
    </w:lvl>
    <w:lvl w:ilvl="1">
      <w:lvlJc w:val="left"/>
      <w:lvlText w:val="*"/>
      <w:numFmt w:val="bullet"/>
      <w:start w:val="1"/>
    </w:lvl>
  </w:abstractNum>
  <w:abstractNum w:abstractNumId="67">
    <w:nsid w:val="661E3F1E"/>
    <w:multiLevelType w:val="hybridMultilevel"/>
    <w:lvl w:ilvl="0">
      <w:lvlJc w:val="left"/>
      <w:lvlText w:val="%1."/>
      <w:numFmt w:val="decimal"/>
      <w:start w:val="1"/>
    </w:lvl>
  </w:abstractNum>
  <w:abstractNum w:abstractNumId="68">
    <w:nsid w:val="5DC79EA8"/>
    <w:multiLevelType w:val="hybridMultilevel"/>
    <w:lvl w:ilvl="0">
      <w:lvlJc w:val="left"/>
      <w:lvlText w:val="%1."/>
      <w:numFmt w:val="decimal"/>
      <w:start w:val="7"/>
    </w:lvl>
  </w:abstractNum>
  <w:abstractNum w:abstractNumId="69">
    <w:nsid w:val="540A471C"/>
    <w:multiLevelType w:val="hybridMultilevel"/>
    <w:lvl w:ilvl="0">
      <w:lvlJc w:val="left"/>
      <w:lvlText w:val="(%1)"/>
      <w:numFmt w:val="lowerLetter"/>
      <w:start w:val="1"/>
    </w:lvl>
  </w:abstractNum>
  <w:abstractNum w:abstractNumId="70">
    <w:nsid w:val="7BD3EE7B"/>
    <w:multiLevelType w:val="hybridMultilevel"/>
    <w:lvl w:ilvl="0">
      <w:lvlJc w:val="left"/>
      <w:lvlText w:val="%1."/>
      <w:numFmt w:val="decimal"/>
      <w:start w:val="8"/>
    </w:lvl>
    <w:lvl w:ilvl="1">
      <w:lvlJc w:val="left"/>
      <w:lvlText w:val="(%2)"/>
      <w:numFmt w:val="lowerLetter"/>
      <w:start w:val="1"/>
    </w:lvl>
  </w:abstractNum>
  <w:abstractNum w:abstractNumId="71">
    <w:nsid w:val="51D9C564"/>
    <w:multiLevelType w:val="hybridMultilevel"/>
    <w:lvl w:ilvl="0">
      <w:lvlJc w:val="left"/>
      <w:lvlText w:val="%1"/>
      <w:numFmt w:val="decimal"/>
      <w:start w:val="1"/>
    </w:lvl>
    <w:lvl w:ilvl="1">
      <w:lvlJc w:val="left"/>
      <w:lvlText w:val="(%2)"/>
      <w:numFmt w:val="lowerLetter"/>
      <w:start w:val="9"/>
    </w:lvl>
  </w:abstractNum>
  <w:abstractNum w:abstractNumId="72">
    <w:nsid w:val="613EFDC5"/>
    <w:multiLevelType w:val="hybridMultilevel"/>
    <w:lvl w:ilvl="0">
      <w:lvlJc w:val="left"/>
      <w:lvlText w:val="%1."/>
      <w:numFmt w:val="decimal"/>
      <w:start w:val="9"/>
    </w:lvl>
    <w:lvl w:ilvl="1">
      <w:lvlJc w:val="left"/>
      <w:lvlText w:val="%2"/>
      <w:numFmt w:val="lowerLetter"/>
      <w:start w:val="1"/>
    </w:lvl>
  </w:abstractNum>
  <w:abstractNum w:abstractNumId="73">
    <w:nsid w:val="BF72B14"/>
    <w:multiLevelType w:val="hybridMultilevel"/>
    <w:lvl w:ilvl="0">
      <w:lvlJc w:val="left"/>
      <w:lvlText w:val="%1."/>
      <w:numFmt w:val="decimal"/>
      <w:start w:val="10"/>
    </w:lvl>
  </w:abstractNum>
  <w:abstractNum w:abstractNumId="74">
    <w:nsid w:val="11447B73"/>
    <w:multiLevelType w:val="hybridMultilevel"/>
    <w:lvl w:ilvl="0">
      <w:lvlJc w:val="left"/>
      <w:lvlText w:val="%1."/>
      <w:numFmt w:val="decimal"/>
      <w:start w:val="13"/>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2021-08-12T16:58:08Z</dcterms:created>
  <dcterms:modified xsi:type="dcterms:W3CDTF">2021-08-12T16:58:08Z</dcterms:modified>
</cp:coreProperties>
</file>