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7, 2025, Seer, Inc. (the "Company") notified The Nasdaq Stock Market LLC (“Nasdaq”) that following the Company's 2025 Annual Meeting of Stockholders (the "Annual Meeting"), the Company will no longer be in compliance with the Nasdaq Listing Rule 5605(c)(2)(A), which requires that (i) the Audit Committee of the Company's Board of Directors (the “Audit Committee”) be composed of at least three members, and (ii) that one member of the Audit Committee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The Company intends to rely on the cure period provided by the Nasdaq Listing Rule 5605(c)(4)(B). The Company is evaluating the appropriate membership and composition of its Board of Directors ("Board") and Board committees and intends to regain compliance with the Nasdaq Listing Rule 5605(c)(2)(A) prior to the expiration of the applicable cure period granted under the Nasdaq Listing Rule 5605(c)(4)(B).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7" w:right="479" w:bottom="144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4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July 7, 2025, the Company held the Annual Meeting. Present at the meeting in person virtually or by proxy were holders of the Company's Class A and Class B common stock, representing 85,881,548, or approximately 90.16%, of the 95,250,943 eligible votes, constituting a quorum for the transaction of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items at the Annual Meeting:</w:t>
      </w:r>
    </w:p>
    <w:p>
      <w:pPr>
        <w:spacing w:after="0" w:line="117" w:lineRule="exact"/>
        <w:rPr>
          <w:sz w:val="20"/>
          <w:szCs w:val="20"/>
          <w:color w:val="auto"/>
        </w:rPr>
      </w:pPr>
    </w:p>
    <w:p>
      <w:pPr>
        <w:ind w:left="1020" w:right="320" w:hanging="503"/>
        <w:spacing w:after="0" w:line="29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Omid Farokhzad, M.D., Meeta Gulyani, Terrance McGuire, Robert Langer, Sc.D., Dipchand (Deep) Nishar, and Nicolas Roelofs, Ph.D. as a director; and</w:t>
      </w:r>
    </w:p>
    <w:p>
      <w:pPr>
        <w:spacing w:after="0" w:line="4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six director nominees were elected to the Board to serve until the 2026 annual meeting of stockholders by the following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Omid Farokhzad, M.D.</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68,782,390</w:t>
            </w:r>
          </w:p>
        </w:tc>
        <w:tc>
          <w:tcPr>
            <w:tcW w:w="2940" w:type="dxa"/>
            <w:vAlign w:val="bottom"/>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912,462</w:t>
            </w:r>
          </w:p>
        </w:tc>
        <w:tc>
          <w:tcPr>
            <w:tcW w:w="276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Meeta Gulyani</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69,079,404</w:t>
            </w:r>
          </w:p>
        </w:tc>
        <w:tc>
          <w:tcPr>
            <w:tcW w:w="2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615,448</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59,664,040</w:t>
            </w:r>
          </w:p>
        </w:tc>
        <w:tc>
          <w:tcPr>
            <w:tcW w:w="294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10,030,812</w:t>
            </w:r>
          </w:p>
        </w:tc>
        <w:tc>
          <w:tcPr>
            <w:tcW w:w="276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68,949,736</w:t>
            </w:r>
          </w:p>
        </w:tc>
        <w:tc>
          <w:tcPr>
            <w:tcW w:w="2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745,116</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Dipchand (Deep) Nishar</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63,147,525</w:t>
            </w:r>
          </w:p>
        </w:tc>
        <w:tc>
          <w:tcPr>
            <w:tcW w:w="294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6,547,327</w:t>
            </w:r>
          </w:p>
        </w:tc>
        <w:tc>
          <w:tcPr>
            <w:tcW w:w="2760" w:type="dxa"/>
            <w:vAlign w:val="bottom"/>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Nicolas Roelofs, Ph.D.</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63,834,301</w:t>
            </w:r>
          </w:p>
        </w:tc>
        <w:tc>
          <w:tcPr>
            <w:tcW w:w="29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5,860,551</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16,186,696</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2025 by the following 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9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85,859,701</w:t>
            </w:r>
          </w:p>
        </w:tc>
        <w:tc>
          <w:tcPr>
            <w:tcW w:w="292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4,444</w:t>
            </w:r>
          </w:p>
        </w:tc>
        <w:tc>
          <w:tcPr>
            <w:tcW w:w="26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17,403</w:t>
            </w:r>
          </w:p>
        </w:tc>
        <w:tc>
          <w:tcPr>
            <w:tcW w:w="294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Such forward-looking statements are based on the Company’s beliefs and assumptions and on information currently available to it on the date hereof.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other filings with the Securities and Exchange Commission, including the Company’s Annual Reports on Form 10-K, Quarterly Reports on Form 10-Q and other documents the Company files with the Securities and Exchange Commission from time to time.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28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Date: July 8, 2025</w:t>
            </w: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2025-07-08T15:21:43Z</dcterms:created>
  <dcterms:modified xsi:type="dcterms:W3CDTF">2025-07-08T15:21:43Z</dcterms:modified>
</cp:coreProperties>
</file>