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40" w:after="283"/>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FORM 8-K</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Report (Date of earliest event reported): </w:t>
      </w:r>
    </w:p>
    <w:p>
      <w:pPr>
        <w:pStyle w:val="TextBody"/>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May 9, 2023</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Seer,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468" w:type="dxa"/>
        <w:jc w:val="center"/>
        <w:tblInd w:w="0" w:type="dxa"/>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4"/>
        <w:gridCol w:w="434"/>
        <w:gridCol w:w="617"/>
      </w:tblGrid>
      <w:tr>
        <w:trPr/>
        <w:tc>
          <w:tcPr>
            <w:tcW w:w="81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001-39747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82-1153150</w:t>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2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3800 Bridge Parkway, Suite 102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Redwood City, California 94065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650-453-0000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reports)</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p>
      <w:pPr>
        <w:pStyle w:val="TextBody"/>
        <w:spacing w:before="0" w:after="0"/>
        <w:jc w:val="center"/>
        <w:rPr/>
      </w:pPr>
      <w:r>
        <w:rPr/>
      </w:r>
    </w:p>
    <w:tbl>
      <w:tblPr>
        <w:tblW w:w="8442" w:type="dxa"/>
        <w:jc w:val="center"/>
        <w:tblInd w:w="0" w:type="dxa"/>
        <w:tblCellMar>
          <w:top w:w="28" w:type="dxa"/>
          <w:left w:w="28" w:type="dxa"/>
          <w:bottom w:w="28" w:type="dxa"/>
          <w:right w:w="28" w:type="dxa"/>
        </w:tblCellMar>
      </w:tblPr>
      <w:tblGrid>
        <w:gridCol w:w="124"/>
        <w:gridCol w:w="109"/>
        <w:gridCol w:w="109"/>
        <w:gridCol w:w="2369"/>
        <w:gridCol w:w="2369"/>
        <w:gridCol w:w="33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2369"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tbl>
      <w:tblPr>
        <w:tblW w:w="8727" w:type="dxa"/>
        <w:jc w:val="center"/>
        <w:tblInd w:w="0" w:type="dxa"/>
        <w:tblCellMar>
          <w:top w:w="28" w:type="dxa"/>
          <w:left w:w="28" w:type="dxa"/>
          <w:bottom w:w="28" w:type="dxa"/>
          <w:right w:w="28" w:type="dxa"/>
        </w:tblCellMar>
      </w:tblPr>
      <w:tblGrid>
        <w:gridCol w:w="1404"/>
        <w:gridCol w:w="1236"/>
        <w:gridCol w:w="1244"/>
        <w:gridCol w:w="454"/>
        <w:gridCol w:w="454"/>
        <w:gridCol w:w="456"/>
        <w:gridCol w:w="1019"/>
        <w:gridCol w:w="1019"/>
        <w:gridCol w:w="1441"/>
      </w:tblGrid>
      <w:tr>
        <w:trPr/>
        <w:tc>
          <w:tcPr>
            <w:tcW w:w="1404"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88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36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SEER</w:t>
            </w:r>
          </w:p>
        </w:tc>
        <w:tc>
          <w:tcPr>
            <w:tcW w:w="347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32" w:before="55" w:after="3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p>
            <w:pPr>
              <w:pStyle w:val="TableContents"/>
              <w:spacing w:lineRule="auto" w:line="232" w:before="55" w:after="30"/>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spacing w:lineRule="auto" w:line="333" w:before="120" w:after="180"/>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333" w:before="0" w:after="180"/>
        <w:rPr>
          <w:rFonts w:ascii="Times New Roman;sans-serif" w:hAnsi="Times New Roman;sans-serif"/>
          <w:b w:val="false"/>
          <w:color w:val="000000"/>
          <w:sz w:val="14"/>
        </w:rPr>
      </w:pPr>
      <w:r>
        <w:rPr>
          <w:rFonts w:ascii="Times New Roman;sans-serif" w:hAnsi="Times New Roman;sans-serif"/>
          <w:b w:val="false"/>
          <w:color w:val="000000"/>
          <w:sz w:val="14"/>
        </w:rPr>
        <w:t xml:space="preserve">Emerging growth company ☐ </w:t>
      </w:r>
    </w:p>
    <w:p>
      <w:pPr>
        <w:pStyle w:val="TextBody"/>
        <w:spacing w:lineRule="auto" w:line="333" w:before="0" w:after="0"/>
        <w:rPr>
          <w:rFonts w:ascii="Times New Roman;sans-serif" w:hAnsi="Times New Roman;sans-serif"/>
          <w:b w:val="false"/>
          <w:color w:val="000000"/>
          <w:sz w:val="14"/>
        </w:rPr>
      </w:pPr>
      <w:r>
        <w:rPr>
          <w:rFonts w:ascii="Times New Roman;sans-serif" w:hAnsi="Times New Roman;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022"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90" w:after="283"/>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May 9, 2023, Seer, Inc. (the “Company”) issued a press release (the “Press Release”) announcing results for the quarter ended March 31, 2023. A copy of the Press Release is attached as Exhibit 99.1 to this current report on Form 8-K and is incorporated by reference herein.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5410"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0"/>
        <w:gridCol w:w="110"/>
        <w:gridCol w:w="110"/>
        <w:gridCol w:w="110"/>
        <w:gridCol w:w="110"/>
        <w:gridCol w:w="110"/>
        <w:gridCol w:w="110"/>
        <w:gridCol w:w="110"/>
        <w:gridCol w:w="110"/>
        <w:gridCol w:w="110"/>
        <w:gridCol w:w="110"/>
        <w:gridCol w:w="110"/>
        <w:gridCol w:w="110"/>
        <w:gridCol w:w="110"/>
        <w:gridCol w:w="110"/>
        <w:gridCol w:w="110"/>
        <w:gridCol w:w="110"/>
        <w:gridCol w:w="110"/>
        <w:gridCol w:w="119"/>
        <w:gridCol w:w="119"/>
        <w:gridCol w:w="119"/>
        <w:gridCol w:w="119"/>
        <w:gridCol w:w="119"/>
        <w:gridCol w:w="119"/>
        <w:gridCol w:w="119"/>
        <w:gridCol w:w="119"/>
        <w:gridCol w:w="1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18"/>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4" w:type="dxa"/>
            <w:gridSpan w:val="21"/>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106" w:type="dxa"/>
            <w:gridSpan w:val="27"/>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8" w:type="dxa"/>
            <w:gridSpan w:val="30"/>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2" w:type="dxa"/>
            <w:gridSpan w:val="21"/>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4" w:type="dxa"/>
            <w:gridSpan w:val="30"/>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990"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bl>
    <w:p>
      <w:pPr>
        <w:pStyle w:val="TextBody"/>
        <w:spacing w:before="0" w:after="0"/>
        <w:ind w:left="0" w:right="0" w:hanging="720"/>
        <w:jc w:val="both"/>
        <w:rPr/>
      </w:pPr>
      <w:r>
        <w:rPr/>
      </w:r>
    </w:p>
    <w:p>
      <w:pPr>
        <w:pStyle w:val="TextBody"/>
        <w:spacing w:lineRule="auto" w:line="240" w:before="0" w:after="0"/>
        <w:ind w:left="0" w:right="0" w:hanging="720"/>
        <w:jc w:val="both"/>
        <w:rPr/>
      </w:pPr>
      <w:hyperlink w:anchor="q12023pressreleaseexhibit.htm">
        <w:r>
          <w:rPr>
            <w:rStyle w:val="InternetLink"/>
            <w:rFonts w:ascii="Times New Roman;sans-serif" w:hAnsi="Times New Roman;sans-serif"/>
            <w:b w:val="false"/>
            <w:color w:val="0000FF"/>
            <w:sz w:val="20"/>
            <w:u w:val="single"/>
          </w:rPr>
          <w:t>99.1</w:t>
        </w:r>
      </w:hyperlink>
      <w:r>
        <w:rPr>
          <w:color w:val="000000"/>
        </w:rPr>
        <w:t>    </w:t>
      </w:r>
      <w:r>
        <w:rPr>
          <w:rFonts w:ascii="Times New Roman;sans-serif" w:hAnsi="Times New Roman;sans-serif"/>
          <w:b w:val="false"/>
          <w:color w:val="000000"/>
          <w:sz w:val="20"/>
        </w:rPr>
        <w:t>Press Release, dated May 9, 2023</w:t>
      </w:r>
    </w:p>
    <w:p>
      <w:pPr>
        <w:pStyle w:val="TextBody"/>
        <w:spacing w:lineRule="auto" w:line="240"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104    Cover page from this Current Report on Form 8-K, formatted in Inline XBRL.</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spacing w:lineRule="auto" w:line="240"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7868" w:type="dxa"/>
        <w:jc w:val="left"/>
        <w:tblInd w:w="0" w:type="dxa"/>
        <w:tblCellMar>
          <w:top w:w="28" w:type="dxa"/>
          <w:left w:w="28" w:type="dxa"/>
          <w:bottom w:w="28" w:type="dxa"/>
          <w:right w:w="28" w:type="dxa"/>
        </w:tblCellMar>
      </w:tblPr>
      <w:tblGrid>
        <w:gridCol w:w="203"/>
        <w:gridCol w:w="179"/>
        <w:gridCol w:w="179"/>
        <w:gridCol w:w="179"/>
        <w:gridCol w:w="179"/>
        <w:gridCol w:w="179"/>
        <w:gridCol w:w="179"/>
        <w:gridCol w:w="179"/>
        <w:gridCol w:w="17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41"/>
        <w:gridCol w:w="141"/>
        <w:gridCol w:w="141"/>
        <w:gridCol w:w="141"/>
        <w:gridCol w:w="141"/>
        <w:gridCol w:w="141"/>
        <w:gridCol w:w="141"/>
        <w:gridCol w:w="141"/>
        <w:gridCol w:w="200"/>
      </w:tblGrid>
      <w:tr>
        <w:trPr/>
        <w:tc>
          <w:tcPr>
            <w:tcW w:w="20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0" w:type="dxa"/>
            <w:gridSpan w:val="27"/>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4"/>
              </w:rPr>
              <w:br/>
            </w:r>
            <w:r>
              <w:rPr>
                <w:rFonts w:ascii="Times New Roman;sans-serif" w:hAnsi="Times New Roman;sans-serif"/>
                <w:b/>
                <w:color w:val="000000"/>
                <w:sz w:val="20"/>
              </w:rPr>
              <w:t>SEER, INC.</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9"/>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9"/>
            <w:tcBorders>
              <w:bottom w:val="single" w:sz="2"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Horn</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0"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Horn</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0"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120"/>
        <w:jc w:val="center"/>
        <w:rPr>
          <w:rFonts w:ascii="Arial;sans-serif" w:hAnsi="Arial;sans-serif"/>
          <w:b/>
          <w:color w:val="000000"/>
          <w:sz w:val="24"/>
        </w:rPr>
      </w:pPr>
      <w:r>
        <w:rPr>
          <w:rFonts w:ascii="Arial;sans-serif" w:hAnsi="Arial;sans-serif"/>
          <w:b/>
          <w:color w:val="000000"/>
          <w:sz w:val="24"/>
        </w:rPr>
        <w:t xml:space="preserve">Seer Reports First Quarter 2023 Financial Results </w:t>
      </w:r>
    </w:p>
    <w:p>
      <w:pPr>
        <w:pStyle w:val="TextBody"/>
        <w:spacing w:lineRule="auto" w:line="333" w:before="0" w:after="120"/>
        <w:jc w:val="center"/>
        <w:rPr>
          <w:rFonts w:ascii="Arial;sans-serif" w:hAnsi="Arial;sans-serif"/>
          <w:b w:val="false"/>
          <w:i/>
          <w:color w:val="000000"/>
          <w:sz w:val="22"/>
        </w:rPr>
      </w:pPr>
      <w:r>
        <w:rPr>
          <w:rFonts w:ascii="Arial;sans-serif" w:hAnsi="Arial;sans-serif"/>
          <w:b w:val="false"/>
          <w:i/>
          <w:color w:val="000000"/>
          <w:sz w:val="22"/>
        </w:rPr>
        <w:t>Grew revenue 22% year-over-year with continued growth in installed base</w:t>
      </w:r>
    </w:p>
    <w:p>
      <w:pPr>
        <w:pStyle w:val="TextBody"/>
        <w:spacing w:lineRule="auto" w:line="333" w:before="0" w:after="120"/>
        <w:jc w:val="center"/>
        <w:rPr>
          <w:rFonts w:ascii="Arial;sans-serif" w:hAnsi="Arial;sans-serif"/>
          <w:b w:val="false"/>
          <w:i/>
          <w:color w:val="000000"/>
          <w:sz w:val="22"/>
        </w:rPr>
      </w:pPr>
      <w:r>
        <w:rPr>
          <w:rFonts w:ascii="Arial;sans-serif" w:hAnsi="Arial;sans-serif"/>
          <w:b w:val="false"/>
          <w:i/>
          <w:color w:val="000000"/>
          <w:sz w:val="22"/>
        </w:rPr>
        <w:t>and an increasing number of customer presentations and publications</w:t>
      </w:r>
    </w:p>
    <w:p>
      <w:pPr>
        <w:pStyle w:val="TextBody"/>
        <w:spacing w:before="0" w:after="120"/>
        <w:jc w:val="center"/>
        <w:rPr/>
      </w:pPr>
      <w:r>
        <w:rPr/>
      </w:r>
    </w:p>
    <w:p>
      <w:pPr>
        <w:pStyle w:val="TextBody"/>
        <w:spacing w:lineRule="auto" w:line="369" w:before="0" w:after="0"/>
        <w:jc w:val="both"/>
        <w:rPr/>
      </w:pPr>
      <w:r>
        <w:rPr>
          <w:rFonts w:ascii="Arial;sans-serif" w:hAnsi="Arial;sans-serif"/>
          <w:b/>
          <w:color w:val="000000"/>
          <w:sz w:val="20"/>
        </w:rPr>
        <w:t xml:space="preserve">REDWOOD CITY, Calif. </w:t>
      </w:r>
      <w:r>
        <w:rPr>
          <w:rFonts w:ascii="Arial;sans-serif" w:hAnsi="Arial;sans-serif"/>
          <w:b w:val="false"/>
          <w:color w:val="000000"/>
          <w:sz w:val="20"/>
        </w:rPr>
        <w:t>May 9, 2023 – Seer, Inc. (Nasdaq: SEER), a life sciences company commercializing a disruptive new platform for proteomics, today reported financial results for the first quarter ended March 31, 2023.</w:t>
      </w:r>
    </w:p>
    <w:p>
      <w:pPr>
        <w:pStyle w:val="TextBody"/>
        <w:spacing w:before="0" w:after="0"/>
        <w:jc w:val="both"/>
        <w:rPr/>
      </w:pPr>
      <w:r>
        <w:rPr/>
      </w:r>
    </w:p>
    <w:p>
      <w:pPr>
        <w:pStyle w:val="TextBody"/>
        <w:spacing w:lineRule="auto" w:line="369" w:before="0" w:after="0"/>
        <w:jc w:val="both"/>
        <w:rPr>
          <w:color w:val="000000"/>
        </w:rPr>
      </w:pPr>
      <w:r>
        <w:rPr>
          <w:color w:val="000000"/>
        </w:rPr>
        <w:t>“</w:t>
      </w:r>
      <w:r>
        <w:rPr>
          <w:rFonts w:ascii="Arial;sans-serif" w:hAnsi="Arial;sans-serif"/>
          <w:b w:val="false"/>
          <w:color w:val="000000"/>
          <w:sz w:val="20"/>
        </w:rPr>
        <w:t>We started the year off strong with continued growth in our installed base and progress against our strategic objectives. It is exciting to see the Proteograph enable breakthrough science, with increasing data demonstrating its power, extensibility, and catalyzation of new applications,” said Omid Farokhzad, CEO and President. “We are seeing more data being generated by our customers, the initiation of larger studies, and the first customer publications make their way through the peer-review process. We expect this momentum to continue throughout the year as more customers adopt the technology and scale their use of the platform.”</w:t>
      </w:r>
    </w:p>
    <w:p>
      <w:pPr>
        <w:pStyle w:val="TextBody"/>
        <w:spacing w:before="0" w:after="0"/>
        <w:rPr/>
      </w:pPr>
      <w:r>
        <w:rPr/>
      </w:r>
    </w:p>
    <w:p>
      <w:pPr>
        <w:pStyle w:val="TextBody"/>
        <w:spacing w:lineRule="auto" w:line="386" w:before="120" w:after="120"/>
        <w:jc w:val="both"/>
        <w:rPr>
          <w:rFonts w:ascii="Arial;sans-serif" w:hAnsi="Arial;sans-serif"/>
          <w:b/>
          <w:color w:val="000000"/>
          <w:sz w:val="20"/>
        </w:rPr>
      </w:pPr>
      <w:r>
        <w:rPr>
          <w:rFonts w:ascii="Arial;sans-serif" w:hAnsi="Arial;sans-serif"/>
          <w:b/>
          <w:color w:val="000000"/>
          <w:sz w:val="20"/>
        </w:rPr>
        <w:t xml:space="preserve">Recent Highlights </w:t>
      </w:r>
    </w:p>
    <w:p>
      <w:pPr>
        <w:pStyle w:val="TextBody"/>
        <w:spacing w:lineRule="auto" w:line="369" w:before="0" w:after="120"/>
        <w:ind w:left="0" w:right="0" w:hanging="360"/>
        <w:jc w:val="both"/>
        <w:rPr/>
      </w:pPr>
      <w:r>
        <w:rPr>
          <w:color w:val="000000"/>
        </w:rPr>
        <w:t>•</w:t>
      </w:r>
      <w:r>
        <w:rPr>
          <w:rFonts w:ascii="Arial;sans-serif" w:hAnsi="Arial;sans-serif"/>
          <w:b w:val="false"/>
          <w:color w:val="000000"/>
          <w:sz w:val="20"/>
        </w:rPr>
        <w:t xml:space="preserve">Achieved revenue of $4.1 million for the first quarter of 2023, an increase of 22% over the prior year period </w:t>
      </w:r>
    </w:p>
    <w:p>
      <w:pPr>
        <w:pStyle w:val="TextBody"/>
        <w:spacing w:lineRule="auto" w:line="369" w:before="0" w:after="120"/>
        <w:ind w:left="0" w:right="0" w:hanging="360"/>
        <w:jc w:val="both"/>
        <w:rPr/>
      </w:pPr>
      <w:r>
        <w:rPr>
          <w:color w:val="000000"/>
        </w:rPr>
        <w:t>•</w:t>
      </w:r>
      <w:r>
        <w:rPr>
          <w:rFonts w:ascii="Arial;sans-serif" w:hAnsi="Arial;sans-serif"/>
          <w:b w:val="false"/>
          <w:color w:val="000000"/>
          <w:sz w:val="20"/>
        </w:rPr>
        <w:t xml:space="preserve">Announced the first protein quantitative trait loci, or pQTL, customer manuscript, demonstrating the association of genetic variants with protein variants at peptide-level resolution in healthy and diabetic patients, now available as a pre-print on </w:t>
      </w:r>
      <w:r>
        <w:rPr>
          <w:rFonts w:ascii="Arial;sans-serif" w:hAnsi="Arial;sans-serif"/>
          <w:b w:val="false"/>
          <w:i/>
          <w:color w:val="000000"/>
          <w:sz w:val="20"/>
        </w:rPr>
        <w:t>BioRxiv</w:t>
      </w:r>
      <w:r>
        <w:rPr>
          <w:color w:val="000000"/>
        </w:rPr>
        <w:t xml:space="preserve"> </w:t>
      </w:r>
    </w:p>
    <w:p>
      <w:pPr>
        <w:pStyle w:val="TextBody"/>
        <w:spacing w:lineRule="auto" w:line="369" w:before="0" w:after="120"/>
        <w:ind w:left="0" w:right="0" w:hanging="360"/>
        <w:jc w:val="both"/>
        <w:rPr/>
      </w:pPr>
      <w:r>
        <w:rPr>
          <w:color w:val="000000"/>
        </w:rPr>
        <w:t>•</w:t>
      </w:r>
      <w:r>
        <w:rPr>
          <w:rFonts w:ascii="Arial;sans-serif" w:hAnsi="Arial;sans-serif"/>
          <w:b w:val="false"/>
          <w:color w:val="000000"/>
          <w:sz w:val="20"/>
        </w:rPr>
        <w:t xml:space="preserve">Announced a peer-reviewed article published in </w:t>
      </w:r>
      <w:r>
        <w:rPr>
          <w:rFonts w:ascii="Arial;sans-serif" w:hAnsi="Arial;sans-serif"/>
          <w:b w:val="false"/>
          <w:i/>
          <w:color w:val="000000"/>
          <w:sz w:val="20"/>
        </w:rPr>
        <w:t>PLOS ONE</w:t>
      </w:r>
      <w:r>
        <w:rPr>
          <w:rFonts w:ascii="Arial;sans-serif" w:hAnsi="Arial;sans-serif"/>
          <w:b w:val="false"/>
          <w:color w:val="000000"/>
          <w:sz w:val="20"/>
        </w:rPr>
        <w:t>, which shows the advantage of multiple peptide measurements per protein over single protein measurements, using them to identify examples of previously unknown differential protein isoform abundance in lung cancer vs. healthy controls</w:t>
      </w:r>
    </w:p>
    <w:p>
      <w:pPr>
        <w:pStyle w:val="TextBody"/>
        <w:spacing w:lineRule="auto" w:line="369" w:before="0" w:after="120"/>
        <w:ind w:left="0" w:right="0" w:hanging="360"/>
        <w:jc w:val="both"/>
        <w:rPr/>
      </w:pPr>
      <w:r>
        <w:rPr>
          <w:color w:val="000000"/>
        </w:rPr>
        <w:t>•</w:t>
      </w:r>
      <w:r>
        <w:rPr>
          <w:rFonts w:ascii="Arial;sans-serif" w:hAnsi="Arial;sans-serif"/>
          <w:b w:val="false"/>
          <w:color w:val="000000"/>
          <w:sz w:val="20"/>
        </w:rPr>
        <w:t>Presented ten posters at the US Human Proteome Organization conference highlighting the Proteograph Product Suite, including customer data on COVID-19 vaccine response and a robust, high-throughput method for deep plasma proteomics</w:t>
      </w:r>
    </w:p>
    <w:p>
      <w:pPr>
        <w:pStyle w:val="TextBody"/>
        <w:spacing w:before="0" w:after="120"/>
        <w:jc w:val="both"/>
        <w:rPr/>
      </w:pPr>
      <w:r>
        <w:rPr/>
      </w:r>
    </w:p>
    <w:p>
      <w:pPr>
        <w:pStyle w:val="TextBody"/>
        <w:spacing w:lineRule="auto" w:line="386" w:before="120" w:after="120"/>
        <w:jc w:val="both"/>
        <w:rPr>
          <w:rFonts w:ascii="Arial;sans-serif" w:hAnsi="Arial;sans-serif"/>
          <w:b/>
          <w:color w:val="000000"/>
          <w:sz w:val="20"/>
        </w:rPr>
      </w:pPr>
      <w:r>
        <w:rPr>
          <w:rFonts w:ascii="Arial;sans-serif" w:hAnsi="Arial;sans-serif"/>
          <w:b/>
          <w:color w:val="000000"/>
          <w:sz w:val="20"/>
        </w:rPr>
        <w:t>First Quarter 2023 Financial Results</w:t>
      </w:r>
    </w:p>
    <w:p>
      <w:pPr>
        <w:pStyle w:val="TextBody"/>
        <w:spacing w:lineRule="auto" w:line="369" w:before="0" w:after="0"/>
        <w:jc w:val="both"/>
        <w:rPr>
          <w:rFonts w:ascii="Arial;sans-serif" w:hAnsi="Arial;sans-serif"/>
          <w:b w:val="false"/>
          <w:color w:val="000000"/>
          <w:sz w:val="20"/>
        </w:rPr>
      </w:pPr>
      <w:r>
        <w:rPr>
          <w:rFonts w:ascii="Arial;sans-serif" w:hAnsi="Arial;sans-serif"/>
          <w:b w:val="false"/>
          <w:color w:val="000000"/>
          <w:sz w:val="20"/>
        </w:rPr>
        <w:t>Revenue was $4.1 million for the three months ended March 31, 2023, a 22% increase from $3.3 million for the three months ended March 31, 2022. The increase was primarily due to increased sales of consumable kits related to the Proteograph Product Suite. Product-related revenue for the first quarter of 2023 was $3.6 million, including $1.3 million of related party revenue, and consisted of sales of SP100 instruments, consumable kits and platform evaluations. Service revenue was $0.1 million and grant and other revenue was $0.3 million. </w:t>
      </w:r>
    </w:p>
    <w:p>
      <w:pPr>
        <w:pStyle w:val="TextBody"/>
        <w:spacing w:before="0" w:after="0"/>
        <w:jc w:val="both"/>
        <w:rPr/>
      </w:pPr>
      <w:r>
        <w:rPr/>
      </w:r>
    </w:p>
    <w:p>
      <w:pPr>
        <w:pStyle w:val="TextBody"/>
        <w:spacing w:lineRule="auto" w:line="369" w:before="0" w:after="0"/>
        <w:jc w:val="both"/>
        <w:rPr/>
      </w:pPr>
      <w:r>
        <w:rPr>
          <w:rFonts w:ascii="Arial;sans-serif" w:hAnsi="Arial;sans-serif"/>
          <w:b w:val="false"/>
          <w:color w:val="000000"/>
          <w:sz w:val="20"/>
        </w:rPr>
        <w:t>Gross profit, inclusive of grant and other revenue, was $2.1</w:t>
      </w:r>
      <w:r>
        <w:rPr>
          <w:color w:val="FF0000"/>
        </w:rPr>
        <w:t xml:space="preserve"> </w:t>
      </w:r>
      <w:r>
        <w:rPr>
          <w:rFonts w:ascii="Arial;sans-serif" w:hAnsi="Arial;sans-serif"/>
          <w:b w:val="false"/>
          <w:color w:val="000000"/>
          <w:sz w:val="20"/>
        </w:rPr>
        <w:t xml:space="preserve">million and gross margin was 51% for the first quarter of 2023. </w:t>
      </w:r>
    </w:p>
    <w:p>
      <w:pPr>
        <w:pStyle w:val="TextBody"/>
        <w:spacing w:before="0" w:after="0"/>
        <w:jc w:val="both"/>
        <w:rPr/>
      </w:pPr>
      <w:r>
        <w:rPr/>
      </w:r>
    </w:p>
    <w:p>
      <w:pPr>
        <w:pStyle w:val="TextBody"/>
        <w:spacing w:lineRule="auto" w:line="369"/>
        <w:jc w:val="both"/>
        <w:rPr/>
      </w:pPr>
      <w:r>
        <w:rPr>
          <w:rFonts w:ascii="Arial;sans-serif" w:hAnsi="Arial;sans-serif"/>
          <w:b w:val="false"/>
          <w:color w:val="000000"/>
          <w:sz w:val="20"/>
        </w:rPr>
        <w:t>Operating expenses were $29.5 million for the first quarter of 2023, including $8.7 million of stock-based compensation, an increase of 18%, as compared to $25.0 million, including $8.1</w:t>
      </w:r>
      <w:r>
        <w:rPr>
          <w:color w:val="FF0000"/>
        </w:rPr>
        <w:t xml:space="preserve"> </w:t>
      </w:r>
      <w:r>
        <w:rPr>
          <w:rFonts w:ascii="Arial;sans-serif" w:hAnsi="Arial;sans-serif"/>
          <w:b w:val="false"/>
          <w:color w:val="000000"/>
          <w:sz w:val="20"/>
        </w:rPr>
        <w:t xml:space="preserve">million of stock-based compensation, for the corresponding prior year period. The increase in expenses was driven by increased employee compensation and other </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369" w:before="0" w:after="0"/>
        <w:jc w:val="both"/>
        <w:rPr>
          <w:rFonts w:ascii="Arial;sans-serif" w:hAnsi="Arial;sans-serif"/>
          <w:b w:val="false"/>
          <w:color w:val="000000"/>
          <w:sz w:val="20"/>
        </w:rPr>
      </w:pPr>
      <w:r>
        <w:rPr>
          <w:rFonts w:ascii="Arial;sans-serif" w:hAnsi="Arial;sans-serif"/>
          <w:b w:val="false"/>
          <w:color w:val="000000"/>
          <w:sz w:val="20"/>
        </w:rPr>
        <w:t xml:space="preserve">related expenses, including stock-based compensation, product development efforts related to the Proteograph Product Suite, and expenses associated with build-out of expansion facilities. </w:t>
      </w:r>
    </w:p>
    <w:p>
      <w:pPr>
        <w:pStyle w:val="TextBody"/>
        <w:spacing w:before="0" w:after="0"/>
        <w:jc w:val="both"/>
        <w:rPr/>
      </w:pPr>
      <w:r>
        <w:rPr/>
      </w:r>
    </w:p>
    <w:p>
      <w:pPr>
        <w:pStyle w:val="TextBody"/>
        <w:spacing w:lineRule="auto" w:line="369" w:before="0" w:after="0"/>
        <w:jc w:val="both"/>
        <w:rPr/>
      </w:pPr>
      <w:r>
        <w:rPr>
          <w:rFonts w:ascii="Arial;sans-serif" w:hAnsi="Arial;sans-serif"/>
          <w:b w:val="false"/>
          <w:color w:val="000000"/>
          <w:sz w:val="20"/>
        </w:rPr>
        <w:t>Net loss was $24.0</w:t>
      </w:r>
      <w:r>
        <w:rPr>
          <w:color w:val="FF0000"/>
        </w:rPr>
        <w:t xml:space="preserve"> </w:t>
      </w:r>
      <w:r>
        <w:rPr>
          <w:rFonts w:ascii="Arial;sans-serif" w:hAnsi="Arial;sans-serif"/>
          <w:b w:val="false"/>
          <w:color w:val="000000"/>
          <w:sz w:val="20"/>
        </w:rPr>
        <w:t>million for the first quarter of 2023, as compared to $23.6 million for the corresponding prior year period.</w:t>
      </w:r>
    </w:p>
    <w:p>
      <w:pPr>
        <w:pStyle w:val="TextBody"/>
        <w:spacing w:before="0" w:after="0"/>
        <w:jc w:val="both"/>
        <w:rPr/>
      </w:pPr>
      <w:r>
        <w:rPr/>
      </w:r>
    </w:p>
    <w:p>
      <w:pPr>
        <w:pStyle w:val="TextBody"/>
        <w:spacing w:lineRule="auto" w:line="369" w:before="0" w:after="0"/>
        <w:jc w:val="both"/>
        <w:rPr>
          <w:rFonts w:ascii="Arial;sans-serif" w:hAnsi="Arial;sans-serif"/>
          <w:b w:val="false"/>
          <w:color w:val="000000"/>
          <w:sz w:val="20"/>
        </w:rPr>
      </w:pPr>
      <w:r>
        <w:rPr>
          <w:rFonts w:ascii="Arial;sans-serif" w:hAnsi="Arial;sans-serif"/>
          <w:b w:val="false"/>
          <w:color w:val="000000"/>
          <w:sz w:val="20"/>
        </w:rPr>
        <w:t>Cash, cash equivalents and investments were $410.5 million as of March 31, 2023.</w:t>
      </w:r>
    </w:p>
    <w:p>
      <w:pPr>
        <w:pStyle w:val="TextBody"/>
        <w:spacing w:before="0" w:after="0"/>
        <w:jc w:val="both"/>
        <w:rPr/>
      </w:pPr>
      <w:r>
        <w:rPr/>
      </w:r>
    </w:p>
    <w:p>
      <w:pPr>
        <w:pStyle w:val="TextBody"/>
        <w:spacing w:lineRule="auto" w:line="386" w:before="120" w:after="120"/>
        <w:jc w:val="both"/>
        <w:rPr>
          <w:rFonts w:ascii="Arial;sans-serif" w:hAnsi="Arial;sans-serif"/>
          <w:b/>
          <w:color w:val="000000"/>
          <w:sz w:val="20"/>
        </w:rPr>
      </w:pPr>
      <w:r>
        <w:rPr>
          <w:rFonts w:ascii="Arial;sans-serif" w:hAnsi="Arial;sans-serif"/>
          <w:b/>
          <w:color w:val="000000"/>
          <w:sz w:val="20"/>
        </w:rPr>
        <w:t xml:space="preserve">2023 Guidance </w:t>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 xml:space="preserve">Seer continues to expect full year 2023 revenue to be in the range of $23 million to $25 million, representing growth of 48% - 61% over full year 2022. </w:t>
      </w:r>
    </w:p>
    <w:p>
      <w:pPr>
        <w:pStyle w:val="TextBody"/>
        <w:spacing w:before="0" w:after="0"/>
        <w:jc w:val="both"/>
        <w:rPr/>
      </w:pPr>
      <w:r>
        <w:rPr/>
      </w:r>
    </w:p>
    <w:p>
      <w:pPr>
        <w:pStyle w:val="TextBody"/>
        <w:spacing w:lineRule="auto" w:line="386" w:before="120" w:after="120"/>
        <w:jc w:val="both"/>
        <w:rPr>
          <w:rFonts w:ascii="Arial;sans-serif" w:hAnsi="Arial;sans-serif"/>
          <w:b/>
          <w:color w:val="000000"/>
          <w:sz w:val="20"/>
        </w:rPr>
      </w:pPr>
      <w:r>
        <w:rPr>
          <w:rFonts w:ascii="Arial;sans-serif" w:hAnsi="Arial;sans-serif"/>
          <w:b/>
          <w:color w:val="000000"/>
          <w:sz w:val="20"/>
        </w:rPr>
        <w:t>Webcast Information</w:t>
      </w:r>
    </w:p>
    <w:p>
      <w:pPr>
        <w:pStyle w:val="TextBody"/>
        <w:spacing w:lineRule="auto" w:line="369" w:before="0" w:after="0"/>
        <w:jc w:val="both"/>
        <w:rPr/>
      </w:pPr>
      <w:r>
        <w:rPr>
          <w:rFonts w:ascii="Arial;sans-serif" w:hAnsi="Arial;sans-serif"/>
          <w:b w:val="false"/>
          <w:color w:val="000000"/>
          <w:sz w:val="20"/>
        </w:rPr>
        <w:t xml:space="preserve">Seer will host a conference call to discuss the first quarter 2023 financial results on Tuesday, May 9, 2023 at 1:30 pm Pacific Time / 4:30 pm Eastern Time. A webcast of the conference call can be accessed at </w:t>
      </w:r>
      <w:r>
        <w:rPr>
          <w:rFonts w:ascii="Arial;sans-serif" w:hAnsi="Arial;sans-serif"/>
          <w:b w:val="false"/>
          <w:color w:val="0000FF"/>
          <w:sz w:val="20"/>
        </w:rPr>
        <w:t xml:space="preserve">http://investor.seer.bio. </w:t>
      </w:r>
      <w:r>
        <w:rPr>
          <w:rFonts w:ascii="Arial;sans-serif" w:hAnsi="Arial;sans-serif"/>
          <w:b w:val="false"/>
          <w:color w:val="000000"/>
          <w:sz w:val="20"/>
        </w:rPr>
        <w:t xml:space="preserve">The webcast will be archived and available for replay for at least 90 days after the event. </w:t>
      </w:r>
    </w:p>
    <w:p>
      <w:pPr>
        <w:pStyle w:val="TextBody"/>
        <w:spacing w:before="0" w:after="0"/>
        <w:jc w:val="both"/>
        <w:rPr/>
      </w:pPr>
      <w:r>
        <w:rPr/>
      </w:r>
    </w:p>
    <w:p>
      <w:pPr>
        <w:pStyle w:val="TextBody"/>
        <w:spacing w:lineRule="auto" w:line="386" w:before="0" w:after="120"/>
        <w:jc w:val="both"/>
        <w:rPr>
          <w:rFonts w:ascii="Arial;sans-serif" w:hAnsi="Arial;sans-serif"/>
          <w:b/>
          <w:color w:val="000000"/>
          <w:sz w:val="20"/>
        </w:rPr>
      </w:pPr>
      <w:r>
        <w:rPr>
          <w:rFonts w:ascii="Arial;sans-serif" w:hAnsi="Arial;sans-serif"/>
          <w:b/>
          <w:color w:val="000000"/>
          <w:sz w:val="20"/>
        </w:rPr>
        <w:t xml:space="preserve">About Seer </w:t>
      </w:r>
    </w:p>
    <w:p>
      <w:pPr>
        <w:pStyle w:val="TextBody"/>
        <w:spacing w:lineRule="auto" w:line="417" w:before="80" w:after="80"/>
        <w:rPr/>
      </w:pPr>
      <w:r>
        <w:rPr>
          <w:rFonts w:ascii="Arial;sans-serif" w:hAnsi="Arial;sans-serif"/>
          <w:b w:val="false"/>
          <w:color w:val="000000"/>
          <w:sz w:val="20"/>
        </w:rPr>
        <w:t>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w:t>
      </w:r>
      <w:r>
        <w:rPr>
          <w:color w:val="212132"/>
          <w:highlight w:val="white"/>
        </w:rPr>
        <w:t> </w:t>
      </w:r>
      <w:r>
        <w:rPr>
          <w:rFonts w:ascii="Arial;sans-serif" w:hAnsi="Arial;sans-serif"/>
          <w:b w:val="false"/>
          <w:color w:val="0032A0"/>
          <w:sz w:val="20"/>
          <w:highlight w:val="white"/>
          <w:u w:val="single"/>
        </w:rPr>
        <w:t>www.seer.bio</w:t>
      </w:r>
      <w:r>
        <w:rPr>
          <w:rFonts w:ascii="Arial;sans-serif" w:hAnsi="Arial;sans-serif"/>
          <w:b w:val="false"/>
          <w:color w:val="212132"/>
          <w:sz w:val="20"/>
          <w:highlight w:val="white"/>
        </w:rPr>
        <w:t>.</w:t>
      </w:r>
    </w:p>
    <w:p>
      <w:pPr>
        <w:pStyle w:val="TextBody"/>
        <w:spacing w:before="0" w:after="0"/>
        <w:jc w:val="both"/>
        <w:rPr/>
      </w:pPr>
      <w:r>
        <w:rPr/>
      </w:r>
    </w:p>
    <w:p>
      <w:pPr>
        <w:pStyle w:val="TextBody"/>
        <w:spacing w:lineRule="auto" w:line="386" w:before="120" w:after="120"/>
        <w:jc w:val="both"/>
        <w:rPr/>
      </w:pPr>
      <w:r>
        <w:rPr>
          <w:rFonts w:ascii="Arial;sans-serif" w:hAnsi="Arial;sans-serif"/>
          <w:b/>
          <w:color w:val="000000"/>
          <w:sz w:val="20"/>
        </w:rPr>
        <w:t>Forward Looking Statements</w:t>
      </w:r>
      <w:r>
        <w:rPr>
          <w:color w:val="FF0000"/>
        </w:rPr>
        <w:t xml:space="preserve"> </w:t>
      </w:r>
    </w:p>
    <w:p>
      <w:pPr>
        <w:pStyle w:val="TextBody"/>
        <w:spacing w:lineRule="auto" w:line="369" w:before="0" w:after="0"/>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within the meaning of the Private Securities Litigation Reform Act of 1995, as amended, that reflect the Company’s current views with respect to certain current and future events and financial performance. Words such as “expects,” “anticipates,” “projects,” “intends,” “plans,” “believes,” “estimates,” variations of such words, and similar expressions are also intended to identify such forward-looking statements.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the Company’s outlook for fiscal year 2023. These and other risks are described more fully in the Company’s filings with the Securities and Exchange Commission (“SEC”), including the Company’s Quarterly Report on Form 10-Q, to be filed with the SEC, and other documents the Company subsequently files with the SEC from time to time. Except to the extent required by law, the Company undertakes no obligation to update such statements to reflect events that occur or circumstances that exist after the date on which they were made. </w:t>
      </w:r>
    </w:p>
    <w:p>
      <w:pPr>
        <w:pStyle w:val="TextBody"/>
        <w:spacing w:before="0" w:after="0"/>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0" w:after="0"/>
        <w:jc w:val="both"/>
        <w:rPr>
          <w:rFonts w:ascii="Arial;sans-serif" w:hAnsi="Arial;sans-serif"/>
          <w:b w:val="false"/>
          <w:color w:val="000000"/>
          <w:sz w:val="20"/>
          <w:u w:val="single"/>
        </w:rPr>
      </w:pPr>
      <w:r>
        <w:rPr>
          <w:rFonts w:ascii="Arial;sans-serif" w:hAnsi="Arial;sans-serif"/>
          <w:b w:val="false"/>
          <w:color w:val="000000"/>
          <w:sz w:val="20"/>
          <w:u w:val="single"/>
        </w:rPr>
        <w:t>Investor Contact:</w:t>
      </w:r>
    </w:p>
    <w:p>
      <w:pPr>
        <w:pStyle w:val="TextBody"/>
        <w:spacing w:lineRule="auto" w:line="386" w:before="0" w:after="0"/>
        <w:rPr>
          <w:rFonts w:ascii="Arial;sans-serif" w:hAnsi="Arial;sans-serif"/>
          <w:b w:val="false"/>
          <w:color w:val="000000"/>
          <w:sz w:val="20"/>
        </w:rPr>
      </w:pPr>
      <w:r>
        <w:rPr>
          <w:rFonts w:ascii="Arial;sans-serif" w:hAnsi="Arial;sans-serif"/>
          <w:b w:val="false"/>
          <w:color w:val="000000"/>
          <w:sz w:val="20"/>
        </w:rPr>
        <w:t>Carrie Mendivil</w:t>
      </w:r>
    </w:p>
    <w:p>
      <w:pPr>
        <w:pStyle w:val="TextBody"/>
        <w:spacing w:lineRule="auto" w:line="386" w:before="0" w:after="0"/>
        <w:rPr>
          <w:rFonts w:ascii="Arial;sans-serif" w:hAnsi="Arial;sans-serif"/>
          <w:b w:val="false"/>
          <w:color w:val="0563C1"/>
          <w:sz w:val="20"/>
          <w:u w:val="single"/>
        </w:rPr>
      </w:pPr>
      <w:r>
        <w:rPr>
          <w:rFonts w:ascii="Arial;sans-serif" w:hAnsi="Arial;sans-serif"/>
          <w:b w:val="false"/>
          <w:color w:val="0563C1"/>
          <w:sz w:val="20"/>
          <w:u w:val="single"/>
        </w:rPr>
        <w:t>investor@seer.bio</w:t>
      </w:r>
    </w:p>
    <w:p>
      <w:pPr>
        <w:pStyle w:val="TextBody"/>
        <w:spacing w:before="0" w:after="0"/>
        <w:rPr/>
      </w:pPr>
      <w:r>
        <w:rPr/>
      </w:r>
    </w:p>
    <w:p>
      <w:pPr>
        <w:pStyle w:val="TextBody"/>
        <w:spacing w:lineRule="auto" w:line="386" w:before="0" w:after="0"/>
        <w:rPr>
          <w:rFonts w:ascii="Arial;sans-serif" w:hAnsi="Arial;sans-serif"/>
          <w:b w:val="false"/>
          <w:color w:val="000000"/>
          <w:sz w:val="20"/>
          <w:u w:val="single"/>
        </w:rPr>
      </w:pPr>
      <w:r>
        <w:rPr>
          <w:rFonts w:ascii="Arial;sans-serif" w:hAnsi="Arial;sans-serif"/>
          <w:b w:val="false"/>
          <w:color w:val="000000"/>
          <w:sz w:val="20"/>
          <w:u w:val="single"/>
        </w:rPr>
        <w:t>Media Contact:</w:t>
      </w:r>
    </w:p>
    <w:p>
      <w:pPr>
        <w:pStyle w:val="TextBody"/>
        <w:spacing w:lineRule="auto" w:line="386" w:before="0" w:after="0"/>
        <w:rPr>
          <w:rFonts w:ascii="Arial;sans-serif" w:hAnsi="Arial;sans-serif"/>
          <w:b w:val="false"/>
          <w:color w:val="000000"/>
          <w:sz w:val="20"/>
        </w:rPr>
      </w:pPr>
      <w:r>
        <w:rPr>
          <w:rFonts w:ascii="Arial;sans-serif" w:hAnsi="Arial;sans-serif"/>
          <w:b w:val="false"/>
          <w:color w:val="000000"/>
          <w:sz w:val="20"/>
        </w:rPr>
        <w:t>Karen Possemato</w:t>
      </w:r>
    </w:p>
    <w:p>
      <w:pPr>
        <w:pStyle w:val="TextBody"/>
        <w:spacing w:lineRule="auto" w:line="386" w:before="0" w:after="0"/>
        <w:rPr>
          <w:rFonts w:ascii="Arial;sans-serif" w:hAnsi="Arial;sans-serif"/>
          <w:b w:val="false"/>
          <w:color w:val="0563C1"/>
          <w:sz w:val="20"/>
          <w:u w:val="single"/>
        </w:rPr>
      </w:pPr>
      <w:r>
        <w:rPr>
          <w:rFonts w:ascii="Arial;sans-serif" w:hAnsi="Arial;sans-serif"/>
          <w:b w:val="false"/>
          <w:color w:val="0563C1"/>
          <w:sz w:val="20"/>
          <w:u w:val="single"/>
        </w:rPr>
        <w:t>pr@seer.bio</w:t>
      </w:r>
    </w:p>
    <w:p>
      <w:pPr>
        <w:pStyle w:val="TextBody"/>
        <w:ind w:left="0" w:right="0" w:firstLine="72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369" w:before="0" w:after="0"/>
        <w:jc w:val="center"/>
        <w:rPr>
          <w:rFonts w:ascii="Arial;sans-serif" w:hAnsi="Arial;sans-serif"/>
          <w:b/>
          <w:color w:val="000000"/>
          <w:sz w:val="18"/>
        </w:rPr>
      </w:pPr>
      <w:r>
        <w:rPr>
          <w:rFonts w:ascii="Arial;sans-serif" w:hAnsi="Arial;sans-serif"/>
          <w:b/>
          <w:color w:val="000000"/>
          <w:sz w:val="18"/>
        </w:rPr>
        <w:t>Seer, Inc.</w:t>
      </w:r>
    </w:p>
    <w:p>
      <w:pPr>
        <w:pStyle w:val="TextBody"/>
        <w:spacing w:lineRule="auto" w:line="386" w:before="0" w:after="0"/>
        <w:jc w:val="center"/>
        <w:rPr>
          <w:rFonts w:ascii="Arial;sans-serif" w:hAnsi="Arial;sans-serif"/>
          <w:b/>
          <w:color w:val="000000"/>
          <w:sz w:val="18"/>
        </w:rPr>
      </w:pPr>
      <w:r>
        <w:rPr>
          <w:rFonts w:ascii="Arial;sans-serif" w:hAnsi="Arial;sans-serif"/>
          <w:b/>
          <w:color w:val="000000"/>
          <w:sz w:val="18"/>
        </w:rPr>
        <w:t>UNAUDITED CONDENSED CONSOLIDATED STATEMENTS OF OPERATIONS</w:t>
      </w:r>
    </w:p>
    <w:p>
      <w:pPr>
        <w:pStyle w:val="TextBody"/>
        <w:spacing w:lineRule="auto" w:line="386" w:before="0" w:after="0"/>
        <w:jc w:val="center"/>
        <w:rPr>
          <w:rFonts w:ascii="Arial;sans-serif" w:hAnsi="Arial;sans-serif"/>
          <w:b/>
          <w:color w:val="000000"/>
          <w:sz w:val="18"/>
        </w:rPr>
      </w:pPr>
      <w:r>
        <w:rPr>
          <w:rFonts w:ascii="Arial;sans-serif" w:hAnsi="Arial;sans-serif"/>
          <w:b/>
          <w:color w:val="000000"/>
          <w:sz w:val="18"/>
        </w:rPr>
        <w:t>(In thousands, except share and per share amounts)</w:t>
      </w:r>
    </w:p>
    <w:p>
      <w:pPr>
        <w:pStyle w:val="TextBody"/>
        <w:spacing w:lineRule="auto" w:line="386" w:before="0" w:after="0"/>
        <w:rPr>
          <w:color w:val="000000"/>
        </w:rPr>
      </w:pPr>
      <w:r>
        <w:rPr>
          <w:color w:val="000000"/>
        </w:rPr>
        <w:t>    </w:t>
      </w:r>
    </w:p>
    <w:tbl>
      <w:tblPr>
        <w:tblW w:w="9374" w:type="dxa"/>
        <w:jc w:val="left"/>
        <w:tblInd w:w="0" w:type="dxa"/>
        <w:tblCellMar>
          <w:top w:w="28" w:type="dxa"/>
          <w:left w:w="28" w:type="dxa"/>
          <w:bottom w:w="28" w:type="dxa"/>
          <w:right w:w="28" w:type="dxa"/>
        </w:tblCellMar>
      </w:tblPr>
      <w:tblGrid>
        <w:gridCol w:w="2183"/>
        <w:gridCol w:w="1926"/>
        <w:gridCol w:w="1935"/>
        <w:gridCol w:w="546"/>
        <w:gridCol w:w="267"/>
        <w:gridCol w:w="267"/>
        <w:gridCol w:w="266"/>
        <w:gridCol w:w="266"/>
        <w:gridCol w:w="266"/>
        <w:gridCol w:w="546"/>
        <w:gridCol w:w="267"/>
        <w:gridCol w:w="267"/>
        <w:gridCol w:w="109"/>
        <w:gridCol w:w="109"/>
        <w:gridCol w:w="154"/>
      </w:tblGrid>
      <w:tr>
        <w:trPr/>
        <w:tc>
          <w:tcPr>
            <w:tcW w:w="2183"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c>
          <w:tcPr>
            <w:tcW w:w="193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8"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2,343</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2,149</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w:t>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and other</w:t>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14,474</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15,039</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29,513</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25,030</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(23,786)</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(23,959)</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(23,646)</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33" w:before="53"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securities</w:t>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(22,801)</w:t>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(25,337)</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CCEEFF" w:val="clear"/>
            <w:tcMar>
              <w:top w:w="0" w:type="dxa"/>
              <w:left w:w="0" w:type="dxa"/>
              <w:bottom w:w="0" w:type="dxa"/>
              <w:right w:w="0" w:type="dxa"/>
            </w:tcMar>
            <w:vAlign w:val="center"/>
          </w:tcPr>
          <w:p>
            <w:pPr>
              <w:pStyle w:val="TableContents"/>
              <w:spacing w:lineRule="auto" w:line="333" w:before="0"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1080"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(0.38)</w:t>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(0.38)</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spacing w:lineRule="auto" w:line="333" w:before="0" w:after="3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w:t>
            </w:r>
          </w:p>
        </w:tc>
        <w:tc>
          <w:tcPr>
            <w:tcW w:w="108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63,543,094</w:t>
            </w:r>
          </w:p>
        </w:tc>
        <w:tc>
          <w:tcPr>
            <w:tcW w:w="798"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62,003,504</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before="179"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386" w:before="0" w:after="0"/>
        <w:jc w:val="center"/>
        <w:rPr>
          <w:rFonts w:ascii="Arial;sans-serif" w:hAnsi="Arial;sans-serif"/>
          <w:b/>
          <w:color w:val="000000"/>
          <w:sz w:val="18"/>
        </w:rPr>
      </w:pPr>
      <w:r>
        <w:rPr>
          <w:rFonts w:ascii="Arial;sans-serif" w:hAnsi="Arial;sans-serif"/>
          <w:b/>
          <w:color w:val="000000"/>
          <w:sz w:val="18"/>
        </w:rPr>
        <w:t>Seer, Inc.</w:t>
      </w:r>
    </w:p>
    <w:p>
      <w:pPr>
        <w:pStyle w:val="TextBody"/>
        <w:spacing w:lineRule="auto" w:line="386"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spacing w:lineRule="auto" w:line="386" w:before="0" w:after="0"/>
        <w:jc w:val="center"/>
        <w:rPr>
          <w:rFonts w:ascii="Arial;sans-serif" w:hAnsi="Arial;sans-serif"/>
          <w:b/>
          <w:color w:val="000000"/>
          <w:sz w:val="18"/>
        </w:rPr>
      </w:pPr>
      <w:r>
        <w:rPr>
          <w:rFonts w:ascii="Arial;sans-serif" w:hAnsi="Arial;sans-serif"/>
          <w:b/>
          <w:color w:val="000000"/>
          <w:sz w:val="18"/>
        </w:rPr>
        <w:t>(In thousands, except share and per share amounts)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966"/>
        <w:gridCol w:w="2284"/>
        <w:gridCol w:w="2279"/>
        <w:gridCol w:w="318"/>
        <w:gridCol w:w="318"/>
        <w:gridCol w:w="325"/>
        <w:gridCol w:w="109"/>
        <w:gridCol w:w="109"/>
        <w:gridCol w:w="109"/>
        <w:gridCol w:w="364"/>
        <w:gridCol w:w="338"/>
        <w:gridCol w:w="311"/>
        <w:gridCol w:w="109"/>
        <w:gridCol w:w="109"/>
        <w:gridCol w:w="157"/>
      </w:tblGrid>
      <w:tr>
        <w:trPr/>
        <w:tc>
          <w:tcPr>
            <w:tcW w:w="2966" w:type="dxa"/>
            <w:tcBorders/>
            <w:shd w:fill="auto" w:val="clear"/>
            <w:vAlign w:val="center"/>
          </w:tcPr>
          <w:p>
            <w:pPr>
              <w:pStyle w:val="TableContents"/>
              <w:spacing w:before="0" w:after="283"/>
              <w:rPr>
                <w:sz w:val="4"/>
                <w:szCs w:val="4"/>
              </w:rPr>
            </w:pPr>
            <w:r>
              <w:rPr>
                <w:sz w:val="4"/>
                <w:szCs w:val="4"/>
              </w:rPr>
            </w:r>
          </w:p>
        </w:tc>
        <w:tc>
          <w:tcPr>
            <w:tcW w:w="2284" w:type="dxa"/>
            <w:tcBorders/>
            <w:shd w:fill="auto" w:val="clear"/>
            <w:vAlign w:val="center"/>
          </w:tcPr>
          <w:p>
            <w:pPr>
              <w:pStyle w:val="TableContents"/>
              <w:spacing w:before="0" w:after="283"/>
              <w:rPr>
                <w:sz w:val="4"/>
                <w:szCs w:val="4"/>
              </w:rPr>
            </w:pPr>
            <w:r>
              <w:rPr>
                <w:sz w:val="4"/>
                <w:szCs w:val="4"/>
              </w:rPr>
            </w:r>
          </w:p>
        </w:tc>
        <w:tc>
          <w:tcPr>
            <w:tcW w:w="227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48,386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53,208</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303,708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368,031</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4,315</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party receivables</w:t>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receivables</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4,627</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367,375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434,982</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investments</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27,003</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19,408</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472,787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487,929</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0" w:after="3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1,956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2,104</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8,298</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current</w:t>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12,584</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net of current portion</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28,032</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40,936</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9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$0.00001 par value; 5,000,000 shares authorized as of March 31, 2023 and December 31, 2022; zero shares issued and outstanding as of March 31, 2023 and December 31, 2022</w:t>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$0.00001 par value; 94,000,000 shares authorized as of March 31, 2023 and December 31, 2022; 59,694,350 and 59,366,077 shares issued and outstanding as of March 31, 2023 and December 31, 2022, respectively</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240" w:before="53" w:after="3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Class B common stock, $0.00001 par value; 6,000,000 shares authorized as of March 31, 2023 and December 31, 2022; 4,044,969 and 4,044,969 shares issued and outstanding as of March 31, 2023 and December 31, 2022, respectively </w:t>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676,536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667,739</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961"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61"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(219,496)</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432,989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446,993</w:t>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2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9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472,787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    487,929</w:t>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42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1894</Words>
  <CharactersWithSpaces>12411</CharactersWithSpaces>
  <Paragraphs>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