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Omid Farokhzad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2,506,916.00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2,117,138.00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2,506,916.00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2,117,138.00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4,624,054.00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3800 Bridge Parkway, Suite 102 Redwood City, CA,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Omid Farokhzad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Seer, Inc. 3800 Bridge Parkway, Suite 102 Redwood City, CA 94065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81578P106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74" w:orient="portrait"/>
          <w:cols w:equalWidth="0" w:num="2">
            <w:col w:w="620" w:space="300"/>
            <w:col w:w="10180"/>
          </w:cols>
          <w:pgMar w:left="360" w:top="111" w:right="439" w:bottom="0" w:gutter="0" w:footer="0" w:header="0"/>
        </w:sectPr>
      </w:pPr>
    </w:p>
    <w:p>
      <w:pPr>
        <w:spacing w:after="0" w:line="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4,624,054 The amount set forth above includes (i) 505,901 shares of Class A common stock and 1,438,057 shares of Class B common stock held of record by Omid Farokhzad (the "Reporting Person"); (ii) 269,549 shares of Class A</w:t>
      </w:r>
    </w:p>
    <w:p>
      <w:pPr>
        <w:spacing w:after="0" w:line="1" w:lineRule="exact"/>
        <w:rPr>
          <w:sz w:val="20"/>
          <w:szCs w:val="20"/>
          <w:color w:val="auto"/>
        </w:rPr>
      </w:pPr>
    </w:p>
    <w:p>
      <w:pPr>
        <w:ind w:left="920" w:right="10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subject to options exercisable within 60 days of December 31, 2024; (iii) 293,409 shares of Class A common stock issuable upon vesting of RSUs within 60 days of December 31, 2024; and (iv) 2,117,138 shares of Class B common stock held of record by SAF-BND Trust for which the Reporting Person's spouse serves as trustee. The Reporting Person disclaims beneficial ownership of the shares held by the SAF-BND Trust. Each share of Class B common stock is convertible at any time into one share of Class A common stock.</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7.8 The percentage set forth above is based on the quotient obtained by dividing the aggregate amount beneficially owned by the Reporting Person as set forth in (a) above by the sum of (i) 54,921,591 shares of Class A common stock outstanding as of November 4, 2024, as reported in the Issuer's Quarterly Report on Form 10-Q for the quarterly period ended September 30, 2024, filed with the Securities and Exchange Commission on November 6, 2024 (the "Form 10-Q"); (ii) 3,555,195 shares of Class B common stock beneficially owned by the Reporting Person; (iii) 269,549 shares of Class A common stock subject to options exercisable within 60 days of December 31, 2024</w:t>
      </w:r>
    </w:p>
    <w:p>
      <w:pPr>
        <w:spacing w:after="0" w:line="2" w:lineRule="exact"/>
        <w:rPr>
          <w:rFonts w:ascii="Times New Roman" w:cs="Times New Roman" w:eastAsia="Times New Roman" w:hAnsi="Times New Roman"/>
          <w:sz w:val="22"/>
          <w:szCs w:val="22"/>
          <w:color w:val="auto"/>
        </w:rPr>
      </w:pPr>
    </w:p>
    <w:p>
      <w:pPr>
        <w:ind w:left="920" w:right="10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(iv) 293,409 shares of Class A common stock issuable upon vesting of RSUs within 60 days of December 31, 2024. The aggregate number of shares of Class B common stock beneficially owned by the Reporting Person as set forth in (a) above are treated as converted into Class A common stock only for the purpose of computing the percentage ownership of the Reporting Person. Each share of Class A common stock is entitled to one vote and each share of Class B common stock is entitled to ten votes. There were 4,044,969 shares of Class B common stock outstanding as of November 4, 2024, as reported in the Form 10-Q, including the 3,555,195 shares of Class B common stock beneficially owned by the Reporting Person as set forth above. The percentage reported does not reflect the ten for one voting power of the Class B common stock because these shares are treated as converted into Class A common stock for the purpose of this report. %</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0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2,506,916</w:t>
      </w:r>
    </w:p>
    <w:p>
      <w:pPr>
        <w:spacing w:after="0" w:line="1"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2,117,138</w:t>
      </w:r>
    </w:p>
    <w:p>
      <w:pPr>
        <w:spacing w:after="0" w:line="1" w:lineRule="exact"/>
        <w:rPr>
          <w:rFonts w:ascii="Times New Roman" w:cs="Times New Roman" w:eastAsia="Times New Roman" w:hAnsi="Times New Roman"/>
          <w:sz w:val="22"/>
          <w:szCs w:val="22"/>
          <w:color w:val="auto"/>
        </w:rPr>
      </w:pPr>
    </w:p>
    <w:p>
      <w:pPr>
        <w:ind w:right="528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2,506,916</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2,117,138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74" w:orient="portrait"/>
          <w:cols w:equalWidth="0" w:num="2">
            <w:col w:w="620" w:space="300"/>
            <w:col w:w="10180"/>
          </w:cols>
          <w:pgMar w:left="360" w:top="111" w:right="4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Omid Farokhzad</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Omid Farokhzad</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Omid Farokhzad</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11140"/>
      </w:cols>
      <w:pgMar w:left="36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2025-02-12T15:26:45Z</dcterms:created>
  <dcterms:modified xsi:type="dcterms:W3CDTF">2025-02-12T15:26:45Z</dcterms:modified>
</cp:coreProperties>
</file>