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Farokhzad Omid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3800 BRIDGE PARKWAY, SUITE 102</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REDWOOD</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Seer,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SEER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880" w:type="dxa"/>
            <w:vAlign w:val="bottom"/>
            <w:gridSpan w:val="3"/>
            <w:vMerge w:val="restart"/>
          </w:tcPr>
          <w:p>
            <w:pPr>
              <w:ind w:left="80"/>
              <w:spacing w:after="0"/>
              <w:rPr>
                <w:sz w:val="20"/>
                <w:szCs w:val="20"/>
                <w:color w:val="auto"/>
              </w:rPr>
            </w:pPr>
            <w:r>
              <w:rPr>
                <w:rFonts w:ascii="Arial" w:cs="Arial" w:eastAsia="Arial" w:hAnsi="Arial"/>
                <w:sz w:val="17"/>
                <w:szCs w:val="17"/>
                <w:color w:val="0000FF"/>
                <w:w w:val="91"/>
              </w:rPr>
              <w:t>08/23/2023</w:t>
            </w:r>
          </w:p>
        </w:tc>
        <w:tc>
          <w:tcPr>
            <w:tcW w:w="2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880" w:type="dxa"/>
            <w:vAlign w:val="bottom"/>
            <w:gridSpan w:val="3"/>
            <w:vMerge w:val="continue"/>
          </w:tcPr>
          <w:p>
            <w:pPr>
              <w:spacing w:after="0"/>
              <w:rPr>
                <w:sz w:val="11"/>
                <w:szCs w:val="11"/>
                <w:color w:val="auto"/>
              </w:rPr>
            </w:pPr>
          </w:p>
        </w:tc>
        <w:tc>
          <w:tcPr>
            <w:tcW w:w="2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CEO, President and Chair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08/23/2023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2.4492</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807,744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$2.44 to $2.45, inclusive. The reporting person undertakes to provide to the Issuer, any security holder of the Issuer, or the staff of the Securities and Exchange Commission, upon request, full information regarding the number of shares purchased at each separate price.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08/24/2023</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6852"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2023-08-24T18:42:40Z</dcterms:created>
  <dcterms:modified xsi:type="dcterms:W3CDTF">2023-08-24T18:42:40Z</dcterms:modified>
</cp:coreProperties>
</file>