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12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6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00" w:type="dxa"/>
            <w:vAlign w:val="bottom"/>
            <w:gridSpan w:val="2"/>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OSTADAN OMEAD</w:t>
              </w:r>
            </w:hyperlink>
          </w:p>
        </w:tc>
        <w:tc>
          <w:tcPr>
            <w:tcW w:w="106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2440" w:type="dxa"/>
            <w:vAlign w:val="bottom"/>
            <w:gridSpan w:val="2"/>
          </w:tcPr>
          <w:p>
            <w:pPr>
              <w:ind w:left="1180"/>
              <w:spacing w:after="0"/>
              <w:rPr>
                <w:sz w:val="20"/>
                <w:szCs w:val="20"/>
                <w:color w:val="auto"/>
              </w:rPr>
            </w:pPr>
            <w:r>
              <w:rPr>
                <w:rFonts w:ascii="Arial" w:cs="Arial" w:eastAsia="Arial" w:hAnsi="Arial"/>
                <w:sz w:val="13"/>
                <w:szCs w:val="13"/>
                <w:color w:val="0000FF"/>
              </w:rPr>
              <w:t>12/03/2020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0"/>
                <w:szCs w:val="10"/>
                <w:color w:val="auto"/>
              </w:rPr>
              <w:t>(Last)</w:t>
            </w:r>
          </w:p>
        </w:tc>
        <w:tc>
          <w:tcPr>
            <w:tcW w:w="1120" w:type="dxa"/>
            <w:vAlign w:val="bottom"/>
          </w:tcPr>
          <w:p>
            <w:pPr>
              <w:ind w:left="80"/>
              <w:spacing w:after="0"/>
              <w:rPr>
                <w:sz w:val="20"/>
                <w:szCs w:val="20"/>
                <w:color w:val="auto"/>
              </w:rPr>
            </w:pPr>
            <w:r>
              <w:rPr>
                <w:rFonts w:ascii="Arial" w:cs="Arial" w:eastAsia="Arial" w:hAnsi="Arial"/>
                <w:sz w:val="10"/>
                <w:szCs w:val="10"/>
                <w:color w:val="auto"/>
              </w:rPr>
              <w:t>(First)</w:t>
            </w:r>
          </w:p>
        </w:tc>
        <w:tc>
          <w:tcPr>
            <w:tcW w:w="2440" w:type="dxa"/>
            <w:vAlign w:val="bottom"/>
            <w:gridSpan w:val="2"/>
          </w:tcPr>
          <w:p>
            <w:pPr>
              <w:ind w:left="2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0000FF"/>
                <w:w w:val="98"/>
              </w:rPr>
              <w:t>C/O SEER, INC.</w:t>
            </w: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0000FF"/>
                <w:w w:val="92"/>
              </w:rPr>
              <w:t>3800 BRIDGE PARKWAY, SUITE 102</w:t>
            </w: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0000FF"/>
              </w:rPr>
              <w:t>REDWOOD CITY CA</w:t>
            </w:r>
          </w:p>
        </w:tc>
        <w:tc>
          <w:tcPr>
            <w:tcW w:w="1060" w:type="dxa"/>
            <w:vAlign w:val="bottom"/>
          </w:tcPr>
          <w:p>
            <w:pPr>
              <w:ind w:left="20"/>
              <w:spacing w:after="0"/>
              <w:rPr>
                <w:sz w:val="20"/>
                <w:szCs w:val="20"/>
                <w:color w:val="auto"/>
              </w:rPr>
            </w:pPr>
            <w:r>
              <w:rPr>
                <w:rFonts w:ascii="Arial" w:cs="Arial" w:eastAsia="Arial" w:hAnsi="Arial"/>
                <w:sz w:val="13"/>
                <w:szCs w:val="13"/>
                <w:color w:val="0000FF"/>
              </w:rPr>
              <w:t>94065</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3">
        <w:r>
          <w:rPr>
            <w:rFonts w:ascii="Arial" w:cs="Arial" w:eastAsia="Arial" w:hAnsi="Arial"/>
            <w:sz w:val="16"/>
            <w:szCs w:val="16"/>
            <w:u w:val="single" w:color="auto"/>
            <w:color w:val="0000EE"/>
          </w:rPr>
          <w:t>Seer,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SEER</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182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1120" w:type="dxa"/>
        <w:tblCellMar>
          <w:top w:w="0" w:type="dxa"/>
          <w:left w:w="0" w:type="dxa"/>
          <w:bottom w:w="0" w:type="dxa"/>
          <w:right w:w="0" w:type="dxa"/>
        </w:tblCellMar>
      </w:tblPr>
      <w:tr>
        <w:trPr>
          <w:trHeight w:val="156"/>
        </w:trPr>
        <w:tc>
          <w:tcPr>
            <w:tcW w:w="1780" w:type="dxa"/>
            <w:vAlign w:val="bottom"/>
          </w:tcPr>
          <w:p>
            <w:pPr>
              <w:spacing w:after="0"/>
              <w:rPr>
                <w:sz w:val="20"/>
                <w:szCs w:val="20"/>
                <w:color w:val="auto"/>
              </w:rPr>
            </w:pPr>
            <w:r>
              <w:rPr>
                <w:rFonts w:ascii="Arial" w:cs="Arial" w:eastAsia="Arial" w:hAnsi="Arial"/>
                <w:sz w:val="13"/>
                <w:szCs w:val="13"/>
                <w:color w:val="0000FF"/>
              </w:rPr>
              <w:t>President &amp; COO</w:t>
            </w:r>
          </w:p>
        </w:tc>
        <w:tc>
          <w:tcPr>
            <w:tcW w:w="2920" w:type="dxa"/>
            <w:vAlign w:val="bottom"/>
            <w:vMerge w:val="restart"/>
          </w:tcPr>
          <w:p>
            <w:pPr>
              <w:ind w:left="840"/>
              <w:spacing w:after="0"/>
              <w:rPr>
                <w:sz w:val="20"/>
                <w:szCs w:val="20"/>
                <w:color w:val="auto"/>
              </w:rPr>
            </w:pPr>
            <w:r>
              <w:rPr>
                <w:rFonts w:ascii="Arial" w:cs="Arial" w:eastAsia="Arial" w:hAnsi="Arial"/>
                <w:sz w:val="10"/>
                <w:szCs w:val="10"/>
                <w:color w:val="auto"/>
                <w:w w:val="99"/>
              </w:rPr>
              <w:t>Form filed by More than One Reporting Person</w:t>
            </w:r>
          </w:p>
        </w:tc>
        <w:tc>
          <w:tcPr>
            <w:tcW w:w="0" w:type="dxa"/>
            <w:vAlign w:val="bottom"/>
          </w:tcPr>
          <w:p>
            <w:pPr>
              <w:spacing w:after="0"/>
              <w:rPr>
                <w:sz w:val="1"/>
                <w:szCs w:val="1"/>
                <w:color w:val="auto"/>
              </w:rPr>
            </w:pPr>
          </w:p>
        </w:tc>
      </w:tr>
      <w:tr>
        <w:trPr>
          <w:trHeight w:val="30"/>
        </w:trPr>
        <w:tc>
          <w:tcPr>
            <w:tcW w:w="1780" w:type="dxa"/>
            <w:vAlign w:val="bottom"/>
          </w:tcPr>
          <w:p>
            <w:pPr>
              <w:spacing w:after="0"/>
              <w:rPr>
                <w:sz w:val="2"/>
                <w:szCs w:val="2"/>
                <w:color w:val="auto"/>
              </w:rPr>
            </w:pPr>
          </w:p>
        </w:tc>
        <w:tc>
          <w:tcPr>
            <w:tcW w:w="2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1805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80530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6985000" cy="546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0" cy="546735"/>
                    </a:xfrm>
                    <a:prstGeom prst="rect">
                      <a:avLst/>
                    </a:prstGeom>
                    <a:noFill/>
                  </pic:spPr>
                </pic:pic>
              </a:graphicData>
            </a:graphic>
          </wp:anchor>
        </w:drawing>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2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9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8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84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9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840" w:type="dxa"/>
            <w:vAlign w:val="bottom"/>
          </w:tcPr>
          <w:p>
            <w:pPr>
              <w:ind w:left="2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940" w:type="dxa"/>
            <w:vAlign w:val="bottom"/>
            <w:vMerge w:val="continue"/>
          </w:tcPr>
          <w:p>
            <w:pPr>
              <w:spacing w:after="0"/>
              <w:rPr>
                <w:sz w:val="11"/>
                <w:szCs w:val="11"/>
                <w:color w:val="auto"/>
              </w:rPr>
            </w:pPr>
          </w:p>
        </w:tc>
        <w:tc>
          <w:tcPr>
            <w:tcW w:w="840" w:type="dxa"/>
            <w:vAlign w:val="bottom"/>
          </w:tcPr>
          <w:p>
            <w:pPr>
              <w:ind w:left="2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Series A Convertible Preferred Stock</w:t>
            </w:r>
          </w:p>
        </w:tc>
        <w:tc>
          <w:tcPr>
            <w:tcW w:w="660" w:type="dxa"/>
            <w:vAlign w:val="bottom"/>
          </w:tcPr>
          <w:p>
            <w:pPr>
              <w:jc w:val="right"/>
              <w:ind w:right="235"/>
              <w:spacing w:after="0"/>
              <w:rPr>
                <w:sz w:val="20"/>
                <w:szCs w:val="20"/>
                <w:color w:val="auto"/>
              </w:rPr>
            </w:pPr>
            <w:r>
              <w:rPr>
                <w:rFonts w:ascii="Arial" w:cs="Arial" w:eastAsia="Arial" w:hAnsi="Arial"/>
                <w:sz w:val="8"/>
                <w:szCs w:val="8"/>
                <w:color w:val="008000"/>
              </w:rPr>
              <w:t>(1)</w:t>
            </w:r>
          </w:p>
        </w:tc>
        <w:tc>
          <w:tcPr>
            <w:tcW w:w="580" w:type="dxa"/>
            <w:vAlign w:val="bottom"/>
          </w:tcPr>
          <w:p>
            <w:pPr>
              <w:jc w:val="center"/>
              <w:spacing w:after="0"/>
              <w:rPr>
                <w:sz w:val="20"/>
                <w:szCs w:val="20"/>
                <w:color w:val="auto"/>
              </w:rPr>
            </w:pPr>
            <w:r>
              <w:rPr>
                <w:rFonts w:ascii="Arial" w:cs="Arial" w:eastAsia="Arial" w:hAnsi="Arial"/>
                <w:sz w:val="8"/>
                <w:szCs w:val="8"/>
                <w:color w:val="008000"/>
              </w:rPr>
              <w:t>(1)</w:t>
            </w:r>
          </w:p>
        </w:tc>
        <w:tc>
          <w:tcPr>
            <w:tcW w:w="194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Pr>
          <w:p>
            <w:pPr>
              <w:jc w:val="center"/>
              <w:ind w:left="140"/>
              <w:spacing w:after="0"/>
              <w:rPr>
                <w:sz w:val="20"/>
                <w:szCs w:val="20"/>
                <w:color w:val="auto"/>
              </w:rPr>
            </w:pPr>
            <w:r>
              <w:rPr>
                <w:rFonts w:ascii="Arial" w:cs="Arial" w:eastAsia="Arial" w:hAnsi="Arial"/>
                <w:sz w:val="13"/>
                <w:szCs w:val="13"/>
                <w:color w:val="0000FF"/>
                <w:w w:val="90"/>
              </w:rPr>
              <w:t>51,457</w:t>
            </w:r>
          </w:p>
        </w:tc>
        <w:tc>
          <w:tcPr>
            <w:tcW w:w="720" w:type="dxa"/>
            <w:vAlign w:val="bottom"/>
          </w:tcPr>
          <w:p>
            <w:pPr>
              <w:jc w:val="center"/>
              <w:ind w:left="8"/>
              <w:spacing w:after="0"/>
              <w:rPr>
                <w:sz w:val="20"/>
                <w:szCs w:val="20"/>
                <w:color w:val="auto"/>
              </w:rPr>
            </w:pPr>
            <w:r>
              <w:rPr>
                <w:rFonts w:ascii="Arial" w:cs="Arial" w:eastAsia="Arial" w:hAnsi="Arial"/>
                <w:sz w:val="8"/>
                <w:szCs w:val="8"/>
                <w:color w:val="008000"/>
              </w:rPr>
              <w:t>(1)</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Series B Convertible Preferred Stock</w:t>
            </w:r>
          </w:p>
        </w:tc>
        <w:tc>
          <w:tcPr>
            <w:tcW w:w="660" w:type="dxa"/>
            <w:vAlign w:val="bottom"/>
          </w:tcPr>
          <w:p>
            <w:pPr>
              <w:jc w:val="right"/>
              <w:ind w:right="235"/>
              <w:spacing w:after="0"/>
              <w:rPr>
                <w:sz w:val="20"/>
                <w:szCs w:val="20"/>
                <w:color w:val="auto"/>
              </w:rPr>
            </w:pPr>
            <w:r>
              <w:rPr>
                <w:rFonts w:ascii="Arial" w:cs="Arial" w:eastAsia="Arial" w:hAnsi="Arial"/>
                <w:sz w:val="8"/>
                <w:szCs w:val="8"/>
                <w:color w:val="008000"/>
              </w:rPr>
              <w:t>(2)</w:t>
            </w:r>
          </w:p>
        </w:tc>
        <w:tc>
          <w:tcPr>
            <w:tcW w:w="580" w:type="dxa"/>
            <w:vAlign w:val="bottom"/>
          </w:tcPr>
          <w:p>
            <w:pPr>
              <w:jc w:val="center"/>
              <w:spacing w:after="0"/>
              <w:rPr>
                <w:sz w:val="20"/>
                <w:szCs w:val="20"/>
                <w:color w:val="auto"/>
              </w:rPr>
            </w:pPr>
            <w:r>
              <w:rPr>
                <w:rFonts w:ascii="Arial" w:cs="Arial" w:eastAsia="Arial" w:hAnsi="Arial"/>
                <w:sz w:val="8"/>
                <w:szCs w:val="8"/>
                <w:color w:val="008000"/>
              </w:rPr>
              <w:t>(2)</w:t>
            </w:r>
          </w:p>
        </w:tc>
        <w:tc>
          <w:tcPr>
            <w:tcW w:w="194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Pr>
          <w:p>
            <w:pPr>
              <w:jc w:val="center"/>
              <w:ind w:left="140"/>
              <w:spacing w:after="0"/>
              <w:rPr>
                <w:sz w:val="20"/>
                <w:szCs w:val="20"/>
                <w:color w:val="auto"/>
              </w:rPr>
            </w:pPr>
            <w:r>
              <w:rPr>
                <w:rFonts w:ascii="Arial" w:cs="Arial" w:eastAsia="Arial" w:hAnsi="Arial"/>
                <w:sz w:val="13"/>
                <w:szCs w:val="13"/>
                <w:color w:val="0000FF"/>
                <w:w w:val="90"/>
              </w:rPr>
              <w:t>36,224</w:t>
            </w:r>
          </w:p>
        </w:tc>
        <w:tc>
          <w:tcPr>
            <w:tcW w:w="720" w:type="dxa"/>
            <w:vAlign w:val="bottom"/>
          </w:tcPr>
          <w:p>
            <w:pPr>
              <w:jc w:val="center"/>
              <w:ind w:left="8"/>
              <w:spacing w:after="0"/>
              <w:rPr>
                <w:sz w:val="20"/>
                <w:szCs w:val="20"/>
                <w:color w:val="auto"/>
              </w:rPr>
            </w:pPr>
            <w:r>
              <w:rPr>
                <w:rFonts w:ascii="Arial" w:cs="Arial" w:eastAsia="Arial" w:hAnsi="Arial"/>
                <w:sz w:val="8"/>
                <w:szCs w:val="8"/>
                <w:color w:val="008000"/>
              </w:rPr>
              <w:t>(2)</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Class B Common Stock</w:t>
            </w:r>
          </w:p>
        </w:tc>
        <w:tc>
          <w:tcPr>
            <w:tcW w:w="660" w:type="dxa"/>
            <w:vAlign w:val="bottom"/>
          </w:tcPr>
          <w:p>
            <w:pPr>
              <w:jc w:val="right"/>
              <w:ind w:right="235"/>
              <w:spacing w:after="0"/>
              <w:rPr>
                <w:sz w:val="20"/>
                <w:szCs w:val="20"/>
                <w:color w:val="auto"/>
              </w:rPr>
            </w:pPr>
            <w:r>
              <w:rPr>
                <w:rFonts w:ascii="Arial" w:cs="Arial" w:eastAsia="Arial" w:hAnsi="Arial"/>
                <w:sz w:val="8"/>
                <w:szCs w:val="8"/>
                <w:color w:val="008000"/>
              </w:rPr>
              <w:t>(3)</w:t>
            </w:r>
          </w:p>
        </w:tc>
        <w:tc>
          <w:tcPr>
            <w:tcW w:w="580" w:type="dxa"/>
            <w:vAlign w:val="bottom"/>
          </w:tcPr>
          <w:p>
            <w:pPr>
              <w:jc w:val="center"/>
              <w:spacing w:after="0"/>
              <w:rPr>
                <w:sz w:val="20"/>
                <w:szCs w:val="20"/>
                <w:color w:val="auto"/>
              </w:rPr>
            </w:pPr>
            <w:r>
              <w:rPr>
                <w:rFonts w:ascii="Arial" w:cs="Arial" w:eastAsia="Arial" w:hAnsi="Arial"/>
                <w:sz w:val="8"/>
                <w:szCs w:val="8"/>
                <w:color w:val="008000"/>
              </w:rPr>
              <w:t>(3)</w:t>
            </w:r>
          </w:p>
        </w:tc>
        <w:tc>
          <w:tcPr>
            <w:tcW w:w="194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Pr>
          <w:p>
            <w:pPr>
              <w:jc w:val="center"/>
              <w:ind w:left="140"/>
              <w:spacing w:after="0"/>
              <w:rPr>
                <w:sz w:val="20"/>
                <w:szCs w:val="20"/>
                <w:color w:val="auto"/>
              </w:rPr>
            </w:pPr>
            <w:r>
              <w:rPr>
                <w:rFonts w:ascii="Arial" w:cs="Arial" w:eastAsia="Arial" w:hAnsi="Arial"/>
                <w:sz w:val="13"/>
                <w:szCs w:val="13"/>
                <w:color w:val="0000FF"/>
                <w:w w:val="85"/>
              </w:rPr>
              <w:t>4,088</w:t>
            </w:r>
          </w:p>
        </w:tc>
        <w:tc>
          <w:tcPr>
            <w:tcW w:w="720" w:type="dxa"/>
            <w:vAlign w:val="bottom"/>
          </w:tcPr>
          <w:p>
            <w:pPr>
              <w:jc w:val="center"/>
              <w:ind w:left="8"/>
              <w:spacing w:after="0"/>
              <w:rPr>
                <w:sz w:val="20"/>
                <w:szCs w:val="20"/>
                <w:color w:val="auto"/>
              </w:rPr>
            </w:pPr>
            <w:r>
              <w:rPr>
                <w:rFonts w:ascii="Arial" w:cs="Arial" w:eastAsia="Arial" w:hAnsi="Arial"/>
                <w:sz w:val="8"/>
                <w:szCs w:val="8"/>
                <w:color w:val="008000"/>
              </w:rPr>
              <w:t>(3)</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Employee Stock Option (right to buy)</w:t>
            </w:r>
          </w:p>
        </w:tc>
        <w:tc>
          <w:tcPr>
            <w:tcW w:w="660" w:type="dxa"/>
            <w:vAlign w:val="bottom"/>
          </w:tcPr>
          <w:p>
            <w:pPr>
              <w:jc w:val="right"/>
              <w:ind w:right="235"/>
              <w:spacing w:after="0"/>
              <w:rPr>
                <w:sz w:val="20"/>
                <w:szCs w:val="20"/>
                <w:color w:val="auto"/>
              </w:rPr>
            </w:pPr>
            <w:r>
              <w:rPr>
                <w:rFonts w:ascii="Arial" w:cs="Arial" w:eastAsia="Arial" w:hAnsi="Arial"/>
                <w:sz w:val="8"/>
                <w:szCs w:val="8"/>
                <w:color w:val="008000"/>
              </w:rPr>
              <w:t>(4)</w:t>
            </w:r>
          </w:p>
        </w:tc>
        <w:tc>
          <w:tcPr>
            <w:tcW w:w="580" w:type="dxa"/>
            <w:vAlign w:val="bottom"/>
          </w:tcPr>
          <w:p>
            <w:pPr>
              <w:jc w:val="center"/>
              <w:spacing w:after="0"/>
              <w:rPr>
                <w:sz w:val="20"/>
                <w:szCs w:val="20"/>
                <w:color w:val="auto"/>
              </w:rPr>
            </w:pPr>
            <w:r>
              <w:rPr>
                <w:rFonts w:ascii="Arial" w:cs="Arial" w:eastAsia="Arial" w:hAnsi="Arial"/>
                <w:sz w:val="10"/>
                <w:szCs w:val="10"/>
                <w:color w:val="0000FF"/>
                <w:w w:val="91"/>
              </w:rPr>
              <w:t>03/05/2030</w:t>
            </w:r>
          </w:p>
        </w:tc>
        <w:tc>
          <w:tcPr>
            <w:tcW w:w="194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Pr>
          <w:p>
            <w:pPr>
              <w:jc w:val="center"/>
              <w:ind w:left="160"/>
              <w:spacing w:after="0"/>
              <w:rPr>
                <w:sz w:val="20"/>
                <w:szCs w:val="20"/>
                <w:color w:val="auto"/>
              </w:rPr>
            </w:pPr>
            <w:r>
              <w:rPr>
                <w:rFonts w:ascii="Arial" w:cs="Arial" w:eastAsia="Arial" w:hAnsi="Arial"/>
                <w:sz w:val="13"/>
                <w:szCs w:val="13"/>
                <w:color w:val="0000FF"/>
                <w:w w:val="89"/>
              </w:rPr>
              <w:t>852,793</w:t>
            </w:r>
          </w:p>
        </w:tc>
        <w:tc>
          <w:tcPr>
            <w:tcW w:w="720" w:type="dxa"/>
            <w:vAlign w:val="bottom"/>
          </w:tcPr>
          <w:p>
            <w:pPr>
              <w:jc w:val="center"/>
              <w:spacing w:after="0"/>
              <w:rPr>
                <w:sz w:val="20"/>
                <w:szCs w:val="20"/>
                <w:color w:val="auto"/>
              </w:rPr>
            </w:pPr>
            <w:r>
              <w:rPr>
                <w:rFonts w:ascii="Arial" w:cs="Arial" w:eastAsia="Arial" w:hAnsi="Arial"/>
                <w:sz w:val="13"/>
                <w:szCs w:val="13"/>
                <w:color w:val="0000FF"/>
                <w:w w:val="88"/>
              </w:rPr>
              <w:t>2.7</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Employee Stock Option (right to buy)</w:t>
            </w:r>
          </w:p>
        </w:tc>
        <w:tc>
          <w:tcPr>
            <w:tcW w:w="660" w:type="dxa"/>
            <w:vAlign w:val="bottom"/>
          </w:tcPr>
          <w:p>
            <w:pPr>
              <w:jc w:val="right"/>
              <w:ind w:right="235"/>
              <w:spacing w:after="0"/>
              <w:rPr>
                <w:sz w:val="20"/>
                <w:szCs w:val="20"/>
                <w:color w:val="auto"/>
              </w:rPr>
            </w:pPr>
            <w:r>
              <w:rPr>
                <w:rFonts w:ascii="Arial" w:cs="Arial" w:eastAsia="Arial" w:hAnsi="Arial"/>
                <w:sz w:val="8"/>
                <w:szCs w:val="8"/>
                <w:color w:val="008000"/>
              </w:rPr>
              <w:t>(5)</w:t>
            </w:r>
          </w:p>
        </w:tc>
        <w:tc>
          <w:tcPr>
            <w:tcW w:w="580" w:type="dxa"/>
            <w:vAlign w:val="bottom"/>
          </w:tcPr>
          <w:p>
            <w:pPr>
              <w:jc w:val="center"/>
              <w:spacing w:after="0"/>
              <w:rPr>
                <w:sz w:val="20"/>
                <w:szCs w:val="20"/>
                <w:color w:val="auto"/>
              </w:rPr>
            </w:pPr>
            <w:r>
              <w:rPr>
                <w:rFonts w:ascii="Arial" w:cs="Arial" w:eastAsia="Arial" w:hAnsi="Arial"/>
                <w:sz w:val="10"/>
                <w:szCs w:val="10"/>
                <w:color w:val="0000FF"/>
                <w:w w:val="91"/>
              </w:rPr>
              <w:t>03/05/2030</w:t>
            </w:r>
          </w:p>
        </w:tc>
        <w:tc>
          <w:tcPr>
            <w:tcW w:w="194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Pr>
          <w:p>
            <w:pPr>
              <w:jc w:val="center"/>
              <w:ind w:left="160"/>
              <w:spacing w:after="0"/>
              <w:rPr>
                <w:sz w:val="20"/>
                <w:szCs w:val="20"/>
                <w:color w:val="auto"/>
              </w:rPr>
            </w:pPr>
            <w:r>
              <w:rPr>
                <w:rFonts w:ascii="Arial" w:cs="Arial" w:eastAsia="Arial" w:hAnsi="Arial"/>
                <w:sz w:val="13"/>
                <w:szCs w:val="13"/>
                <w:color w:val="0000FF"/>
                <w:w w:val="89"/>
              </w:rPr>
              <w:t>365,481</w:t>
            </w:r>
          </w:p>
        </w:tc>
        <w:tc>
          <w:tcPr>
            <w:tcW w:w="720" w:type="dxa"/>
            <w:vAlign w:val="bottom"/>
          </w:tcPr>
          <w:p>
            <w:pPr>
              <w:jc w:val="center"/>
              <w:spacing w:after="0"/>
              <w:rPr>
                <w:sz w:val="20"/>
                <w:szCs w:val="20"/>
                <w:color w:val="auto"/>
              </w:rPr>
            </w:pPr>
            <w:r>
              <w:rPr>
                <w:rFonts w:ascii="Arial" w:cs="Arial" w:eastAsia="Arial" w:hAnsi="Arial"/>
                <w:sz w:val="13"/>
                <w:szCs w:val="13"/>
                <w:color w:val="0000FF"/>
                <w:w w:val="88"/>
              </w:rPr>
              <w:t>2.7</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Employee Stock Option (right to buy)</w:t>
            </w:r>
          </w:p>
        </w:tc>
        <w:tc>
          <w:tcPr>
            <w:tcW w:w="660" w:type="dxa"/>
            <w:vAlign w:val="bottom"/>
          </w:tcPr>
          <w:p>
            <w:pPr>
              <w:jc w:val="right"/>
              <w:ind w:right="235"/>
              <w:spacing w:after="0"/>
              <w:rPr>
                <w:sz w:val="20"/>
                <w:szCs w:val="20"/>
                <w:color w:val="auto"/>
              </w:rPr>
            </w:pPr>
            <w:r>
              <w:rPr>
                <w:rFonts w:ascii="Arial" w:cs="Arial" w:eastAsia="Arial" w:hAnsi="Arial"/>
                <w:sz w:val="8"/>
                <w:szCs w:val="8"/>
                <w:color w:val="008000"/>
              </w:rPr>
              <w:t>(6)</w:t>
            </w:r>
          </w:p>
        </w:tc>
        <w:tc>
          <w:tcPr>
            <w:tcW w:w="580" w:type="dxa"/>
            <w:vAlign w:val="bottom"/>
          </w:tcPr>
          <w:p>
            <w:pPr>
              <w:jc w:val="center"/>
              <w:spacing w:after="0"/>
              <w:rPr>
                <w:sz w:val="20"/>
                <w:szCs w:val="20"/>
                <w:color w:val="auto"/>
              </w:rPr>
            </w:pPr>
            <w:r>
              <w:rPr>
                <w:rFonts w:ascii="Arial" w:cs="Arial" w:eastAsia="Arial" w:hAnsi="Arial"/>
                <w:sz w:val="10"/>
                <w:szCs w:val="10"/>
                <w:color w:val="0000FF"/>
                <w:w w:val="91"/>
              </w:rPr>
              <w:t>07/28/2030</w:t>
            </w:r>
          </w:p>
        </w:tc>
        <w:tc>
          <w:tcPr>
            <w:tcW w:w="194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840" w:type="dxa"/>
            <w:vAlign w:val="bottom"/>
          </w:tcPr>
          <w:p>
            <w:pPr>
              <w:jc w:val="center"/>
              <w:ind w:left="160"/>
              <w:spacing w:after="0"/>
              <w:rPr>
                <w:sz w:val="20"/>
                <w:szCs w:val="20"/>
                <w:color w:val="auto"/>
              </w:rPr>
            </w:pPr>
            <w:r>
              <w:rPr>
                <w:rFonts w:ascii="Arial" w:cs="Arial" w:eastAsia="Arial" w:hAnsi="Arial"/>
                <w:sz w:val="13"/>
                <w:szCs w:val="13"/>
                <w:color w:val="0000FF"/>
                <w:w w:val="89"/>
              </w:rPr>
              <w:t>290,572</w:t>
            </w:r>
          </w:p>
        </w:tc>
        <w:tc>
          <w:tcPr>
            <w:tcW w:w="720" w:type="dxa"/>
            <w:vAlign w:val="bottom"/>
          </w:tcPr>
          <w:p>
            <w:pPr>
              <w:jc w:val="center"/>
              <w:ind w:left="8"/>
              <w:spacing w:after="0"/>
              <w:rPr>
                <w:sz w:val="20"/>
                <w:szCs w:val="20"/>
                <w:color w:val="auto"/>
              </w:rPr>
            </w:pPr>
            <w:r>
              <w:rPr>
                <w:rFonts w:ascii="Arial" w:cs="Arial" w:eastAsia="Arial" w:hAnsi="Arial"/>
                <w:sz w:val="13"/>
                <w:szCs w:val="13"/>
                <w:color w:val="0000FF"/>
                <w:w w:val="86"/>
              </w:rPr>
              <w:t>3.47</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2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-1092835</wp:posOffset>
            </wp:positionV>
            <wp:extent cx="6985000" cy="991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85000" cy="991235"/>
                    </a:xfrm>
                    <a:prstGeom prst="rect">
                      <a:avLst/>
                    </a:prstGeom>
                    <a:noFill/>
                  </pic:spPr>
                </pic:pic>
              </a:graphicData>
            </a:graphic>
          </wp:anchor>
        </w:drawing>
      </w:r>
    </w:p>
    <w:p>
      <w:pPr>
        <w:spacing w:after="0" w:line="3" w:lineRule="exact"/>
        <w:rPr>
          <w:sz w:val="24"/>
          <w:szCs w:val="24"/>
          <w:color w:val="auto"/>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Each share of Series A Convertible Preferred Stock shall automatically convert into Class A Common Stock on a one-to-one basis immediately prior to the completion of the Issuer's initial public offering of Class A Common Stock and has no expiration date.</w:t>
      </w:r>
    </w:p>
    <w:p>
      <w:pPr>
        <w:spacing w:after="0" w:line="46"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Each share of Series B Convertible Preferred Stock shall automatically convert into Class A Common Stock on a one-to-one basis immediately prior to the completion of the Issuer's initial public offering of Class A Common Stock and has no expiration date.</w:t>
      </w:r>
    </w:p>
    <w:p>
      <w:pPr>
        <w:spacing w:after="0" w:line="46"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share of Class B Common Stock is convertible at any time into Class A Common Stock on a one-to-one basis at the reporting person's election and has no expiration date.</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underlying the option are subject to an early exercise provision and are immediately exercisable. One-fourth of the shares underlying the option vest on June 15, 2021 and 1/48th of the shares vest monthly thereafter.</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underlying the option are subject to an early exercise provision and are immediately exercisable. The shares underlying the option vest in 48 equal monthly installments beginning on April 6, 2020.</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underlying the option are subject to an early exercise provision and are immediately exercisable. One-fourth of the shares underlying the option vest on July 28, 2021 and 1/48th of the shares vest monthly thereafter.</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Elona Kogan, by power of attorney</w:t>
            </w:r>
          </w:p>
        </w:tc>
        <w:tc>
          <w:tcPr>
            <w:tcW w:w="600" w:type="dxa"/>
            <w:vAlign w:val="bottom"/>
          </w:tcPr>
          <w:p>
            <w:pPr>
              <w:spacing w:after="0"/>
              <w:rPr>
                <w:sz w:val="20"/>
                <w:szCs w:val="20"/>
                <w:color w:val="auto"/>
              </w:rPr>
            </w:pPr>
            <w:r>
              <w:rPr>
                <w:rFonts w:ascii="Arial" w:cs="Arial" w:eastAsia="Arial" w:hAnsi="Arial"/>
                <w:sz w:val="13"/>
                <w:szCs w:val="13"/>
                <w:color w:val="0000FF"/>
                <w:w w:val="89"/>
              </w:rPr>
              <w:t>12/03/2020</w:t>
            </w:r>
          </w:p>
        </w:tc>
      </w:tr>
      <w:tr>
        <w:trPr>
          <w:trHeight w:val="170"/>
        </w:trPr>
        <w:tc>
          <w:tcPr>
            <w:tcW w:w="6580" w:type="dxa"/>
            <w:vAlign w:val="bottom"/>
          </w:tcPr>
          <w:p>
            <w:pPr>
              <w:spacing w:after="0"/>
              <w:rPr>
                <w:sz w:val="14"/>
                <w:szCs w:val="14"/>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Seer, Inc. (the "Company"), hereby constitutes and appoints David Horn, Elona Kogan and J</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attorney-in-fact shall in his discretion determ</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 any securities exchange or national association, the Company and such ot The undersigned hereby ratifies and confirms all that said attorneys-in-fact and agents shall do or cause to be done by virtue hereof. The un This Power of Attorney shall remain in full force and effect until the undersigned is no longer required to file Forms 3, 4 and 5 with respect IN WITNESS WHEREOF, the undersigned has caused this Power of Attorney to be executed as of this 23rd day of November, 2020.</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Omead Ostadan</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_________________</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 Omead Ostadan</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42678"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2020-12-03T18:51:44Z</dcterms:created>
  <dcterms:modified xsi:type="dcterms:W3CDTF">2020-12-03T18:51:44Z</dcterms:modified>
</cp:coreProperties>
</file>