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SEER,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81578P106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Invus Public Equities, L.P.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7"/>
              </w:rPr>
              <w:t>Bermuda</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BENEFICIALLY</w:t>
            </w:r>
          </w:p>
        </w:tc>
        <w:tc>
          <w:tcPr>
            <w:tcW w:w="36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80" w:type="dxa"/>
            <w:vAlign w:val="bottom"/>
          </w:tcPr>
          <w:p>
            <w:pPr>
              <w:jc w:val="center"/>
              <w:ind w:right="2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880" w:type="dxa"/>
            <w:vAlign w:val="bottom"/>
          </w:tcPr>
          <w:p>
            <w:pPr>
              <w:jc w:val="center"/>
              <w:ind w:right="24"/>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5,840,911</w:t>
            </w: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Invus Public Equities Advisors,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BENEFICIALLY</w:t>
            </w:r>
          </w:p>
        </w:tc>
        <w:tc>
          <w:tcPr>
            <w:tcW w:w="36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80" w:type="dxa"/>
            <w:vAlign w:val="bottom"/>
          </w:tcPr>
          <w:p>
            <w:pPr>
              <w:jc w:val="center"/>
              <w:ind w:right="2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880" w:type="dxa"/>
            <w:vAlign w:val="bottom"/>
          </w:tcPr>
          <w:p>
            <w:pPr>
              <w:jc w:val="center"/>
              <w:ind w:right="24"/>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5,840,911</w:t>
            </w: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Artal Treasury Limited</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Guernsey</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BENEFICIALLY</w:t>
            </w:r>
          </w:p>
        </w:tc>
        <w:tc>
          <w:tcPr>
            <w:tcW w:w="36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80" w:type="dxa"/>
            <w:vAlign w:val="bottom"/>
          </w:tcPr>
          <w:p>
            <w:pPr>
              <w:jc w:val="center"/>
              <w:ind w:right="2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880" w:type="dxa"/>
            <w:vAlign w:val="bottom"/>
          </w:tcPr>
          <w:p>
            <w:pPr>
              <w:jc w:val="center"/>
              <w:ind w:right="24"/>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5,840,911</w:t>
            </w: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Artal International S.C.A.</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18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9"/>
              </w:rPr>
              <w:t>Luxembourg</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w w:val="91"/>
              </w:rPr>
              <w:t>SHARES</w:t>
            </w:r>
          </w:p>
        </w:tc>
        <w:tc>
          <w:tcPr>
            <w:tcW w:w="180" w:type="dxa"/>
            <w:vAlign w:val="bottom"/>
          </w:tcPr>
          <w:p>
            <w:pPr>
              <w:spacing w:after="0"/>
              <w:rPr>
                <w:sz w:val="15"/>
                <w:szCs w:val="15"/>
                <w:color w:val="auto"/>
              </w:rPr>
            </w:pPr>
          </w:p>
        </w:tc>
        <w:tc>
          <w:tcPr>
            <w:tcW w:w="18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20" w:type="dxa"/>
            <w:vAlign w:val="bottom"/>
            <w:tcBorders>
              <w:right w:val="single" w:sz="8" w:color="auto"/>
            </w:tcBorders>
          </w:tcPr>
          <w:p>
            <w:pPr>
              <w:jc w:val="center"/>
              <w:ind w:right="169"/>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5"/>
                <w:szCs w:val="15"/>
                <w:color w:val="auto"/>
              </w:rPr>
            </w:pPr>
          </w:p>
        </w:tc>
        <w:tc>
          <w:tcPr>
            <w:tcW w:w="1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tcPr>
          <w:p>
            <w:pPr>
              <w:jc w:val="center"/>
              <w:ind w:right="169"/>
              <w:spacing w:after="0"/>
              <w:rPr>
                <w:sz w:val="20"/>
                <w:szCs w:val="20"/>
                <w:color w:val="auto"/>
              </w:rPr>
            </w:pPr>
            <w:r>
              <w:rPr>
                <w:rFonts w:ascii="Arial" w:cs="Arial" w:eastAsia="Arial" w:hAnsi="Arial"/>
                <w:sz w:val="18"/>
                <w:szCs w:val="18"/>
                <w:color w:val="auto"/>
                <w:w w:val="89"/>
              </w:rPr>
              <w:t>PERSON</w:t>
            </w:r>
          </w:p>
        </w:tc>
        <w:tc>
          <w:tcPr>
            <w:tcW w:w="1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gridSpan w:val="2"/>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1"/>
              </w:rPr>
              <w:t>5,840,911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OO</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Artal International Management S.A.</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18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9"/>
              </w:rPr>
              <w:t>Luxembourg</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w w:val="91"/>
              </w:rPr>
              <w:t>SHARES</w:t>
            </w:r>
          </w:p>
        </w:tc>
        <w:tc>
          <w:tcPr>
            <w:tcW w:w="180" w:type="dxa"/>
            <w:vAlign w:val="bottom"/>
          </w:tcPr>
          <w:p>
            <w:pPr>
              <w:spacing w:after="0"/>
              <w:rPr>
                <w:sz w:val="15"/>
                <w:szCs w:val="15"/>
                <w:color w:val="auto"/>
              </w:rPr>
            </w:pPr>
          </w:p>
        </w:tc>
        <w:tc>
          <w:tcPr>
            <w:tcW w:w="18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20" w:type="dxa"/>
            <w:vAlign w:val="bottom"/>
            <w:tcBorders>
              <w:right w:val="single" w:sz="8" w:color="auto"/>
            </w:tcBorders>
          </w:tcPr>
          <w:p>
            <w:pPr>
              <w:jc w:val="center"/>
              <w:ind w:right="169"/>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5"/>
                <w:szCs w:val="15"/>
                <w:color w:val="auto"/>
              </w:rPr>
            </w:pPr>
          </w:p>
        </w:tc>
        <w:tc>
          <w:tcPr>
            <w:tcW w:w="1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tcPr>
          <w:p>
            <w:pPr>
              <w:jc w:val="center"/>
              <w:ind w:right="169"/>
              <w:spacing w:after="0"/>
              <w:rPr>
                <w:sz w:val="20"/>
                <w:szCs w:val="20"/>
                <w:color w:val="auto"/>
              </w:rPr>
            </w:pPr>
            <w:r>
              <w:rPr>
                <w:rFonts w:ascii="Arial" w:cs="Arial" w:eastAsia="Arial" w:hAnsi="Arial"/>
                <w:sz w:val="18"/>
                <w:szCs w:val="18"/>
                <w:color w:val="auto"/>
                <w:w w:val="89"/>
              </w:rPr>
              <w:t>PERSON</w:t>
            </w:r>
          </w:p>
        </w:tc>
        <w:tc>
          <w:tcPr>
            <w:tcW w:w="1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gridSpan w:val="2"/>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1"/>
              </w:rPr>
              <w:t>5,840,911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OO</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Artal Group S.A.</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18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9"/>
              </w:rPr>
              <w:t>Luxembourg</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w w:val="91"/>
              </w:rPr>
              <w:t>SHARES</w:t>
            </w:r>
          </w:p>
        </w:tc>
        <w:tc>
          <w:tcPr>
            <w:tcW w:w="180" w:type="dxa"/>
            <w:vAlign w:val="bottom"/>
          </w:tcPr>
          <w:p>
            <w:pPr>
              <w:spacing w:after="0"/>
              <w:rPr>
                <w:sz w:val="15"/>
                <w:szCs w:val="15"/>
                <w:color w:val="auto"/>
              </w:rPr>
            </w:pPr>
          </w:p>
        </w:tc>
        <w:tc>
          <w:tcPr>
            <w:tcW w:w="18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20" w:type="dxa"/>
            <w:vAlign w:val="bottom"/>
            <w:tcBorders>
              <w:right w:val="single" w:sz="8" w:color="auto"/>
            </w:tcBorders>
          </w:tcPr>
          <w:p>
            <w:pPr>
              <w:jc w:val="center"/>
              <w:ind w:right="169"/>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5"/>
                <w:szCs w:val="15"/>
                <w:color w:val="auto"/>
              </w:rPr>
            </w:pPr>
          </w:p>
        </w:tc>
        <w:tc>
          <w:tcPr>
            <w:tcW w:w="1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tcPr>
          <w:p>
            <w:pPr>
              <w:jc w:val="center"/>
              <w:ind w:right="169"/>
              <w:spacing w:after="0"/>
              <w:rPr>
                <w:sz w:val="20"/>
                <w:szCs w:val="20"/>
                <w:color w:val="auto"/>
              </w:rPr>
            </w:pPr>
            <w:r>
              <w:rPr>
                <w:rFonts w:ascii="Arial" w:cs="Arial" w:eastAsia="Arial" w:hAnsi="Arial"/>
                <w:sz w:val="18"/>
                <w:szCs w:val="18"/>
                <w:color w:val="auto"/>
                <w:w w:val="89"/>
              </w:rPr>
              <w:t>PERSON</w:t>
            </w:r>
          </w:p>
        </w:tc>
        <w:tc>
          <w:tcPr>
            <w:tcW w:w="1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gridSpan w:val="2"/>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1"/>
              </w:rPr>
              <w:t>5,840,911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OO</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3"/>
              </w:rPr>
              <w:t>Westend S.A.</w:t>
            </w: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18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9"/>
              </w:rPr>
              <w:t>Luxembourg</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w w:val="91"/>
              </w:rPr>
              <w:t>SHARES</w:t>
            </w:r>
          </w:p>
        </w:tc>
        <w:tc>
          <w:tcPr>
            <w:tcW w:w="180" w:type="dxa"/>
            <w:vAlign w:val="bottom"/>
          </w:tcPr>
          <w:p>
            <w:pPr>
              <w:spacing w:after="0"/>
              <w:rPr>
                <w:sz w:val="15"/>
                <w:szCs w:val="15"/>
                <w:color w:val="auto"/>
              </w:rPr>
            </w:pPr>
          </w:p>
        </w:tc>
        <w:tc>
          <w:tcPr>
            <w:tcW w:w="18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20" w:type="dxa"/>
            <w:vAlign w:val="bottom"/>
            <w:tcBorders>
              <w:right w:val="single" w:sz="8" w:color="auto"/>
            </w:tcBorders>
          </w:tcPr>
          <w:p>
            <w:pPr>
              <w:jc w:val="center"/>
              <w:ind w:right="169"/>
              <w:spacing w:after="0" w:line="182" w:lineRule="exact"/>
              <w:rPr>
                <w:sz w:val="20"/>
                <w:szCs w:val="20"/>
                <w:color w:val="auto"/>
              </w:rPr>
            </w:pPr>
            <w:r>
              <w:rPr>
                <w:rFonts w:ascii="Arial" w:cs="Arial" w:eastAsia="Arial" w:hAnsi="Arial"/>
                <w:sz w:val="18"/>
                <w:szCs w:val="18"/>
                <w:color w:val="auto"/>
                <w:w w:val="95"/>
              </w:rPr>
              <w:t>EACH</w:t>
            </w:r>
          </w:p>
        </w:tc>
        <w:tc>
          <w:tcPr>
            <w:tcW w:w="180" w:type="dxa"/>
            <w:vAlign w:val="bottom"/>
          </w:tcPr>
          <w:p>
            <w:pPr>
              <w:spacing w:after="0"/>
              <w:rPr>
                <w:sz w:val="15"/>
                <w:szCs w:val="15"/>
                <w:color w:val="auto"/>
              </w:rPr>
            </w:pPr>
          </w:p>
        </w:tc>
        <w:tc>
          <w:tcPr>
            <w:tcW w:w="1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tcPr>
          <w:p>
            <w:pPr>
              <w:jc w:val="center"/>
              <w:ind w:right="169"/>
              <w:spacing w:after="0"/>
              <w:rPr>
                <w:sz w:val="20"/>
                <w:szCs w:val="20"/>
                <w:color w:val="auto"/>
              </w:rPr>
            </w:pPr>
            <w:r>
              <w:rPr>
                <w:rFonts w:ascii="Arial" w:cs="Arial" w:eastAsia="Arial" w:hAnsi="Arial"/>
                <w:sz w:val="18"/>
                <w:szCs w:val="18"/>
                <w:color w:val="auto"/>
                <w:w w:val="89"/>
              </w:rPr>
              <w:t>PERSON</w:t>
            </w:r>
          </w:p>
        </w:tc>
        <w:tc>
          <w:tcPr>
            <w:tcW w:w="1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20" w:type="dxa"/>
            <w:vAlign w:val="bottom"/>
            <w:tcBorders>
              <w:right w:val="single" w:sz="8" w:color="auto"/>
            </w:tcBorders>
            <w:vMerge w:val="restart"/>
          </w:tcPr>
          <w:p>
            <w:pPr>
              <w:jc w:val="center"/>
              <w:ind w:right="169"/>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gridSpan w:val="2"/>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1"/>
              </w:rPr>
              <w:t>5,840,911</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OO</w:t>
            </w:r>
          </w:p>
        </w:tc>
        <w:tc>
          <w:tcPr>
            <w:tcW w:w="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Stichting Administratiekantoor Westend</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Netherlands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BENEFICIALLY</w:t>
            </w:r>
          </w:p>
        </w:tc>
        <w:tc>
          <w:tcPr>
            <w:tcW w:w="36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80" w:type="dxa"/>
            <w:vAlign w:val="bottom"/>
          </w:tcPr>
          <w:p>
            <w:pPr>
              <w:jc w:val="center"/>
              <w:ind w:right="2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880" w:type="dxa"/>
            <w:vAlign w:val="bottom"/>
          </w:tcPr>
          <w:p>
            <w:pPr>
              <w:jc w:val="center"/>
              <w:ind w:right="24"/>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5,840,911</w:t>
            </w: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81578P106</w:t>
      </w:r>
    </w:p>
    <w:p>
      <w:pPr>
        <w:spacing w:after="0" w:line="144"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400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Mr. Amaury Wittouck</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4"/>
              </w:rPr>
              <w:t>SEC USE ONLY</w:t>
            </w: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8"/>
              </w:rPr>
              <w:t>Belgium</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2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vMerge w:val="continue"/>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BENEFICIALLY</w:t>
            </w:r>
          </w:p>
        </w:tc>
        <w:tc>
          <w:tcPr>
            <w:tcW w:w="36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80" w:type="dxa"/>
            <w:vAlign w:val="bottom"/>
          </w:tcPr>
          <w:p>
            <w:pPr>
              <w:jc w:val="center"/>
              <w:ind w:right="24"/>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880" w:type="dxa"/>
            <w:vAlign w:val="bottom"/>
          </w:tcPr>
          <w:p>
            <w:pPr>
              <w:jc w:val="center"/>
              <w:ind w:right="24"/>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5,840,911</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w w:val="78"/>
              </w:rPr>
              <w:t>AGGREGATE</w:t>
            </w:r>
          </w:p>
        </w:tc>
        <w:tc>
          <w:tcPr>
            <w:tcW w:w="36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5,840,911</w:t>
            </w: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10.9%</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Seer, Inc. (the “Issuer”)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3800 Bridge Parkway, Suite 102, Redwood City, California 94065</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980" w:right="4879" w:firstLine="7"/>
        <w:spacing w:after="0" w:line="286" w:lineRule="auto"/>
        <w:tabs>
          <w:tab w:leader="none" w:pos="119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Invus Public Equities, L.P. (“Invus Public Equities”) 750 Lexington Avenue, 30th Floor, New York, NY 10022 Citizenship: Bermuda limited partnership</w:t>
      </w:r>
    </w:p>
    <w:p>
      <w:pPr>
        <w:spacing w:after="0" w:line="57" w:lineRule="exact"/>
        <w:rPr>
          <w:rFonts w:ascii="Arial" w:cs="Arial" w:eastAsia="Arial" w:hAnsi="Arial"/>
          <w:sz w:val="17"/>
          <w:szCs w:val="17"/>
          <w:color w:val="auto"/>
        </w:rPr>
      </w:pPr>
    </w:p>
    <w:p>
      <w:pPr>
        <w:ind w:left="980" w:right="4419" w:firstLine="7"/>
        <w:spacing w:after="0" w:line="263" w:lineRule="auto"/>
        <w:tabs>
          <w:tab w:leader="none" w:pos="1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Invus Public Equities Advisors, LLC (“Invus PE Advisors”) 750 Lexington Avenue, 30th Floor, New York, NY 10022 Citizenship: Delaware limited liability company</w:t>
      </w:r>
    </w:p>
    <w:p>
      <w:pPr>
        <w:spacing w:after="0" w:line="75" w:lineRule="exact"/>
        <w:rPr>
          <w:rFonts w:ascii="Arial" w:cs="Arial" w:eastAsia="Arial" w:hAnsi="Arial"/>
          <w:sz w:val="18"/>
          <w:szCs w:val="18"/>
          <w:color w:val="auto"/>
        </w:rPr>
      </w:pPr>
    </w:p>
    <w:p>
      <w:pPr>
        <w:ind w:left="1300" w:hanging="313"/>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Artal Treasury Limited (“Artal Treasury”)</w:t>
      </w:r>
    </w:p>
    <w:p>
      <w:pPr>
        <w:spacing w:after="0" w:line="23" w:lineRule="exact"/>
        <w:rPr>
          <w:sz w:val="20"/>
          <w:szCs w:val="20"/>
          <w:color w:val="auto"/>
        </w:rPr>
      </w:pPr>
    </w:p>
    <w:p>
      <w:pPr>
        <w:ind w:left="980" w:right="3919"/>
        <w:spacing w:after="0" w:line="260" w:lineRule="auto"/>
        <w:rPr>
          <w:sz w:val="20"/>
          <w:szCs w:val="20"/>
          <w:color w:val="auto"/>
        </w:rPr>
      </w:pPr>
      <w:r>
        <w:rPr>
          <w:rFonts w:ascii="Arial" w:cs="Arial" w:eastAsia="Arial" w:hAnsi="Arial"/>
          <w:sz w:val="18"/>
          <w:szCs w:val="18"/>
          <w:color w:val="auto"/>
        </w:rPr>
        <w:t>Suite 4, Borough House, Rue du Pré, St. Peter Port, Guernsey GY1 3JJ Citizenship: Guernsey company</w:t>
      </w:r>
    </w:p>
    <w:p>
      <w:pPr>
        <w:spacing w:after="0" w:line="77" w:lineRule="exact"/>
        <w:rPr>
          <w:sz w:val="20"/>
          <w:szCs w:val="20"/>
          <w:color w:val="auto"/>
        </w:rPr>
      </w:pPr>
    </w:p>
    <w:p>
      <w:pPr>
        <w:ind w:left="980" w:right="5019" w:firstLine="7"/>
        <w:spacing w:after="0" w:line="311" w:lineRule="auto"/>
        <w:tabs>
          <w:tab w:leader="none" w:pos="1285" w:val="left"/>
        </w:tabs>
        <w:numPr>
          <w:ilvl w:val="0"/>
          <w:numId w:val="6"/>
        </w:numPr>
        <w:rPr>
          <w:rFonts w:ascii="Arial" w:cs="Arial" w:eastAsia="Arial" w:hAnsi="Arial"/>
          <w:sz w:val="16"/>
          <w:szCs w:val="16"/>
          <w:color w:val="auto"/>
        </w:rPr>
      </w:pPr>
      <w:r>
        <w:rPr>
          <w:rFonts w:ascii="Arial" w:cs="Arial" w:eastAsia="Arial" w:hAnsi="Arial"/>
          <w:sz w:val="16"/>
          <w:szCs w:val="16"/>
          <w:color w:val="auto"/>
        </w:rPr>
        <w:t>Artal International S.C.A. (“Artal International”) Valley Park, 44, Rue de la Vallée, L-2661, Luxembourg Citizenship: Luxembourg limited partnership</w:t>
      </w:r>
    </w:p>
    <w:p>
      <w:pPr>
        <w:spacing w:after="0" w:line="40" w:lineRule="exact"/>
        <w:rPr>
          <w:rFonts w:ascii="Arial" w:cs="Arial" w:eastAsia="Arial" w:hAnsi="Arial"/>
          <w:sz w:val="16"/>
          <w:szCs w:val="16"/>
          <w:color w:val="auto"/>
        </w:rPr>
      </w:pPr>
    </w:p>
    <w:p>
      <w:pPr>
        <w:ind w:left="980" w:right="3459" w:firstLine="7"/>
        <w:spacing w:after="0" w:line="274" w:lineRule="auto"/>
        <w:tabs>
          <w:tab w:leader="none" w:pos="1235" w:val="left"/>
        </w:tabs>
        <w:numPr>
          <w:ilvl w:val="0"/>
          <w:numId w:val="6"/>
        </w:numPr>
        <w:rPr>
          <w:rFonts w:ascii="Arial" w:cs="Arial" w:eastAsia="Arial" w:hAnsi="Arial"/>
          <w:sz w:val="17"/>
          <w:szCs w:val="17"/>
          <w:color w:val="auto"/>
        </w:rPr>
      </w:pPr>
      <w:r>
        <w:rPr>
          <w:rFonts w:ascii="Arial" w:cs="Arial" w:eastAsia="Arial" w:hAnsi="Arial"/>
          <w:sz w:val="17"/>
          <w:szCs w:val="17"/>
          <w:color w:val="auto"/>
        </w:rPr>
        <w:t>Artal International Management S.A. (“Artal International Management”) Valley Park, 44, Rue de la Vallée, L-2661, Luxembourg</w:t>
      </w:r>
    </w:p>
    <w:p>
      <w:pPr>
        <w:ind w:left="980"/>
        <w:spacing w:after="0"/>
        <w:rPr>
          <w:rFonts w:ascii="Arial" w:cs="Arial" w:eastAsia="Arial" w:hAnsi="Arial"/>
          <w:sz w:val="17"/>
          <w:szCs w:val="17"/>
          <w:color w:val="auto"/>
        </w:rPr>
      </w:pPr>
      <w:r>
        <w:rPr>
          <w:rFonts w:ascii="Arial" w:cs="Arial" w:eastAsia="Arial" w:hAnsi="Arial"/>
          <w:sz w:val="18"/>
          <w:szCs w:val="18"/>
          <w:color w:val="auto"/>
        </w:rPr>
        <w:t>Citizenship: Luxembourg société anonyme</w:t>
      </w:r>
    </w:p>
    <w:p>
      <w:pPr>
        <w:spacing w:after="0" w:line="102" w:lineRule="exact"/>
        <w:rPr>
          <w:rFonts w:ascii="Arial" w:cs="Arial" w:eastAsia="Arial" w:hAnsi="Arial"/>
          <w:sz w:val="17"/>
          <w:szCs w:val="17"/>
          <w:color w:val="auto"/>
        </w:rPr>
      </w:pPr>
    </w:p>
    <w:p>
      <w:pPr>
        <w:ind w:left="1300" w:hanging="313"/>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Artal Group S.A. (“Artal Group”)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Luxembourg société anonyme</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(vii) Westend S.A. (“Westend”)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Luxembourg société anonyme</w:t>
      </w:r>
    </w:p>
    <w:p>
      <w:pPr>
        <w:spacing w:after="0" w:line="103" w:lineRule="exact"/>
        <w:rPr>
          <w:sz w:val="20"/>
          <w:szCs w:val="20"/>
          <w:color w:val="auto"/>
        </w:rPr>
      </w:pPr>
    </w:p>
    <w:p>
      <w:pPr>
        <w:ind w:left="980" w:right="4339" w:firstLine="7"/>
        <w:spacing w:after="0" w:line="286" w:lineRule="auto"/>
        <w:tabs>
          <w:tab w:leader="none" w:pos="1385" w:val="left"/>
        </w:tabs>
        <w:numPr>
          <w:ilvl w:val="0"/>
          <w:numId w:val="7"/>
        </w:numPr>
        <w:rPr>
          <w:rFonts w:ascii="Arial" w:cs="Arial" w:eastAsia="Arial" w:hAnsi="Arial"/>
          <w:sz w:val="17"/>
          <w:szCs w:val="17"/>
          <w:color w:val="auto"/>
        </w:rPr>
      </w:pPr>
      <w:r>
        <w:rPr>
          <w:rFonts w:ascii="Arial" w:cs="Arial" w:eastAsia="Arial" w:hAnsi="Arial"/>
          <w:sz w:val="17"/>
          <w:szCs w:val="17"/>
          <w:color w:val="auto"/>
        </w:rPr>
        <w:t>Stichting Administratiekantoor Westend (the “Stichting”) Claude Debussylaan, 46, 1082 MD Amsterdam, The Netherlands Citizenship: Netherlands foundation</w:t>
      </w:r>
    </w:p>
    <w:p>
      <w:pPr>
        <w:spacing w:after="0" w:line="57" w:lineRule="exact"/>
        <w:rPr>
          <w:rFonts w:ascii="Arial" w:cs="Arial" w:eastAsia="Arial" w:hAnsi="Arial"/>
          <w:sz w:val="17"/>
          <w:szCs w:val="17"/>
          <w:color w:val="auto"/>
        </w:rPr>
      </w:pPr>
    </w:p>
    <w:p>
      <w:pPr>
        <w:ind w:left="1300" w:hanging="313"/>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Amaury Wittouck</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Valley Park, 44, Rue de la Vallée, L-2661, Luxembourg</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Citizenship: Belgium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foregoing persons are hereinafter sometimes collectively referred to as the “Reporting Persons.”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January 11, 2021, Mr. Amaury Wittouck replaced Mr. Pascal Minne as the sole member of the Board of the Stichting.</w:t>
      </w:r>
    </w:p>
    <w:p>
      <w:pPr>
        <w:sectPr>
          <w:pgSz w:w="11900" w:h="16838" w:orient="portrait"/>
          <w:cols w:equalWidth="0" w:num="1">
            <w:col w:w="10019"/>
          </w:cols>
          <w:pgMar w:left="440" w:top="270" w:right="1440"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par value $0.00001 per share (the “Shares”)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81578P106</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 240.13d-2(b) or (c), Check Whether the Person Filing Is a(n):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3 is 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Amount beneficially owned:</w:t>
      </w:r>
    </w:p>
    <w:p>
      <w:pPr>
        <w:spacing w:after="0" w:line="117" w:lineRule="exact"/>
        <w:rPr>
          <w:sz w:val="20"/>
          <w:szCs w:val="20"/>
          <w:color w:val="auto"/>
        </w:rPr>
      </w:pPr>
    </w:p>
    <w:p>
      <w:pPr>
        <w:ind w:left="980" w:right="20"/>
        <w:spacing w:after="0" w:line="268" w:lineRule="auto"/>
        <w:rPr>
          <w:sz w:val="20"/>
          <w:szCs w:val="20"/>
          <w:color w:val="auto"/>
        </w:rPr>
      </w:pPr>
      <w:r>
        <w:rPr>
          <w:rFonts w:ascii="Arial" w:cs="Arial" w:eastAsia="Arial" w:hAnsi="Arial"/>
          <w:sz w:val="17"/>
          <w:szCs w:val="17"/>
          <w:color w:val="auto"/>
        </w:rPr>
        <w:t>As of December 31, 2020, Invus Public Equities directly held 5,840,911 Shares. Invus PE Advisors, as the general partner of Invus Public Equities, controls Invus Public Equities and accordingly may be deemed to beneficially own the Shares held by Invus Public Equities. Artal Treasury, as the managing member of Invus PE Advisors, controls Invus PE Advisors, and accordingly may be deemed to beneficially own the Shares that Invus PE Advisors may be deemed to beneficially own. Artal International, as its Geneva branch is the sole stockholder of Artal Treasury, may be deemed to beneficially own the Shares that Artal Treasury may be deemed to beneficially own. Artal International Management, as the managing partner of Artal International, controls Artal International and, accordingly, may be deemed to beneficially own the Shares that Artal International may be deemed to beneficially own. Artal Group, as the parent company of Artal International Management, controls Artal International Management and, accordingly, may be deemed to beneficially own the Shares that Artal International Management may be deemed to beneficially own. Westend, as the parent company of Artal Group, controls Artal Group and, accordingly, may be deemed to beneficially own the Shares that Artal Group may be deemed to beneficially own. The Stichting, as the majority stockholder of Westend, controls Westend and, accordingly, may be deemed to beneficially own the Shares that Westend may be deemed to beneficially own. As of January 11, 2021, Mr. Wittouck, as the sole member of the board of the Stichting, controls the Stichting and, accordingly, may be deemed to beneficially own the Shares that the Stichting may be deemed to beneficially own.</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Percent of class:</w:t>
      </w:r>
    </w:p>
    <w:p>
      <w:pPr>
        <w:spacing w:after="0" w:line="117"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Each of the Reporting Persons may be deemed to be the beneficial owner of the percentage of Shares listed on such Reporting Person’s cover page. Calculations of the percentage of Shares beneficially owned assume 53,350,763 shares outstanding following the closing of the Issuer’s initial public offering according to the Issuer’s prospectus supplement filed with the Securities and Exchange Commission on December 4, 2020.</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 Number of shares as to which the person has:</w:t>
      </w:r>
    </w:p>
    <w:p>
      <w:pPr>
        <w:spacing w:after="0" w:line="117"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u w:val="single" w:color="auto"/>
          <w:color w:val="auto"/>
        </w:rPr>
        <w:t>Invus Public Equities, Invus PE Advisors, Artal Treasury, Artal International, Artal International Management, Artal Group, Westend, The Stichting and Mr. Wittouck:</w:t>
      </w:r>
    </w:p>
    <w:p>
      <w:pPr>
        <w:spacing w:after="0" w:line="62" w:lineRule="exact"/>
        <w:rPr>
          <w:sz w:val="20"/>
          <w:szCs w:val="20"/>
          <w:color w:val="auto"/>
        </w:rPr>
      </w:pPr>
    </w:p>
    <w:p>
      <w:pPr>
        <w:ind w:left="1980" w:right="6460" w:hanging="552"/>
        <w:spacing w:after="0" w:line="375" w:lineRule="auto"/>
        <w:tabs>
          <w:tab w:leader="none" w:pos="1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5,840,911</w:t>
      </w:r>
    </w:p>
    <w:p>
      <w:pPr>
        <w:spacing w:after="0" w:line="1" w:lineRule="exact"/>
        <w:rPr>
          <w:rFonts w:ascii="Arial" w:cs="Arial" w:eastAsia="Arial" w:hAnsi="Arial"/>
          <w:sz w:val="18"/>
          <w:szCs w:val="18"/>
          <w:color w:val="auto"/>
        </w:rPr>
      </w:pPr>
    </w:p>
    <w:p>
      <w:pPr>
        <w:ind w:left="1980" w:right="6220" w:hanging="552"/>
        <w:spacing w:after="0" w:line="375" w:lineRule="auto"/>
        <w:tabs>
          <w:tab w:leader="none" w:pos="1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980" w:right="5460" w:hanging="552"/>
        <w:spacing w:after="0" w:line="402" w:lineRule="auto"/>
        <w:tabs>
          <w:tab w:leader="none" w:pos="1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5,840,911</w:t>
      </w:r>
    </w:p>
    <w:p>
      <w:pPr>
        <w:sectPr>
          <w:pgSz w:w="11900" w:h="16838" w:orient="portrait"/>
          <w:cols w:equalWidth="0" w:num="1">
            <w:col w:w="10960"/>
          </w:cols>
          <w:pgMar w:left="440" w:top="270" w:right="499" w:bottom="1440" w:gutter="0" w:footer="0" w:header="0"/>
        </w:sectPr>
      </w:pPr>
    </w:p>
    <w:bookmarkStart w:id="12" w:name="page13"/>
    <w:bookmarkEnd w:id="12"/>
    <w:p>
      <w:pPr>
        <w:ind w:left="1980" w:right="5240" w:hanging="552"/>
        <w:spacing w:after="0" w:line="402" w:lineRule="auto"/>
        <w:tabs>
          <w:tab w:leader="none" w:pos="1734"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Shared power to dispose or to direct the disposition of: 0</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right="3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4" w:lineRule="exact"/>
        <w:rPr>
          <w:sz w:val="20"/>
          <w:szCs w:val="20"/>
          <w:color w:val="auto"/>
        </w:rPr>
      </w:pPr>
    </w:p>
    <w:p>
      <w:pPr>
        <w:ind w:left="980" w:right="400"/>
        <w:spacing w:after="0" w:line="277" w:lineRule="auto"/>
        <w:rPr>
          <w:sz w:val="20"/>
          <w:szCs w:val="20"/>
          <w:color w:val="auto"/>
        </w:rPr>
      </w:pPr>
      <w:r>
        <w:rPr>
          <w:rFonts w:ascii="Arial" w:cs="Arial" w:eastAsia="Arial" w:hAnsi="Arial"/>
          <w:sz w:val="18"/>
          <w:szCs w:val="18"/>
          <w:color w:val="auto"/>
        </w:rPr>
        <w:t>As of January 11, 2021, Mr. Pascal Minne was no longer the sole member of the Board of the Stichting and ceased to be a Reporting Person.</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6 is not applicable.</w:t>
      </w:r>
    </w:p>
    <w:p>
      <w:pPr>
        <w:spacing w:after="0" w:line="370" w:lineRule="exact"/>
        <w:rPr>
          <w:sz w:val="20"/>
          <w:szCs w:val="20"/>
          <w:color w:val="auto"/>
        </w:rPr>
      </w:pPr>
    </w:p>
    <w:p>
      <w:pPr>
        <w:ind w:left="980" w:right="60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7 is 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8 is 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Item 9 is 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11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20"/>
          </w:cols>
          <w:pgMar w:left="440" w:top="274" w:right="53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INVUS PUBLIC EQUITIES ADVISORS, LLC, its general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ADVISORS, LLC</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TREASURY LIMITED</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Le Poidevin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Keith Le Poidevin</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S.C.A.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ARTAL INTERNATIONAL MANAGEMENT S.A., its managing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MANAGEMENT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GROUP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ectPr>
          <w:pgSz w:w="11900" w:h="16838" w:orient="portrait"/>
          <w:cols w:equalWidth="0" w:num="1">
            <w:col w:w="10460"/>
          </w:cols>
          <w:pgMar w:left="440" w:top="270"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WESTEND S.A.</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Anne Goffard</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STICHTING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ADMINISTRATIEKANTOOR WESTEND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Amaury Wittouck</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Amaury Wittouck</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Sole Member of the Board</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AMAURY WITTOUCK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ectPr>
          <w:pgSz w:w="11900" w:h="16838" w:orient="portrait"/>
          <w:cols w:equalWidth="0" w:num="1">
            <w:col w:w="10019"/>
          </w:cols>
          <w:pgMar w:left="440" w:top="270" w:right="1440" w:bottom="1440" w:gutter="0" w:footer="0" w:header="0"/>
        </w:sectPr>
      </w:pPr>
    </w:p>
    <w:bookmarkStart w:id="15" w:name="page16"/>
    <w:bookmarkEnd w:id="15"/>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
        <w:spacing w:after="0"/>
        <w:tabs>
          <w:tab w:leader="none" w:pos="1244"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5080</wp:posOffset>
            </wp:positionV>
            <wp:extent cx="6197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81" w:lineRule="exact"/>
        <w:rPr>
          <w:sz w:val="20"/>
          <w:szCs w:val="20"/>
          <w:color w:val="auto"/>
        </w:rPr>
      </w:pPr>
    </w:p>
    <w:p>
      <w:pPr>
        <w:ind w:left="1264" w:hanging="1264"/>
        <w:spacing w:after="0"/>
        <w:tabs>
          <w:tab w:leader="none" w:pos="1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Joint Filing Agreement</w:t>
      </w:r>
    </w:p>
    <w:p>
      <w:pPr>
        <w:sectPr>
          <w:pgSz w:w="11900" w:h="16838" w:orient="portrait"/>
          <w:cols w:equalWidth="0" w:num="1">
            <w:col w:w="10023"/>
          </w:cols>
          <w:pgMar w:left="436" w:top="270"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undersigned agree that the statement on Schedule 13G with respect to the Class A Common Stock, par value $0.00001 per share, of Seer, Inc., dated as of February 12, 2021, is, and any amendments thereto signed by each of the undersigned shall be, filed on behalf of each of them pursuant to and in accordance with the provisions of Rule 13d-1(k) under the Securities Exchange Act of 1934,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L.P.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INVUS PUBLIC EQUITIES ADVISORS, LLC, its general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INVUS PUBLIC EQUITIES ADVISORS, LLC</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Raymond Debbane</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TREASURY LIMITED</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Le Poidevin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Keith Le Poidevin</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S.C.A.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ARTAL INTERNATIONAL MANAGEMENT S.A., its managing partner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INTERNATIONAL MANAGEMENT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ARTAL GROUP S.A.</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33858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Anne Goffard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ectPr>
          <w:pgSz w:w="11900" w:h="16838" w:orient="portrait"/>
          <w:cols w:equalWidth="0" w:num="1">
            <w:col w:w="11020"/>
          </w:cols>
          <w:pgMar w:left="440" w:top="121"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WESTEND S.A.</w:t>
      </w:r>
    </w:p>
    <w:p>
      <w:pPr>
        <w:spacing w:after="0" w:line="2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Goffard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Anne Goffard</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STICHTING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ADMINISTRATIEKANTOOR WESTEND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Amaury Wittouck</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Amaury Wittouck</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Sole Member of the Board</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AMAURY WITTOUCK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Amaury Wittouck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Roman"/>
      <w:start w:val="4"/>
    </w:lvl>
  </w:abstractNum>
  <w:abstractNum w:abstractNumId="6">
    <w:nsid w:val="515F007C"/>
    <w:multiLevelType w:val="hybridMultilevel"/>
    <w:lvl w:ilvl="0">
      <w:lvlJc w:val="left"/>
      <w:lvlText w:val="(%1)"/>
      <w:numFmt w:val="lowerRoman"/>
      <w:start w:val="8"/>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2021-02-16T06:12:35Z</dcterms:created>
  <dcterms:modified xsi:type="dcterms:W3CDTF">2021-02-16T06:12:35Z</dcterms:modified>
</cp:coreProperties>
</file>