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As filed with the Securities and Exchange Commission on December 4, 2020</w:t>
      </w:r>
    </w:p>
    <w:p>
      <w:pPr>
        <w:spacing w:after="0" w:line="1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56515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2611120</wp:posOffset>
            </wp:positionH>
            <wp:positionV relativeFrom="paragraph">
              <wp:posOffset>81915</wp:posOffset>
            </wp:positionV>
            <wp:extent cx="19202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24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FORM S-8</w:t>
      </w:r>
    </w:p>
    <w:p>
      <w:pPr>
        <w:spacing w:after="0" w:line="4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REGISTRATION STATEMENT</w:t>
      </w:r>
    </w:p>
    <w:p>
      <w:pPr>
        <w:spacing w:after="0" w:line="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i w:val="1"/>
          <w:iCs w:val="1"/>
          <w:color w:val="auto"/>
        </w:rPr>
        <w:t>Under</w:t>
      </w:r>
    </w:p>
    <w:p>
      <w:pPr>
        <w:jc w:val="center"/>
        <w:ind w:right="-39"/>
        <w:spacing w:after="0"/>
        <w:rPr>
          <w:sz w:val="20"/>
          <w:szCs w:val="20"/>
          <w:color w:val="auto"/>
        </w:rPr>
      </w:pPr>
      <w:r>
        <w:rPr>
          <w:rFonts w:ascii="Times New Roman" w:cs="Times New Roman" w:eastAsia="Times New Roman" w:hAnsi="Times New Roman"/>
          <w:sz w:val="20"/>
          <w:szCs w:val="20"/>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2611120</wp:posOffset>
            </wp:positionH>
            <wp:positionV relativeFrom="paragraph">
              <wp:posOffset>51435</wp:posOffset>
            </wp:positionV>
            <wp:extent cx="19202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19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0"/>
          <w:szCs w:val="40"/>
          <w:b w:val="1"/>
          <w:bCs w:val="1"/>
          <w:color w:val="auto"/>
        </w:rPr>
        <w:t>SEER, INC.</w:t>
      </w:r>
    </w:p>
    <w:p>
      <w:pPr>
        <w:spacing w:after="0" w:line="4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2611120</wp:posOffset>
            </wp:positionH>
            <wp:positionV relativeFrom="paragraph">
              <wp:posOffset>56515</wp:posOffset>
            </wp:positionV>
            <wp:extent cx="19202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150" w:lineRule="exact"/>
        <w:rPr>
          <w:sz w:val="24"/>
          <w:szCs w:val="24"/>
          <w:color w:val="auto"/>
        </w:rPr>
      </w:pPr>
    </w:p>
    <w:tbl>
      <w:tblPr>
        <w:tblLayout w:type="fixed"/>
        <w:tblInd w:w="460" w:type="dxa"/>
        <w:tblCellMar>
          <w:top w:w="0" w:type="dxa"/>
          <w:left w:w="0" w:type="dxa"/>
          <w:bottom w:w="0" w:type="dxa"/>
          <w:right w:w="0" w:type="dxa"/>
        </w:tblCellMar>
      </w:tblPr>
      <w:tr>
        <w:trPr>
          <w:trHeight w:val="245"/>
        </w:trPr>
        <w:tc>
          <w:tcPr>
            <w:tcW w:w="3120" w:type="dxa"/>
            <w:vAlign w:val="bottom"/>
          </w:tcPr>
          <w:p>
            <w:pPr>
              <w:jc w:val="center"/>
              <w:ind w:right="199"/>
              <w:spacing w:after="0"/>
              <w:rPr>
                <w:sz w:val="20"/>
                <w:szCs w:val="20"/>
                <w:color w:val="auto"/>
              </w:rPr>
            </w:pPr>
            <w:r>
              <w:rPr>
                <w:rFonts w:ascii="Times New Roman" w:cs="Times New Roman" w:eastAsia="Times New Roman" w:hAnsi="Times New Roman"/>
                <w:sz w:val="20"/>
                <w:szCs w:val="20"/>
                <w:b w:val="1"/>
                <w:bCs w:val="1"/>
                <w:color w:val="auto"/>
                <w:w w:val="98"/>
              </w:rPr>
              <w:t>Delaware</w:t>
            </w:r>
          </w:p>
        </w:tc>
        <w:tc>
          <w:tcPr>
            <w:tcW w:w="7040" w:type="dxa"/>
            <w:vAlign w:val="bottom"/>
            <w:gridSpan w:val="3"/>
          </w:tcPr>
          <w:p>
            <w:pPr>
              <w:jc w:val="right"/>
              <w:ind w:right="708"/>
              <w:spacing w:after="0"/>
              <w:rPr>
                <w:sz w:val="20"/>
                <w:szCs w:val="20"/>
                <w:color w:val="auto"/>
              </w:rPr>
            </w:pPr>
            <w:r>
              <w:rPr>
                <w:rFonts w:ascii="Times New Roman" w:cs="Times New Roman" w:eastAsia="Times New Roman" w:hAnsi="Times New Roman"/>
                <w:sz w:val="20"/>
                <w:szCs w:val="20"/>
                <w:b w:val="1"/>
                <w:bCs w:val="1"/>
                <w:color w:val="auto"/>
              </w:rPr>
              <w:t>82-1153150</w:t>
            </w:r>
          </w:p>
        </w:tc>
      </w:tr>
      <w:tr>
        <w:trPr>
          <w:trHeight w:val="175"/>
        </w:trPr>
        <w:tc>
          <w:tcPr>
            <w:tcW w:w="3120" w:type="dxa"/>
            <w:vAlign w:val="bottom"/>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 or</w:t>
            </w:r>
          </w:p>
        </w:tc>
        <w:tc>
          <w:tcPr>
            <w:tcW w:w="54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3480" w:type="dxa"/>
            <w:vAlign w:val="bottom"/>
          </w:tcPr>
          <w:p>
            <w:pPr>
              <w:jc w:val="center"/>
              <w:ind w:left="908"/>
              <w:spacing w:after="0"/>
              <w:rPr>
                <w:sz w:val="20"/>
                <w:szCs w:val="20"/>
                <w:color w:val="auto"/>
              </w:rPr>
            </w:pPr>
            <w:r>
              <w:rPr>
                <w:rFonts w:ascii="Times New Roman" w:cs="Times New Roman" w:eastAsia="Times New Roman" w:hAnsi="Times New Roman"/>
                <w:sz w:val="14"/>
                <w:szCs w:val="14"/>
                <w:b w:val="1"/>
                <w:bCs w:val="1"/>
                <w:color w:val="auto"/>
              </w:rPr>
              <w:t>(I.R.S. Employer Identification Number)</w:t>
            </w:r>
          </w:p>
        </w:tc>
      </w:tr>
      <w:tr>
        <w:trPr>
          <w:trHeight w:val="190"/>
        </w:trPr>
        <w:tc>
          <w:tcPr>
            <w:tcW w:w="3120" w:type="dxa"/>
            <w:vAlign w:val="bottom"/>
          </w:tcPr>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organization)</w:t>
            </w:r>
          </w:p>
        </w:tc>
        <w:tc>
          <w:tcPr>
            <w:tcW w:w="54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3480" w:type="dxa"/>
            <w:vAlign w:val="bottom"/>
          </w:tcPr>
          <w:p>
            <w:pPr>
              <w:spacing w:after="0"/>
              <w:rPr>
                <w:sz w:val="16"/>
                <w:szCs w:val="16"/>
                <w:color w:val="auto"/>
              </w:rPr>
            </w:pPr>
          </w:p>
        </w:tc>
      </w:tr>
      <w:tr>
        <w:trPr>
          <w:trHeight w:val="267"/>
        </w:trPr>
        <w:tc>
          <w:tcPr>
            <w:tcW w:w="3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020" w:type="dxa"/>
            <w:vAlign w:val="bottom"/>
            <w:tcBorders>
              <w:bottom w:val="single" w:sz="8" w:color="auto"/>
            </w:tcBorders>
          </w:tcPr>
          <w:p>
            <w:pPr>
              <w:spacing w:after="0"/>
              <w:rPr>
                <w:sz w:val="23"/>
                <w:szCs w:val="23"/>
                <w:color w:val="auto"/>
              </w:rPr>
            </w:pPr>
          </w:p>
        </w:tc>
        <w:tc>
          <w:tcPr>
            <w:tcW w:w="3480" w:type="dxa"/>
            <w:vAlign w:val="bottom"/>
          </w:tcPr>
          <w:p>
            <w:pPr>
              <w:spacing w:after="0"/>
              <w:rPr>
                <w:sz w:val="23"/>
                <w:szCs w:val="23"/>
                <w:color w:val="auto"/>
              </w:rPr>
            </w:pPr>
          </w:p>
        </w:tc>
      </w:tr>
      <w:tr>
        <w:trPr>
          <w:trHeight w:val="358"/>
        </w:trPr>
        <w:tc>
          <w:tcPr>
            <w:tcW w:w="3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500" w:type="dxa"/>
            <w:vAlign w:val="bottom"/>
            <w:gridSpan w:val="2"/>
          </w:tcPr>
          <w:p>
            <w:pPr>
              <w:jc w:val="center"/>
              <w:ind w:right="3428"/>
              <w:spacing w:after="0"/>
              <w:rPr>
                <w:sz w:val="20"/>
                <w:szCs w:val="20"/>
                <w:color w:val="auto"/>
              </w:rPr>
            </w:pPr>
            <w:r>
              <w:rPr>
                <w:rFonts w:ascii="Times New Roman" w:cs="Times New Roman" w:eastAsia="Times New Roman" w:hAnsi="Times New Roman"/>
                <w:sz w:val="20"/>
                <w:szCs w:val="20"/>
                <w:b w:val="1"/>
                <w:bCs w:val="1"/>
                <w:color w:val="auto"/>
                <w:w w:val="98"/>
              </w:rPr>
              <w:t>3800 Bridge Parkway, Suite 102</w:t>
            </w:r>
          </w:p>
        </w:tc>
      </w:tr>
      <w:tr>
        <w:trPr>
          <w:trHeight w:val="232"/>
        </w:trPr>
        <w:tc>
          <w:tcPr>
            <w:tcW w:w="3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500" w:type="dxa"/>
            <w:vAlign w:val="bottom"/>
            <w:gridSpan w:val="2"/>
          </w:tcPr>
          <w:p>
            <w:pPr>
              <w:jc w:val="center"/>
              <w:ind w:right="3408"/>
              <w:spacing w:after="0"/>
              <w:rPr>
                <w:sz w:val="20"/>
                <w:szCs w:val="20"/>
                <w:color w:val="auto"/>
              </w:rPr>
            </w:pPr>
            <w:r>
              <w:rPr>
                <w:rFonts w:ascii="Times New Roman" w:cs="Times New Roman" w:eastAsia="Times New Roman" w:hAnsi="Times New Roman"/>
                <w:sz w:val="20"/>
                <w:szCs w:val="20"/>
                <w:b w:val="1"/>
                <w:bCs w:val="1"/>
                <w:color w:val="auto"/>
                <w:w w:val="98"/>
              </w:rPr>
              <w:t>Redwood City, California 94065</w:t>
            </w:r>
          </w:p>
        </w:tc>
      </w:tr>
      <w:tr>
        <w:trPr>
          <w:trHeight w:val="190"/>
        </w:trPr>
        <w:tc>
          <w:tcPr>
            <w:tcW w:w="3120" w:type="dxa"/>
            <w:vAlign w:val="bottom"/>
          </w:tcPr>
          <w:p>
            <w:pPr>
              <w:spacing w:after="0"/>
              <w:rPr>
                <w:sz w:val="16"/>
                <w:szCs w:val="16"/>
                <w:color w:val="auto"/>
              </w:rPr>
            </w:pPr>
          </w:p>
        </w:tc>
        <w:tc>
          <w:tcPr>
            <w:tcW w:w="7040" w:type="dxa"/>
            <w:vAlign w:val="bottom"/>
            <w:gridSpan w:val="3"/>
          </w:tcPr>
          <w:p>
            <w:pPr>
              <w:jc w:val="center"/>
              <w:ind w:right="288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r>
      <w:tr>
        <w:trPr>
          <w:trHeight w:val="78"/>
        </w:trPr>
        <w:tc>
          <w:tcPr>
            <w:tcW w:w="3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3020" w:type="dxa"/>
            <w:vAlign w:val="bottom"/>
            <w:tcBorders>
              <w:bottom w:val="single" w:sz="8" w:color="auto"/>
            </w:tcBorders>
          </w:tcPr>
          <w:p>
            <w:pPr>
              <w:spacing w:after="0"/>
              <w:rPr>
                <w:sz w:val="6"/>
                <w:szCs w:val="6"/>
                <w:color w:val="auto"/>
              </w:rPr>
            </w:pPr>
          </w:p>
        </w:tc>
        <w:tc>
          <w:tcPr>
            <w:tcW w:w="3480" w:type="dxa"/>
            <w:vAlign w:val="bottom"/>
          </w:tcPr>
          <w:p>
            <w:pPr>
              <w:spacing w:after="0"/>
              <w:rPr>
                <w:sz w:val="6"/>
                <w:szCs w:val="6"/>
                <w:color w:val="auto"/>
              </w:rPr>
            </w:pPr>
          </w:p>
        </w:tc>
      </w:tr>
      <w:tr>
        <w:trPr>
          <w:trHeight w:val="295"/>
        </w:trPr>
        <w:tc>
          <w:tcPr>
            <w:tcW w:w="3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500" w:type="dxa"/>
            <w:vAlign w:val="bottom"/>
            <w:gridSpan w:val="2"/>
          </w:tcPr>
          <w:p>
            <w:pPr>
              <w:jc w:val="center"/>
              <w:ind w:right="3428"/>
              <w:spacing w:after="0"/>
              <w:rPr>
                <w:sz w:val="20"/>
                <w:szCs w:val="20"/>
                <w:color w:val="auto"/>
              </w:rPr>
            </w:pPr>
            <w:r>
              <w:rPr>
                <w:rFonts w:ascii="Times New Roman" w:cs="Times New Roman" w:eastAsia="Times New Roman" w:hAnsi="Times New Roman"/>
                <w:sz w:val="18"/>
                <w:szCs w:val="18"/>
                <w:b w:val="1"/>
                <w:bCs w:val="1"/>
                <w:color w:val="auto"/>
              </w:rPr>
              <w:t>2020 Equity Incentive Plan</w:t>
            </w:r>
          </w:p>
        </w:tc>
      </w:tr>
      <w:tr>
        <w:trPr>
          <w:trHeight w:val="216"/>
        </w:trPr>
        <w:tc>
          <w:tcPr>
            <w:tcW w:w="3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500" w:type="dxa"/>
            <w:vAlign w:val="bottom"/>
            <w:gridSpan w:val="2"/>
          </w:tcPr>
          <w:p>
            <w:pPr>
              <w:jc w:val="center"/>
              <w:ind w:right="3408"/>
              <w:spacing w:after="0"/>
              <w:rPr>
                <w:sz w:val="20"/>
                <w:szCs w:val="20"/>
                <w:color w:val="auto"/>
              </w:rPr>
            </w:pPr>
            <w:r>
              <w:rPr>
                <w:rFonts w:ascii="Times New Roman" w:cs="Times New Roman" w:eastAsia="Times New Roman" w:hAnsi="Times New Roman"/>
                <w:sz w:val="18"/>
                <w:szCs w:val="18"/>
                <w:b w:val="1"/>
                <w:bCs w:val="1"/>
                <w:color w:val="auto"/>
                <w:w w:val="99"/>
              </w:rPr>
              <w:t>2020 Employee Stock Purchase Plan</w:t>
            </w:r>
          </w:p>
        </w:tc>
      </w:tr>
      <w:tr>
        <w:trPr>
          <w:trHeight w:val="216"/>
        </w:trPr>
        <w:tc>
          <w:tcPr>
            <w:tcW w:w="3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500" w:type="dxa"/>
            <w:vAlign w:val="bottom"/>
            <w:gridSpan w:val="2"/>
          </w:tcPr>
          <w:p>
            <w:pPr>
              <w:jc w:val="center"/>
              <w:ind w:right="3428"/>
              <w:spacing w:after="0"/>
              <w:rPr>
                <w:sz w:val="20"/>
                <w:szCs w:val="20"/>
                <w:color w:val="auto"/>
              </w:rPr>
            </w:pPr>
            <w:r>
              <w:rPr>
                <w:rFonts w:ascii="Times New Roman" w:cs="Times New Roman" w:eastAsia="Times New Roman" w:hAnsi="Times New Roman"/>
                <w:sz w:val="18"/>
                <w:szCs w:val="18"/>
                <w:b w:val="1"/>
                <w:bCs w:val="1"/>
                <w:color w:val="auto"/>
                <w:w w:val="99"/>
              </w:rPr>
              <w:t>2020 RSU Equity Incentive Plan</w:t>
            </w:r>
          </w:p>
        </w:tc>
      </w:tr>
      <w:tr>
        <w:trPr>
          <w:trHeight w:val="214"/>
        </w:trPr>
        <w:tc>
          <w:tcPr>
            <w:tcW w:w="3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500" w:type="dxa"/>
            <w:vAlign w:val="bottom"/>
            <w:gridSpan w:val="2"/>
          </w:tcPr>
          <w:p>
            <w:pPr>
              <w:jc w:val="center"/>
              <w:ind w:right="3408"/>
              <w:spacing w:after="0"/>
              <w:rPr>
                <w:sz w:val="20"/>
                <w:szCs w:val="20"/>
                <w:color w:val="auto"/>
              </w:rPr>
            </w:pPr>
            <w:r>
              <w:rPr>
                <w:rFonts w:ascii="Times New Roman" w:cs="Times New Roman" w:eastAsia="Times New Roman" w:hAnsi="Times New Roman"/>
                <w:sz w:val="18"/>
                <w:szCs w:val="18"/>
                <w:b w:val="1"/>
                <w:bCs w:val="1"/>
                <w:color w:val="auto"/>
                <w:w w:val="99"/>
              </w:rPr>
              <w:t>2017 Stock Incentive Plan</w:t>
            </w:r>
          </w:p>
        </w:tc>
      </w:tr>
      <w:tr>
        <w:trPr>
          <w:trHeight w:val="190"/>
        </w:trPr>
        <w:tc>
          <w:tcPr>
            <w:tcW w:w="3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500" w:type="dxa"/>
            <w:vAlign w:val="bottom"/>
            <w:gridSpan w:val="2"/>
          </w:tcPr>
          <w:p>
            <w:pPr>
              <w:jc w:val="center"/>
              <w:ind w:right="3428"/>
              <w:spacing w:after="0"/>
              <w:rPr>
                <w:sz w:val="20"/>
                <w:szCs w:val="20"/>
                <w:color w:val="auto"/>
              </w:rPr>
            </w:pPr>
            <w:r>
              <w:rPr>
                <w:rFonts w:ascii="Times New Roman" w:cs="Times New Roman" w:eastAsia="Times New Roman" w:hAnsi="Times New Roman"/>
                <w:sz w:val="14"/>
                <w:szCs w:val="14"/>
                <w:b w:val="1"/>
                <w:bCs w:val="1"/>
                <w:color w:val="auto"/>
              </w:rPr>
              <w:t>(Full title of plan)</w:t>
            </w:r>
          </w:p>
        </w:tc>
      </w:tr>
    </w:tbl>
    <w:p>
      <w:pPr>
        <w:spacing w:after="0" w:line="8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Omid Farokhzad, M.D.</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3800 Bridge Parkway, Suite 102</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Redwood City, California 94065</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650-453-0000</w:t>
      </w:r>
    </w:p>
    <w:p>
      <w:pPr>
        <w:spacing w:after="0" w:line="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(Name, address and telephone number, including area code of agent for service)</w:t>
      </w:r>
    </w:p>
    <w:p>
      <w:pPr>
        <w:spacing w:after="0" w:line="9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Copies to:</w:t>
      </w:r>
    </w:p>
    <w:p>
      <w:pPr>
        <w:spacing w:after="0" w:line="11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Tony Jeffries</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Christina L. Poulsen</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Wilson Sonsini Goodrich &amp; Rosati, P.C.</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650 Page Mill Road</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Palo Alto, California 94304</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650-493-9300</w:t>
      </w:r>
    </w:p>
    <w:p>
      <w:pPr>
        <w:spacing w:after="0" w:line="148" w:lineRule="exact"/>
        <w:rPr>
          <w:sz w:val="24"/>
          <w:szCs w:val="24"/>
          <w:color w:val="auto"/>
        </w:rPr>
      </w:pPr>
    </w:p>
    <w:p>
      <w:pPr>
        <w:ind w:right="420"/>
        <w:spacing w:after="0" w:line="28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3" w:lineRule="exact"/>
        <w:rPr>
          <w:sz w:val="24"/>
          <w:szCs w:val="24"/>
          <w:color w:val="auto"/>
        </w:rPr>
      </w:pPr>
    </w:p>
    <w:tbl>
      <w:tblPr>
        <w:tblLayout w:type="fixed"/>
        <w:tblInd w:w="20" w:type="dxa"/>
        <w:tblCellMar>
          <w:top w:w="0" w:type="dxa"/>
          <w:left w:w="0" w:type="dxa"/>
          <w:bottom w:w="0" w:type="dxa"/>
          <w:right w:w="0" w:type="dxa"/>
        </w:tblCellMar>
      </w:tblPr>
      <w:tr>
        <w:trPr>
          <w:trHeight w:val="216"/>
        </w:trPr>
        <w:tc>
          <w:tcPr>
            <w:tcW w:w="184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700" w:type="dxa"/>
            <w:vAlign w:val="bottom"/>
          </w:tcPr>
          <w:p>
            <w:pPr>
              <w:ind w:left="400"/>
              <w:spacing w:after="0" w:line="161" w:lineRule="exact"/>
              <w:rPr>
                <w:sz w:val="20"/>
                <w:szCs w:val="20"/>
                <w:color w:val="auto"/>
              </w:rPr>
            </w:pPr>
            <w:r>
              <w:rPr>
                <w:rFonts w:ascii="MS PGothic" w:cs="MS PGothic" w:eastAsia="MS PGothic" w:hAnsi="MS PGothic"/>
                <w:sz w:val="16"/>
                <w:szCs w:val="16"/>
                <w:color w:val="auto"/>
              </w:rPr>
              <w:t>☐</w:t>
            </w:r>
          </w:p>
        </w:tc>
        <w:tc>
          <w:tcPr>
            <w:tcW w:w="5160" w:type="dxa"/>
            <w:vAlign w:val="bottom"/>
          </w:tcPr>
          <w:p>
            <w:pPr>
              <w:ind w:left="3160"/>
              <w:spacing w:after="0"/>
              <w:rPr>
                <w:sz w:val="20"/>
                <w:szCs w:val="20"/>
                <w:color w:val="auto"/>
              </w:rPr>
            </w:pPr>
            <w:r>
              <w:rPr>
                <w:rFonts w:ascii="Times New Roman" w:cs="Times New Roman" w:eastAsia="Times New Roman" w:hAnsi="Times New Roman"/>
                <w:sz w:val="16"/>
                <w:szCs w:val="16"/>
                <w:color w:val="auto"/>
              </w:rPr>
              <w:t>Accelerated filer</w:t>
            </w:r>
          </w:p>
        </w:tc>
        <w:tc>
          <w:tcPr>
            <w:tcW w:w="380" w:type="dxa"/>
            <w:vAlign w:val="bottom"/>
          </w:tcPr>
          <w:p>
            <w:pPr>
              <w:ind w:left="2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6"/>
        </w:trPr>
        <w:tc>
          <w:tcPr>
            <w:tcW w:w="184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700" w:type="dxa"/>
            <w:vAlign w:val="bottom"/>
          </w:tcPr>
          <w:p>
            <w:pPr>
              <w:ind w:left="400"/>
              <w:spacing w:after="0" w:line="161" w:lineRule="exact"/>
              <w:rPr>
                <w:sz w:val="20"/>
                <w:szCs w:val="20"/>
                <w:color w:val="auto"/>
              </w:rPr>
            </w:pPr>
            <w:r>
              <w:rPr>
                <w:rFonts w:ascii="MS PGothic" w:cs="MS PGothic" w:eastAsia="MS PGothic" w:hAnsi="MS PGothic"/>
                <w:sz w:val="16"/>
                <w:szCs w:val="16"/>
                <w:color w:val="auto"/>
              </w:rPr>
              <w:t>☒</w:t>
            </w:r>
          </w:p>
        </w:tc>
        <w:tc>
          <w:tcPr>
            <w:tcW w:w="5160" w:type="dxa"/>
            <w:vAlign w:val="bottom"/>
          </w:tcPr>
          <w:p>
            <w:pPr>
              <w:ind w:left="316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380" w:type="dxa"/>
            <w:vAlign w:val="bottom"/>
          </w:tcPr>
          <w:p>
            <w:pPr>
              <w:ind w:left="2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1840" w:type="dxa"/>
            <w:vAlign w:val="bottom"/>
          </w:tcPr>
          <w:p>
            <w:pPr>
              <w:spacing w:after="0"/>
              <w:rPr>
                <w:sz w:val="22"/>
                <w:szCs w:val="22"/>
                <w:color w:val="auto"/>
              </w:rPr>
            </w:pPr>
          </w:p>
        </w:tc>
        <w:tc>
          <w:tcPr>
            <w:tcW w:w="3700" w:type="dxa"/>
            <w:vAlign w:val="bottom"/>
          </w:tcPr>
          <w:p>
            <w:pPr>
              <w:spacing w:after="0"/>
              <w:rPr>
                <w:sz w:val="22"/>
                <w:szCs w:val="22"/>
                <w:color w:val="auto"/>
              </w:rPr>
            </w:pPr>
          </w:p>
        </w:tc>
        <w:tc>
          <w:tcPr>
            <w:tcW w:w="5160" w:type="dxa"/>
            <w:vAlign w:val="bottom"/>
          </w:tcPr>
          <w:p>
            <w:pPr>
              <w:ind w:left="3160"/>
              <w:spacing w:after="0"/>
              <w:rPr>
                <w:sz w:val="20"/>
                <w:szCs w:val="20"/>
                <w:color w:val="auto"/>
              </w:rPr>
            </w:pPr>
            <w:r>
              <w:rPr>
                <w:rFonts w:ascii="Times New Roman" w:cs="Times New Roman" w:eastAsia="Times New Roman" w:hAnsi="Times New Roman"/>
                <w:sz w:val="16"/>
                <w:szCs w:val="16"/>
                <w:color w:val="auto"/>
              </w:rPr>
              <w:t>Emerging growth company</w:t>
            </w:r>
          </w:p>
        </w:tc>
        <w:tc>
          <w:tcPr>
            <w:tcW w:w="380" w:type="dxa"/>
            <w:vAlign w:val="bottom"/>
          </w:tcPr>
          <w:p>
            <w:pPr>
              <w:ind w:left="24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32" w:lineRule="exact"/>
        <w:rPr>
          <w:sz w:val="24"/>
          <w:szCs w:val="24"/>
          <w:color w:val="auto"/>
        </w:rPr>
      </w:pPr>
    </w:p>
    <w:p>
      <w:pPr>
        <w:ind w:right="12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2611120</wp:posOffset>
            </wp:positionH>
            <wp:positionV relativeFrom="paragraph">
              <wp:posOffset>142240</wp:posOffset>
            </wp:positionV>
            <wp:extent cx="19202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20240" cy="8890"/>
                    </a:xfrm>
                    <a:prstGeom prst="rect">
                      <a:avLst/>
                    </a:prstGeom>
                    <a:noFill/>
                  </pic:spPr>
                </pic:pic>
              </a:graphicData>
            </a:graphic>
          </wp:anchor>
        </w:drawing>
      </w:r>
    </w:p>
    <w:p>
      <w:pPr>
        <w:sectPr>
          <w:pgSz w:w="11900" w:h="16838" w:orient="portrait"/>
          <w:cols w:equalWidth="0" w:num="1">
            <w:col w:w="11200"/>
          </w:cols>
          <w:pgMar w:left="320" w:top="709" w:right="379" w:bottom="1440" w:gutter="0" w:footer="0" w:header="0"/>
        </w:sectPr>
      </w:pPr>
    </w:p>
    <w:bookmarkStart w:id="1" w:name="page2"/>
    <w:bookmarkEnd w:id="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CALCULATION OF REGISTRATION FEE</w:t>
      </w:r>
    </w:p>
    <w:p>
      <w:pPr>
        <w:spacing w:after="0" w:line="200" w:lineRule="exact"/>
        <w:rPr>
          <w:sz w:val="20"/>
          <w:szCs w:val="20"/>
          <w:color w:val="auto"/>
        </w:rPr>
      </w:pPr>
    </w:p>
    <w:tbl>
      <w:tblPr>
        <w:tblLayout w:type="fixed"/>
        <w:tblInd w:w="10" w:type="dxa"/>
        <w:tblCellMar>
          <w:top w:w="0" w:type="dxa"/>
          <w:left w:w="0" w:type="dxa"/>
          <w:bottom w:w="0" w:type="dxa"/>
          <w:right w:w="0" w:type="dxa"/>
        </w:tblCellMar>
      </w:tblPr>
      <w:tr>
        <w:trPr>
          <w:trHeight w:val="149"/>
        </w:trPr>
        <w:tc>
          <w:tcPr>
            <w:tcW w:w="540" w:type="dxa"/>
            <w:vAlign w:val="bottom"/>
            <w:tcBorders>
              <w:top w:val="single" w:sz="8" w:color="auto"/>
              <w:left w:val="single" w:sz="8" w:color="auto"/>
            </w:tcBorders>
          </w:tcPr>
          <w:p>
            <w:pPr>
              <w:spacing w:after="0"/>
              <w:rPr>
                <w:sz w:val="12"/>
                <w:szCs w:val="12"/>
                <w:color w:val="auto"/>
              </w:rPr>
            </w:pPr>
          </w:p>
        </w:tc>
        <w:tc>
          <w:tcPr>
            <w:tcW w:w="5340" w:type="dxa"/>
            <w:vAlign w:val="bottom"/>
            <w:tcBorders>
              <w:top w:val="single" w:sz="8" w:color="auto"/>
              <w:right w:val="single" w:sz="8" w:color="auto"/>
            </w:tcBorders>
          </w:tcPr>
          <w:p>
            <w:pPr>
              <w:spacing w:after="0"/>
              <w:rPr>
                <w:sz w:val="12"/>
                <w:szCs w:val="12"/>
                <w:color w:val="auto"/>
              </w:rPr>
            </w:pPr>
          </w:p>
        </w:tc>
        <w:tc>
          <w:tcPr>
            <w:tcW w:w="1340" w:type="dxa"/>
            <w:vAlign w:val="bottom"/>
            <w:tcBorders>
              <w:top w:val="single" w:sz="8" w:color="auto"/>
              <w:right w:val="single" w:sz="8" w:color="auto"/>
            </w:tcBorders>
          </w:tcPr>
          <w:p>
            <w:pPr>
              <w:spacing w:after="0"/>
              <w:rPr>
                <w:sz w:val="12"/>
                <w:szCs w:val="12"/>
                <w:color w:val="auto"/>
              </w:rPr>
            </w:pPr>
          </w:p>
        </w:tc>
        <w:tc>
          <w:tcPr>
            <w:tcW w:w="142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Proposed</w:t>
            </w:r>
          </w:p>
        </w:tc>
        <w:tc>
          <w:tcPr>
            <w:tcW w:w="1400" w:type="dxa"/>
            <w:vAlign w:val="bottom"/>
            <w:tcBorders>
              <w:top w:val="single" w:sz="8" w:color="auto"/>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Proposed</w:t>
            </w:r>
          </w:p>
        </w:tc>
        <w:tc>
          <w:tcPr>
            <w:tcW w:w="122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540" w:type="dxa"/>
            <w:vAlign w:val="bottom"/>
            <w:tcBorders>
              <w:left w:val="single" w:sz="8" w:color="auto"/>
            </w:tcBorders>
          </w:tcPr>
          <w:p>
            <w:pPr>
              <w:spacing w:after="0"/>
              <w:rPr>
                <w:sz w:val="11"/>
                <w:szCs w:val="11"/>
                <w:color w:val="auto"/>
              </w:rPr>
            </w:pPr>
          </w:p>
        </w:tc>
        <w:tc>
          <w:tcPr>
            <w:tcW w:w="5340" w:type="dxa"/>
            <w:vAlign w:val="bottom"/>
            <w:tcBorders>
              <w:right w:val="single" w:sz="8" w:color="auto"/>
            </w:tcBorders>
            <w:vMerge w:val="restart"/>
          </w:tcPr>
          <w:p>
            <w:pPr>
              <w:jc w:val="center"/>
              <w:ind w:right="468"/>
              <w:spacing w:after="0"/>
              <w:rPr>
                <w:sz w:val="20"/>
                <w:szCs w:val="20"/>
                <w:color w:val="auto"/>
              </w:rPr>
            </w:pPr>
            <w:r>
              <w:rPr>
                <w:rFonts w:ascii="Times New Roman" w:cs="Times New Roman" w:eastAsia="Times New Roman" w:hAnsi="Times New Roman"/>
                <w:sz w:val="14"/>
                <w:szCs w:val="14"/>
                <w:b w:val="1"/>
                <w:bCs w:val="1"/>
                <w:color w:val="auto"/>
              </w:rPr>
              <w:t>Title of Securities</w:t>
            </w:r>
          </w:p>
        </w:tc>
        <w:tc>
          <w:tcPr>
            <w:tcW w:w="13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20" w:type="dxa"/>
            <w:vAlign w:val="bottom"/>
            <w:tcBorders>
              <w:right w:val="single" w:sz="8" w:color="auto"/>
            </w:tcBorders>
            <w:vMerge w:val="continue"/>
          </w:tcPr>
          <w:p>
            <w:pPr>
              <w:spacing w:after="0"/>
              <w:rPr>
                <w:sz w:val="11"/>
                <w:szCs w:val="11"/>
                <w:color w:val="auto"/>
              </w:rPr>
            </w:pPr>
          </w:p>
        </w:tc>
        <w:tc>
          <w:tcPr>
            <w:tcW w:w="14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w w:val="99"/>
              </w:rPr>
              <w:t>Maximum</w:t>
            </w:r>
          </w:p>
        </w:tc>
        <w:tc>
          <w:tcPr>
            <w:tcW w:w="12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0" w:type="dxa"/>
            <w:vAlign w:val="bottom"/>
          </w:tcPr>
          <w:p>
            <w:pPr>
              <w:spacing w:after="0"/>
              <w:rPr>
                <w:sz w:val="1"/>
                <w:szCs w:val="1"/>
                <w:color w:val="auto"/>
              </w:rPr>
            </w:pPr>
          </w:p>
        </w:tc>
      </w:tr>
      <w:tr>
        <w:trPr>
          <w:trHeight w:val="135"/>
        </w:trPr>
        <w:tc>
          <w:tcPr>
            <w:tcW w:w="540" w:type="dxa"/>
            <w:vAlign w:val="bottom"/>
            <w:tcBorders>
              <w:left w:val="single" w:sz="8" w:color="auto"/>
            </w:tcBorders>
          </w:tcPr>
          <w:p>
            <w:pPr>
              <w:spacing w:after="0"/>
              <w:rPr>
                <w:sz w:val="11"/>
                <w:szCs w:val="11"/>
                <w:color w:val="auto"/>
              </w:rPr>
            </w:pPr>
          </w:p>
        </w:tc>
        <w:tc>
          <w:tcPr>
            <w:tcW w:w="5340" w:type="dxa"/>
            <w:vAlign w:val="bottom"/>
            <w:tcBorders>
              <w:right w:val="single" w:sz="8" w:color="auto"/>
            </w:tcBorders>
            <w:vMerge w:val="continue"/>
          </w:tcPr>
          <w:p>
            <w:pPr>
              <w:spacing w:after="0"/>
              <w:rPr>
                <w:sz w:val="11"/>
                <w:szCs w:val="11"/>
                <w:color w:val="auto"/>
              </w:rPr>
            </w:pPr>
          </w:p>
        </w:tc>
        <w:tc>
          <w:tcPr>
            <w:tcW w:w="1340" w:type="dxa"/>
            <w:vAlign w:val="bottom"/>
            <w:tcBorders>
              <w:right w:val="single" w:sz="8" w:color="auto"/>
            </w:tcBorders>
            <w:vMerge w:val="continue"/>
          </w:tcPr>
          <w:p>
            <w:pPr>
              <w:spacing w:after="0"/>
              <w:rPr>
                <w:sz w:val="11"/>
                <w:szCs w:val="11"/>
                <w:color w:val="auto"/>
              </w:rPr>
            </w:pPr>
          </w:p>
        </w:tc>
        <w:tc>
          <w:tcPr>
            <w:tcW w:w="14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Maximum Offering</w:t>
            </w:r>
          </w:p>
        </w:tc>
        <w:tc>
          <w:tcPr>
            <w:tcW w:w="14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Aggregate Offering</w:t>
            </w:r>
          </w:p>
        </w:tc>
        <w:tc>
          <w:tcPr>
            <w:tcW w:w="122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540" w:type="dxa"/>
            <w:vAlign w:val="bottom"/>
            <w:tcBorders>
              <w:left w:val="single" w:sz="8" w:color="auto"/>
              <w:bottom w:val="single" w:sz="8" w:color="auto"/>
            </w:tcBorders>
          </w:tcPr>
          <w:p>
            <w:pPr>
              <w:spacing w:after="0"/>
              <w:rPr>
                <w:sz w:val="16"/>
                <w:szCs w:val="16"/>
                <w:color w:val="auto"/>
              </w:rPr>
            </w:pPr>
          </w:p>
        </w:tc>
        <w:tc>
          <w:tcPr>
            <w:tcW w:w="5340" w:type="dxa"/>
            <w:vAlign w:val="bottom"/>
            <w:tcBorders>
              <w:bottom w:val="single" w:sz="8" w:color="auto"/>
              <w:right w:val="single" w:sz="8" w:color="auto"/>
            </w:tcBorders>
          </w:tcPr>
          <w:p>
            <w:pPr>
              <w:jc w:val="center"/>
              <w:ind w:right="448"/>
              <w:spacing w:after="0"/>
              <w:rPr>
                <w:sz w:val="20"/>
                <w:szCs w:val="20"/>
                <w:color w:val="auto"/>
              </w:rPr>
            </w:pPr>
            <w:r>
              <w:rPr>
                <w:rFonts w:ascii="Times New Roman" w:cs="Times New Roman" w:eastAsia="Times New Roman" w:hAnsi="Times New Roman"/>
                <w:sz w:val="14"/>
                <w:szCs w:val="14"/>
                <w:b w:val="1"/>
                <w:bCs w:val="1"/>
                <w:color w:val="auto"/>
              </w:rPr>
              <w:t>to be Registered</w:t>
            </w:r>
          </w:p>
        </w:tc>
        <w:tc>
          <w:tcPr>
            <w:tcW w:w="1340" w:type="dxa"/>
            <w:vAlign w:val="bottom"/>
            <w:tcBorders>
              <w:bottom w:val="single" w:sz="8" w:color="auto"/>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4"/>
                <w:szCs w:val="14"/>
                <w:b w:val="1"/>
                <w:bCs w:val="1"/>
                <w:color w:val="auto"/>
                <w:w w:val="99"/>
              </w:rPr>
              <w:t>to be Registered</w:t>
            </w:r>
            <w:r>
              <w:rPr>
                <w:rFonts w:ascii="Times New Roman" w:cs="Times New Roman" w:eastAsia="Times New Roman" w:hAnsi="Times New Roman"/>
                <w:sz w:val="18"/>
                <w:szCs w:val="18"/>
                <w:b w:val="1"/>
                <w:bCs w:val="1"/>
                <w:color w:val="auto"/>
                <w:w w:val="99"/>
                <w:vertAlign w:val="superscript"/>
              </w:rPr>
              <w:t>(1)</w:t>
            </w:r>
          </w:p>
        </w:tc>
        <w:tc>
          <w:tcPr>
            <w:tcW w:w="1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Price Per Share</w:t>
            </w: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Registration Fee</w:t>
            </w:r>
          </w:p>
        </w:tc>
        <w:tc>
          <w:tcPr>
            <w:tcW w:w="0" w:type="dxa"/>
            <w:vAlign w:val="bottom"/>
          </w:tcPr>
          <w:p>
            <w:pPr>
              <w:spacing w:after="0"/>
              <w:rPr>
                <w:sz w:val="1"/>
                <w:szCs w:val="1"/>
                <w:color w:val="auto"/>
              </w:rPr>
            </w:pPr>
          </w:p>
        </w:tc>
      </w:tr>
      <w:tr>
        <w:trPr>
          <w:trHeight w:val="237"/>
        </w:trPr>
        <w:tc>
          <w:tcPr>
            <w:tcW w:w="5880" w:type="dxa"/>
            <w:vAlign w:val="bottom"/>
            <w:tcBorders>
              <w:left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color w:val="auto"/>
              </w:rPr>
              <w:t>Class A common stock, $0.001 par value per share</w:t>
            </w:r>
            <w:r>
              <w:rPr>
                <w:rFonts w:ascii="Times New Roman" w:cs="Times New Roman" w:eastAsia="Times New Roman" w:hAnsi="Times New Roman"/>
                <w:sz w:val="17"/>
                <w:szCs w:val="17"/>
                <w:color w:val="auto"/>
              </w:rPr>
              <w:t>:</w:t>
            </w:r>
          </w:p>
        </w:tc>
        <w:tc>
          <w:tcPr>
            <w:tcW w:w="1340" w:type="dxa"/>
            <w:vAlign w:val="bottom"/>
            <w:tcBorders>
              <w:right w:val="single" w:sz="8" w:color="auto"/>
            </w:tcBorders>
          </w:tcPr>
          <w:p>
            <w:pPr>
              <w:spacing w:after="0"/>
              <w:rPr>
                <w:sz w:val="20"/>
                <w:szCs w:val="20"/>
                <w:color w:val="auto"/>
              </w:rPr>
            </w:pPr>
          </w:p>
        </w:tc>
        <w:tc>
          <w:tcPr>
            <w:tcW w:w="1420" w:type="dxa"/>
            <w:vAlign w:val="bottom"/>
            <w:tcBorders>
              <w:right w:val="single" w:sz="8" w:color="auto"/>
            </w:tcBorders>
          </w:tcPr>
          <w:p>
            <w:pPr>
              <w:spacing w:after="0"/>
              <w:rPr>
                <w:sz w:val="20"/>
                <w:szCs w:val="20"/>
                <w:color w:val="auto"/>
              </w:rPr>
            </w:pPr>
          </w:p>
        </w:tc>
        <w:tc>
          <w:tcPr>
            <w:tcW w:w="1400" w:type="dxa"/>
            <w:vAlign w:val="bottom"/>
            <w:tcBorders>
              <w:right w:val="single" w:sz="8" w:color="auto"/>
            </w:tcBorders>
          </w:tcPr>
          <w:p>
            <w:pPr>
              <w:spacing w:after="0"/>
              <w:rPr>
                <w:sz w:val="20"/>
                <w:szCs w:val="20"/>
                <w:color w:val="auto"/>
              </w:rPr>
            </w:pPr>
          </w:p>
        </w:tc>
        <w:tc>
          <w:tcPr>
            <w:tcW w:w="1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880" w:type="dxa"/>
            <w:vAlign w:val="bottom"/>
            <w:tcBorders>
              <w:left w:val="single" w:sz="8" w:color="auto"/>
              <w:bottom w:val="single" w:sz="8" w:color="auto"/>
              <w:right w:val="single" w:sz="8" w:color="auto"/>
            </w:tcBorders>
            <w:gridSpan w:val="2"/>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88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color w:val="auto"/>
              </w:rPr>
              <w:t>— 2020 Equity Incentive Plan</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5,336,569</w:t>
            </w:r>
            <w:r>
              <w:rPr>
                <w:rFonts w:ascii="Times New Roman" w:cs="Times New Roman" w:eastAsia="Times New Roman" w:hAnsi="Times New Roman"/>
                <w:sz w:val="18"/>
                <w:szCs w:val="18"/>
                <w:color w:val="auto"/>
                <w:w w:val="97"/>
                <w:vertAlign w:val="superscript"/>
              </w:rPr>
              <w:t>(2)</w:t>
            </w:r>
          </w:p>
        </w:tc>
        <w:tc>
          <w:tcPr>
            <w:tcW w:w="1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$19.00</w:t>
            </w:r>
            <w:r>
              <w:rPr>
                <w:rFonts w:ascii="Times New Roman" w:cs="Times New Roman" w:eastAsia="Times New Roman" w:hAnsi="Times New Roman"/>
                <w:sz w:val="18"/>
                <w:szCs w:val="18"/>
                <w:color w:val="auto"/>
                <w:w w:val="98"/>
                <w:vertAlign w:val="superscript"/>
              </w:rPr>
              <w:t>(6)</w:t>
            </w: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$101,394,811</w:t>
            </w: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$11,062.18</w:t>
            </w:r>
          </w:p>
        </w:tc>
        <w:tc>
          <w:tcPr>
            <w:tcW w:w="0" w:type="dxa"/>
            <w:vAlign w:val="bottom"/>
          </w:tcPr>
          <w:p>
            <w:pPr>
              <w:spacing w:after="0"/>
              <w:rPr>
                <w:sz w:val="1"/>
                <w:szCs w:val="1"/>
                <w:color w:val="auto"/>
              </w:rPr>
            </w:pPr>
          </w:p>
        </w:tc>
      </w:tr>
      <w:tr>
        <w:trPr>
          <w:trHeight w:val="209"/>
        </w:trPr>
        <w:tc>
          <w:tcPr>
            <w:tcW w:w="5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 2020</w:t>
            </w:r>
          </w:p>
        </w:tc>
        <w:tc>
          <w:tcPr>
            <w:tcW w:w="5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Employee Stock Purchase Plan</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602,570</w:t>
            </w:r>
            <w:r>
              <w:rPr>
                <w:rFonts w:ascii="Times New Roman" w:cs="Times New Roman" w:eastAsia="Times New Roman" w:hAnsi="Times New Roman"/>
                <w:sz w:val="18"/>
                <w:szCs w:val="18"/>
                <w:color w:val="auto"/>
                <w:w w:val="97"/>
                <w:vertAlign w:val="superscript"/>
              </w:rPr>
              <w:t>(3)</w:t>
            </w:r>
          </w:p>
        </w:tc>
        <w:tc>
          <w:tcPr>
            <w:tcW w:w="1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$16.15</w:t>
            </w:r>
            <w:r>
              <w:rPr>
                <w:rFonts w:ascii="Times New Roman" w:cs="Times New Roman" w:eastAsia="Times New Roman" w:hAnsi="Times New Roman"/>
                <w:sz w:val="18"/>
                <w:szCs w:val="18"/>
                <w:color w:val="auto"/>
                <w:w w:val="98"/>
                <w:vertAlign w:val="superscript"/>
              </w:rPr>
              <w:t>(7)</w:t>
            </w: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$9,731,506</w:t>
            </w: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$1,061.71</w:t>
            </w:r>
          </w:p>
        </w:tc>
        <w:tc>
          <w:tcPr>
            <w:tcW w:w="0" w:type="dxa"/>
            <w:vAlign w:val="bottom"/>
          </w:tcPr>
          <w:p>
            <w:pPr>
              <w:spacing w:after="0"/>
              <w:rPr>
                <w:sz w:val="1"/>
                <w:szCs w:val="1"/>
                <w:color w:val="auto"/>
              </w:rPr>
            </w:pPr>
          </w:p>
        </w:tc>
      </w:tr>
      <w:tr>
        <w:trPr>
          <w:trHeight w:val="210"/>
        </w:trPr>
        <w:tc>
          <w:tcPr>
            <w:tcW w:w="5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 2020</w:t>
            </w:r>
          </w:p>
        </w:tc>
        <w:tc>
          <w:tcPr>
            <w:tcW w:w="5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RSU Equity Incentive Plan</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381,922</w:t>
            </w:r>
            <w:r>
              <w:rPr>
                <w:rFonts w:ascii="Times New Roman" w:cs="Times New Roman" w:eastAsia="Times New Roman" w:hAnsi="Times New Roman"/>
                <w:sz w:val="18"/>
                <w:szCs w:val="18"/>
                <w:color w:val="auto"/>
                <w:w w:val="97"/>
                <w:vertAlign w:val="superscript"/>
              </w:rPr>
              <w:t>(4)</w:t>
            </w:r>
          </w:p>
        </w:tc>
        <w:tc>
          <w:tcPr>
            <w:tcW w:w="1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$19.00</w:t>
            </w:r>
            <w:r>
              <w:rPr>
                <w:rFonts w:ascii="Times New Roman" w:cs="Times New Roman" w:eastAsia="Times New Roman" w:hAnsi="Times New Roman"/>
                <w:sz w:val="18"/>
                <w:szCs w:val="18"/>
                <w:color w:val="auto"/>
                <w:w w:val="98"/>
                <w:vertAlign w:val="superscript"/>
              </w:rPr>
              <w:t>(6)</w:t>
            </w: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$7,256,518</w:t>
            </w: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$791.69</w:t>
            </w:r>
          </w:p>
        </w:tc>
        <w:tc>
          <w:tcPr>
            <w:tcW w:w="0" w:type="dxa"/>
            <w:vAlign w:val="bottom"/>
          </w:tcPr>
          <w:p>
            <w:pPr>
              <w:spacing w:after="0"/>
              <w:rPr>
                <w:sz w:val="1"/>
                <w:szCs w:val="1"/>
                <w:color w:val="auto"/>
              </w:rPr>
            </w:pPr>
          </w:p>
        </w:tc>
      </w:tr>
      <w:tr>
        <w:trPr>
          <w:trHeight w:val="209"/>
        </w:trPr>
        <w:tc>
          <w:tcPr>
            <w:tcW w:w="5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 2017</w:t>
            </w:r>
          </w:p>
        </w:tc>
        <w:tc>
          <w:tcPr>
            <w:tcW w:w="5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Stock Incentive Plan</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8,095,133</w:t>
            </w:r>
            <w:r>
              <w:rPr>
                <w:rFonts w:ascii="Times New Roman" w:cs="Times New Roman" w:eastAsia="Times New Roman" w:hAnsi="Times New Roman"/>
                <w:sz w:val="18"/>
                <w:szCs w:val="18"/>
                <w:color w:val="auto"/>
                <w:w w:val="97"/>
                <w:vertAlign w:val="superscript"/>
              </w:rPr>
              <w:t>(5)</w:t>
            </w:r>
          </w:p>
        </w:tc>
        <w:tc>
          <w:tcPr>
            <w:tcW w:w="1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$3.13</w:t>
            </w:r>
            <w:r>
              <w:rPr>
                <w:rFonts w:ascii="Times New Roman" w:cs="Times New Roman" w:eastAsia="Times New Roman" w:hAnsi="Times New Roman"/>
                <w:sz w:val="18"/>
                <w:szCs w:val="18"/>
                <w:color w:val="auto"/>
                <w:w w:val="96"/>
                <w:vertAlign w:val="superscript"/>
              </w:rPr>
              <w:t>(8)</w:t>
            </w: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$25,337,767</w:t>
            </w: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$2,764.36</w:t>
            </w:r>
          </w:p>
        </w:tc>
        <w:tc>
          <w:tcPr>
            <w:tcW w:w="0" w:type="dxa"/>
            <w:vAlign w:val="bottom"/>
          </w:tcPr>
          <w:p>
            <w:pPr>
              <w:spacing w:after="0"/>
              <w:rPr>
                <w:sz w:val="1"/>
                <w:szCs w:val="1"/>
                <w:color w:val="auto"/>
              </w:rPr>
            </w:pPr>
          </w:p>
        </w:tc>
      </w:tr>
      <w:tr>
        <w:trPr>
          <w:trHeight w:val="182"/>
        </w:trPr>
        <w:tc>
          <w:tcPr>
            <w:tcW w:w="5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w w:val="96"/>
              </w:rPr>
              <w:t>TOTAL:</w:t>
            </w:r>
          </w:p>
        </w:tc>
        <w:tc>
          <w:tcPr>
            <w:tcW w:w="5340" w:type="dxa"/>
            <w:vAlign w:val="bottom"/>
            <w:tcBorders>
              <w:bottom w:val="single" w:sz="8" w:color="auto"/>
              <w:right w:val="single" w:sz="8" w:color="auto"/>
            </w:tcBorders>
          </w:tcPr>
          <w:p>
            <w:pPr>
              <w:spacing w:after="0"/>
              <w:rPr>
                <w:sz w:val="15"/>
                <w:szCs w:val="15"/>
                <w:color w:val="auto"/>
              </w:rPr>
            </w:pP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14,416,194</w:t>
            </w:r>
          </w:p>
        </w:tc>
        <w:tc>
          <w:tcPr>
            <w:tcW w:w="1420" w:type="dxa"/>
            <w:vAlign w:val="bottom"/>
            <w:tcBorders>
              <w:bottom w:val="single" w:sz="8" w:color="auto"/>
              <w:right w:val="single" w:sz="8" w:color="auto"/>
            </w:tcBorders>
          </w:tcPr>
          <w:p>
            <w:pPr>
              <w:spacing w:after="0"/>
              <w:rPr>
                <w:sz w:val="15"/>
                <w:szCs w:val="15"/>
                <w:color w:val="auto"/>
              </w:rPr>
            </w:pP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$143,720,602</w:t>
            </w: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$15,679.94</w:t>
            </w: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340" w:right="100" w:hanging="332"/>
        <w:spacing w:after="0" w:line="246" w:lineRule="auto"/>
        <w:tabs>
          <w:tab w:leader="none" w:pos="332"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Rule 416(a) of the Securities Act of 1933, as amended (the “Securities Act”), this Registration Statement covers any additional shares of the Registrant’s Class A common stock (“Class A common stock”) that become issuable under the Registrant’s 2020 Equity Incentive Plan (the “2020 Plan”), the Registrant’s 2020 Employee Stock Purchase Plan (the “2020 ESPP”), the Registrant’s Amended and Restated 2020 RSU Equity Incentive Plan (the “2020 RSU Plan”) and the Amended and Restated Registrant’s 2017 Stock Incentive Plan (the “2017 Plan”), by reason of any stock dividend, stock split, recapitalization or other similar transaction effected without the Registrant’s receipt of consideration that results in an increase in the number of outstanding shares of Class A common stock.</w:t>
      </w:r>
    </w:p>
    <w:p>
      <w:pPr>
        <w:ind w:left="340" w:right="120" w:hanging="332"/>
        <w:spacing w:after="0" w:line="241" w:lineRule="auto"/>
        <w:tabs>
          <w:tab w:leader="none" w:pos="332"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5,336,569 shares of Class A common stock reserved for issuance pursuant to future awards under the 2020 Plan as of the effective date of the registration statement relating to the Registrant’s initial public offering (the “Registration Date”). The number of shares of Class A common stock reserved for issuance under the 2020 Plan will include a number of shares of Class A common stock equal to the number of shares of all classes of common stock subject to awards granted under the 2020 RSU Plan or 2017 Plan (each, a “Prior Plan”) that, on or after the date the applicable Prior Plan is terminated, are canceled, expire or otherwise terminate without having been exercised in full, are tendered to or withheld by the Registrant for payment of an exercise price or for tax withholding obligations, or are forfeited to or repurchased by the Registrant due to failure to vest, subject to the maximum limit set forth in the 2020 Plan. See footnotes (4) and (5) below.</w:t>
      </w:r>
    </w:p>
    <w:p>
      <w:pPr>
        <w:spacing w:after="0" w:line="2"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shares of Class A common stock reserved for issuance under the 2020 ESPP.</w:t>
      </w:r>
    </w:p>
    <w:p>
      <w:pPr>
        <w:spacing w:after="0" w:line="1" w:lineRule="exact"/>
        <w:rPr>
          <w:rFonts w:ascii="Times New Roman" w:cs="Times New Roman" w:eastAsia="Times New Roman" w:hAnsi="Times New Roman"/>
          <w:sz w:val="14"/>
          <w:szCs w:val="14"/>
          <w:color w:val="auto"/>
        </w:rPr>
      </w:pPr>
    </w:p>
    <w:p>
      <w:pPr>
        <w:ind w:left="340" w:right="360" w:hanging="332"/>
        <w:spacing w:after="0" w:line="241" w:lineRule="auto"/>
        <w:tabs>
          <w:tab w:leader="none" w:pos="332"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shares of Class A common stock reserved for issuance pursuant to restricted stock unit awards outstanding under the 2020 RSU Plan as of the Registration Date. Any shares subject to awards under the 2020 RSU Plan that are cancelled, expire, or terminate, are tendered to or withheld by the Registrant for tax withholding obligations, or are forfeited to or repurchased by the Registrant due to failure to vest, will become available for issuance under the 2020 Plan.</w:t>
      </w:r>
    </w:p>
    <w:p>
      <w:pPr>
        <w:spacing w:after="0" w:line="1" w:lineRule="exact"/>
        <w:rPr>
          <w:rFonts w:ascii="Times New Roman" w:cs="Times New Roman" w:eastAsia="Times New Roman" w:hAnsi="Times New Roman"/>
          <w:sz w:val="14"/>
          <w:szCs w:val="14"/>
          <w:color w:val="auto"/>
        </w:rPr>
      </w:pPr>
    </w:p>
    <w:p>
      <w:pPr>
        <w:ind w:left="340" w:right="340" w:hanging="332"/>
        <w:spacing w:after="0" w:line="241" w:lineRule="auto"/>
        <w:tabs>
          <w:tab w:leader="none" w:pos="332"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shares of Class A common stock subject to outstanding awards under the 2017 Plan as of the Registration Date. Any shares subject to awards under the 2017 Plan that are cancelled, expire or terminate, are tendered to or withheld by the Registrant for payment of an exercise price or for tax withholding obligations, or are forfeited to or repurchased by the Registrant due to failure to vest, will become available for issuance under the 2020 Plan.</w:t>
      </w:r>
    </w:p>
    <w:p>
      <w:pPr>
        <w:spacing w:after="0" w:line="1" w:lineRule="exact"/>
        <w:rPr>
          <w:rFonts w:ascii="Times New Roman" w:cs="Times New Roman" w:eastAsia="Times New Roman" w:hAnsi="Times New Roman"/>
          <w:sz w:val="14"/>
          <w:szCs w:val="14"/>
          <w:color w:val="auto"/>
        </w:rPr>
      </w:pPr>
    </w:p>
    <w:p>
      <w:pPr>
        <w:ind w:left="340" w:right="360" w:hanging="332"/>
        <w:spacing w:after="0" w:line="241" w:lineRule="auto"/>
        <w:tabs>
          <w:tab w:leader="none" w:pos="332"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Estimated in accordance with Rule 457(h) solely for the purpose of calculating the registration fee on the basis of $19.00 per share, which is the initial public offering price per share of common stock set forth on the cover page of the Registrant’s Prospectus dated December 3, 2020 relating to its initial public offering.</w:t>
      </w:r>
    </w:p>
    <w:p>
      <w:pPr>
        <w:ind w:left="340" w:right="20" w:hanging="332"/>
        <w:spacing w:after="0" w:line="241" w:lineRule="auto"/>
        <w:tabs>
          <w:tab w:leader="none" w:pos="332"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Estimated in accordance with Rule 457(h) solely for the purpose of calculating the registration fee on the basis of 85% of $19.00 per share, which is the initial public offering price per share of common stock set forth on the cover page of the Registrant’s Prospectus dated December 3, 2020 relating to its initial public offering. Pursuant to the 2020 ESPP, the purchase price of the shares of common stock reserved for issuance thereunder will be 85% of the lower of the fair market value of common stock on an Offering Period's Enrollment Date or Exercise Date (as such terms are defined in the 2020 ESPP).</w:t>
      </w:r>
    </w:p>
    <w:p>
      <w:pPr>
        <w:spacing w:after="0" w:line="1" w:lineRule="exact"/>
        <w:rPr>
          <w:rFonts w:ascii="Times New Roman" w:cs="Times New Roman" w:eastAsia="Times New Roman" w:hAnsi="Times New Roman"/>
          <w:sz w:val="14"/>
          <w:szCs w:val="14"/>
          <w:color w:val="auto"/>
        </w:rPr>
      </w:pPr>
    </w:p>
    <w:p>
      <w:pPr>
        <w:ind w:left="340" w:right="280" w:hanging="332"/>
        <w:spacing w:after="0" w:line="258" w:lineRule="auto"/>
        <w:tabs>
          <w:tab w:leader="none" w:pos="332"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Estimated in accordance with Rule 457(h) solely for the purpose of calculating the registration fee on the basis of $3.13, the weighted average price per share of outstanding stock option awards under the 2017 Plan as of the date of this Registration Statement.</w:t>
      </w:r>
    </w:p>
    <w:p>
      <w:pPr>
        <w:sectPr>
          <w:pgSz w:w="11900" w:h="16838" w:orient="portrait"/>
          <w:cols w:equalWidth="0" w:num="1">
            <w:col w:w="11260"/>
          </w:cols>
          <w:pgMar w:left="320" w:top="603" w:right="319" w:bottom="1440" w:gutter="0" w:footer="0" w:header="0"/>
        </w:sectPr>
      </w:pPr>
    </w:p>
    <w:bookmarkStart w:id="2" w:name="page3"/>
    <w:bookmarkEnd w:id="2"/>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REQUIRED IN THE PROSPECTUS</w:t>
      </w:r>
    </w:p>
    <w:p>
      <w:pPr>
        <w:spacing w:after="0" w:line="175"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information specified in Item 1 and Item 2 of Part I of Form S-8 is omitted from this Registration Statement on Form S-8 (the “Registration Statement”) in accordance with the provisions of Rule 428 under the Securities Act of 1933, as amended (the “Securities Act”) and the introductory note to Part I of Form S-8. The documents containing the information specified in Part I of Form S-8 will be delivered to the participants in the equity benefit plans covered by this Registration Statement as specified by Rule 428(b)(1) under the Securities Act.</w:t>
      </w:r>
    </w:p>
    <w:p>
      <w:pPr>
        <w:spacing w:after="0" w:line="122"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71"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INFORMATION REQUIRED IN REGISTRATION STATEMENT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Incorporation of Documents by Reference.</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Seer, Inc. (the “Registrant”) hereby incorporates by reference into this Registration Statement the following documents previously filed with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 (the “Commission”):</w:t>
      </w:r>
    </w:p>
    <w:p>
      <w:pPr>
        <w:spacing w:after="0" w:line="153" w:lineRule="exact"/>
        <w:rPr>
          <w:sz w:val="20"/>
          <w:szCs w:val="20"/>
          <w:color w:val="auto"/>
        </w:rPr>
      </w:pPr>
    </w:p>
    <w:p>
      <w:pPr>
        <w:jc w:val="both"/>
        <w:ind w:right="200" w:firstLine="332"/>
        <w:spacing w:after="0" w:line="266" w:lineRule="auto"/>
        <w:tabs>
          <w:tab w:leader="none" w:pos="57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Prospectus dated December 3, 2020, filed with the Commission pursuant to Rule 424(b) under the Securities Act, relating to the Registration Statement on Form S-1, as amended (File No. 333-250035), which contains the Registrant’s audited financial statements for the latest fiscal year for which such statements have been filed; and</w:t>
      </w:r>
    </w:p>
    <w:p>
      <w:pPr>
        <w:spacing w:after="0" w:line="121" w:lineRule="exact"/>
        <w:rPr>
          <w:rFonts w:ascii="Times New Roman" w:cs="Times New Roman" w:eastAsia="Times New Roman" w:hAnsi="Times New Roman"/>
          <w:sz w:val="18"/>
          <w:szCs w:val="18"/>
          <w:color w:val="auto"/>
        </w:rPr>
      </w:pPr>
    </w:p>
    <w:p>
      <w:pPr>
        <w:ind w:right="20" w:firstLine="332"/>
        <w:spacing w:after="0" w:line="266" w:lineRule="auto"/>
        <w:tabs>
          <w:tab w:leader="none" w:pos="57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description of the Registrant’s common stock contained in the Company’s Registration Statement on Form 8-A (File No. 001-39747) filed with the Commission on November 30, 2020, pursuant to Section 12(b) of the Securities Exchange Act of 1934, as amended (the “Exchange Act”), including any amendment or report filed for the purpose of updating such description.</w:t>
      </w:r>
    </w:p>
    <w:p>
      <w:pPr>
        <w:spacing w:after="0" w:line="122"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 xml:space="preserve">All documents filed by the Registrant pursuant to Sections 13(a), 13(c), 14 and 15(d) of the Exchange Act on or after the date of this Registration Statement and prior to the filing of a post-effective amendment to this Registration Statement that indicates that all securities offered have been sold or that deregisters all securities then remaining unsold shall be deemed to be incorporated by reference in this Registration Statement and to be part hereof from the date of filing of such documents;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documents or information deemed to have been furnished and not filed in accordance with the rules of the Commission shall not be deemed incorporated by reference into this Registration Statement.</w:t>
      </w:r>
    </w:p>
    <w:p>
      <w:pPr>
        <w:spacing w:after="0" w:line="12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Any statement contained in a document incorporated or deemed to be incorporated by reference herein shall be deemed to be modified or superseded for purposes of this Registration Statement to the extent that a statement contained herein or in any subsequently filed document which also is deemed to be incorporated by reference herein modifies or supersedes such statement. Any such statement so modified or superseded shall not be deemed, except as so modified or superseded, to constitute a part of this Registration Statement.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Description of Securities.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Interests of Named Experts and Counsel.</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Indemnification of Directors and Officers.</w:t>
      </w:r>
    </w:p>
    <w:p>
      <w:pPr>
        <w:spacing w:after="0" w:line="175"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Section 145 of the Delaware General Corporation Law, or DGCL, empowers a corporation to indemnify its directors and officers and to purchase insurance with respect to liability arising out of their capacity or status as directors and officers, provided that the person acted in good faith and in a manner the person reasonably believed to be in our best interests, and, with respect to any criminal action, had no reasonable cause to believe the person’s actions were unlawful. The DGCL further provides that the indemnification permitted thereunder shall not be</w:t>
      </w:r>
    </w:p>
    <w:p>
      <w:pPr>
        <w:sectPr>
          <w:pgSz w:w="11900" w:h="16838" w:orient="portrait"/>
          <w:cols w:equalWidth="0" w:num="1">
            <w:col w:w="11240"/>
          </w:cols>
          <w:pgMar w:left="320" w:top="1440" w:right="339" w:bottom="1440" w:gutter="0" w:footer="0" w:header="0"/>
        </w:sectPr>
      </w:pPr>
    </w:p>
    <w:bookmarkStart w:id="3" w:name="page4"/>
    <w:bookmarkEnd w:id="3"/>
    <w:p>
      <w:pPr>
        <w:spacing w:after="0" w:line="140"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deemed exclusive of any other rights to which the directors and officers may be entitled under the corporation’s bylaws, any agreement, a vote of stockholders or otherwise. The certificate of incorporation of the registrant to be in effect upon the completion of this offering provides for the indemnification of the registrant’s directors and officers to the fullest extent permitted under the DGCL. In addition, the bylaws of the registrant to be in effect upon the completion of this offering require the registrant to fully indemnify any person who was or is a party or is threatened to be made a party to any threatened, pending or completed action, suit or proceeding (whether civil, criminal, administrative or investigative) by reason of the fact that such person is or was a director or officer of the registrant, or is or was a director or officer of the registrant serving at the registrant’s request as a director, officer, employee or agent of another corporation, partnership, joint venture, trust or other enterprise, against expenses (including attorney’s fees), judgments, fines and amounts paid in settlement actually and reasonably incurred by such person in connection with such action, suit or proceeding, to the fullest extent permitted by applicable law.</w:t>
      </w:r>
    </w:p>
    <w:p>
      <w:pPr>
        <w:spacing w:after="0" w:line="134"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Section 102(b)(7) of the DGCL permits a corporation to provide in its certificate of incorporation that a director of the corporation shall not be personally liable to the corporation or its stockholders for monetary damages for breach of fiduciary duty as a director, except (1) for any breach of the director’s duty of loyalty to the corporation or its stockholders, (2) for acts or omissions not in good faith or which involve intentional misconduct or a knowing violation of law, (3) for payments of unlawful dividends or unlawful stock repurchases or redemptions or (4) for any transaction from which the director derived an improper personal benefit. The registrant’s certificate of incorporation to be in effect upon the completion of this offering provides that the registrant’s directors shall not be personally liable to it or its stockholders for monetary damages for breach of fiduciary duty as a director and that if the DGCL is amended to authorize corporate action further eliminating or limiting the personal liability of directors, then the liability of the registrant’s directors shall be eliminated or limited to the fullest extent permitted by the DGCL, as so amended.</w:t>
      </w:r>
    </w:p>
    <w:p>
      <w:pPr>
        <w:spacing w:after="0" w:line="138"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Section 174 of the DGCL provides, among other things, that a director who willfully or negligently approves of an unlawful payment of dividends or an unlawful stock purchase or redemption may be held liable for such actions. A director who was either absent when the unlawful actions were approved, or dissented at the time, may avoid liability by causing his or her dissent to such actions to be entered in the books containing minutes of the meetings of the board of directors at the time such action occurred or immediately after such absent director receives notice of the unlawful acts.</w:t>
      </w:r>
    </w:p>
    <w:p>
      <w:pPr>
        <w:spacing w:after="0" w:line="126"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As permitted by the DGCL, the registrant intends to enter into separate indemnification agreements with each of the registrant’s directors and certain of the registrant’s officers which would require the registrant, among other things, to indemnify them against certain liabilities which may arise by reason of their status as directors, officers or certain other employees.</w:t>
      </w:r>
    </w:p>
    <w:p>
      <w:pPr>
        <w:spacing w:after="0" w:line="122"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The registrant expects to obtain and maintain insurance policies under which its directors and officers are insured, within the limits and subject to the limitations of those policies, against certain expenses in connection with the defense of, and certain liabilities which might be imposed as a result of, actions, suits or proceedings to which they are parties by reason of being or having been directors or officers. The coverage provided by these policies may apply whether or not the registrant would have the power to indemnify such person against such liability under the provisions of the DGCL.</w:t>
      </w:r>
    </w:p>
    <w:p>
      <w:pPr>
        <w:spacing w:after="0" w:line="126" w:lineRule="exact"/>
        <w:rPr>
          <w:sz w:val="20"/>
          <w:szCs w:val="20"/>
          <w:color w:val="auto"/>
        </w:rPr>
      </w:pPr>
    </w:p>
    <w:p>
      <w:pPr>
        <w:ind w:right="280" w:firstLine="324"/>
        <w:spacing w:after="0" w:line="266" w:lineRule="auto"/>
        <w:rPr>
          <w:sz w:val="20"/>
          <w:szCs w:val="20"/>
          <w:color w:val="auto"/>
        </w:rPr>
      </w:pPr>
      <w:r>
        <w:rPr>
          <w:rFonts w:ascii="Times New Roman" w:cs="Times New Roman" w:eastAsia="Times New Roman" w:hAnsi="Times New Roman"/>
          <w:sz w:val="18"/>
          <w:szCs w:val="18"/>
          <w:color w:val="auto"/>
        </w:rPr>
        <w:t>These indemnification provisions and the indemnification agreements intended to be entered into between the registrant and the registrant’s officers and directors may be sufficiently broad to permit indemnification of the registrant’s officers and directors for liabilities (including reimbursement of expenses incurred) arising under the Securities Act.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Exemption from Registration Claimed.</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1240"/>
          </w:cols>
          <w:pgMar w:left="320" w:top="1440" w:right="339" w:bottom="1440" w:gutter="0" w:footer="0" w:header="0"/>
        </w:sectPr>
      </w:pPr>
    </w:p>
    <w:bookmarkStart w:id="4" w:name="page5"/>
    <w:bookmarkEnd w:id="4"/>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Exhibits.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00" w:type="dxa"/>
            <w:vAlign w:val="bottom"/>
          </w:tcPr>
          <w:p>
            <w:pPr>
              <w:spacing w:after="0"/>
              <w:rPr>
                <w:sz w:val="14"/>
                <w:szCs w:val="14"/>
                <w:color w:val="auto"/>
              </w:rPr>
            </w:pPr>
          </w:p>
        </w:tc>
        <w:tc>
          <w:tcPr>
            <w:tcW w:w="9800" w:type="dxa"/>
            <w:vAlign w:val="bottom"/>
          </w:tcPr>
          <w:p>
            <w:pPr>
              <w:spacing w:after="0"/>
              <w:rPr>
                <w:sz w:val="14"/>
                <w:szCs w:val="14"/>
                <w:color w:val="auto"/>
              </w:rPr>
            </w:pPr>
          </w:p>
        </w:tc>
      </w:tr>
      <w:tr>
        <w:trPr>
          <w:trHeight w:val="190"/>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3"/>
        </w:trPr>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200" w:type="dxa"/>
            <w:vAlign w:val="bottom"/>
            <w:tcBorders>
              <w:bottom w:val="single" w:sz="8" w:color="auto"/>
            </w:tcBorders>
            <w:gridSpan w:val="2"/>
          </w:tcPr>
          <w:p>
            <w:pPr>
              <w:spacing w:after="0"/>
              <w:rPr>
                <w:sz w:val="2"/>
                <w:szCs w:val="2"/>
                <w:color w:val="auto"/>
              </w:rPr>
            </w:pPr>
          </w:p>
        </w:tc>
      </w:tr>
      <w:tr>
        <w:trPr>
          <w:trHeight w:val="305"/>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r>
              <w:rPr>
                <w:rFonts w:ascii="Times New Roman" w:cs="Times New Roman" w:eastAsia="Times New Roman" w:hAnsi="Times New Roman"/>
                <w:sz w:val="23"/>
                <w:szCs w:val="23"/>
                <w:color w:val="auto"/>
                <w:vertAlign w:val="superscript"/>
              </w:rPr>
              <w:t>(1)</w:t>
            </w:r>
          </w:p>
        </w:tc>
        <w:tc>
          <w:tcPr>
            <w:tcW w:w="80" w:type="dxa"/>
            <w:vAlign w:val="bottom"/>
          </w:tcPr>
          <w:p>
            <w:pPr>
              <w:spacing w:after="0"/>
              <w:rPr>
                <w:sz w:val="24"/>
                <w:szCs w:val="24"/>
                <w:color w:val="auto"/>
              </w:rPr>
            </w:pPr>
          </w:p>
        </w:tc>
        <w:tc>
          <w:tcPr>
            <w:tcW w:w="10200" w:type="dxa"/>
            <w:vAlign w:val="bottom"/>
            <w:gridSpan w:val="2"/>
          </w:tcPr>
          <w:p>
            <w:pPr>
              <w:ind w:left="20"/>
              <w:spacing w:after="0"/>
              <w:rPr>
                <w:rFonts w:ascii="Times New Roman" w:cs="Times New Roman" w:eastAsia="Times New Roman" w:hAnsi="Times New Roman"/>
                <w:sz w:val="18"/>
                <w:szCs w:val="18"/>
                <w:u w:val="single" w:color="auto"/>
                <w:color w:val="0000FF"/>
              </w:rPr>
            </w:pPr>
            <w:hyperlink r:id="rId14">
              <w:r>
                <w:rPr>
                  <w:rFonts w:ascii="Times New Roman" w:cs="Times New Roman" w:eastAsia="Times New Roman" w:hAnsi="Times New Roman"/>
                  <w:sz w:val="18"/>
                  <w:szCs w:val="18"/>
                  <w:u w:val="single" w:color="auto"/>
                  <w:color w:val="0000FF"/>
                </w:rPr>
                <w:t>Form of common stock certificate of the Registrant.</w:t>
              </w:r>
            </w:hyperlink>
          </w:p>
        </w:tc>
      </w:tr>
      <w:tr>
        <w:trPr>
          <w:trHeight w:val="324"/>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w:t>
            </w:r>
            <w:r>
              <w:rPr>
                <w:rFonts w:ascii="Times New Roman" w:cs="Times New Roman" w:eastAsia="Times New Roman" w:hAnsi="Times New Roman"/>
                <w:sz w:val="23"/>
                <w:szCs w:val="23"/>
                <w:color w:val="auto"/>
                <w:vertAlign w:val="superscript"/>
              </w:rPr>
              <w:t>(2)</w:t>
            </w:r>
          </w:p>
        </w:tc>
        <w:tc>
          <w:tcPr>
            <w:tcW w:w="80" w:type="dxa"/>
            <w:vAlign w:val="bottom"/>
          </w:tcPr>
          <w:p>
            <w:pPr>
              <w:spacing w:after="0"/>
              <w:rPr>
                <w:sz w:val="24"/>
                <w:szCs w:val="24"/>
                <w:color w:val="auto"/>
              </w:rPr>
            </w:pPr>
          </w:p>
        </w:tc>
        <w:tc>
          <w:tcPr>
            <w:tcW w:w="400" w:type="dxa"/>
            <w:vAlign w:val="bottom"/>
          </w:tcPr>
          <w:p>
            <w:pPr>
              <w:ind w:left="20"/>
              <w:spacing w:after="0"/>
              <w:rPr>
                <w:rFonts w:ascii="Times New Roman" w:cs="Times New Roman" w:eastAsia="Times New Roman" w:hAnsi="Times New Roman"/>
                <w:sz w:val="18"/>
                <w:szCs w:val="18"/>
                <w:u w:val="single" w:color="auto"/>
                <w:color w:val="0000FF"/>
                <w:w w:val="99"/>
              </w:rPr>
            </w:pPr>
            <w:hyperlink r:id="rId15">
              <w:r>
                <w:rPr>
                  <w:rFonts w:ascii="Times New Roman" w:cs="Times New Roman" w:eastAsia="Times New Roman" w:hAnsi="Times New Roman"/>
                  <w:sz w:val="18"/>
                  <w:szCs w:val="18"/>
                  <w:u w:val="single" w:color="auto"/>
                  <w:color w:val="0000FF"/>
                  <w:w w:val="99"/>
                </w:rPr>
                <w:t>2020</w:t>
              </w:r>
            </w:hyperlink>
          </w:p>
        </w:tc>
        <w:tc>
          <w:tcPr>
            <w:tcW w:w="9800" w:type="dxa"/>
            <w:vAlign w:val="bottom"/>
          </w:tcPr>
          <w:p>
            <w:pPr>
              <w:ind w:left="40"/>
              <w:spacing w:after="0"/>
              <w:rPr>
                <w:rFonts w:ascii="Times New Roman" w:cs="Times New Roman" w:eastAsia="Times New Roman" w:hAnsi="Times New Roman"/>
                <w:sz w:val="18"/>
                <w:szCs w:val="18"/>
                <w:u w:val="single" w:color="auto"/>
                <w:color w:val="0000FF"/>
              </w:rPr>
            </w:pPr>
            <w:hyperlink r:id="rId15">
              <w:r>
                <w:rPr>
                  <w:rFonts w:ascii="Times New Roman" w:cs="Times New Roman" w:eastAsia="Times New Roman" w:hAnsi="Times New Roman"/>
                  <w:sz w:val="18"/>
                  <w:szCs w:val="18"/>
                  <w:u w:val="single" w:color="auto"/>
                  <w:color w:val="0000FF"/>
                </w:rPr>
                <w:t>Equity Incentive Plan and related form agreements.</w:t>
              </w:r>
            </w:hyperlink>
          </w:p>
        </w:tc>
      </w:tr>
      <w:tr>
        <w:trPr>
          <w:trHeight w:val="324"/>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4.3</w:t>
            </w:r>
            <w:r>
              <w:rPr>
                <w:rFonts w:ascii="Times New Roman" w:cs="Times New Roman" w:eastAsia="Times New Roman" w:hAnsi="Times New Roman"/>
                <w:sz w:val="23"/>
                <w:szCs w:val="23"/>
                <w:color w:val="auto"/>
                <w:vertAlign w:val="superscript"/>
              </w:rPr>
              <w:t>(3)</w:t>
            </w:r>
          </w:p>
        </w:tc>
        <w:tc>
          <w:tcPr>
            <w:tcW w:w="80" w:type="dxa"/>
            <w:vAlign w:val="bottom"/>
          </w:tcPr>
          <w:p>
            <w:pPr>
              <w:spacing w:after="0"/>
              <w:rPr>
                <w:sz w:val="24"/>
                <w:szCs w:val="24"/>
                <w:color w:val="auto"/>
              </w:rPr>
            </w:pPr>
          </w:p>
        </w:tc>
        <w:tc>
          <w:tcPr>
            <w:tcW w:w="400" w:type="dxa"/>
            <w:vAlign w:val="bottom"/>
          </w:tcPr>
          <w:p>
            <w:pPr>
              <w:ind w:left="20"/>
              <w:spacing w:after="0"/>
              <w:rPr>
                <w:rFonts w:ascii="Times New Roman" w:cs="Times New Roman" w:eastAsia="Times New Roman" w:hAnsi="Times New Roman"/>
                <w:sz w:val="18"/>
                <w:szCs w:val="18"/>
                <w:u w:val="single" w:color="auto"/>
                <w:color w:val="0000FF"/>
                <w:w w:val="99"/>
              </w:rPr>
            </w:pPr>
            <w:hyperlink r:id="rId16">
              <w:r>
                <w:rPr>
                  <w:rFonts w:ascii="Times New Roman" w:cs="Times New Roman" w:eastAsia="Times New Roman" w:hAnsi="Times New Roman"/>
                  <w:sz w:val="18"/>
                  <w:szCs w:val="18"/>
                  <w:u w:val="single" w:color="auto"/>
                  <w:color w:val="0000FF"/>
                  <w:w w:val="99"/>
                </w:rPr>
                <w:t>2020</w:t>
              </w:r>
            </w:hyperlink>
          </w:p>
        </w:tc>
        <w:tc>
          <w:tcPr>
            <w:tcW w:w="9800" w:type="dxa"/>
            <w:vAlign w:val="bottom"/>
          </w:tcPr>
          <w:p>
            <w:pPr>
              <w:ind w:left="40"/>
              <w:spacing w:after="0"/>
              <w:rPr>
                <w:rFonts w:ascii="Times New Roman" w:cs="Times New Roman" w:eastAsia="Times New Roman" w:hAnsi="Times New Roman"/>
                <w:sz w:val="18"/>
                <w:szCs w:val="18"/>
                <w:u w:val="single" w:color="auto"/>
                <w:color w:val="0000FF"/>
              </w:rPr>
            </w:pPr>
            <w:hyperlink r:id="rId16">
              <w:r>
                <w:rPr>
                  <w:rFonts w:ascii="Times New Roman" w:cs="Times New Roman" w:eastAsia="Times New Roman" w:hAnsi="Times New Roman"/>
                  <w:sz w:val="18"/>
                  <w:szCs w:val="18"/>
                  <w:u w:val="single" w:color="auto"/>
                  <w:color w:val="0000FF"/>
                </w:rPr>
                <w:t>Employee Stock Purchase Plan.</w:t>
              </w:r>
            </w:hyperlink>
          </w:p>
        </w:tc>
      </w:tr>
      <w:tr>
        <w:trPr>
          <w:trHeight w:val="324"/>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4.4</w:t>
            </w:r>
            <w:r>
              <w:rPr>
                <w:rFonts w:ascii="Times New Roman" w:cs="Times New Roman" w:eastAsia="Times New Roman" w:hAnsi="Times New Roman"/>
                <w:sz w:val="23"/>
                <w:szCs w:val="23"/>
                <w:color w:val="auto"/>
                <w:vertAlign w:val="superscript"/>
              </w:rPr>
              <w:t>(4)</w:t>
            </w:r>
          </w:p>
        </w:tc>
        <w:tc>
          <w:tcPr>
            <w:tcW w:w="80" w:type="dxa"/>
            <w:vAlign w:val="bottom"/>
          </w:tcPr>
          <w:p>
            <w:pPr>
              <w:spacing w:after="0"/>
              <w:rPr>
                <w:sz w:val="24"/>
                <w:szCs w:val="24"/>
                <w:color w:val="auto"/>
              </w:rPr>
            </w:pPr>
          </w:p>
        </w:tc>
        <w:tc>
          <w:tcPr>
            <w:tcW w:w="400" w:type="dxa"/>
            <w:vAlign w:val="bottom"/>
          </w:tcPr>
          <w:p>
            <w:pPr>
              <w:ind w:left="20"/>
              <w:spacing w:after="0"/>
              <w:rPr>
                <w:rFonts w:ascii="Times New Roman" w:cs="Times New Roman" w:eastAsia="Times New Roman" w:hAnsi="Times New Roman"/>
                <w:sz w:val="18"/>
                <w:szCs w:val="18"/>
                <w:u w:val="single" w:color="auto"/>
                <w:color w:val="0000FF"/>
                <w:w w:val="99"/>
              </w:rPr>
            </w:pPr>
            <w:hyperlink r:id="rId17">
              <w:r>
                <w:rPr>
                  <w:rFonts w:ascii="Times New Roman" w:cs="Times New Roman" w:eastAsia="Times New Roman" w:hAnsi="Times New Roman"/>
                  <w:sz w:val="18"/>
                  <w:szCs w:val="18"/>
                  <w:u w:val="single" w:color="auto"/>
                  <w:color w:val="0000FF"/>
                  <w:w w:val="99"/>
                </w:rPr>
                <w:t>2020</w:t>
              </w:r>
            </w:hyperlink>
          </w:p>
        </w:tc>
        <w:tc>
          <w:tcPr>
            <w:tcW w:w="9800" w:type="dxa"/>
            <w:vAlign w:val="bottom"/>
          </w:tcPr>
          <w:p>
            <w:pPr>
              <w:ind w:left="40"/>
              <w:spacing w:after="0"/>
              <w:rPr>
                <w:rFonts w:ascii="Times New Roman" w:cs="Times New Roman" w:eastAsia="Times New Roman" w:hAnsi="Times New Roman"/>
                <w:sz w:val="18"/>
                <w:szCs w:val="18"/>
                <w:u w:val="single" w:color="auto"/>
                <w:color w:val="0000FF"/>
              </w:rPr>
            </w:pPr>
            <w:hyperlink r:id="rId17">
              <w:r>
                <w:rPr>
                  <w:rFonts w:ascii="Times New Roman" w:cs="Times New Roman" w:eastAsia="Times New Roman" w:hAnsi="Times New Roman"/>
                  <w:sz w:val="18"/>
                  <w:szCs w:val="18"/>
                  <w:u w:val="single" w:color="auto"/>
                  <w:color w:val="0000FF"/>
                </w:rPr>
                <w:t>RSU Equity Incentive Plan and related form agreements.</w:t>
              </w:r>
            </w:hyperlink>
          </w:p>
        </w:tc>
      </w:tr>
      <w:tr>
        <w:trPr>
          <w:trHeight w:val="345"/>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4.5</w:t>
            </w:r>
            <w:r>
              <w:rPr>
                <w:rFonts w:ascii="Times New Roman" w:cs="Times New Roman" w:eastAsia="Times New Roman" w:hAnsi="Times New Roman"/>
                <w:sz w:val="23"/>
                <w:szCs w:val="23"/>
                <w:color w:val="auto"/>
                <w:vertAlign w:val="superscript"/>
              </w:rPr>
              <w:t>(5)</w:t>
            </w:r>
          </w:p>
        </w:tc>
        <w:tc>
          <w:tcPr>
            <w:tcW w:w="80" w:type="dxa"/>
            <w:vAlign w:val="bottom"/>
          </w:tcPr>
          <w:p>
            <w:pPr>
              <w:spacing w:after="0"/>
              <w:rPr>
                <w:sz w:val="24"/>
                <w:szCs w:val="24"/>
                <w:color w:val="auto"/>
              </w:rPr>
            </w:pPr>
          </w:p>
        </w:tc>
        <w:tc>
          <w:tcPr>
            <w:tcW w:w="400" w:type="dxa"/>
            <w:vAlign w:val="bottom"/>
          </w:tcPr>
          <w:p>
            <w:pPr>
              <w:ind w:left="20"/>
              <w:spacing w:after="0"/>
              <w:rPr>
                <w:rFonts w:ascii="Times New Roman" w:cs="Times New Roman" w:eastAsia="Times New Roman" w:hAnsi="Times New Roman"/>
                <w:sz w:val="18"/>
                <w:szCs w:val="18"/>
                <w:u w:val="single" w:color="auto"/>
                <w:color w:val="0000FF"/>
                <w:w w:val="99"/>
              </w:rPr>
            </w:pPr>
            <w:hyperlink r:id="rId18">
              <w:r>
                <w:rPr>
                  <w:rFonts w:ascii="Times New Roman" w:cs="Times New Roman" w:eastAsia="Times New Roman" w:hAnsi="Times New Roman"/>
                  <w:sz w:val="18"/>
                  <w:szCs w:val="18"/>
                  <w:u w:val="single" w:color="auto"/>
                  <w:color w:val="0000FF"/>
                  <w:w w:val="99"/>
                </w:rPr>
                <w:t>2017</w:t>
              </w:r>
            </w:hyperlink>
          </w:p>
        </w:tc>
        <w:tc>
          <w:tcPr>
            <w:tcW w:w="9800" w:type="dxa"/>
            <w:vAlign w:val="bottom"/>
          </w:tcPr>
          <w:p>
            <w:pPr>
              <w:ind w:left="40"/>
              <w:spacing w:after="0"/>
              <w:rPr>
                <w:rFonts w:ascii="Times New Roman" w:cs="Times New Roman" w:eastAsia="Times New Roman" w:hAnsi="Times New Roman"/>
                <w:sz w:val="18"/>
                <w:szCs w:val="18"/>
                <w:color w:val="0000FF"/>
              </w:rPr>
            </w:pPr>
            <w:hyperlink r:id="rId18">
              <w:r>
                <w:rPr>
                  <w:rFonts w:ascii="Times New Roman" w:cs="Times New Roman" w:eastAsia="Times New Roman" w:hAnsi="Times New Roman"/>
                  <w:sz w:val="18"/>
                  <w:szCs w:val="18"/>
                  <w:u w:val="single" w:color="auto"/>
                  <w:color w:val="0000FF"/>
                </w:rPr>
                <w:t>Stock Incentive Plan and related form agreements</w:t>
              </w:r>
              <w:r>
                <w:rPr>
                  <w:rFonts w:ascii="Times New Roman" w:cs="Times New Roman" w:eastAsia="Times New Roman" w:hAnsi="Times New Roman"/>
                  <w:sz w:val="18"/>
                  <w:szCs w:val="18"/>
                  <w:color w:val="0000FF"/>
                </w:rPr>
                <w:t>.</w:t>
              </w:r>
            </w:hyperlink>
          </w:p>
        </w:tc>
      </w:tr>
      <w:tr>
        <w:trPr>
          <w:trHeight w:val="261"/>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tcPr>
          <w:p>
            <w:pPr>
              <w:spacing w:after="0"/>
              <w:rPr>
                <w:sz w:val="22"/>
                <w:szCs w:val="22"/>
                <w:color w:val="auto"/>
              </w:rPr>
            </w:pPr>
          </w:p>
        </w:tc>
        <w:tc>
          <w:tcPr>
            <w:tcW w:w="10200" w:type="dxa"/>
            <w:vAlign w:val="bottom"/>
            <w:gridSpan w:val="2"/>
          </w:tcPr>
          <w:p>
            <w:pPr>
              <w:ind w:left="20"/>
              <w:spacing w:after="0"/>
              <w:rPr>
                <w:rFonts w:ascii="Times New Roman" w:cs="Times New Roman" w:eastAsia="Times New Roman" w:hAnsi="Times New Roman"/>
                <w:sz w:val="18"/>
                <w:szCs w:val="18"/>
                <w:u w:val="single" w:color="auto"/>
                <w:color w:val="0000FF"/>
              </w:rPr>
            </w:pPr>
            <w:hyperlink w:anchor="page8">
              <w:r>
                <w:rPr>
                  <w:rFonts w:ascii="Times New Roman" w:cs="Times New Roman" w:eastAsia="Times New Roman" w:hAnsi="Times New Roman"/>
                  <w:sz w:val="18"/>
                  <w:szCs w:val="18"/>
                  <w:u w:val="single" w:color="auto"/>
                  <w:color w:val="0000FF"/>
                </w:rPr>
                <w:t>Opinion of Wilson Sonsini Goodrich &amp; Rosati, P.C.</w:t>
              </w:r>
            </w:hyperlink>
          </w:p>
        </w:tc>
      </w:tr>
      <w:tr>
        <w:trPr>
          <w:trHeight w:val="283"/>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23.1</w:t>
            </w:r>
          </w:p>
        </w:tc>
        <w:tc>
          <w:tcPr>
            <w:tcW w:w="80" w:type="dxa"/>
            <w:vAlign w:val="bottom"/>
          </w:tcPr>
          <w:p>
            <w:pPr>
              <w:spacing w:after="0"/>
              <w:rPr>
                <w:sz w:val="24"/>
                <w:szCs w:val="24"/>
                <w:color w:val="auto"/>
              </w:rPr>
            </w:pPr>
          </w:p>
        </w:tc>
        <w:tc>
          <w:tcPr>
            <w:tcW w:w="10200" w:type="dxa"/>
            <w:vAlign w:val="bottom"/>
            <w:gridSpan w:val="2"/>
          </w:tcPr>
          <w:p>
            <w:pPr>
              <w:ind w:left="20"/>
              <w:spacing w:after="0"/>
              <w:rPr>
                <w:rFonts w:ascii="Times New Roman" w:cs="Times New Roman" w:eastAsia="Times New Roman" w:hAnsi="Times New Roman"/>
                <w:sz w:val="18"/>
                <w:szCs w:val="18"/>
                <w:u w:val="single" w:color="auto"/>
                <w:color w:val="0000FF"/>
              </w:rPr>
            </w:pPr>
            <w:hyperlink w:anchor="page9">
              <w:r>
                <w:rPr>
                  <w:rFonts w:ascii="Times New Roman" w:cs="Times New Roman" w:eastAsia="Times New Roman" w:hAnsi="Times New Roman"/>
                  <w:sz w:val="18"/>
                  <w:szCs w:val="18"/>
                  <w:u w:val="single" w:color="auto"/>
                  <w:color w:val="0000FF"/>
                </w:rPr>
                <w:t>Consent of Deloitte &amp; Touche LLP, independent registered public accounting firm.</w:t>
              </w:r>
            </w:hyperlink>
          </w:p>
        </w:tc>
      </w:tr>
      <w:tr>
        <w:trPr>
          <w:trHeight w:val="324"/>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23.2</w:t>
            </w:r>
          </w:p>
        </w:tc>
        <w:tc>
          <w:tcPr>
            <w:tcW w:w="80" w:type="dxa"/>
            <w:vAlign w:val="bottom"/>
          </w:tcPr>
          <w:p>
            <w:pPr>
              <w:spacing w:after="0"/>
              <w:rPr>
                <w:sz w:val="24"/>
                <w:szCs w:val="24"/>
                <w:color w:val="auto"/>
              </w:rPr>
            </w:pPr>
          </w:p>
        </w:tc>
        <w:tc>
          <w:tcPr>
            <w:tcW w:w="10200" w:type="dxa"/>
            <w:vAlign w:val="bottom"/>
            <w:gridSpan w:val="2"/>
          </w:tcPr>
          <w:p>
            <w:pPr>
              <w:ind w:left="20"/>
              <w:spacing w:after="0"/>
              <w:rPr>
                <w:rFonts w:ascii="Times New Roman" w:cs="Times New Roman" w:eastAsia="Times New Roman" w:hAnsi="Times New Roman"/>
                <w:sz w:val="18"/>
                <w:szCs w:val="18"/>
                <w:u w:val="single" w:color="auto"/>
                <w:color w:val="0000FF"/>
              </w:rPr>
            </w:pPr>
            <w:hyperlink w:anchor="page8">
              <w:r>
                <w:rPr>
                  <w:rFonts w:ascii="Times New Roman" w:cs="Times New Roman" w:eastAsia="Times New Roman" w:hAnsi="Times New Roman"/>
                  <w:sz w:val="18"/>
                  <w:szCs w:val="18"/>
                  <w:u w:val="single" w:color="auto"/>
                  <w:color w:val="0000FF"/>
                </w:rPr>
                <w:t>Consent of Wilson Sonsini Goodrich &amp; Rosati, Professional Corporation (included in Exhibit 5.1).</w:t>
              </w:r>
            </w:hyperlink>
          </w:p>
        </w:tc>
      </w:tr>
      <w:tr>
        <w:trPr>
          <w:trHeight w:val="297"/>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24.1</w:t>
            </w:r>
          </w:p>
        </w:tc>
        <w:tc>
          <w:tcPr>
            <w:tcW w:w="80" w:type="dxa"/>
            <w:vAlign w:val="bottom"/>
          </w:tcPr>
          <w:p>
            <w:pPr>
              <w:spacing w:after="0"/>
              <w:rPr>
                <w:sz w:val="24"/>
                <w:szCs w:val="24"/>
                <w:color w:val="auto"/>
              </w:rPr>
            </w:pPr>
          </w:p>
        </w:tc>
        <w:tc>
          <w:tcPr>
            <w:tcW w:w="10200" w:type="dxa"/>
            <w:vAlign w:val="bottom"/>
            <w:gridSpan w:val="2"/>
          </w:tcPr>
          <w:p>
            <w:pPr>
              <w:ind w:left="20"/>
              <w:spacing w:after="0"/>
              <w:rPr>
                <w:rFonts w:ascii="Times New Roman" w:cs="Times New Roman" w:eastAsia="Times New Roman" w:hAnsi="Times New Roman"/>
                <w:sz w:val="18"/>
                <w:szCs w:val="18"/>
                <w:u w:val="single" w:color="auto"/>
                <w:color w:val="0000FF"/>
              </w:rPr>
            </w:pPr>
            <w:hyperlink w:anchor="page6">
              <w:r>
                <w:rPr>
                  <w:rFonts w:ascii="Times New Roman" w:cs="Times New Roman" w:eastAsia="Times New Roman" w:hAnsi="Times New Roman"/>
                  <w:sz w:val="18"/>
                  <w:szCs w:val="18"/>
                  <w:u w:val="single" w:color="auto"/>
                  <w:color w:val="0000FF"/>
                </w:rPr>
                <w:t>Power of Attorney (contained on signature page hereto).</w:t>
              </w:r>
            </w:hyperlink>
          </w:p>
        </w:tc>
      </w:tr>
    </w:tbl>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w:t>
      </w:r>
    </w:p>
    <w:p>
      <w:pPr>
        <w:spacing w:after="0" w:line="17" w:lineRule="exact"/>
        <w:rPr>
          <w:sz w:val="20"/>
          <w:szCs w:val="20"/>
          <w:color w:val="auto"/>
        </w:rPr>
      </w:pPr>
    </w:p>
    <w:p>
      <w:pPr>
        <w:ind w:left="320" w:hanging="312"/>
        <w:spacing w:after="0"/>
        <w:tabs>
          <w:tab w:leader="none" w:pos="3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Incorporated by reference to Exhibit 4.1 filed with the Registrant’s Registration Statement on Form S-1 (Registration No. 333-250035), filed with the Commission on November 12, 2020.</w:t>
      </w:r>
    </w:p>
    <w:p>
      <w:pPr>
        <w:spacing w:after="0" w:line="1" w:lineRule="exact"/>
        <w:rPr>
          <w:rFonts w:ascii="Times New Roman" w:cs="Times New Roman" w:eastAsia="Times New Roman" w:hAnsi="Times New Roman"/>
          <w:sz w:val="14"/>
          <w:szCs w:val="14"/>
          <w:color w:val="auto"/>
        </w:rPr>
      </w:pPr>
    </w:p>
    <w:p>
      <w:pPr>
        <w:ind w:left="340" w:right="300" w:hanging="332"/>
        <w:spacing w:after="0" w:line="241" w:lineRule="auto"/>
        <w:tabs>
          <w:tab w:leader="none" w:pos="332"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Incorporated by reference to Exhibit 10.2 filed with the Registrant’s Registration Statement on Form S-1/A (Registration No. 333-250035), filed with the Commission on November 30, 2020.</w:t>
      </w:r>
    </w:p>
    <w:p>
      <w:pPr>
        <w:ind w:left="340" w:right="300" w:hanging="332"/>
        <w:spacing w:after="0" w:line="241" w:lineRule="auto"/>
        <w:tabs>
          <w:tab w:leader="none" w:pos="332"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Incorporated by reference to Exhibit 10.5 filed with the Registrant’s Registration Statement on Form S-1/A (Registration No. 333-250035), filed with the Commission on November 30, 2020.</w:t>
      </w:r>
    </w:p>
    <w:p>
      <w:pPr>
        <w:ind w:left="340" w:right="300" w:hanging="332"/>
        <w:spacing w:after="0" w:line="241" w:lineRule="auto"/>
        <w:tabs>
          <w:tab w:leader="none" w:pos="332"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Incorporated by reference to Exhibit 10.4 filed with the Registrant’s Registration Statement on Form S-1/A (Registration No. 333-250035), filed with the Commission on November 30, 2020.</w:t>
      </w:r>
    </w:p>
    <w:p>
      <w:pPr>
        <w:ind w:left="340" w:right="300" w:hanging="332"/>
        <w:spacing w:after="0" w:line="258" w:lineRule="auto"/>
        <w:tabs>
          <w:tab w:leader="none" w:pos="332"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Incorporated by reference to Exhibit 10.3 filed with the Registrant’s Registration Statement on Form S-1/A (Registration No. 333-250035), filed with the Commission on November 30, 2020.</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Undertakings.</w:t>
      </w:r>
    </w:p>
    <w:p>
      <w:pPr>
        <w:spacing w:after="0" w:line="175"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171" w:lineRule="exact"/>
        <w:rPr>
          <w:rFonts w:ascii="Times New Roman" w:cs="Times New Roman" w:eastAsia="Times New Roman" w:hAnsi="Times New Roman"/>
          <w:sz w:val="18"/>
          <w:szCs w:val="18"/>
          <w:color w:val="auto"/>
        </w:rPr>
      </w:pPr>
    </w:p>
    <w:p>
      <w:pPr>
        <w:ind w:left="1060" w:hanging="404"/>
        <w:spacing w:after="0"/>
        <w:tabs>
          <w:tab w:leader="none" w:pos="10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171" w:lineRule="exact"/>
        <w:rPr>
          <w:rFonts w:ascii="Times New Roman" w:cs="Times New Roman" w:eastAsia="Times New Roman" w:hAnsi="Times New Roman"/>
          <w:sz w:val="18"/>
          <w:szCs w:val="18"/>
          <w:color w:val="auto"/>
        </w:rPr>
      </w:pPr>
    </w:p>
    <w:p>
      <w:pPr>
        <w:ind w:left="1540" w:hanging="479"/>
        <w:spacing w:after="0"/>
        <w:tabs>
          <w:tab w:leader="none" w:pos="1540"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171" w:lineRule="exact"/>
        <w:rPr>
          <w:rFonts w:ascii="Times New Roman" w:cs="Times New Roman" w:eastAsia="Times New Roman" w:hAnsi="Times New Roman"/>
          <w:sz w:val="18"/>
          <w:szCs w:val="18"/>
          <w:color w:val="auto"/>
        </w:rPr>
      </w:pPr>
    </w:p>
    <w:p>
      <w:pPr>
        <w:ind w:left="1540" w:right="160" w:hanging="479"/>
        <w:spacing w:after="0" w:line="255" w:lineRule="auto"/>
        <w:tabs>
          <w:tab w:leader="none" w:pos="1530"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134" w:lineRule="exact"/>
        <w:rPr>
          <w:rFonts w:ascii="Times New Roman" w:cs="Times New Roman" w:eastAsia="Times New Roman" w:hAnsi="Times New Roman"/>
          <w:sz w:val="18"/>
          <w:szCs w:val="18"/>
          <w:color w:val="auto"/>
        </w:rPr>
      </w:pPr>
    </w:p>
    <w:p>
      <w:pPr>
        <w:ind w:left="1540" w:right="180" w:hanging="479"/>
        <w:spacing w:after="0" w:line="282" w:lineRule="auto"/>
        <w:tabs>
          <w:tab w:leader="none" w:pos="1540"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06" w:lineRule="exact"/>
        <w:rPr>
          <w:sz w:val="20"/>
          <w:szCs w:val="20"/>
          <w:color w:val="auto"/>
        </w:rPr>
      </w:pPr>
    </w:p>
    <w:p>
      <w:pPr>
        <w:ind w:right="24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paragraphs (A)(1)(i) and (A)(1)(ii) do not apply if the information required to be included in a post-effective amendment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those paragraphs is contained in reports filed with or furnished to the</w:t>
      </w:r>
    </w:p>
    <w:p>
      <w:pPr>
        <w:sectPr>
          <w:pgSz w:w="11900" w:h="16838" w:orient="portrait"/>
          <w:cols w:equalWidth="0" w:num="1">
            <w:col w:w="11240"/>
          </w:cols>
          <w:pgMar w:left="320" w:top="1440" w:right="339" w:bottom="1440" w:gutter="0" w:footer="0" w:header="0"/>
        </w:sectPr>
      </w:pPr>
    </w:p>
    <w:bookmarkStart w:id="5" w:name="page6"/>
    <w:bookmarkEnd w:id="5"/>
    <w:p>
      <w:pPr>
        <w:spacing w:after="0" w:line="140"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Commission by the Registrant pursuant to Section 13 or Section 15(d) of the Exchange Act that are incorporated by reference in this Registration Statement.</w:t>
      </w:r>
    </w:p>
    <w:p>
      <w:pPr>
        <w:spacing w:after="0" w:line="108" w:lineRule="exact"/>
        <w:rPr>
          <w:sz w:val="20"/>
          <w:szCs w:val="20"/>
          <w:color w:val="auto"/>
        </w:rPr>
      </w:pPr>
    </w:p>
    <w:p>
      <w:pPr>
        <w:ind w:left="1060" w:hanging="404"/>
        <w:spacing w:after="0" w:line="266" w:lineRule="auto"/>
        <w:tabs>
          <w:tab w:leader="none" w:pos="105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21" w:lineRule="exact"/>
        <w:rPr>
          <w:rFonts w:ascii="Times New Roman" w:cs="Times New Roman" w:eastAsia="Times New Roman" w:hAnsi="Times New Roman"/>
          <w:sz w:val="18"/>
          <w:szCs w:val="18"/>
          <w:color w:val="auto"/>
        </w:rPr>
      </w:pPr>
    </w:p>
    <w:p>
      <w:pPr>
        <w:ind w:left="1060" w:right="220" w:hanging="404"/>
        <w:spacing w:after="0" w:line="282" w:lineRule="auto"/>
        <w:tabs>
          <w:tab w:leader="none" w:pos="105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will remove from registration by means of a post-effective amendment any of the securities being registered which remain unsold at the termination of the offering.</w:t>
      </w:r>
    </w:p>
    <w:p>
      <w:pPr>
        <w:spacing w:after="0" w:line="107" w:lineRule="exact"/>
        <w:rPr>
          <w:rFonts w:ascii="Times New Roman" w:cs="Times New Roman" w:eastAsia="Times New Roman" w:hAnsi="Times New Roman"/>
          <w:sz w:val="18"/>
          <w:szCs w:val="18"/>
          <w:color w:val="auto"/>
        </w:rPr>
      </w:pPr>
    </w:p>
    <w:p>
      <w:pPr>
        <w:ind w:left="660" w:right="20" w:hanging="328"/>
        <w:spacing w:after="0" w:line="258" w:lineRule="auto"/>
        <w:tabs>
          <w:tab w:leader="none" w:pos="64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29" w:lineRule="exact"/>
        <w:rPr>
          <w:rFonts w:ascii="Times New Roman" w:cs="Times New Roman" w:eastAsia="Times New Roman" w:hAnsi="Times New Roman"/>
          <w:sz w:val="18"/>
          <w:szCs w:val="18"/>
          <w:color w:val="auto"/>
        </w:rPr>
      </w:pPr>
    </w:p>
    <w:p>
      <w:pPr>
        <w:ind w:left="660" w:right="40" w:hanging="328"/>
        <w:spacing w:after="0" w:line="254" w:lineRule="auto"/>
        <w:tabs>
          <w:tab w:leader="none" w:pos="64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pgSz w:w="11900" w:h="16838" w:orient="portrait"/>
          <w:cols w:equalWidth="0" w:num="1">
            <w:col w:w="11200"/>
          </w:cols>
          <w:pgMar w:left="320" w:top="1440" w:right="379" w:bottom="1440" w:gutter="0" w:footer="0" w:header="0"/>
        </w:sectPr>
      </w:pPr>
    </w:p>
    <w:bookmarkStart w:id="6" w:name="page7"/>
    <w:bookmarkEnd w:id="6"/>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60" w:firstLine="324"/>
        <w:spacing w:after="0" w:line="268"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Redwood City, California, on the 4</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day of December, 2020.</w:t>
      </w:r>
    </w:p>
    <w:p>
      <w:pPr>
        <w:spacing w:after="0" w:line="102"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337" w:lineRule="exact"/>
        <w:rPr>
          <w:sz w:val="20"/>
          <w:szCs w:val="20"/>
          <w:color w:val="auto"/>
        </w:rPr>
      </w:pPr>
    </w:p>
    <w:p>
      <w:pPr>
        <w:ind w:left="5880"/>
        <w:spacing w:after="0"/>
        <w:tabs>
          <w:tab w:leader="none" w:pos="64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Omid Farokhzad,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4093845</wp:posOffset>
            </wp:positionH>
            <wp:positionV relativeFrom="paragraph">
              <wp:posOffset>34290</wp:posOffset>
            </wp:positionV>
            <wp:extent cx="30429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57"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color w:val="auto"/>
        </w:rPr>
        <w:t>Omid Farokhzad, M.D.</w:t>
      </w:r>
    </w:p>
    <w:p>
      <w:pPr>
        <w:spacing w:after="0" w:line="63"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75"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hereby constitutes and appoints Omid Farokhzad, M.D. and David Horn as his or her lawful attorney-in-fact and agent with full power of substitution, for him or her in any and all capacities, to sign any and all amendments to this registration statement on Form S-8 (including post-effective amendments), and to file the same, with all exhibits thereto and other documents in connection therewith, with the Securities and Exchange Commission, granting unto said attorney in fact, proxy and agent full power and authority to do and perform each and every act and thing requisite and necessary to be done in connection therewith, as fully for all intents and purposes as he might or could do in person, hereby ratifying and confirming all that said attorney-in-fact, proxy and agent, or his substitute, may lawfully do or cause to be done by virtue hereof.</w:t>
      </w:r>
    </w:p>
    <w:p>
      <w:pPr>
        <w:spacing w:after="0" w:line="135" w:lineRule="exact"/>
        <w:rPr>
          <w:sz w:val="20"/>
          <w:szCs w:val="20"/>
          <w:color w:val="auto"/>
        </w:rPr>
      </w:pPr>
    </w:p>
    <w:p>
      <w:pPr>
        <w:ind w:right="38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on Form S-8 has been signed by the following persons in the capacities and on the dates indicated: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00" w:type="dxa"/>
            <w:vAlign w:val="bottom"/>
          </w:tcPr>
          <w:p>
            <w:pPr>
              <w:spacing w:after="0"/>
              <w:rPr>
                <w:sz w:val="16"/>
                <w:szCs w:val="16"/>
                <w:color w:val="auto"/>
              </w:rPr>
            </w:pPr>
          </w:p>
        </w:tc>
        <w:tc>
          <w:tcPr>
            <w:tcW w:w="3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00" w:type="dxa"/>
            <w:vAlign w:val="bottom"/>
          </w:tcPr>
          <w:p>
            <w:pPr>
              <w:spacing w:after="0"/>
              <w:rPr>
                <w:sz w:val="16"/>
                <w:szCs w:val="16"/>
                <w:color w:val="auto"/>
              </w:rPr>
            </w:pPr>
          </w:p>
        </w:tc>
        <w:tc>
          <w:tcPr>
            <w:tcW w:w="3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201"/>
        </w:trPr>
        <w:tc>
          <w:tcPr>
            <w:tcW w:w="36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 Omid Farokhzad, M.D.</w:t>
            </w:r>
          </w:p>
        </w:tc>
        <w:tc>
          <w:tcPr>
            <w:tcW w:w="100" w:type="dxa"/>
            <w:vAlign w:val="bottom"/>
          </w:tcPr>
          <w:p>
            <w:pPr>
              <w:spacing w:after="0"/>
              <w:rPr>
                <w:sz w:val="17"/>
                <w:szCs w:val="17"/>
                <w:color w:val="auto"/>
              </w:rPr>
            </w:pPr>
          </w:p>
        </w:tc>
        <w:tc>
          <w:tcPr>
            <w:tcW w:w="3780" w:type="dxa"/>
            <w:vAlign w:val="bottom"/>
            <w:gridSpan w:val="2"/>
          </w:tcPr>
          <w:p>
            <w:pPr>
              <w:jc w:val="center"/>
              <w:ind w:right="100"/>
              <w:spacing w:after="0" w:line="201" w:lineRule="exact"/>
              <w:rPr>
                <w:sz w:val="20"/>
                <w:szCs w:val="20"/>
                <w:color w:val="auto"/>
              </w:rPr>
            </w:pPr>
            <w:r>
              <w:rPr>
                <w:rFonts w:ascii="Times New Roman" w:cs="Times New Roman" w:eastAsia="Times New Roman" w:hAnsi="Times New Roman"/>
                <w:sz w:val="18"/>
                <w:szCs w:val="18"/>
                <w:color w:val="auto"/>
              </w:rPr>
              <w:t>Chief Executive Officer and</w:t>
            </w:r>
          </w:p>
        </w:tc>
        <w:tc>
          <w:tcPr>
            <w:tcW w:w="36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December 4, 2020</w:t>
            </w:r>
          </w:p>
        </w:tc>
        <w:tc>
          <w:tcPr>
            <w:tcW w:w="0" w:type="dxa"/>
            <w:vAlign w:val="bottom"/>
          </w:tcPr>
          <w:p>
            <w:pPr>
              <w:spacing w:after="0"/>
              <w:rPr>
                <w:sz w:val="1"/>
                <w:szCs w:val="1"/>
                <w:color w:val="auto"/>
              </w:rPr>
            </w:pPr>
          </w:p>
        </w:tc>
      </w:tr>
      <w:tr>
        <w:trPr>
          <w:trHeight w:val="153"/>
        </w:trPr>
        <w:tc>
          <w:tcPr>
            <w:tcW w:w="368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37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7"/>
                <w:szCs w:val="17"/>
                <w:color w:val="auto"/>
              </w:rPr>
              <w:t>Chair of the Board of Directors</w:t>
            </w:r>
          </w:p>
        </w:tc>
        <w:tc>
          <w:tcPr>
            <w:tcW w:w="3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Omid Farokhzad, M.D.</w:t>
            </w:r>
          </w:p>
        </w:tc>
        <w:tc>
          <w:tcPr>
            <w:tcW w:w="100" w:type="dxa"/>
            <w:vAlign w:val="bottom"/>
          </w:tcPr>
          <w:p>
            <w:pPr>
              <w:spacing w:after="0"/>
              <w:rPr>
                <w:sz w:val="21"/>
                <w:szCs w:val="21"/>
                <w:color w:val="auto"/>
              </w:rPr>
            </w:pPr>
          </w:p>
        </w:tc>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Principal Executive Officer</w:t>
            </w:r>
            <w:r>
              <w:rPr>
                <w:rFonts w:ascii="Times New Roman" w:cs="Times New Roman" w:eastAsia="Times New Roman" w:hAnsi="Times New Roman"/>
                <w:sz w:val="18"/>
                <w:szCs w:val="18"/>
                <w:color w:val="auto"/>
                <w:w w:val="99"/>
              </w:rPr>
              <w:t>)</w:t>
            </w:r>
          </w:p>
        </w:tc>
        <w:tc>
          <w:tcPr>
            <w:tcW w:w="3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6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 David R. Horn</w:t>
            </w:r>
          </w:p>
        </w:tc>
        <w:tc>
          <w:tcPr>
            <w:tcW w:w="100" w:type="dxa"/>
            <w:vAlign w:val="bottom"/>
          </w:tcPr>
          <w:p>
            <w:pPr>
              <w:spacing w:after="0"/>
              <w:rPr>
                <w:sz w:val="22"/>
                <w:szCs w:val="22"/>
                <w:color w:val="auto"/>
              </w:rPr>
            </w:pPr>
          </w:p>
        </w:tc>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36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December 4, 2020</w:t>
            </w:r>
          </w:p>
        </w:tc>
        <w:tc>
          <w:tcPr>
            <w:tcW w:w="0" w:type="dxa"/>
            <w:vAlign w:val="bottom"/>
          </w:tcPr>
          <w:p>
            <w:pPr>
              <w:spacing w:after="0"/>
              <w:rPr>
                <w:sz w:val="1"/>
                <w:szCs w:val="1"/>
                <w:color w:val="auto"/>
              </w:rPr>
            </w:pPr>
          </w:p>
        </w:tc>
      </w:tr>
      <w:tr>
        <w:trPr>
          <w:trHeight w:val="153"/>
        </w:trPr>
        <w:tc>
          <w:tcPr>
            <w:tcW w:w="368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37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Principal Financial Officer and Accounting</w:t>
            </w:r>
          </w:p>
        </w:tc>
        <w:tc>
          <w:tcPr>
            <w:tcW w:w="3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David R. Horn</w:t>
            </w:r>
          </w:p>
        </w:tc>
        <w:tc>
          <w:tcPr>
            <w:tcW w:w="100" w:type="dxa"/>
            <w:vAlign w:val="bottom"/>
          </w:tcPr>
          <w:p>
            <w:pPr>
              <w:spacing w:after="0"/>
              <w:rPr>
                <w:sz w:val="21"/>
                <w:szCs w:val="21"/>
                <w:color w:val="auto"/>
              </w:rPr>
            </w:pPr>
          </w:p>
        </w:tc>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i w:val="1"/>
                <w:iCs w:val="1"/>
                <w:color w:val="auto"/>
                <w:w w:val="98"/>
              </w:rPr>
              <w:t>Officer</w:t>
            </w:r>
            <w:r>
              <w:rPr>
                <w:rFonts w:ascii="Times New Roman" w:cs="Times New Roman" w:eastAsia="Times New Roman" w:hAnsi="Times New Roman"/>
                <w:sz w:val="18"/>
                <w:szCs w:val="18"/>
                <w:color w:val="auto"/>
                <w:w w:val="98"/>
              </w:rPr>
              <w:t>)</w:t>
            </w:r>
          </w:p>
        </w:tc>
        <w:tc>
          <w:tcPr>
            <w:tcW w:w="3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3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David Hallal</w:t>
            </w:r>
          </w:p>
        </w:tc>
        <w:tc>
          <w:tcPr>
            <w:tcW w:w="100" w:type="dxa"/>
            <w:vAlign w:val="bottom"/>
          </w:tcPr>
          <w:p>
            <w:pPr>
              <w:spacing w:after="0"/>
              <w:rPr>
                <w:sz w:val="24"/>
                <w:szCs w:val="24"/>
                <w:color w:val="auto"/>
              </w:rPr>
            </w:pPr>
          </w:p>
        </w:tc>
        <w:tc>
          <w:tcPr>
            <w:tcW w:w="37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color w:val="auto"/>
              </w:rPr>
              <w:t>Lead Independent Director</w:t>
            </w:r>
          </w:p>
        </w:tc>
        <w:tc>
          <w:tcPr>
            <w:tcW w:w="36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December 4, 2020</w:t>
            </w:r>
          </w:p>
        </w:tc>
        <w:tc>
          <w:tcPr>
            <w:tcW w:w="0" w:type="dxa"/>
            <w:vAlign w:val="bottom"/>
          </w:tcPr>
          <w:p>
            <w:pPr>
              <w:spacing w:after="0"/>
              <w:rPr>
                <w:sz w:val="1"/>
                <w:szCs w:val="1"/>
                <w:color w:val="auto"/>
              </w:rPr>
            </w:pPr>
          </w:p>
        </w:tc>
      </w:tr>
      <w:tr>
        <w:trPr>
          <w:trHeight w:val="88"/>
        </w:trPr>
        <w:tc>
          <w:tcPr>
            <w:tcW w:w="36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David Hallal</w:t>
            </w:r>
          </w:p>
        </w:tc>
        <w:tc>
          <w:tcPr>
            <w:tcW w:w="100" w:type="dxa"/>
            <w:vAlign w:val="bottom"/>
          </w:tcPr>
          <w:p>
            <w:pPr>
              <w:spacing w:after="0"/>
              <w:rPr>
                <w:sz w:val="7"/>
                <w:szCs w:val="7"/>
                <w:color w:val="auto"/>
              </w:rPr>
            </w:pPr>
          </w:p>
        </w:tc>
        <w:tc>
          <w:tcPr>
            <w:tcW w:w="3780" w:type="dxa"/>
            <w:vAlign w:val="bottom"/>
            <w:gridSpan w:val="2"/>
            <w:vMerge w:val="continue"/>
          </w:tcPr>
          <w:p>
            <w:pPr>
              <w:spacing w:after="0"/>
              <w:rPr>
                <w:sz w:val="7"/>
                <w:szCs w:val="7"/>
                <w:color w:val="auto"/>
              </w:rPr>
            </w:pPr>
          </w:p>
        </w:tc>
        <w:tc>
          <w:tcPr>
            <w:tcW w:w="3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36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9"/>
        </w:trPr>
        <w:tc>
          <w:tcPr>
            <w:tcW w:w="3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Catherine Friedman</w:t>
            </w:r>
          </w:p>
        </w:tc>
        <w:tc>
          <w:tcPr>
            <w:tcW w:w="100" w:type="dxa"/>
            <w:vAlign w:val="bottom"/>
          </w:tcPr>
          <w:p>
            <w:pPr>
              <w:spacing w:after="0"/>
              <w:rPr>
                <w:sz w:val="24"/>
                <w:szCs w:val="24"/>
                <w:color w:val="auto"/>
              </w:rPr>
            </w:pPr>
          </w:p>
        </w:tc>
        <w:tc>
          <w:tcPr>
            <w:tcW w:w="37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36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December 4, 2020</w:t>
            </w:r>
          </w:p>
        </w:tc>
        <w:tc>
          <w:tcPr>
            <w:tcW w:w="0" w:type="dxa"/>
            <w:vAlign w:val="bottom"/>
          </w:tcPr>
          <w:p>
            <w:pPr>
              <w:spacing w:after="0"/>
              <w:rPr>
                <w:sz w:val="1"/>
                <w:szCs w:val="1"/>
                <w:color w:val="auto"/>
              </w:rPr>
            </w:pPr>
          </w:p>
        </w:tc>
      </w:tr>
      <w:tr>
        <w:trPr>
          <w:trHeight w:val="88"/>
        </w:trPr>
        <w:tc>
          <w:tcPr>
            <w:tcW w:w="36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Catherine Friedman</w:t>
            </w:r>
          </w:p>
        </w:tc>
        <w:tc>
          <w:tcPr>
            <w:tcW w:w="100" w:type="dxa"/>
            <w:vAlign w:val="bottom"/>
          </w:tcPr>
          <w:p>
            <w:pPr>
              <w:spacing w:after="0"/>
              <w:rPr>
                <w:sz w:val="7"/>
                <w:szCs w:val="7"/>
                <w:color w:val="auto"/>
              </w:rPr>
            </w:pPr>
          </w:p>
        </w:tc>
        <w:tc>
          <w:tcPr>
            <w:tcW w:w="3780" w:type="dxa"/>
            <w:vAlign w:val="bottom"/>
            <w:gridSpan w:val="2"/>
            <w:vMerge w:val="continue"/>
          </w:tcPr>
          <w:p>
            <w:pPr>
              <w:spacing w:after="0"/>
              <w:rPr>
                <w:sz w:val="7"/>
                <w:szCs w:val="7"/>
                <w:color w:val="auto"/>
              </w:rPr>
            </w:pPr>
          </w:p>
        </w:tc>
        <w:tc>
          <w:tcPr>
            <w:tcW w:w="3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36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9"/>
        </w:trPr>
        <w:tc>
          <w:tcPr>
            <w:tcW w:w="3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Robert Langer, Sc.D.</w:t>
            </w:r>
          </w:p>
        </w:tc>
        <w:tc>
          <w:tcPr>
            <w:tcW w:w="100" w:type="dxa"/>
            <w:vAlign w:val="bottom"/>
          </w:tcPr>
          <w:p>
            <w:pPr>
              <w:spacing w:after="0"/>
              <w:rPr>
                <w:sz w:val="24"/>
                <w:szCs w:val="24"/>
                <w:color w:val="auto"/>
              </w:rPr>
            </w:pPr>
          </w:p>
        </w:tc>
        <w:tc>
          <w:tcPr>
            <w:tcW w:w="37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36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December 4, 2020</w:t>
            </w:r>
          </w:p>
        </w:tc>
        <w:tc>
          <w:tcPr>
            <w:tcW w:w="0" w:type="dxa"/>
            <w:vAlign w:val="bottom"/>
          </w:tcPr>
          <w:p>
            <w:pPr>
              <w:spacing w:after="0"/>
              <w:rPr>
                <w:sz w:val="1"/>
                <w:szCs w:val="1"/>
                <w:color w:val="auto"/>
              </w:rPr>
            </w:pPr>
          </w:p>
        </w:tc>
      </w:tr>
      <w:tr>
        <w:trPr>
          <w:trHeight w:val="88"/>
        </w:trPr>
        <w:tc>
          <w:tcPr>
            <w:tcW w:w="36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Robert Langer, Sc.D.</w:t>
            </w:r>
          </w:p>
        </w:tc>
        <w:tc>
          <w:tcPr>
            <w:tcW w:w="100" w:type="dxa"/>
            <w:vAlign w:val="bottom"/>
          </w:tcPr>
          <w:p>
            <w:pPr>
              <w:spacing w:after="0"/>
              <w:rPr>
                <w:sz w:val="7"/>
                <w:szCs w:val="7"/>
                <w:color w:val="auto"/>
              </w:rPr>
            </w:pPr>
          </w:p>
        </w:tc>
        <w:tc>
          <w:tcPr>
            <w:tcW w:w="3780" w:type="dxa"/>
            <w:vAlign w:val="bottom"/>
            <w:gridSpan w:val="2"/>
            <w:vMerge w:val="continue"/>
          </w:tcPr>
          <w:p>
            <w:pPr>
              <w:spacing w:after="0"/>
              <w:rPr>
                <w:sz w:val="7"/>
                <w:szCs w:val="7"/>
                <w:color w:val="auto"/>
              </w:rPr>
            </w:pPr>
          </w:p>
        </w:tc>
        <w:tc>
          <w:tcPr>
            <w:tcW w:w="3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36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9"/>
        </w:trPr>
        <w:tc>
          <w:tcPr>
            <w:tcW w:w="3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Terrance McGuire</w:t>
            </w:r>
          </w:p>
        </w:tc>
        <w:tc>
          <w:tcPr>
            <w:tcW w:w="100" w:type="dxa"/>
            <w:vAlign w:val="bottom"/>
          </w:tcPr>
          <w:p>
            <w:pPr>
              <w:spacing w:after="0"/>
              <w:rPr>
                <w:sz w:val="24"/>
                <w:szCs w:val="24"/>
                <w:color w:val="auto"/>
              </w:rPr>
            </w:pPr>
          </w:p>
        </w:tc>
        <w:tc>
          <w:tcPr>
            <w:tcW w:w="37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36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December 4, 2020</w:t>
            </w:r>
          </w:p>
        </w:tc>
        <w:tc>
          <w:tcPr>
            <w:tcW w:w="0" w:type="dxa"/>
            <w:vAlign w:val="bottom"/>
          </w:tcPr>
          <w:p>
            <w:pPr>
              <w:spacing w:after="0"/>
              <w:rPr>
                <w:sz w:val="1"/>
                <w:szCs w:val="1"/>
                <w:color w:val="auto"/>
              </w:rPr>
            </w:pPr>
          </w:p>
        </w:tc>
      </w:tr>
      <w:tr>
        <w:trPr>
          <w:trHeight w:val="88"/>
        </w:trPr>
        <w:tc>
          <w:tcPr>
            <w:tcW w:w="36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Terrance McGuire</w:t>
            </w:r>
          </w:p>
        </w:tc>
        <w:tc>
          <w:tcPr>
            <w:tcW w:w="100" w:type="dxa"/>
            <w:vAlign w:val="bottom"/>
          </w:tcPr>
          <w:p>
            <w:pPr>
              <w:spacing w:after="0"/>
              <w:rPr>
                <w:sz w:val="7"/>
                <w:szCs w:val="7"/>
                <w:color w:val="auto"/>
              </w:rPr>
            </w:pPr>
          </w:p>
        </w:tc>
        <w:tc>
          <w:tcPr>
            <w:tcW w:w="3780" w:type="dxa"/>
            <w:vAlign w:val="bottom"/>
            <w:gridSpan w:val="2"/>
            <w:vMerge w:val="continue"/>
          </w:tcPr>
          <w:p>
            <w:pPr>
              <w:spacing w:after="0"/>
              <w:rPr>
                <w:sz w:val="7"/>
                <w:szCs w:val="7"/>
                <w:color w:val="auto"/>
              </w:rPr>
            </w:pPr>
          </w:p>
        </w:tc>
        <w:tc>
          <w:tcPr>
            <w:tcW w:w="3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36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9"/>
        </w:trPr>
        <w:tc>
          <w:tcPr>
            <w:tcW w:w="3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Omead Ostadan</w:t>
            </w:r>
          </w:p>
        </w:tc>
        <w:tc>
          <w:tcPr>
            <w:tcW w:w="100" w:type="dxa"/>
            <w:vAlign w:val="bottom"/>
          </w:tcPr>
          <w:p>
            <w:pPr>
              <w:spacing w:after="0"/>
              <w:rPr>
                <w:sz w:val="24"/>
                <w:szCs w:val="24"/>
                <w:color w:val="auto"/>
              </w:rPr>
            </w:pPr>
          </w:p>
        </w:tc>
        <w:tc>
          <w:tcPr>
            <w:tcW w:w="37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36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December 4, 2020</w:t>
            </w:r>
          </w:p>
        </w:tc>
        <w:tc>
          <w:tcPr>
            <w:tcW w:w="0" w:type="dxa"/>
            <w:vAlign w:val="bottom"/>
          </w:tcPr>
          <w:p>
            <w:pPr>
              <w:spacing w:after="0"/>
              <w:rPr>
                <w:sz w:val="1"/>
                <w:szCs w:val="1"/>
                <w:color w:val="auto"/>
              </w:rPr>
            </w:pPr>
          </w:p>
        </w:tc>
      </w:tr>
      <w:tr>
        <w:trPr>
          <w:trHeight w:val="88"/>
        </w:trPr>
        <w:tc>
          <w:tcPr>
            <w:tcW w:w="36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Omead Ostadan</w:t>
            </w:r>
          </w:p>
        </w:tc>
        <w:tc>
          <w:tcPr>
            <w:tcW w:w="100" w:type="dxa"/>
            <w:vAlign w:val="bottom"/>
          </w:tcPr>
          <w:p>
            <w:pPr>
              <w:spacing w:after="0"/>
              <w:rPr>
                <w:sz w:val="7"/>
                <w:szCs w:val="7"/>
                <w:color w:val="auto"/>
              </w:rPr>
            </w:pPr>
          </w:p>
        </w:tc>
        <w:tc>
          <w:tcPr>
            <w:tcW w:w="3780" w:type="dxa"/>
            <w:vAlign w:val="bottom"/>
            <w:gridSpan w:val="2"/>
            <w:vMerge w:val="continue"/>
          </w:tcPr>
          <w:p>
            <w:pPr>
              <w:spacing w:after="0"/>
              <w:rPr>
                <w:sz w:val="7"/>
                <w:szCs w:val="7"/>
                <w:color w:val="auto"/>
              </w:rPr>
            </w:pPr>
          </w:p>
        </w:tc>
        <w:tc>
          <w:tcPr>
            <w:tcW w:w="3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36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9"/>
        </w:trPr>
        <w:tc>
          <w:tcPr>
            <w:tcW w:w="3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David Singer</w:t>
            </w:r>
          </w:p>
        </w:tc>
        <w:tc>
          <w:tcPr>
            <w:tcW w:w="100" w:type="dxa"/>
            <w:vAlign w:val="bottom"/>
          </w:tcPr>
          <w:p>
            <w:pPr>
              <w:spacing w:after="0"/>
              <w:rPr>
                <w:sz w:val="24"/>
                <w:szCs w:val="24"/>
                <w:color w:val="auto"/>
              </w:rPr>
            </w:pPr>
          </w:p>
        </w:tc>
        <w:tc>
          <w:tcPr>
            <w:tcW w:w="37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36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December 4, 2020</w:t>
            </w:r>
          </w:p>
        </w:tc>
        <w:tc>
          <w:tcPr>
            <w:tcW w:w="0" w:type="dxa"/>
            <w:vAlign w:val="bottom"/>
          </w:tcPr>
          <w:p>
            <w:pPr>
              <w:spacing w:after="0"/>
              <w:rPr>
                <w:sz w:val="1"/>
                <w:szCs w:val="1"/>
                <w:color w:val="auto"/>
              </w:rPr>
            </w:pPr>
          </w:p>
        </w:tc>
      </w:tr>
      <w:tr>
        <w:trPr>
          <w:trHeight w:val="88"/>
        </w:trPr>
        <w:tc>
          <w:tcPr>
            <w:tcW w:w="36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David Singer</w:t>
            </w:r>
          </w:p>
        </w:tc>
        <w:tc>
          <w:tcPr>
            <w:tcW w:w="100" w:type="dxa"/>
            <w:vAlign w:val="bottom"/>
          </w:tcPr>
          <w:p>
            <w:pPr>
              <w:spacing w:after="0"/>
              <w:rPr>
                <w:sz w:val="7"/>
                <w:szCs w:val="7"/>
                <w:color w:val="auto"/>
              </w:rPr>
            </w:pPr>
          </w:p>
        </w:tc>
        <w:tc>
          <w:tcPr>
            <w:tcW w:w="3780" w:type="dxa"/>
            <w:vAlign w:val="bottom"/>
            <w:gridSpan w:val="2"/>
            <w:vMerge w:val="continue"/>
          </w:tcPr>
          <w:p>
            <w:pPr>
              <w:spacing w:after="0"/>
              <w:rPr>
                <w:sz w:val="7"/>
                <w:szCs w:val="7"/>
                <w:color w:val="auto"/>
              </w:rPr>
            </w:pPr>
          </w:p>
        </w:tc>
        <w:tc>
          <w:tcPr>
            <w:tcW w:w="3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36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7" w:name="page8"/>
    <w:bookmarkEnd w:id="7"/>
    <w:p>
      <w:pPr>
        <w:ind w:left="10340"/>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337185</wp:posOffset>
            </wp:positionV>
            <wp:extent cx="1071245" cy="4114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1071245" cy="41148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ind w:left="8820"/>
        <w:spacing w:after="0"/>
        <w:rPr>
          <w:sz w:val="20"/>
          <w:szCs w:val="20"/>
          <w:color w:val="auto"/>
        </w:rPr>
      </w:pPr>
      <w:r>
        <w:rPr>
          <w:rFonts w:ascii="Times New Roman" w:cs="Times New Roman" w:eastAsia="Times New Roman" w:hAnsi="Times New Roman"/>
          <w:sz w:val="16"/>
          <w:szCs w:val="16"/>
          <w:color w:val="auto"/>
        </w:rPr>
        <w:t>Wilson Sonsini Goodrich &amp; Rosati</w:t>
      </w:r>
    </w:p>
    <w:p>
      <w:pPr>
        <w:spacing w:after="0" w:line="26" w:lineRule="exact"/>
        <w:rPr>
          <w:sz w:val="20"/>
          <w:szCs w:val="20"/>
          <w:color w:val="auto"/>
        </w:rPr>
      </w:pPr>
    </w:p>
    <w:p>
      <w:pPr>
        <w:ind w:left="9540"/>
        <w:spacing w:after="0"/>
        <w:rPr>
          <w:sz w:val="20"/>
          <w:szCs w:val="20"/>
          <w:color w:val="auto"/>
        </w:rPr>
      </w:pPr>
      <w:r>
        <w:rPr>
          <w:rFonts w:ascii="Times New Roman" w:cs="Times New Roman" w:eastAsia="Times New Roman" w:hAnsi="Times New Roman"/>
          <w:sz w:val="16"/>
          <w:szCs w:val="16"/>
          <w:color w:val="auto"/>
        </w:rPr>
        <w:t>Professional Corporation</w:t>
      </w:r>
    </w:p>
    <w:p>
      <w:pPr>
        <w:spacing w:after="0" w:line="19" w:lineRule="exact"/>
        <w:rPr>
          <w:sz w:val="20"/>
          <w:szCs w:val="20"/>
          <w:color w:val="auto"/>
        </w:rPr>
      </w:pPr>
    </w:p>
    <w:p>
      <w:pPr>
        <w:ind w:left="9780"/>
        <w:spacing w:after="0"/>
        <w:rPr>
          <w:sz w:val="20"/>
          <w:szCs w:val="20"/>
          <w:color w:val="auto"/>
        </w:rPr>
      </w:pPr>
      <w:r>
        <w:rPr>
          <w:rFonts w:ascii="Times New Roman" w:cs="Times New Roman" w:eastAsia="Times New Roman" w:hAnsi="Times New Roman"/>
          <w:sz w:val="16"/>
          <w:szCs w:val="16"/>
          <w:color w:val="auto"/>
        </w:rPr>
        <w:t>650 Page Mill Road</w:t>
      </w:r>
    </w:p>
    <w:p>
      <w:pPr>
        <w:spacing w:after="0" w:line="15" w:lineRule="exact"/>
        <w:rPr>
          <w:sz w:val="20"/>
          <w:szCs w:val="20"/>
          <w:color w:val="auto"/>
        </w:rPr>
      </w:pPr>
    </w:p>
    <w:p>
      <w:pPr>
        <w:ind w:left="8980"/>
        <w:spacing w:after="0"/>
        <w:rPr>
          <w:sz w:val="20"/>
          <w:szCs w:val="20"/>
          <w:color w:val="auto"/>
        </w:rPr>
      </w:pPr>
      <w:r>
        <w:rPr>
          <w:rFonts w:ascii="Times New Roman" w:cs="Times New Roman" w:eastAsia="Times New Roman" w:hAnsi="Times New Roman"/>
          <w:sz w:val="16"/>
          <w:szCs w:val="16"/>
          <w:color w:val="auto"/>
        </w:rPr>
        <w:t>Palo Alto, California 94304-1050</w:t>
      </w:r>
    </w:p>
    <w:p>
      <w:pPr>
        <w:spacing w:after="0" w:line="8" w:lineRule="exact"/>
        <w:rPr>
          <w:sz w:val="20"/>
          <w:szCs w:val="20"/>
          <w:color w:val="auto"/>
        </w:rPr>
      </w:pPr>
    </w:p>
    <w:p>
      <w:pPr>
        <w:ind w:left="10140"/>
        <w:spacing w:after="0"/>
        <w:rPr>
          <w:sz w:val="20"/>
          <w:szCs w:val="20"/>
          <w:color w:val="auto"/>
        </w:rPr>
      </w:pPr>
      <w:r>
        <w:rPr>
          <w:rFonts w:ascii="Times New Roman" w:cs="Times New Roman" w:eastAsia="Times New Roman" w:hAnsi="Times New Roman"/>
          <w:sz w:val="14"/>
          <w:szCs w:val="14"/>
          <w:b w:val="1"/>
          <w:bCs w:val="1"/>
          <w:color w:val="auto"/>
        </w:rPr>
        <w:t>o: 650.493.9300</w:t>
      </w:r>
    </w:p>
    <w:p>
      <w:pPr>
        <w:spacing w:after="0" w:line="24" w:lineRule="exact"/>
        <w:rPr>
          <w:sz w:val="20"/>
          <w:szCs w:val="20"/>
          <w:color w:val="auto"/>
        </w:rPr>
      </w:pPr>
    </w:p>
    <w:p>
      <w:pPr>
        <w:ind w:left="10240"/>
        <w:spacing w:after="0"/>
        <w:rPr>
          <w:sz w:val="20"/>
          <w:szCs w:val="20"/>
          <w:color w:val="auto"/>
        </w:rPr>
      </w:pPr>
      <w:r>
        <w:rPr>
          <w:rFonts w:ascii="Times New Roman" w:cs="Times New Roman" w:eastAsia="Times New Roman" w:hAnsi="Times New Roman"/>
          <w:sz w:val="14"/>
          <w:szCs w:val="14"/>
          <w:b w:val="1"/>
          <w:bCs w:val="1"/>
          <w:color w:val="auto"/>
        </w:rPr>
        <w:t>f: 650.493.6811</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December 4, 2020</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Seer, Inc.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3800 Bridge Parkway, Suite 102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Redwood City, CA 94065</w:t>
      </w:r>
    </w:p>
    <w:p>
      <w:pPr>
        <w:spacing w:after="0" w:line="196"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2"/>
          <w:szCs w:val="22"/>
          <w:color w:val="auto"/>
        </w:rPr>
        <w:t>Re:</w:t>
      </w:r>
      <w:r>
        <w:rPr>
          <w:sz w:val="20"/>
          <w:szCs w:val="20"/>
          <w:color w:val="auto"/>
        </w:rPr>
        <w:tab/>
      </w:r>
      <w:r>
        <w:rPr>
          <w:rFonts w:ascii="Times New Roman" w:cs="Times New Roman" w:eastAsia="Times New Roman" w:hAnsi="Times New Roman"/>
          <w:sz w:val="21"/>
          <w:szCs w:val="21"/>
          <w:color w:val="auto"/>
        </w:rPr>
        <w:t>Registration Statement on Form S-8</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Ladies and Gentlemen:</w:t>
      </w:r>
    </w:p>
    <w:p>
      <w:pPr>
        <w:spacing w:after="0" w:line="216"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We have examined the Registration Statement on Form S-8 (the “</w:t>
      </w:r>
      <w:r>
        <w:rPr>
          <w:rFonts w:ascii="Times New Roman" w:cs="Times New Roman" w:eastAsia="Times New Roman" w:hAnsi="Times New Roman"/>
          <w:sz w:val="22"/>
          <w:szCs w:val="22"/>
          <w:b w:val="1"/>
          <w:bCs w:val="1"/>
          <w:color w:val="auto"/>
        </w:rPr>
        <w:t>Registration Statement</w:t>
      </w:r>
      <w:r>
        <w:rPr>
          <w:rFonts w:ascii="Times New Roman" w:cs="Times New Roman" w:eastAsia="Times New Roman" w:hAnsi="Times New Roman"/>
          <w:sz w:val="22"/>
          <w:szCs w:val="22"/>
          <w:color w:val="auto"/>
        </w:rPr>
        <w:t>”) to be filed by Seer, Inc., a Delaware corporation (the “Company”), with the Securities and Exchange Commission on or about the date hereof, relating to the registration under the Securities Act of 1933, as amended, of (i) 5,336,569 shares of Class A common stock, par value $0.00001 per share (“</w:t>
      </w:r>
      <w:r>
        <w:rPr>
          <w:rFonts w:ascii="Times New Roman" w:cs="Times New Roman" w:eastAsia="Times New Roman" w:hAnsi="Times New Roman"/>
          <w:sz w:val="22"/>
          <w:szCs w:val="22"/>
          <w:b w:val="1"/>
          <w:bCs w:val="1"/>
          <w:color w:val="auto"/>
        </w:rPr>
        <w:t>Common Stock</w:t>
      </w:r>
      <w:r>
        <w:rPr>
          <w:rFonts w:ascii="Times New Roman" w:cs="Times New Roman" w:eastAsia="Times New Roman" w:hAnsi="Times New Roman"/>
          <w:sz w:val="22"/>
          <w:szCs w:val="22"/>
          <w:color w:val="auto"/>
        </w:rPr>
        <w:t>”), reserved for issuance pursuant to the Company’s 2020 Equity Incentive Plan, (ii) 602,570 shares of Common Stock reserved for issuance pursuant to the Company’s 2020 Employee Stock Purchase Plan, (iii) 381,922 shares of Common Stock reserved for issuance pursuant to restricted stock unit awards outstanding under the Amended and Restated 2020 RSU Equity Incentive Plan, and (iv) 8,095,133 shares of Common Stock reserved for issuance pursuant to options outstanding under the Company’s Amended and Restated 2017 Stock Incentive Plan (which plans are referred to herein as the “</w:t>
      </w:r>
      <w:r>
        <w:rPr>
          <w:rFonts w:ascii="Times New Roman" w:cs="Times New Roman" w:eastAsia="Times New Roman" w:hAnsi="Times New Roman"/>
          <w:sz w:val="22"/>
          <w:szCs w:val="22"/>
          <w:b w:val="1"/>
          <w:bCs w:val="1"/>
          <w:color w:val="auto"/>
        </w:rPr>
        <w:t>Plans</w:t>
      </w:r>
      <w:r>
        <w:rPr>
          <w:rFonts w:ascii="Times New Roman" w:cs="Times New Roman" w:eastAsia="Times New Roman" w:hAnsi="Times New Roman"/>
          <w:sz w:val="22"/>
          <w:szCs w:val="22"/>
          <w:color w:val="auto"/>
        </w:rPr>
        <w:t>” and which shares of Common Stock are referred to herein as the “</w:t>
      </w:r>
      <w:r>
        <w:rPr>
          <w:rFonts w:ascii="Times New Roman" w:cs="Times New Roman" w:eastAsia="Times New Roman" w:hAnsi="Times New Roman"/>
          <w:sz w:val="22"/>
          <w:szCs w:val="22"/>
          <w:b w:val="1"/>
          <w:bCs w:val="1"/>
          <w:color w:val="auto"/>
        </w:rPr>
        <w:t>Shares</w:t>
      </w:r>
      <w:r>
        <w:rPr>
          <w:rFonts w:ascii="Times New Roman" w:cs="Times New Roman" w:eastAsia="Times New Roman" w:hAnsi="Times New Roman"/>
          <w:sz w:val="22"/>
          <w:szCs w:val="22"/>
          <w:color w:val="auto"/>
        </w:rPr>
        <w:t>”).</w:t>
      </w:r>
    </w:p>
    <w:p>
      <w:pPr>
        <w:spacing w:after="0" w:line="18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On the basis of the foregoing, and in reliance thereon, we are of the opinion that the Shares, when issued and sold in the manner referred to in the Plans and pursuant to the agreements that accompany the Plans, will be validly issued, fully paid, and nonassessable.</w:t>
      </w:r>
    </w:p>
    <w:p>
      <w:pPr>
        <w:spacing w:after="0" w:line="17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We consent to the use of this opinion as an exhibit to the Registration Statement and further consent to the use of our name wherever appearing in the Registration Statement and any amendments thereto.</w:t>
      </w:r>
    </w:p>
    <w:p>
      <w:pPr>
        <w:spacing w:after="0" w:line="212"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22"/>
          <w:szCs w:val="22"/>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2"/>
          <w:szCs w:val="22"/>
          <w:color w:val="auto"/>
        </w:rPr>
        <w:t>/s/ WILSON SONSINI GOODRICH &amp; ROSATI, P.C.</w:t>
      </w:r>
    </w:p>
    <w:p>
      <w:pPr>
        <w:spacing w:after="0" w:line="200" w:lineRule="exact"/>
        <w:rPr>
          <w:sz w:val="20"/>
          <w:szCs w:val="20"/>
          <w:color w:val="auto"/>
        </w:rPr>
      </w:pPr>
    </w:p>
    <w:p>
      <w:pPr>
        <w:spacing w:after="0" w:line="398"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2"/>
          <w:szCs w:val="22"/>
          <w:color w:val="auto"/>
        </w:rPr>
        <w:t>WILSON SONSINI GOODRICH &amp; ROSATI</w:t>
      </w:r>
    </w:p>
    <w:p>
      <w:pPr>
        <w:spacing w:after="0" w:line="58"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2"/>
          <w:szCs w:val="22"/>
          <w:color w:val="auto"/>
        </w:rPr>
        <w:t>Professional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tabs>
          <w:tab w:leader="none" w:pos="160" w:val="left"/>
          <w:tab w:leader="none" w:pos="160" w:val="left"/>
          <w:tab w:leader="none" w:pos="160" w:val="left"/>
          <w:tab w:leader="none" w:pos="160" w:val="left"/>
          <w:tab w:leader="none" w:pos="160" w:val="left"/>
          <w:tab w:leader="none" w:pos="160" w:val="left"/>
          <w:tab w:leader="none" w:pos="160" w:val="left"/>
          <w:tab w:leader="none" w:pos="160" w:val="left"/>
        </w:tabs>
        <w:rPr>
          <w:sz w:val="20"/>
          <w:szCs w:val="20"/>
          <w:color w:val="auto"/>
        </w:rPr>
      </w:pPr>
      <w:r>
        <w:rPr>
          <w:rFonts w:ascii="Times New Roman" w:cs="Times New Roman" w:eastAsia="Times New Roman" w:hAnsi="Times New Roman"/>
          <w:sz w:val="14"/>
          <w:szCs w:val="14"/>
          <w:b w:val="1"/>
          <w:bCs w:val="1"/>
          <w:color w:val="auto"/>
        </w:rPr>
        <w:t>AUSTIN</w:t>
        <w:tab/>
        <w:t>BEIJING</w:t>
        <w:tab/>
        <w:t>BOSTON</w:t>
        <w:tab/>
        <w:t>BRUSSELS</w:t>
        <w:tab/>
        <w:t>HONG KONG</w:t>
        <w:tab/>
        <w:t>LONDON</w:t>
        <w:tab/>
        <w:t>LOS ANGELES</w:t>
        <w:tab/>
        <w:t>NEW YORK</w:t>
      </w:r>
      <w:r>
        <w:rPr>
          <w:sz w:val="20"/>
          <w:szCs w:val="20"/>
          <w:color w:val="auto"/>
        </w:rPr>
        <w:tab/>
      </w:r>
      <w:r>
        <w:rPr>
          <w:rFonts w:ascii="Times New Roman" w:cs="Times New Roman" w:eastAsia="Times New Roman" w:hAnsi="Times New Roman"/>
          <w:sz w:val="13"/>
          <w:szCs w:val="13"/>
          <w:b w:val="1"/>
          <w:bCs w:val="1"/>
          <w:color w:val="auto"/>
        </w:rPr>
        <w:t>PALO ALTO</w:t>
      </w:r>
    </w:p>
    <w:p>
      <w:pPr>
        <w:spacing w:after="0" w:line="42" w:lineRule="exact"/>
        <w:rPr>
          <w:sz w:val="20"/>
          <w:szCs w:val="20"/>
          <w:color w:val="auto"/>
        </w:rPr>
      </w:pPr>
    </w:p>
    <w:p>
      <w:pPr>
        <w:jc w:val="center"/>
        <w:spacing w:after="0"/>
        <w:tabs>
          <w:tab w:leader="none" w:pos="160" w:val="left"/>
          <w:tab w:leader="none" w:pos="160" w:val="left"/>
          <w:tab w:leader="none" w:pos="160" w:val="left"/>
          <w:tab w:leader="none" w:pos="160" w:val="left"/>
          <w:tab w:leader="none" w:pos="160" w:val="left"/>
        </w:tabs>
        <w:rPr>
          <w:sz w:val="20"/>
          <w:szCs w:val="20"/>
          <w:color w:val="auto"/>
        </w:rPr>
      </w:pPr>
      <w:r>
        <w:rPr>
          <w:rFonts w:ascii="Times New Roman" w:cs="Times New Roman" w:eastAsia="Times New Roman" w:hAnsi="Times New Roman"/>
          <w:sz w:val="14"/>
          <w:szCs w:val="14"/>
          <w:b w:val="1"/>
          <w:bCs w:val="1"/>
          <w:color w:val="auto"/>
        </w:rPr>
        <w:t>SAN DIEGO</w:t>
        <w:tab/>
        <w:t>SAN FRANCISCO</w:t>
        <w:tab/>
        <w:t>SEATTLE</w:t>
        <w:tab/>
        <w:t>SHANGHAI</w:t>
        <w:tab/>
        <w:t>WASHINGTON, DC</w:t>
        <w:tab/>
        <w:t>WILMINGTON, DE</w:t>
      </w:r>
    </w:p>
    <w:p>
      <w:pPr>
        <w:sectPr>
          <w:pgSz w:w="11900" w:h="16838" w:orient="portrait"/>
          <w:cols w:equalWidth="0" w:num="1">
            <w:col w:w="11240"/>
          </w:cols>
          <w:pgMar w:left="320" w:top="117"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60" w:lineRule="exact"/>
        <w:rPr>
          <w:sz w:val="20"/>
          <w:szCs w:val="20"/>
          <w:color w:val="auto"/>
        </w:rPr>
      </w:pPr>
    </w:p>
    <w:p>
      <w:pPr>
        <w:ind w:right="40"/>
        <w:spacing w:after="0" w:line="270" w:lineRule="auto"/>
        <w:rPr>
          <w:sz w:val="20"/>
          <w:szCs w:val="20"/>
          <w:color w:val="auto"/>
        </w:rPr>
      </w:pPr>
      <w:r>
        <w:rPr>
          <w:rFonts w:ascii="Arial" w:cs="Arial" w:eastAsia="Arial" w:hAnsi="Arial"/>
          <w:sz w:val="18"/>
          <w:szCs w:val="18"/>
          <w:color w:val="auto"/>
        </w:rPr>
        <w:t>We consent to the incorporation by reference in this Registration Statement on Form S-8 of our report dated September 25, 2020 (November 30, 2020 as to the effects of the reverse stock split described in Note 2 and Note 14)</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relating to the financial statements of Seer, Inc. appearing in Registration Statement No. 333-250035 on Form S-1.</w:t>
      </w:r>
    </w:p>
    <w:p>
      <w:pPr>
        <w:spacing w:after="0" w:line="21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Deloitte &amp; Touche LLP</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San Francisco, California</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December 4, 2020</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1"/>
    </w:lvl>
  </w:abstractNum>
  <w:abstractNum w:abstractNumId="4">
    <w:nsid w:val="3D1B58BA"/>
    <w:multiLevelType w:val="hybridMultilevel"/>
    <w:lvl w:ilvl="0">
      <w:lvlJc w:val="left"/>
      <w:lvlText w:val="%1"/>
      <w:numFmt w:val="upperLetter"/>
      <w:start w:val="1"/>
    </w:lvl>
    <w:lvl w:ilvl="1">
      <w:lvlJc w:val="left"/>
      <w:lvlText w:val="(%2)"/>
      <w:numFmt w:val="decimal"/>
      <w:start w:val="2"/>
    </w:lvl>
  </w:abstractNum>
  <w:abstractNum w:abstractNumId="5">
    <w:nsid w:val="507ED7AB"/>
    <w:multiLevelType w:val="hybridMultilevel"/>
    <w:lvl w:ilvl="0">
      <w:lvlJc w:val="left"/>
      <w:lvlText w:val="%1."/>
      <w:numFmt w:val="upperLetter"/>
      <w:start w:val="2"/>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jpeg"/><Relationship Id="rId14" Type="http://schemas.openxmlformats.org/officeDocument/2006/relationships/hyperlink" Target="https://www.sec.gov/Archives/edgar/data/1726445/000162828020016325/exhibit41-stockcertifi.htm" TargetMode="External"/><Relationship Id="rId15" Type="http://schemas.openxmlformats.org/officeDocument/2006/relationships/hyperlink" Target="https://www.sec.gov/Archives/edgar/data/1726445/000162828020016863/exhibit102-sx1a1.htm" TargetMode="External"/><Relationship Id="rId16" Type="http://schemas.openxmlformats.org/officeDocument/2006/relationships/hyperlink" Target="https://www.sec.gov/Archives/edgar/data/1726445/000162828020016863/exhibit105-sx1a1.htm" TargetMode="External"/><Relationship Id="rId17" Type="http://schemas.openxmlformats.org/officeDocument/2006/relationships/hyperlink" Target="https://www.sec.gov/Archives/edgar/data/1726445/000162828020016863/exhibit104-sx1a1.htm" TargetMode="External"/><Relationship Id="rId18" Type="http://schemas.openxmlformats.org/officeDocument/2006/relationships/hyperlink" Target="https://www.sec.gov/Archives/edgar/data/1726445/000162828020016863/exhibit103-sx1a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2020-12-04T16:27:09Z</dcterms:created>
  <dcterms:modified xsi:type="dcterms:W3CDTF">2020-12-04T16:27:09Z</dcterms:modified>
</cp:coreProperties>
</file>