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395605</wp:posOffset>
            </wp:positionH>
            <wp:positionV relativeFrom="page">
              <wp:posOffset>1065530</wp:posOffset>
            </wp:positionV>
            <wp:extent cx="7008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8495" cy="8255"/>
                    </a:xfrm>
                    <a:prstGeom prst="rect">
                      <a:avLst/>
                    </a:prstGeom>
                    <a:noFill/>
                  </pic:spPr>
                </pic:pic>
              </a:graphicData>
            </a:graphic>
          </wp:anchor>
        </w:drawing>
        <w:drawing>
          <wp:anchor simplePos="0" relativeHeight="251657728" behindDoc="1" locked="0" layoutInCell="0" allowOverlap="1">
            <wp:simplePos x="0" y="0"/>
            <wp:positionH relativeFrom="page">
              <wp:posOffset>395605</wp:posOffset>
            </wp:positionH>
            <wp:positionV relativeFrom="page">
              <wp:posOffset>1033780</wp:posOffset>
            </wp:positionV>
            <wp:extent cx="7008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849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174" w:lineRule="exact"/>
        <w:rPr>
          <w:sz w:val="24"/>
          <w:szCs w:val="24"/>
          <w:color w:val="auto"/>
        </w:rPr>
      </w:pPr>
    </w:p>
    <w:p>
      <w:pPr>
        <w:ind w:left="300"/>
        <w:spacing w:after="0"/>
        <w:rPr>
          <w:sz w:val="20"/>
          <w:szCs w:val="20"/>
          <w:color w:val="auto"/>
        </w:rPr>
      </w:pPr>
      <w:r>
        <w:rPr>
          <w:rFonts w:ascii="Arial" w:cs="Arial" w:eastAsia="Arial" w:hAnsi="Arial"/>
          <w:sz w:val="17"/>
          <w:szCs w:val="17"/>
          <w:color w:val="auto"/>
        </w:rPr>
        <w:t>(Mark one)</w:t>
      </w:r>
    </w:p>
    <w:p>
      <w:pPr>
        <w:spacing w:after="0" w:line="158" w:lineRule="exact"/>
        <w:rPr>
          <w:sz w:val="24"/>
          <w:szCs w:val="24"/>
          <w:color w:val="auto"/>
        </w:rPr>
      </w:pPr>
    </w:p>
    <w:p>
      <w:pPr>
        <w:ind w:left="300"/>
        <w:spacing w:after="0"/>
        <w:rPr>
          <w:sz w:val="20"/>
          <w:szCs w:val="20"/>
          <w:color w:val="auto"/>
        </w:rPr>
      </w:pPr>
      <w:r>
        <w:rPr>
          <w:rFonts w:ascii="Arial" w:cs="Arial" w:eastAsia="Arial" w:hAnsi="Arial"/>
          <w:sz w:val="15"/>
          <w:szCs w:val="15"/>
          <w:color w:val="auto"/>
        </w:rPr>
        <w:t>[X] QUARTERLY REPORT 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For the quarterly period ended September 30, 2021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w:t>
      </w:r>
    </w:p>
    <w:p>
      <w:pPr>
        <w:spacing w:after="0" w:line="139" w:lineRule="exact"/>
        <w:rPr>
          <w:sz w:val="24"/>
          <w:szCs w:val="24"/>
          <w:color w:val="auto"/>
        </w:rPr>
      </w:pPr>
    </w:p>
    <w:p>
      <w:pPr>
        <w:ind w:left="300"/>
        <w:spacing w:after="0"/>
        <w:rPr>
          <w:sz w:val="20"/>
          <w:szCs w:val="20"/>
          <w:color w:val="auto"/>
        </w:rPr>
      </w:pPr>
      <w:r>
        <w:rPr>
          <w:rFonts w:ascii="Arial" w:cs="Arial" w:eastAsia="Arial" w:hAnsi="Arial"/>
          <w:sz w:val="16"/>
          <w:szCs w:val="16"/>
          <w:color w:val="auto"/>
        </w:rPr>
        <w:t>[ ] TRANSITION REPORT PURSUANT TO SECTION 13 OR 15(d) OF THE SECURITIES EXCHANGE ACT OF 1934</w:t>
      </w:r>
    </w:p>
    <w:p>
      <w:pPr>
        <w:spacing w:after="0" w:line="173" w:lineRule="exact"/>
        <w:rPr>
          <w:sz w:val="24"/>
          <w:szCs w:val="24"/>
          <w:color w:val="auto"/>
        </w:rPr>
      </w:pPr>
    </w:p>
    <w:p>
      <w:pPr>
        <w:ind w:left="3480"/>
        <w:spacing w:after="0"/>
        <w:rPr>
          <w:sz w:val="20"/>
          <w:szCs w:val="20"/>
          <w:color w:val="auto"/>
        </w:rPr>
      </w:pPr>
      <w:r>
        <w:rPr>
          <w:rFonts w:ascii="Arial" w:cs="Arial" w:eastAsia="Arial" w:hAnsi="Arial"/>
          <w:sz w:val="15"/>
          <w:szCs w:val="15"/>
          <w:color w:val="auto"/>
        </w:rPr>
        <w:t>For the transition period from _______________ to 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Commission file number 001-39747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144145</wp:posOffset>
            </wp:positionV>
            <wp:extent cx="1921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7"/>
          <w:szCs w:val="37"/>
          <w:b w:val="1"/>
          <w:bCs w:val="1"/>
          <w:color w:val="auto"/>
        </w:rPr>
        <w:t>SEER, INC.</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jc w:val="right"/>
        <w:ind w:right="8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53340</wp:posOffset>
            </wp:positionV>
            <wp:extent cx="1921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333" w:lineRule="exact"/>
        <w:rPr>
          <w:sz w:val="24"/>
          <w:szCs w:val="24"/>
          <w:color w:val="auto"/>
        </w:rPr>
      </w:pPr>
    </w:p>
    <w:p>
      <w:pPr>
        <w:jc w:val="center"/>
        <w:ind w:right="3280"/>
        <w:spacing w:after="0"/>
        <w:rPr>
          <w:sz w:val="20"/>
          <w:szCs w:val="20"/>
          <w:color w:val="auto"/>
        </w:rPr>
      </w:pPr>
      <w:r>
        <w:rPr>
          <w:rFonts w:ascii="Arial" w:cs="Arial" w:eastAsia="Arial" w:hAnsi="Arial"/>
          <w:sz w:val="13"/>
          <w:szCs w:val="13"/>
          <w:b w:val="1"/>
          <w:bCs w:val="1"/>
          <w:color w:val="auto"/>
        </w:rPr>
        <w:t>Delaware</w:t>
      </w:r>
    </w:p>
    <w:p>
      <w:pPr>
        <w:spacing w:after="0" w:line="40" w:lineRule="exact"/>
        <w:rPr>
          <w:sz w:val="24"/>
          <w:szCs w:val="24"/>
          <w:color w:val="auto"/>
        </w:rPr>
      </w:pPr>
    </w:p>
    <w:p>
      <w:pPr>
        <w:ind w:left="100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16" w:lineRule="exact"/>
        <w:rPr>
          <w:sz w:val="24"/>
          <w:szCs w:val="24"/>
          <w:color w:val="auto"/>
        </w:rPr>
      </w:pPr>
    </w:p>
    <w:p>
      <w:pPr>
        <w:ind w:left="1800"/>
        <w:spacing w:after="0"/>
        <w:rPr>
          <w:sz w:val="20"/>
          <w:szCs w:val="20"/>
          <w:color w:val="auto"/>
        </w:rPr>
      </w:pPr>
      <w:r>
        <w:rPr>
          <w:rFonts w:ascii="Arial" w:cs="Arial" w:eastAsia="Arial" w:hAnsi="Arial"/>
          <w:sz w:val="13"/>
          <w:szCs w:val="13"/>
          <w:b w:val="1"/>
          <w:bCs w:val="1"/>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4" w:lineRule="exact"/>
        <w:rPr>
          <w:sz w:val="24"/>
          <w:szCs w:val="24"/>
          <w:color w:val="auto"/>
        </w:rPr>
      </w:pPr>
    </w:p>
    <w:p>
      <w:pPr>
        <w:jc w:val="center"/>
        <w:ind w:right="240"/>
        <w:spacing w:after="0"/>
        <w:rPr>
          <w:sz w:val="20"/>
          <w:szCs w:val="20"/>
          <w:color w:val="auto"/>
        </w:rPr>
      </w:pPr>
      <w:r>
        <w:rPr>
          <w:rFonts w:ascii="Arial" w:cs="Arial" w:eastAsia="Arial" w:hAnsi="Arial"/>
          <w:sz w:val="13"/>
          <w:szCs w:val="13"/>
          <w:b w:val="1"/>
          <w:bCs w:val="1"/>
          <w:color w:val="auto"/>
        </w:rPr>
        <w:t>82-1153150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2"/>
          <w:szCs w:val="12"/>
          <w:b w:val="1"/>
          <w:bCs w:val="1"/>
          <w:color w:val="auto"/>
        </w:rPr>
        <w:t>(I.R.S. Employer Identification Number)</w:t>
      </w:r>
    </w:p>
    <w:p>
      <w:pPr>
        <w:spacing w:after="0" w:line="389" w:lineRule="exact"/>
        <w:rPr>
          <w:sz w:val="24"/>
          <w:szCs w:val="24"/>
          <w:color w:val="auto"/>
        </w:rPr>
      </w:pPr>
    </w:p>
    <w:p>
      <w:pPr>
        <w:sectPr>
          <w:pgSz w:w="11900" w:h="16838" w:orient="portrait"/>
          <w:cols w:equalWidth="0" w:num="2">
            <w:col w:w="7940" w:space="720"/>
            <w:col w:w="2580"/>
          </w:cols>
          <w:pgMar w:left="320" w:top="1440" w:right="339" w:bottom="1440" w:gutter="0" w:footer="0" w:header="0"/>
          <w:type w:val="continuous"/>
        </w:sectPr>
      </w:pP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3800 Bridge Parkway, Suite 102</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Redwood City, California 94065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650-453-0000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53340</wp:posOffset>
            </wp:positionV>
            <wp:extent cx="1921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2610485</wp:posOffset>
            </wp:positionH>
            <wp:positionV relativeFrom="paragraph">
              <wp:posOffset>60960</wp:posOffset>
            </wp:positionV>
            <wp:extent cx="19215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191"/>
        </w:trPr>
        <w:tc>
          <w:tcPr>
            <w:tcW w:w="3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20" w:type="dxa"/>
            <w:vAlign w:val="bottom"/>
            <w:gridSpan w:val="2"/>
          </w:tcPr>
          <w:p>
            <w:pPr>
              <w:jc w:val="center"/>
              <w:ind w:right="40"/>
              <w:spacing w:after="0"/>
              <w:rPr>
                <w:sz w:val="20"/>
                <w:szCs w:val="20"/>
                <w:color w:val="auto"/>
              </w:rPr>
            </w:pPr>
            <w:r>
              <w:rPr>
                <w:rFonts w:ascii="Arial" w:cs="Arial" w:eastAsia="Arial" w:hAnsi="Arial"/>
                <w:sz w:val="15"/>
                <w:szCs w:val="15"/>
                <w:i w:val="1"/>
                <w:iCs w:val="1"/>
                <w:color w:val="auto"/>
                <w:w w:val="91"/>
              </w:rPr>
              <w:t>Copies to:</w:t>
            </w:r>
          </w:p>
        </w:tc>
        <w:tc>
          <w:tcPr>
            <w:tcW w:w="3980" w:type="dxa"/>
            <w:vAlign w:val="bottom"/>
          </w:tcPr>
          <w:p>
            <w:pPr>
              <w:spacing w:after="0"/>
              <w:rPr>
                <w:sz w:val="16"/>
                <w:szCs w:val="16"/>
                <w:color w:val="auto"/>
              </w:rPr>
            </w:pPr>
          </w:p>
        </w:tc>
      </w:tr>
      <w:tr>
        <w:trPr>
          <w:trHeight w:val="239"/>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Title of each class</w:t>
            </w:r>
          </w:p>
        </w:tc>
        <w:tc>
          <w:tcPr>
            <w:tcW w:w="60" w:type="dxa"/>
            <w:vAlign w:val="bottom"/>
          </w:tcPr>
          <w:p>
            <w:pPr>
              <w:spacing w:after="0"/>
              <w:rPr>
                <w:sz w:val="20"/>
                <w:szCs w:val="20"/>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Trading Symbol(s)</w:t>
            </w:r>
          </w:p>
        </w:tc>
        <w:tc>
          <w:tcPr>
            <w:tcW w:w="8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Name of Exchange on which registered</w:t>
            </w:r>
          </w:p>
        </w:tc>
      </w:tr>
      <w:tr>
        <w:trPr>
          <w:trHeight w:val="208"/>
        </w:trPr>
        <w:tc>
          <w:tcPr>
            <w:tcW w:w="4040" w:type="dxa"/>
            <w:vAlign w:val="bottom"/>
            <w:gridSpan w:val="2"/>
          </w:tcPr>
          <w:p>
            <w:pPr>
              <w:jc w:val="center"/>
              <w:ind w:right="60"/>
              <w:spacing w:after="0"/>
              <w:rPr>
                <w:sz w:val="20"/>
                <w:szCs w:val="20"/>
                <w:color w:val="auto"/>
              </w:rPr>
            </w:pPr>
            <w:r>
              <w:rPr>
                <w:rFonts w:ascii="Arial" w:cs="Arial" w:eastAsia="Arial" w:hAnsi="Arial"/>
                <w:sz w:val="15"/>
                <w:szCs w:val="15"/>
                <w:color w:val="auto"/>
                <w:w w:val="91"/>
              </w:rPr>
              <w:t>Common Stock, par value $0.00001</w:t>
            </w:r>
          </w:p>
        </w:tc>
        <w:tc>
          <w:tcPr>
            <w:tcW w:w="3220" w:type="dxa"/>
            <w:vAlign w:val="bottom"/>
            <w:gridSpan w:val="2"/>
          </w:tcPr>
          <w:p>
            <w:pPr>
              <w:jc w:val="center"/>
              <w:ind w:right="80"/>
              <w:spacing w:after="0"/>
              <w:rPr>
                <w:sz w:val="20"/>
                <w:szCs w:val="20"/>
                <w:color w:val="auto"/>
              </w:rPr>
            </w:pPr>
            <w:r>
              <w:rPr>
                <w:rFonts w:ascii="Arial" w:cs="Arial" w:eastAsia="Arial" w:hAnsi="Arial"/>
                <w:sz w:val="15"/>
                <w:szCs w:val="15"/>
                <w:color w:val="auto"/>
                <w:w w:val="92"/>
              </w:rPr>
              <w:t>SEER</w:t>
            </w:r>
          </w:p>
        </w:tc>
        <w:tc>
          <w:tcPr>
            <w:tcW w:w="3980" w:type="dxa"/>
            <w:vAlign w:val="bottom"/>
          </w:tcPr>
          <w:p>
            <w:pPr>
              <w:jc w:val="center"/>
              <w:spacing w:after="0"/>
              <w:rPr>
                <w:sz w:val="20"/>
                <w:szCs w:val="20"/>
                <w:color w:val="auto"/>
              </w:rPr>
            </w:pPr>
            <w:r>
              <w:rPr>
                <w:rFonts w:ascii="Arial" w:cs="Arial" w:eastAsia="Arial" w:hAnsi="Arial"/>
                <w:sz w:val="15"/>
                <w:szCs w:val="15"/>
                <w:color w:val="auto"/>
                <w:w w:val="95"/>
              </w:rPr>
              <w:t>NASDAQ Global Select Market</w:t>
            </w:r>
          </w:p>
        </w:tc>
      </w:tr>
    </w:tbl>
    <w:p>
      <w:pPr>
        <w:spacing w:after="0" w:line="200" w:lineRule="exact"/>
        <w:rPr>
          <w:sz w:val="24"/>
          <w:szCs w:val="24"/>
          <w:color w:val="auto"/>
        </w:rPr>
      </w:pPr>
    </w:p>
    <w:p>
      <w:pPr>
        <w:spacing w:after="0" w:line="202" w:lineRule="exact"/>
        <w:rPr>
          <w:sz w:val="24"/>
          <w:szCs w:val="24"/>
          <w:color w:val="auto"/>
        </w:rPr>
      </w:pPr>
    </w:p>
    <w:p>
      <w:pPr>
        <w:ind w:right="8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ind w:right="100"/>
        <w:spacing w:after="0" w:line="30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480" w:type="dxa"/>
        <w:tblCellMar>
          <w:top w:w="0" w:type="dxa"/>
          <w:left w:w="0" w:type="dxa"/>
          <w:bottom w:w="0" w:type="dxa"/>
          <w:right w:w="0" w:type="dxa"/>
        </w:tblCellMar>
      </w:tblPr>
      <w:tr>
        <w:trPr>
          <w:trHeight w:val="227"/>
        </w:trPr>
        <w:tc>
          <w:tcPr>
            <w:tcW w:w="17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1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ind w:left="2600"/>
              <w:spacing w:after="0"/>
              <w:rPr>
                <w:sz w:val="20"/>
                <w:szCs w:val="20"/>
                <w:color w:val="auto"/>
              </w:rPr>
            </w:pPr>
            <w:r>
              <w:rPr>
                <w:rFonts w:ascii="Arial" w:cs="Arial" w:eastAsia="Arial" w:hAnsi="Arial"/>
                <w:sz w:val="15"/>
                <w:szCs w:val="15"/>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7"/>
        </w:trPr>
        <w:tc>
          <w:tcPr>
            <w:tcW w:w="17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460" w:type="dxa"/>
            <w:vAlign w:val="bottom"/>
          </w:tcPr>
          <w:p>
            <w:pPr>
              <w:ind w:left="2600"/>
              <w:spacing w:after="0"/>
              <w:rPr>
                <w:sz w:val="20"/>
                <w:szCs w:val="20"/>
                <w:color w:val="auto"/>
              </w:rPr>
            </w:pPr>
            <w:r>
              <w:rPr>
                <w:rFonts w:ascii="Arial" w:cs="Arial" w:eastAsia="Arial" w:hAnsi="Arial"/>
                <w:sz w:val="15"/>
                <w:szCs w:val="15"/>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8"/>
        </w:trPr>
        <w:tc>
          <w:tcPr>
            <w:tcW w:w="1700" w:type="dxa"/>
            <w:vAlign w:val="bottom"/>
          </w:tcPr>
          <w:p>
            <w:pPr>
              <w:spacing w:after="0"/>
              <w:rPr>
                <w:sz w:val="20"/>
                <w:szCs w:val="20"/>
                <w:color w:val="auto"/>
              </w:rPr>
            </w:pPr>
            <w:r>
              <w:rPr>
                <w:rFonts w:ascii="Arial" w:cs="Arial" w:eastAsia="Arial" w:hAnsi="Arial"/>
                <w:sz w:val="15"/>
                <w:szCs w:val="15"/>
                <w:color w:val="auto"/>
              </w:rPr>
              <w:t>Non-accelerated filer</w:t>
            </w:r>
          </w:p>
        </w:tc>
        <w:tc>
          <w:tcPr>
            <w:tcW w:w="31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4460" w:type="dxa"/>
            <w:vAlign w:val="bottom"/>
          </w:tcPr>
          <w:p>
            <w:pPr>
              <w:ind w:left="260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2" w:lineRule="exact"/>
        <w:rPr>
          <w:sz w:val="24"/>
          <w:szCs w:val="24"/>
          <w:color w:val="auto"/>
        </w:rPr>
      </w:pPr>
    </w:p>
    <w:p>
      <w:pPr>
        <w:ind w:right="2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318135</wp:posOffset>
            </wp:positionV>
            <wp:extent cx="716661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71" w:lineRule="auto"/>
        <w:rPr>
          <w:sz w:val="20"/>
          <w:szCs w:val="20"/>
          <w:color w:val="auto"/>
        </w:rPr>
      </w:pPr>
      <w:r>
        <w:rPr>
          <w:rFonts w:ascii="Arial" w:cs="Arial" w:eastAsia="Arial" w:hAnsi="Arial"/>
          <w:sz w:val="15"/>
          <w:szCs w:val="15"/>
          <w:color w:val="auto"/>
        </w:rPr>
        <w:t>As of November 5, 2021, the registrant had 57,022,436 shares of Class A common stock, $0.00001 par value per share, and 4,686,028 shares of Class B common stock, $0.00001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273685</wp:posOffset>
            </wp:positionV>
            <wp:extent cx="716661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20"/>
          </w:cols>
          <w:pgMar w:left="320" w:top="510" w:right="559" w:bottom="1440" w:gutter="0" w:footer="0" w:header="0"/>
        </w:sectPr>
      </w:pPr>
    </w:p>
    <w:bookmarkStart w:id="2" w:name="page3"/>
    <w:bookmarkEnd w:id="2"/>
    <w:p>
      <w:pPr>
        <w:spacing w:after="0" w:line="4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1080" w:type="dxa"/>
            <w:vAlign w:val="bottom"/>
            <w:gridSpan w:val="3"/>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PART I.</w:t>
              </w:r>
            </w:hyperlink>
          </w:p>
        </w:tc>
        <w:tc>
          <w:tcPr>
            <w:tcW w:w="6020" w:type="dxa"/>
            <w:vAlign w:val="bottom"/>
            <w:gridSpan w:val="1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FINANCIAL INFORMATION</w:t>
              </w:r>
            </w:hyperlink>
          </w:p>
        </w:tc>
        <w:tc>
          <w:tcPr>
            <w:tcW w:w="362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1</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6">
              <w:r>
                <w:rPr>
                  <w:rFonts w:ascii="Arial" w:cs="Arial" w:eastAsia="Arial" w:hAnsi="Arial"/>
                  <w:sz w:val="17"/>
                  <w:szCs w:val="17"/>
                  <w:color w:val="0000FF"/>
                  <w:w w:val="84"/>
                </w:rPr>
                <w:t>Item 1.</w:t>
              </w:r>
            </w:hyperlink>
          </w:p>
        </w:tc>
        <w:tc>
          <w:tcPr>
            <w:tcW w:w="600" w:type="dxa"/>
            <w:vAlign w:val="bottom"/>
            <w:gridSpan w:val="2"/>
          </w:tcPr>
          <w:p>
            <w:pPr>
              <w:spacing w:after="0"/>
              <w:rPr>
                <w:sz w:val="16"/>
                <w:szCs w:val="16"/>
                <w:color w:val="auto"/>
              </w:rPr>
            </w:pPr>
          </w:p>
        </w:tc>
        <w:tc>
          <w:tcPr>
            <w:tcW w:w="2260" w:type="dxa"/>
            <w:vAlign w:val="bottom"/>
            <w:gridSpan w:val="8"/>
          </w:tcPr>
          <w:p>
            <w:pPr>
              <w:spacing w:after="0" w:line="194" w:lineRule="exact"/>
              <w:rPr>
                <w:rFonts w:ascii="Arial" w:cs="Arial" w:eastAsia="Arial" w:hAnsi="Arial"/>
                <w:sz w:val="17"/>
                <w:szCs w:val="17"/>
                <w:color w:val="0000FF"/>
                <w:w w:val="88"/>
              </w:rPr>
            </w:pPr>
            <w:hyperlink w:anchor="page6">
              <w:r>
                <w:rPr>
                  <w:rFonts w:ascii="Arial" w:cs="Arial" w:eastAsia="Arial" w:hAnsi="Arial"/>
                  <w:sz w:val="17"/>
                  <w:szCs w:val="17"/>
                  <w:color w:val="0000FF"/>
                  <w:w w:val="88"/>
                </w:rPr>
                <w:t>Financial Statements (Unaudited)</w:t>
              </w:r>
            </w:hyperlink>
          </w:p>
        </w:tc>
        <w:tc>
          <w:tcPr>
            <w:tcW w:w="3760" w:type="dxa"/>
            <w:vAlign w:val="bottom"/>
            <w:gridSpan w:val="8"/>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6">
              <w:r>
                <w:rPr>
                  <w:rFonts w:ascii="Arial" w:cs="Arial" w:eastAsia="Arial" w:hAnsi="Arial"/>
                  <w:sz w:val="17"/>
                  <w:szCs w:val="17"/>
                  <w:color w:val="0000FF"/>
                </w:rPr>
                <w:t>1</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740" w:type="dxa"/>
            <w:vAlign w:val="bottom"/>
            <w:gridSpan w:val="9"/>
          </w:tcPr>
          <w:p>
            <w:pPr>
              <w:spacing w:after="0" w:line="194" w:lineRule="exact"/>
              <w:rPr>
                <w:rFonts w:ascii="Arial" w:cs="Arial" w:eastAsia="Arial" w:hAnsi="Arial"/>
                <w:sz w:val="17"/>
                <w:szCs w:val="17"/>
                <w:color w:val="0000FF"/>
                <w:w w:val="86"/>
              </w:rPr>
            </w:pPr>
            <w:hyperlink w:anchor="page6">
              <w:r>
                <w:rPr>
                  <w:rFonts w:ascii="Arial" w:cs="Arial" w:eastAsia="Arial" w:hAnsi="Arial"/>
                  <w:sz w:val="17"/>
                  <w:szCs w:val="17"/>
                  <w:color w:val="0000FF"/>
                  <w:w w:val="86"/>
                </w:rPr>
                <w:t>Condensed Consolidated Balance Sheets</w:t>
              </w:r>
            </w:hyperlink>
          </w:p>
        </w:tc>
        <w:tc>
          <w:tcPr>
            <w:tcW w:w="3280" w:type="dxa"/>
            <w:vAlign w:val="bottom"/>
            <w:gridSpan w:val="7"/>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6">
              <w:r>
                <w:rPr>
                  <w:rFonts w:ascii="Arial" w:cs="Arial" w:eastAsia="Arial" w:hAnsi="Arial"/>
                  <w:sz w:val="17"/>
                  <w:szCs w:val="17"/>
                  <w:color w:val="0000FF"/>
                </w:rPr>
                <w:t>1</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160" w:type="dxa"/>
            <w:vAlign w:val="bottom"/>
            <w:gridSpan w:val="15"/>
          </w:tcPr>
          <w:p>
            <w:pPr>
              <w:spacing w:after="0" w:line="194" w:lineRule="exact"/>
              <w:rPr>
                <w:rFonts w:ascii="Arial" w:cs="Arial" w:eastAsia="Arial" w:hAnsi="Arial"/>
                <w:sz w:val="17"/>
                <w:szCs w:val="17"/>
                <w:color w:val="0000FF"/>
                <w:w w:val="87"/>
              </w:rPr>
            </w:pPr>
            <w:hyperlink w:anchor="page6">
              <w:r>
                <w:rPr>
                  <w:rFonts w:ascii="Arial" w:cs="Arial" w:eastAsia="Arial" w:hAnsi="Arial"/>
                  <w:sz w:val="17"/>
                  <w:szCs w:val="17"/>
                  <w:color w:val="0000FF"/>
                  <w:w w:val="87"/>
                </w:rPr>
                <w:t>Condensed Consolidated Statements of Operations and Comprehensive Loss</w:t>
              </w:r>
            </w:hyperlink>
          </w:p>
        </w:tc>
        <w:tc>
          <w:tcPr>
            <w:tcW w:w="860" w:type="dxa"/>
            <w:vAlign w:val="bottom"/>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6">
              <w:r>
                <w:rPr>
                  <w:rFonts w:ascii="Arial" w:cs="Arial" w:eastAsia="Arial" w:hAnsi="Arial"/>
                  <w:sz w:val="17"/>
                  <w:szCs w:val="17"/>
                  <w:color w:val="0000FF"/>
                </w:rPr>
                <w:t>2</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00" w:type="dxa"/>
            <w:vAlign w:val="bottom"/>
            <w:gridSpan w:val="14"/>
          </w:tcPr>
          <w:p>
            <w:pPr>
              <w:spacing w:after="0" w:line="194" w:lineRule="exact"/>
              <w:rPr>
                <w:rFonts w:ascii="Arial" w:cs="Arial" w:eastAsia="Arial" w:hAnsi="Arial"/>
                <w:sz w:val="17"/>
                <w:szCs w:val="17"/>
                <w:color w:val="0000FF"/>
                <w:w w:val="88"/>
              </w:rPr>
            </w:pPr>
            <w:hyperlink w:anchor="page7">
              <w:r>
                <w:rPr>
                  <w:rFonts w:ascii="Arial" w:cs="Arial" w:eastAsia="Arial" w:hAnsi="Arial"/>
                  <w:sz w:val="17"/>
                  <w:szCs w:val="17"/>
                  <w:color w:val="0000FF"/>
                  <w:w w:val="88"/>
                </w:rPr>
                <w:t>Condensed Consolidated Statements of Changes in Stockholders’ Equity</w:t>
              </w:r>
            </w:hyperlink>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7">
              <w:r>
                <w:rPr>
                  <w:rFonts w:ascii="Arial" w:cs="Arial" w:eastAsia="Arial" w:hAnsi="Arial"/>
                  <w:sz w:val="17"/>
                  <w:szCs w:val="17"/>
                  <w:color w:val="0000FF"/>
                </w:rPr>
                <w:t>3</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00" w:type="dxa"/>
            <w:vAlign w:val="bottom"/>
            <w:gridSpan w:val="14"/>
          </w:tcPr>
          <w:p>
            <w:pPr>
              <w:spacing w:after="0" w:line="194" w:lineRule="exact"/>
              <w:rPr>
                <w:rFonts w:ascii="Arial" w:cs="Arial" w:eastAsia="Arial" w:hAnsi="Arial"/>
                <w:sz w:val="17"/>
                <w:szCs w:val="17"/>
                <w:color w:val="0000FF"/>
              </w:rPr>
            </w:pPr>
            <w:hyperlink w:anchor="page9">
              <w:r>
                <w:rPr>
                  <w:rFonts w:ascii="Arial" w:cs="Arial" w:eastAsia="Arial" w:hAnsi="Arial"/>
                  <w:sz w:val="17"/>
                  <w:szCs w:val="17"/>
                  <w:color w:val="0000FF"/>
                </w:rPr>
                <w:t>Condensed Consolidated Statements of Cash Flows</w:t>
              </w:r>
            </w:hyperlink>
          </w:p>
        </w:tc>
        <w:tc>
          <w:tcPr>
            <w:tcW w:w="1120" w:type="dxa"/>
            <w:vAlign w:val="bottom"/>
            <w:gridSpan w:val="2"/>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9">
              <w:r>
                <w:rPr>
                  <w:rFonts w:ascii="Arial" w:cs="Arial" w:eastAsia="Arial" w:hAnsi="Arial"/>
                  <w:sz w:val="17"/>
                  <w:szCs w:val="17"/>
                  <w:color w:val="0000FF"/>
                </w:rPr>
                <w:t>5</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20" w:type="dxa"/>
            <w:vAlign w:val="bottom"/>
            <w:gridSpan w:val="16"/>
          </w:tcPr>
          <w:p>
            <w:pPr>
              <w:spacing w:after="0" w:line="194" w:lineRule="exact"/>
              <w:rPr>
                <w:rFonts w:ascii="Arial" w:cs="Arial" w:eastAsia="Arial" w:hAnsi="Arial"/>
                <w:sz w:val="17"/>
                <w:szCs w:val="17"/>
                <w:color w:val="0000FF"/>
              </w:rPr>
            </w:pPr>
            <w:hyperlink w:anchor="page11">
              <w:r>
                <w:rPr>
                  <w:rFonts w:ascii="Arial" w:cs="Arial" w:eastAsia="Arial" w:hAnsi="Arial"/>
                  <w:sz w:val="17"/>
                  <w:szCs w:val="17"/>
                  <w:color w:val="0000FF"/>
                </w:rPr>
                <w:t>Notes to Unaudited Condensed Consolidated Financial Statements</w:t>
              </w:r>
            </w:hyperlink>
          </w:p>
        </w:tc>
        <w:tc>
          <w:tcPr>
            <w:tcW w:w="3620" w:type="dxa"/>
            <w:vAlign w:val="bottom"/>
          </w:tcPr>
          <w:p>
            <w:pPr>
              <w:jc w:val="right"/>
              <w:spacing w:after="0" w:line="194" w:lineRule="exact"/>
              <w:rPr>
                <w:rFonts w:ascii="Arial" w:cs="Arial" w:eastAsia="Arial" w:hAnsi="Arial"/>
                <w:sz w:val="17"/>
                <w:szCs w:val="17"/>
                <w:color w:val="0000FF"/>
              </w:rPr>
            </w:pPr>
            <w:hyperlink w:anchor="page11">
              <w:r>
                <w:rPr>
                  <w:rFonts w:ascii="Arial" w:cs="Arial" w:eastAsia="Arial" w:hAnsi="Arial"/>
                  <w:sz w:val="17"/>
                  <w:szCs w:val="17"/>
                  <w:color w:val="0000FF"/>
                </w:rPr>
                <w:t>6</w:t>
              </w:r>
            </w:hyperlink>
          </w:p>
        </w:tc>
      </w:tr>
      <w:tr>
        <w:trPr>
          <w:trHeight w:val="20"/>
        </w:trPr>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25">
              <w:r>
                <w:rPr>
                  <w:rFonts w:ascii="Arial" w:cs="Arial" w:eastAsia="Arial" w:hAnsi="Arial"/>
                  <w:sz w:val="17"/>
                  <w:szCs w:val="17"/>
                  <w:color w:val="0000FF"/>
                  <w:w w:val="84"/>
                </w:rPr>
                <w:t>Item 2.</w:t>
              </w:r>
            </w:hyperlink>
          </w:p>
        </w:tc>
        <w:tc>
          <w:tcPr>
            <w:tcW w:w="600" w:type="dxa"/>
            <w:vAlign w:val="bottom"/>
            <w:gridSpan w:val="2"/>
          </w:tcPr>
          <w:p>
            <w:pPr>
              <w:spacing w:after="0"/>
              <w:rPr>
                <w:sz w:val="16"/>
                <w:szCs w:val="16"/>
                <w:color w:val="auto"/>
              </w:rPr>
            </w:pPr>
          </w:p>
        </w:tc>
        <w:tc>
          <w:tcPr>
            <w:tcW w:w="6020" w:type="dxa"/>
            <w:vAlign w:val="bottom"/>
            <w:gridSpan w:val="16"/>
          </w:tcPr>
          <w:p>
            <w:pPr>
              <w:spacing w:after="0" w:line="194" w:lineRule="exact"/>
              <w:rPr>
                <w:rFonts w:ascii="Arial" w:cs="Arial" w:eastAsia="Arial" w:hAnsi="Arial"/>
                <w:sz w:val="17"/>
                <w:szCs w:val="17"/>
                <w:color w:val="0000FF"/>
                <w:w w:val="89"/>
              </w:rPr>
            </w:pPr>
            <w:hyperlink w:anchor="page25">
              <w:r>
                <w:rPr>
                  <w:rFonts w:ascii="Arial" w:cs="Arial" w:eastAsia="Arial" w:hAnsi="Arial"/>
                  <w:sz w:val="17"/>
                  <w:szCs w:val="17"/>
                  <w:color w:val="0000FF"/>
                  <w:w w:val="89"/>
                </w:rPr>
                <w:t>Management’s Discussion and Analysis of Financial Condition and Results of Operations</w:t>
              </w:r>
            </w:hyperlink>
          </w:p>
        </w:tc>
        <w:tc>
          <w:tcPr>
            <w:tcW w:w="3620" w:type="dxa"/>
            <w:vAlign w:val="bottom"/>
          </w:tcPr>
          <w:p>
            <w:pPr>
              <w:jc w:val="right"/>
              <w:spacing w:after="0" w:line="194" w:lineRule="exact"/>
              <w:rPr>
                <w:rFonts w:ascii="Arial" w:cs="Arial" w:eastAsia="Arial" w:hAnsi="Arial"/>
                <w:sz w:val="17"/>
                <w:szCs w:val="17"/>
                <w:color w:val="0000FF"/>
              </w:rPr>
            </w:pPr>
            <w:hyperlink w:anchor="page25">
              <w:r>
                <w:rPr>
                  <w:rFonts w:ascii="Arial" w:cs="Arial" w:eastAsia="Arial" w:hAnsi="Arial"/>
                  <w:sz w:val="17"/>
                  <w:szCs w:val="17"/>
                  <w:color w:val="0000FF"/>
                </w:rPr>
                <w:t>20</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38">
              <w:r>
                <w:rPr>
                  <w:rFonts w:ascii="Arial" w:cs="Arial" w:eastAsia="Arial" w:hAnsi="Arial"/>
                  <w:sz w:val="17"/>
                  <w:szCs w:val="17"/>
                  <w:color w:val="0000FF"/>
                  <w:w w:val="84"/>
                </w:rPr>
                <w:t>Item 3.</w:t>
              </w:r>
            </w:hyperlink>
          </w:p>
        </w:tc>
        <w:tc>
          <w:tcPr>
            <w:tcW w:w="600" w:type="dxa"/>
            <w:vAlign w:val="bottom"/>
            <w:gridSpan w:val="2"/>
          </w:tcPr>
          <w:p>
            <w:pPr>
              <w:spacing w:after="0"/>
              <w:rPr>
                <w:sz w:val="16"/>
                <w:szCs w:val="16"/>
                <w:color w:val="auto"/>
              </w:rPr>
            </w:pPr>
          </w:p>
        </w:tc>
        <w:tc>
          <w:tcPr>
            <w:tcW w:w="6020" w:type="dxa"/>
            <w:vAlign w:val="bottom"/>
            <w:gridSpan w:val="16"/>
          </w:tcPr>
          <w:p>
            <w:pPr>
              <w:spacing w:after="0" w:line="194" w:lineRule="exact"/>
              <w:rPr>
                <w:rFonts w:ascii="Arial" w:cs="Arial" w:eastAsia="Arial" w:hAnsi="Arial"/>
                <w:sz w:val="17"/>
                <w:szCs w:val="17"/>
                <w:color w:val="0000FF"/>
              </w:rPr>
            </w:pPr>
            <w:hyperlink w:anchor="page38">
              <w:r>
                <w:rPr>
                  <w:rFonts w:ascii="Arial" w:cs="Arial" w:eastAsia="Arial" w:hAnsi="Arial"/>
                  <w:sz w:val="17"/>
                  <w:szCs w:val="17"/>
                  <w:color w:val="0000FF"/>
                </w:rPr>
                <w:t>Quantitative and Qualitative Disclosures About Market Risk</w:t>
              </w:r>
            </w:hyperlink>
          </w:p>
        </w:tc>
        <w:tc>
          <w:tcPr>
            <w:tcW w:w="3620" w:type="dxa"/>
            <w:vAlign w:val="bottom"/>
          </w:tcPr>
          <w:p>
            <w:pPr>
              <w:jc w:val="right"/>
              <w:spacing w:after="0" w:line="194" w:lineRule="exact"/>
              <w:rPr>
                <w:rFonts w:ascii="Arial" w:cs="Arial" w:eastAsia="Arial" w:hAnsi="Arial"/>
                <w:sz w:val="17"/>
                <w:szCs w:val="17"/>
                <w:color w:val="0000FF"/>
              </w:rPr>
            </w:pPr>
            <w:hyperlink w:anchor="page38">
              <w:r>
                <w:rPr>
                  <w:rFonts w:ascii="Arial" w:cs="Arial" w:eastAsia="Arial" w:hAnsi="Arial"/>
                  <w:sz w:val="17"/>
                  <w:szCs w:val="17"/>
                  <w:color w:val="0000FF"/>
                </w:rPr>
                <w:t>32</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38">
              <w:r>
                <w:rPr>
                  <w:rFonts w:ascii="Arial" w:cs="Arial" w:eastAsia="Arial" w:hAnsi="Arial"/>
                  <w:sz w:val="17"/>
                  <w:szCs w:val="17"/>
                  <w:color w:val="0000FF"/>
                  <w:w w:val="84"/>
                </w:rPr>
                <w:t>Item 4.</w:t>
              </w:r>
            </w:hyperlink>
          </w:p>
        </w:tc>
        <w:tc>
          <w:tcPr>
            <w:tcW w:w="600" w:type="dxa"/>
            <w:vAlign w:val="bottom"/>
            <w:gridSpan w:val="2"/>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rPr>
            </w:pPr>
            <w:hyperlink w:anchor="page38">
              <w:r>
                <w:rPr>
                  <w:rFonts w:ascii="Arial" w:cs="Arial" w:eastAsia="Arial" w:hAnsi="Arial"/>
                  <w:sz w:val="17"/>
                  <w:szCs w:val="17"/>
                  <w:color w:val="0000FF"/>
                </w:rPr>
                <w:t>Controls and Procedures</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38">
              <w:r>
                <w:rPr>
                  <w:rFonts w:ascii="Arial" w:cs="Arial" w:eastAsia="Arial" w:hAnsi="Arial"/>
                  <w:sz w:val="17"/>
                  <w:szCs w:val="17"/>
                  <w:color w:val="0000FF"/>
                </w:rPr>
                <w:t>32</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600" w:type="dxa"/>
            <w:vAlign w:val="bottom"/>
            <w:gridSpan w:val="2"/>
          </w:tcPr>
          <w:p>
            <w:pPr>
              <w:spacing w:after="0" w:line="194" w:lineRule="exact"/>
              <w:rPr>
                <w:rFonts w:ascii="Arial" w:cs="Arial" w:eastAsia="Arial" w:hAnsi="Arial"/>
                <w:sz w:val="17"/>
                <w:szCs w:val="17"/>
                <w:color w:val="0000FF"/>
                <w:w w:val="87"/>
              </w:rPr>
            </w:pPr>
            <w:hyperlink w:anchor="page39">
              <w:r>
                <w:rPr>
                  <w:rFonts w:ascii="Arial" w:cs="Arial" w:eastAsia="Arial" w:hAnsi="Arial"/>
                  <w:sz w:val="17"/>
                  <w:szCs w:val="17"/>
                  <w:color w:val="0000FF"/>
                  <w:w w:val="87"/>
                </w:rPr>
                <w:t>PART II.</w:t>
              </w:r>
            </w:hyperlink>
          </w:p>
        </w:tc>
        <w:tc>
          <w:tcPr>
            <w:tcW w:w="480" w:type="dxa"/>
            <w:vAlign w:val="bottom"/>
          </w:tcPr>
          <w:p>
            <w:pPr>
              <w:spacing w:after="0"/>
              <w:rPr>
                <w:sz w:val="16"/>
                <w:szCs w:val="16"/>
                <w:color w:val="auto"/>
              </w:rPr>
            </w:pPr>
          </w:p>
        </w:tc>
        <w:tc>
          <w:tcPr>
            <w:tcW w:w="1760" w:type="dxa"/>
            <w:vAlign w:val="bottom"/>
            <w:gridSpan w:val="5"/>
          </w:tcPr>
          <w:p>
            <w:pPr>
              <w:spacing w:after="0" w:line="194" w:lineRule="exact"/>
              <w:rPr>
                <w:rFonts w:ascii="Arial" w:cs="Arial" w:eastAsia="Arial" w:hAnsi="Arial"/>
                <w:sz w:val="17"/>
                <w:szCs w:val="17"/>
                <w:color w:val="0000FF"/>
                <w:w w:val="94"/>
              </w:rPr>
            </w:pPr>
            <w:hyperlink w:anchor="page39">
              <w:r>
                <w:rPr>
                  <w:rFonts w:ascii="Arial" w:cs="Arial" w:eastAsia="Arial" w:hAnsi="Arial"/>
                  <w:sz w:val="17"/>
                  <w:szCs w:val="17"/>
                  <w:color w:val="0000FF"/>
                  <w:w w:val="94"/>
                </w:rPr>
                <w:t>OTHER INFORMATION</w:t>
              </w:r>
            </w:hyperlink>
          </w:p>
        </w:tc>
        <w:tc>
          <w:tcPr>
            <w:tcW w:w="4260" w:type="dxa"/>
            <w:vAlign w:val="bottom"/>
            <w:gridSpan w:val="11"/>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39">
              <w:r>
                <w:rPr>
                  <w:rFonts w:ascii="Arial" w:cs="Arial" w:eastAsia="Arial" w:hAnsi="Arial"/>
                  <w:sz w:val="17"/>
                  <w:szCs w:val="17"/>
                  <w:color w:val="0000FF"/>
                </w:rPr>
                <w:t>34</w:t>
              </w:r>
            </w:hyperlink>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40">
              <w:r>
                <w:rPr>
                  <w:rFonts w:ascii="Arial" w:cs="Arial" w:eastAsia="Arial" w:hAnsi="Arial"/>
                  <w:sz w:val="17"/>
                  <w:szCs w:val="17"/>
                  <w:color w:val="0000FF"/>
                  <w:w w:val="84"/>
                </w:rPr>
                <w:t>Item 1.</w:t>
              </w:r>
            </w:hyperlink>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5"/>
          </w:tcPr>
          <w:p>
            <w:pPr>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Legal Proceedings</w:t>
              </w:r>
            </w:hyperlink>
          </w:p>
        </w:tc>
        <w:tc>
          <w:tcPr>
            <w:tcW w:w="4260" w:type="dxa"/>
            <w:vAlign w:val="bottom"/>
            <w:gridSpan w:val="11"/>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34</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1080" w:type="dxa"/>
            <w:vAlign w:val="bottom"/>
            <w:gridSpan w:val="3"/>
          </w:tcPr>
          <w:p>
            <w:pPr>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Item 1A.</w:t>
              </w:r>
            </w:hyperlink>
          </w:p>
        </w:tc>
        <w:tc>
          <w:tcPr>
            <w:tcW w:w="6020" w:type="dxa"/>
            <w:vAlign w:val="bottom"/>
            <w:gridSpan w:val="16"/>
          </w:tcPr>
          <w:p>
            <w:pPr>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Risk Factors</w:t>
              </w:r>
            </w:hyperlink>
          </w:p>
        </w:tc>
        <w:tc>
          <w:tcPr>
            <w:tcW w:w="3620" w:type="dxa"/>
            <w:vAlign w:val="bottom"/>
          </w:tcPr>
          <w:p>
            <w:pPr>
              <w:jc w:val="right"/>
              <w:spacing w:after="0" w:line="194" w:lineRule="exact"/>
              <w:rPr>
                <w:rFonts w:ascii="Arial" w:cs="Arial" w:eastAsia="Arial" w:hAnsi="Arial"/>
                <w:sz w:val="17"/>
                <w:szCs w:val="17"/>
                <w:color w:val="0000FF"/>
              </w:rPr>
            </w:pPr>
            <w:hyperlink w:anchor="page40">
              <w:r>
                <w:rPr>
                  <w:rFonts w:ascii="Arial" w:cs="Arial" w:eastAsia="Arial" w:hAnsi="Arial"/>
                  <w:sz w:val="17"/>
                  <w:szCs w:val="17"/>
                  <w:color w:val="0000FF"/>
                </w:rPr>
                <w:t>34</w:t>
              </w:r>
            </w:hyperlink>
          </w:p>
        </w:tc>
      </w:tr>
      <w:tr>
        <w:trPr>
          <w:trHeight w:val="20"/>
        </w:trPr>
        <w:tc>
          <w:tcPr>
            <w:tcW w:w="6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82">
              <w:r>
                <w:rPr>
                  <w:rFonts w:ascii="Arial" w:cs="Arial" w:eastAsia="Arial" w:hAnsi="Arial"/>
                  <w:sz w:val="17"/>
                  <w:szCs w:val="17"/>
                  <w:color w:val="0000FF"/>
                  <w:w w:val="84"/>
                </w:rPr>
                <w:t>Item 2.</w:t>
              </w:r>
            </w:hyperlink>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w w:val="87"/>
              </w:rPr>
            </w:pPr>
            <w:hyperlink w:anchor="page82">
              <w:r>
                <w:rPr>
                  <w:rFonts w:ascii="Arial" w:cs="Arial" w:eastAsia="Arial" w:hAnsi="Arial"/>
                  <w:sz w:val="17"/>
                  <w:szCs w:val="17"/>
                  <w:color w:val="0000FF"/>
                  <w:w w:val="87"/>
                </w:rPr>
                <w:t>Unregistered Sales of Equity Securities and Use of Proceeds</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76</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82">
              <w:r>
                <w:rPr>
                  <w:rFonts w:ascii="Arial" w:cs="Arial" w:eastAsia="Arial" w:hAnsi="Arial"/>
                  <w:sz w:val="17"/>
                  <w:szCs w:val="17"/>
                  <w:color w:val="0000FF"/>
                  <w:w w:val="84"/>
                </w:rPr>
                <w:t>Item 3.</w:t>
              </w:r>
            </w:hyperlink>
          </w:p>
        </w:tc>
        <w:tc>
          <w:tcPr>
            <w:tcW w:w="600" w:type="dxa"/>
            <w:vAlign w:val="bottom"/>
            <w:gridSpan w:val="2"/>
          </w:tcPr>
          <w:p>
            <w:pPr>
              <w:spacing w:after="0"/>
              <w:rPr>
                <w:sz w:val="16"/>
                <w:szCs w:val="16"/>
                <w:color w:val="auto"/>
              </w:rPr>
            </w:pPr>
          </w:p>
        </w:tc>
        <w:tc>
          <w:tcPr>
            <w:tcW w:w="4060" w:type="dxa"/>
            <w:vAlign w:val="bottom"/>
            <w:gridSpan w:val="11"/>
          </w:tcPr>
          <w:p>
            <w:pPr>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Defaults Upon Senior Securities</w:t>
              </w:r>
            </w:hyperlink>
          </w:p>
        </w:tc>
        <w:tc>
          <w:tcPr>
            <w:tcW w:w="1960" w:type="dxa"/>
            <w:vAlign w:val="bottom"/>
            <w:gridSpan w:val="5"/>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76</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4"/>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82">
              <w:r>
                <w:rPr>
                  <w:rFonts w:ascii="Arial" w:cs="Arial" w:eastAsia="Arial" w:hAnsi="Arial"/>
                  <w:sz w:val="17"/>
                  <w:szCs w:val="17"/>
                  <w:color w:val="0000FF"/>
                  <w:w w:val="84"/>
                </w:rPr>
                <w:t>Item 4.</w:t>
              </w:r>
            </w:hyperlink>
          </w:p>
        </w:tc>
        <w:tc>
          <w:tcPr>
            <w:tcW w:w="600" w:type="dxa"/>
            <w:vAlign w:val="bottom"/>
            <w:gridSpan w:val="2"/>
          </w:tcPr>
          <w:p>
            <w:pPr>
              <w:spacing w:after="0"/>
              <w:rPr>
                <w:sz w:val="16"/>
                <w:szCs w:val="16"/>
                <w:color w:val="auto"/>
              </w:rPr>
            </w:pPr>
          </w:p>
        </w:tc>
        <w:tc>
          <w:tcPr>
            <w:tcW w:w="2160" w:type="dxa"/>
            <w:vAlign w:val="bottom"/>
            <w:gridSpan w:val="7"/>
          </w:tcPr>
          <w:p>
            <w:pPr>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Mine Safety Disclosures</w:t>
              </w:r>
            </w:hyperlink>
          </w:p>
        </w:tc>
        <w:tc>
          <w:tcPr>
            <w:tcW w:w="3860" w:type="dxa"/>
            <w:vAlign w:val="bottom"/>
            <w:gridSpan w:val="9"/>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76</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82">
              <w:r>
                <w:rPr>
                  <w:rFonts w:ascii="Arial" w:cs="Arial" w:eastAsia="Arial" w:hAnsi="Arial"/>
                  <w:sz w:val="17"/>
                  <w:szCs w:val="17"/>
                  <w:color w:val="0000FF"/>
                  <w:w w:val="84"/>
                </w:rPr>
                <w:t>Item 5.</w:t>
              </w:r>
            </w:hyperlink>
          </w:p>
        </w:tc>
        <w:tc>
          <w:tcPr>
            <w:tcW w:w="600" w:type="dxa"/>
            <w:vAlign w:val="bottom"/>
            <w:gridSpan w:val="2"/>
          </w:tcPr>
          <w:p>
            <w:pPr>
              <w:spacing w:after="0"/>
              <w:rPr>
                <w:sz w:val="16"/>
                <w:szCs w:val="16"/>
                <w:color w:val="auto"/>
              </w:rPr>
            </w:pPr>
          </w:p>
        </w:tc>
        <w:tc>
          <w:tcPr>
            <w:tcW w:w="1640" w:type="dxa"/>
            <w:vAlign w:val="bottom"/>
            <w:gridSpan w:val="4"/>
          </w:tcPr>
          <w:p>
            <w:pPr>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Other Information</w:t>
              </w:r>
            </w:hyperlink>
          </w:p>
        </w:tc>
        <w:tc>
          <w:tcPr>
            <w:tcW w:w="4380" w:type="dxa"/>
            <w:vAlign w:val="bottom"/>
            <w:gridSpan w:val="12"/>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77</w:t>
              </w:r>
            </w:hyperlink>
          </w:p>
        </w:tc>
      </w:tr>
      <w:tr>
        <w:trPr>
          <w:trHeight w:val="20"/>
        </w:trPr>
        <w:tc>
          <w:tcPr>
            <w:tcW w:w="6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620" w:type="dxa"/>
            <w:vAlign w:val="bottom"/>
            <w:tcBorders>
              <w:right w:val="single" w:sz="8" w:color="0000FF"/>
            </w:tcBorders>
          </w:tcPr>
          <w:p>
            <w:pPr>
              <w:spacing w:after="0" w:line="20" w:lineRule="exact"/>
              <w:rPr>
                <w:sz w:val="1"/>
                <w:szCs w:val="1"/>
                <w:color w:val="auto"/>
              </w:rPr>
            </w:pPr>
          </w:p>
        </w:tc>
      </w:tr>
      <w:tr>
        <w:trPr>
          <w:trHeight w:val="194"/>
        </w:trPr>
        <w:tc>
          <w:tcPr>
            <w:tcW w:w="620" w:type="dxa"/>
            <w:vAlign w:val="bottom"/>
          </w:tcPr>
          <w:p>
            <w:pPr>
              <w:spacing w:after="0"/>
              <w:rPr>
                <w:sz w:val="16"/>
                <w:szCs w:val="16"/>
                <w:color w:val="auto"/>
              </w:rPr>
            </w:pPr>
          </w:p>
        </w:tc>
        <w:tc>
          <w:tcPr>
            <w:tcW w:w="480" w:type="dxa"/>
            <w:vAlign w:val="bottom"/>
          </w:tcPr>
          <w:p>
            <w:pPr>
              <w:spacing w:after="0" w:line="194" w:lineRule="exact"/>
              <w:rPr>
                <w:rFonts w:ascii="Arial" w:cs="Arial" w:eastAsia="Arial" w:hAnsi="Arial"/>
                <w:sz w:val="17"/>
                <w:szCs w:val="17"/>
                <w:color w:val="0000FF"/>
                <w:w w:val="84"/>
              </w:rPr>
            </w:pPr>
            <w:hyperlink w:anchor="page82">
              <w:r>
                <w:rPr>
                  <w:rFonts w:ascii="Arial" w:cs="Arial" w:eastAsia="Arial" w:hAnsi="Arial"/>
                  <w:sz w:val="17"/>
                  <w:szCs w:val="17"/>
                  <w:color w:val="0000FF"/>
                  <w:w w:val="84"/>
                </w:rPr>
                <w:t>Item 6.</w:t>
              </w:r>
            </w:hyperlink>
          </w:p>
        </w:tc>
        <w:tc>
          <w:tcPr>
            <w:tcW w:w="600" w:type="dxa"/>
            <w:vAlign w:val="bottom"/>
            <w:gridSpan w:val="2"/>
          </w:tcPr>
          <w:p>
            <w:pPr>
              <w:spacing w:after="0"/>
              <w:rPr>
                <w:sz w:val="16"/>
                <w:szCs w:val="16"/>
                <w:color w:val="auto"/>
              </w:rPr>
            </w:pPr>
          </w:p>
        </w:tc>
        <w:tc>
          <w:tcPr>
            <w:tcW w:w="1220" w:type="dxa"/>
            <w:vAlign w:val="bottom"/>
            <w:gridSpan w:val="3"/>
          </w:tcPr>
          <w:p>
            <w:pPr>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Exhibits</w:t>
              </w:r>
            </w:hyperlink>
          </w:p>
        </w:tc>
        <w:tc>
          <w:tcPr>
            <w:tcW w:w="4800" w:type="dxa"/>
            <w:vAlign w:val="bottom"/>
            <w:gridSpan w:val="13"/>
          </w:tcPr>
          <w:p>
            <w:pPr>
              <w:spacing w:after="0"/>
              <w:rPr>
                <w:sz w:val="16"/>
                <w:szCs w:val="16"/>
                <w:color w:val="auto"/>
              </w:rPr>
            </w:pPr>
          </w:p>
        </w:tc>
        <w:tc>
          <w:tcPr>
            <w:tcW w:w="3620" w:type="dxa"/>
            <w:vAlign w:val="bottom"/>
          </w:tcPr>
          <w:p>
            <w:pPr>
              <w:jc w:val="right"/>
              <w:spacing w:after="0" w:line="194" w:lineRule="exact"/>
              <w:rPr>
                <w:rFonts w:ascii="Arial" w:cs="Arial" w:eastAsia="Arial" w:hAnsi="Arial"/>
                <w:sz w:val="17"/>
                <w:szCs w:val="17"/>
                <w:color w:val="0000FF"/>
              </w:rPr>
            </w:pPr>
            <w:hyperlink w:anchor="page82">
              <w:r>
                <w:rPr>
                  <w:rFonts w:ascii="Arial" w:cs="Arial" w:eastAsia="Arial" w:hAnsi="Arial"/>
                  <w:sz w:val="17"/>
                  <w:szCs w:val="17"/>
                  <w:color w:val="0000FF"/>
                </w:rPr>
                <w:t>77</w:t>
              </w:r>
            </w:hyperlink>
          </w:p>
        </w:tc>
      </w:tr>
      <w:tr>
        <w:trPr>
          <w:trHeight w:val="194"/>
        </w:trPr>
        <w:tc>
          <w:tcPr>
            <w:tcW w:w="620" w:type="dxa"/>
            <w:vAlign w:val="bottom"/>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560" w:type="dxa"/>
            <w:vAlign w:val="bottom"/>
            <w:gridSpan w:val="6"/>
          </w:tcPr>
          <w:p>
            <w:pPr>
              <w:ind w:left="560"/>
              <w:spacing w:after="0" w:line="194" w:lineRule="exact"/>
              <w:rPr>
                <w:rFonts w:ascii="Arial" w:cs="Arial" w:eastAsia="Arial" w:hAnsi="Arial"/>
                <w:sz w:val="17"/>
                <w:szCs w:val="17"/>
                <w:color w:val="0000FF"/>
              </w:rPr>
            </w:pPr>
            <w:hyperlink w:anchor="page83">
              <w:r>
                <w:rPr>
                  <w:rFonts w:ascii="Arial" w:cs="Arial" w:eastAsia="Arial" w:hAnsi="Arial"/>
                  <w:sz w:val="17"/>
                  <w:szCs w:val="17"/>
                  <w:color w:val="0000FF"/>
                </w:rPr>
                <w:t>Signatures</w:t>
              </w:r>
            </w:hyperlink>
          </w:p>
        </w:tc>
        <w:tc>
          <w:tcPr>
            <w:tcW w:w="3620" w:type="dxa"/>
            <w:vAlign w:val="bottom"/>
          </w:tcPr>
          <w:p>
            <w:pPr>
              <w:spacing w:after="0"/>
              <w:rPr>
                <w:sz w:val="16"/>
                <w:szCs w:val="16"/>
                <w:color w:val="auto"/>
              </w:rPr>
            </w:pPr>
          </w:p>
        </w:tc>
      </w:tr>
      <w:tr>
        <w:trPr>
          <w:trHeight w:val="1952"/>
        </w:trPr>
        <w:tc>
          <w:tcPr>
            <w:tcW w:w="6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 w:name="page4"/>
    <w:bookmarkEnd w:id="3"/>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62" w:lineRule="exact"/>
        <w:rPr>
          <w:sz w:val="20"/>
          <w:szCs w:val="20"/>
          <w:color w:val="auto"/>
        </w:rPr>
      </w:pPr>
    </w:p>
    <w:p>
      <w:pPr>
        <w:ind w:firstLine="303"/>
        <w:spacing w:after="0" w:line="252" w:lineRule="auto"/>
        <w:rPr>
          <w:sz w:val="20"/>
          <w:szCs w:val="20"/>
          <w:color w:val="auto"/>
        </w:rPr>
      </w:pPr>
      <w:r>
        <w:rPr>
          <w:rFonts w:ascii="Arial" w:cs="Arial" w:eastAsia="Arial" w:hAnsi="Arial"/>
          <w:sz w:val="17"/>
          <w:szCs w:val="17"/>
          <w:color w:val="auto"/>
        </w:rPr>
        <w:t>This Quarterly Report on Form 10-Q (“Quarterly Report”) contains forward-looking statements. All statements other than statements of historical facts contained in this Quarterly Report, including statements regarding our future results of operations and financial position, business strategy, commercial activities and costs, research and development costs,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30" w:lineRule="exact"/>
        <w:rPr>
          <w:sz w:val="20"/>
          <w:szCs w:val="20"/>
          <w:color w:val="auto"/>
        </w:rPr>
      </w:pPr>
    </w:p>
    <w:p>
      <w:pPr>
        <w:jc w:val="both"/>
        <w:ind w:right="80" w:firstLine="303"/>
        <w:spacing w:after="0" w:line="25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26" w:lineRule="exact"/>
        <w:rPr>
          <w:sz w:val="20"/>
          <w:szCs w:val="20"/>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estimates of our addressable market, market growth, key performance indicators, capital requirements and our needs for additional financing;</w:t>
      </w:r>
    </w:p>
    <w:p>
      <w:pPr>
        <w:spacing w:after="0" w:line="157" w:lineRule="exact"/>
        <w:rPr>
          <w:rFonts w:ascii="Arial" w:cs="Arial" w:eastAsia="Arial" w:hAnsi="Arial"/>
          <w:sz w:val="17"/>
          <w:szCs w:val="17"/>
          <w:color w:val="auto"/>
        </w:rPr>
      </w:pPr>
    </w:p>
    <w:p>
      <w:pPr>
        <w:ind w:left="600" w:right="720" w:hanging="297"/>
        <w:spacing w:after="0" w:line="27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among others, revenue, cost of revenue, gross profit, operating expenses, loss from operations and net losses;</w:t>
      </w:r>
    </w:p>
    <w:p>
      <w:pPr>
        <w:spacing w:after="0" w:line="114" w:lineRule="exact"/>
        <w:rPr>
          <w:rFonts w:ascii="Arial" w:cs="Arial" w:eastAsia="Arial" w:hAnsi="Arial"/>
          <w:sz w:val="17"/>
          <w:szCs w:val="17"/>
          <w:color w:val="auto"/>
        </w:rPr>
      </w:pPr>
    </w:p>
    <w:p>
      <w:pPr>
        <w:ind w:left="600" w:right="320" w:hanging="297"/>
        <w:spacing w:after="0" w:line="27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successfully implement our three phase commercialization plan, including our ability to expand to additional key opinion leaders during the Limited Release phase and to attract customers during the Broad Release phase;</w:t>
      </w:r>
    </w:p>
    <w:p>
      <w:pPr>
        <w:spacing w:after="0" w:line="114" w:lineRule="exact"/>
        <w:rPr>
          <w:rFonts w:ascii="Arial" w:cs="Arial" w:eastAsia="Arial" w:hAnsi="Arial"/>
          <w:sz w:val="17"/>
          <w:szCs w:val="17"/>
          <w:color w:val="auto"/>
        </w:rPr>
      </w:pPr>
    </w:p>
    <w:p>
      <w:pPr>
        <w:ind w:left="600" w:right="620" w:hanging="297"/>
        <w:spacing w:after="0" w:line="270"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Proteograph™ Product Suite, including the expected pricing of the solution and associated consumables;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the rate and degree of market acceptance of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our Proteograph Product Suite on the field of proteomics and the size and growth of the addressable proteomics market;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competitive companies and technologies and our industry;</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and grow our business and commercialize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establish and maintain intellectual property protection for our products or avoid or defend claims of infringement;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performance of third-party manufacturers and suppliers;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effects of government regulation;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hire and retain key personnel and to manage our future growth effectively;</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volatility of the trading price of our Class A common stock;</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benefits of the PrognomIQ, Inc. transaction;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local, regional, and national and international economic conditions and events;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impact of COVID-19 on our business;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about market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927735</wp:posOffset>
            </wp:positionV>
            <wp:extent cx="716661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49" w:lineRule="exact"/>
        <w:rPr>
          <w:sz w:val="20"/>
          <w:szCs w:val="20"/>
          <w:color w:val="auto"/>
        </w:rPr>
      </w:pPr>
    </w:p>
    <w:p>
      <w:pPr>
        <w:ind w:firstLine="303"/>
        <w:spacing w:after="0" w:line="25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to reflect events or circumstances after the date of this Quarterly Report, whether as a result of any new information, future events or otherwise.</w:t>
      </w:r>
    </w:p>
    <w:p>
      <w:pPr>
        <w:spacing w:after="0" w:line="134" w:lineRule="exact"/>
        <w:rPr>
          <w:sz w:val="20"/>
          <w:szCs w:val="20"/>
          <w:color w:val="auto"/>
        </w:rPr>
      </w:pPr>
    </w:p>
    <w:p>
      <w:pPr>
        <w:ind w:right="380" w:firstLine="303"/>
        <w:spacing w:after="0" w:line="299"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890270</wp:posOffset>
            </wp:positionV>
            <wp:extent cx="716661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PART I—FINANCIAL INFORMATION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20"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2"/>
        </w:trPr>
        <w:tc>
          <w:tcPr>
            <w:tcW w:w="7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331,402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333,585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Investments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175,202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Related party receivables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receivables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Inventory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40" w:type="dxa"/>
            <w:vAlign w:val="bottom"/>
          </w:tcPr>
          <w:p>
            <w:pPr>
              <w:ind w:left="420"/>
              <w:spacing w:after="0"/>
              <w:rPr>
                <w:sz w:val="20"/>
                <w:szCs w:val="20"/>
                <w:color w:val="auto"/>
              </w:rPr>
            </w:pPr>
            <w:r>
              <w:rPr>
                <w:rFonts w:ascii="Arial" w:cs="Arial" w:eastAsia="Arial" w:hAnsi="Arial"/>
                <w:sz w:val="17"/>
                <w:szCs w:val="17"/>
                <w:color w:val="auto"/>
              </w:rPr>
              <w:t>Total current assets</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514,267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433,128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8,441</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40" w:type="dxa"/>
            <w:vAlign w:val="bottom"/>
          </w:tcPr>
          <w:p>
            <w:pPr>
              <w:ind w:left="4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527,838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442,319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9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Accrued expenses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research and 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Deferred revenue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Deferred rent, current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40" w:type="dxa"/>
            <w:vAlign w:val="bottom"/>
          </w:tcPr>
          <w:p>
            <w:pPr>
              <w:ind w:left="420"/>
              <w:spacing w:after="0"/>
              <w:rPr>
                <w:sz w:val="20"/>
                <w:szCs w:val="20"/>
                <w:color w:val="auto"/>
              </w:rPr>
            </w:pPr>
            <w:r>
              <w:rPr>
                <w:rFonts w:ascii="Arial" w:cs="Arial" w:eastAsia="Arial" w:hAnsi="Arial"/>
                <w:sz w:val="17"/>
                <w:szCs w:val="17"/>
                <w:color w:val="auto"/>
              </w:rPr>
              <w:t>Total current liabilities</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9,553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1,899</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0"/>
              <w:spacing w:after="0"/>
              <w:rPr>
                <w:sz w:val="20"/>
                <w:szCs w:val="20"/>
                <w:color w:val="auto"/>
              </w:rPr>
            </w:pPr>
            <w:r>
              <w:rPr>
                <w:rFonts w:ascii="Arial" w:cs="Arial" w:eastAsia="Arial" w:hAnsi="Arial"/>
                <w:sz w:val="17"/>
                <w:szCs w:val="17"/>
                <w:color w:val="auto"/>
              </w:rPr>
              <w:t>Other noncurrent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7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10,710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940" w:type="dxa"/>
            <w:vAlign w:val="bottom"/>
          </w:tcPr>
          <w:p>
            <w:pPr>
              <w:ind w:left="20"/>
              <w:spacing w:after="0"/>
              <w:rPr>
                <w:sz w:val="20"/>
                <w:szCs w:val="20"/>
                <w:color w:val="auto"/>
              </w:rPr>
            </w:pPr>
            <w:r>
              <w:rPr>
                <w:rFonts w:ascii="Arial" w:cs="Arial" w:eastAsia="Arial" w:hAnsi="Arial"/>
                <w:sz w:val="17"/>
                <w:szCs w:val="17"/>
                <w:color w:val="auto"/>
              </w:rPr>
              <w:t>Commitments and contingencies (Note 8)</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220"/>
              <w:spacing w:after="0" w:line="164" w:lineRule="exact"/>
              <w:rPr>
                <w:sz w:val="20"/>
                <w:szCs w:val="20"/>
                <w:color w:val="auto"/>
              </w:rPr>
            </w:pPr>
            <w:r>
              <w:rPr>
                <w:rFonts w:ascii="Arial" w:cs="Arial" w:eastAsia="Arial" w:hAnsi="Arial"/>
                <w:sz w:val="17"/>
                <w:szCs w:val="17"/>
                <w:color w:val="auto"/>
                <w:w w:val="91"/>
              </w:rPr>
              <w:t>Preferred stock, $0.00001 par value; 5,000,000 shares authorized as of September 30, 2021 and December 31,</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380"/>
              <w:spacing w:after="0"/>
              <w:rPr>
                <w:sz w:val="20"/>
                <w:szCs w:val="20"/>
                <w:color w:val="auto"/>
              </w:rPr>
            </w:pPr>
            <w:r>
              <w:rPr>
                <w:rFonts w:ascii="Arial" w:cs="Arial" w:eastAsia="Arial" w:hAnsi="Arial"/>
                <w:sz w:val="17"/>
                <w:szCs w:val="17"/>
                <w:color w:val="auto"/>
              </w:rPr>
              <w:t>2020; zero shares issued and outstanding as of September 30, 2021 and December 31, 2020</w:t>
            </w:r>
          </w:p>
        </w:tc>
        <w:tc>
          <w:tcPr>
            <w:tcW w:w="240" w:type="dxa"/>
            <w:vAlign w:val="bottom"/>
          </w:tcPr>
          <w:p>
            <w:pPr>
              <w:spacing w:after="0"/>
              <w:rPr>
                <w:sz w:val="18"/>
                <w:szCs w:val="18"/>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6"/>
        </w:trPr>
        <w:tc>
          <w:tcPr>
            <w:tcW w:w="7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7940" w:type="dxa"/>
            <w:vAlign w:val="bottom"/>
            <w:shd w:val="clear" w:color="auto" w:fill="CCEEFF"/>
          </w:tcPr>
          <w:p>
            <w:pPr>
              <w:ind w:left="220"/>
              <w:spacing w:after="0" w:line="164" w:lineRule="exact"/>
              <w:rPr>
                <w:sz w:val="20"/>
                <w:szCs w:val="20"/>
                <w:color w:val="auto"/>
              </w:rPr>
            </w:pPr>
            <w:r>
              <w:rPr>
                <w:rFonts w:ascii="Arial" w:cs="Arial" w:eastAsia="Arial" w:hAnsi="Arial"/>
                <w:sz w:val="17"/>
                <w:szCs w:val="17"/>
                <w:color w:val="auto"/>
                <w:w w:val="96"/>
              </w:rPr>
              <w:t>Class A common stock, $0.00001 par value; 94,000,000 shares authorized as of September 30, 2021 and</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40" w:type="dxa"/>
            <w:vAlign w:val="bottom"/>
            <w:shd w:val="clear" w:color="auto" w:fill="CCEEFF"/>
          </w:tcPr>
          <w:p>
            <w:pPr>
              <w:ind w:left="380"/>
              <w:spacing w:after="0" w:line="164" w:lineRule="exact"/>
              <w:rPr>
                <w:sz w:val="20"/>
                <w:szCs w:val="20"/>
                <w:color w:val="auto"/>
              </w:rPr>
            </w:pPr>
            <w:r>
              <w:rPr>
                <w:rFonts w:ascii="Arial" w:cs="Arial" w:eastAsia="Arial" w:hAnsi="Arial"/>
                <w:sz w:val="17"/>
                <w:szCs w:val="17"/>
                <w:color w:val="auto"/>
                <w:w w:val="90"/>
              </w:rPr>
              <w:t>December 31, 2020; 56,967,870 and 53,395,319 shares issued and outstanding as of September 30, 2021 and</w:t>
            </w: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9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December 31, 2020, respectively;</w:t>
            </w: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220"/>
              <w:spacing w:after="0" w:line="164" w:lineRule="exact"/>
              <w:rPr>
                <w:sz w:val="20"/>
                <w:szCs w:val="20"/>
                <w:color w:val="auto"/>
              </w:rPr>
            </w:pPr>
            <w:r>
              <w:rPr>
                <w:rFonts w:ascii="Arial" w:cs="Arial" w:eastAsia="Arial" w:hAnsi="Arial"/>
                <w:sz w:val="17"/>
                <w:szCs w:val="17"/>
                <w:color w:val="auto"/>
                <w:w w:val="88"/>
              </w:rPr>
              <w:t>Class B common stock, $0.00001 par value; 6,000,000 shares authorized as of September 30, 2021 and December</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940" w:type="dxa"/>
            <w:vAlign w:val="bottom"/>
          </w:tcPr>
          <w:p>
            <w:pPr>
              <w:ind w:left="380"/>
              <w:spacing w:after="0" w:line="164" w:lineRule="exact"/>
              <w:rPr>
                <w:sz w:val="20"/>
                <w:szCs w:val="20"/>
                <w:color w:val="auto"/>
              </w:rPr>
            </w:pPr>
            <w:r>
              <w:rPr>
                <w:rFonts w:ascii="Arial" w:cs="Arial" w:eastAsia="Arial" w:hAnsi="Arial"/>
                <w:sz w:val="17"/>
                <w:szCs w:val="17"/>
                <w:color w:val="auto"/>
                <w:w w:val="89"/>
              </w:rPr>
              <w:t>31, 2020; 4,686,028 and 5,865,732 shares issued and outstanding as of September 30, 2021 and December 31,</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940" w:type="dxa"/>
            <w:vAlign w:val="bottom"/>
          </w:tcPr>
          <w:p>
            <w:pPr>
              <w:ind w:left="380"/>
              <w:spacing w:after="0"/>
              <w:rPr>
                <w:sz w:val="20"/>
                <w:szCs w:val="20"/>
                <w:color w:val="auto"/>
              </w:rPr>
            </w:pPr>
            <w:r>
              <w:rPr>
                <w:rFonts w:ascii="Arial" w:cs="Arial" w:eastAsia="Arial" w:hAnsi="Arial"/>
                <w:sz w:val="17"/>
                <w:szCs w:val="17"/>
                <w:color w:val="auto"/>
              </w:rPr>
              <w:t>2020, respectively;</w:t>
            </w:r>
          </w:p>
        </w:tc>
        <w:tc>
          <w:tcPr>
            <w:tcW w:w="240" w:type="dxa"/>
            <w:vAlign w:val="bottom"/>
          </w:tcPr>
          <w:p>
            <w:pPr>
              <w:spacing w:after="0"/>
              <w:rPr>
                <w:sz w:val="18"/>
                <w:szCs w:val="18"/>
                <w:color w:val="auto"/>
              </w:rPr>
            </w:pPr>
          </w:p>
        </w:tc>
        <w:tc>
          <w:tcPr>
            <w:tcW w:w="142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26"/>
        </w:trPr>
        <w:tc>
          <w:tcPr>
            <w:tcW w:w="7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621,994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486,915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(106,791)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(55,361)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940" w:type="dxa"/>
            <w:vAlign w:val="bottom"/>
          </w:tcPr>
          <w:p>
            <w:pPr>
              <w:ind w:left="42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515,196</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431,609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527,838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442,319</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5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180975</wp:posOffset>
            </wp:positionV>
            <wp:extent cx="716661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Operations and Comprehensive Loss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i w:val="1"/>
          <w:iCs w:val="1"/>
          <w:color w:val="auto"/>
        </w:rPr>
        <w:t>(in thousands, except share and per share amounts)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60" w:type="dxa"/>
            <w:vAlign w:val="bottom"/>
            <w:gridSpan w:val="5"/>
          </w:tcPr>
          <w:p>
            <w:pPr>
              <w:ind w:left="240"/>
              <w:spacing w:after="0"/>
              <w:rPr>
                <w:sz w:val="20"/>
                <w:szCs w:val="20"/>
                <w:color w:val="auto"/>
              </w:rPr>
            </w:pPr>
            <w:r>
              <w:rPr>
                <w:rFonts w:ascii="Arial" w:cs="Arial" w:eastAsia="Arial" w:hAnsi="Arial"/>
                <w:sz w:val="13"/>
                <w:szCs w:val="13"/>
                <w:b w:val="1"/>
                <w:bCs w:val="1"/>
                <w:color w:val="auto"/>
              </w:rPr>
              <w:t>Three Months Ended September 30,</w:t>
            </w:r>
          </w:p>
        </w:tc>
        <w:tc>
          <w:tcPr>
            <w:tcW w:w="320" w:type="dxa"/>
            <w:vAlign w:val="bottom"/>
          </w:tcPr>
          <w:p>
            <w:pPr>
              <w:spacing w:after="0"/>
              <w:rPr>
                <w:sz w:val="15"/>
                <w:szCs w:val="15"/>
                <w:color w:val="auto"/>
              </w:rPr>
            </w:pPr>
          </w:p>
        </w:tc>
        <w:tc>
          <w:tcPr>
            <w:tcW w:w="2800" w:type="dxa"/>
            <w:vAlign w:val="bottom"/>
            <w:gridSpan w:val="4"/>
          </w:tcPr>
          <w:p>
            <w:pPr>
              <w:jc w:val="right"/>
              <w:ind w:right="477"/>
              <w:spacing w:after="0"/>
              <w:rPr>
                <w:sz w:val="20"/>
                <w:szCs w:val="20"/>
                <w:color w:val="auto"/>
              </w:rPr>
            </w:pPr>
            <w:r>
              <w:rPr>
                <w:rFonts w:ascii="Arial" w:cs="Arial" w:eastAsia="Arial" w:hAnsi="Arial"/>
                <w:sz w:val="13"/>
                <w:szCs w:val="13"/>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32"/>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21"/>
                <w:szCs w:val="21"/>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1,695</w:t>
            </w:r>
          </w:p>
        </w:tc>
        <w:tc>
          <w:tcPr>
            <w:tcW w:w="8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Grant</w:t>
            </w:r>
          </w:p>
        </w:tc>
        <w:tc>
          <w:tcPr>
            <w:tcW w:w="32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77"/>
        </w:trPr>
        <w:tc>
          <w:tcPr>
            <w:tcW w:w="47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760" w:type="dxa"/>
            <w:vAlign w:val="bottom"/>
          </w:tcPr>
          <w:p>
            <w:pPr>
              <w:ind w:left="420"/>
              <w:spacing w:after="0"/>
              <w:rPr>
                <w:sz w:val="20"/>
                <w:szCs w:val="20"/>
                <w:color w:val="auto"/>
              </w:rPr>
            </w:pPr>
            <w:r>
              <w:rPr>
                <w:rFonts w:ascii="Arial" w:cs="Arial" w:eastAsia="Arial" w:hAnsi="Arial"/>
                <w:sz w:val="17"/>
                <w:szCs w:val="17"/>
                <w:color w:val="auto"/>
              </w:rPr>
              <w:t>Total revenue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Product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Related party</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7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profit</w:t>
            </w:r>
          </w:p>
        </w:tc>
        <w:tc>
          <w:tcPr>
            <w:tcW w:w="3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1,169</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1,979</w:t>
            </w:r>
          </w:p>
        </w:tc>
        <w:tc>
          <w:tcPr>
            <w:tcW w:w="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20,906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13,520</w:t>
            </w:r>
          </w:p>
        </w:tc>
        <w:tc>
          <w:tcPr>
            <w:tcW w:w="0" w:type="dxa"/>
            <w:vAlign w:val="bottom"/>
          </w:tcPr>
          <w:p>
            <w:pPr>
              <w:spacing w:after="0"/>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32,672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7,408</w:t>
            </w: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53,578</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20,928</w:t>
            </w:r>
          </w:p>
        </w:tc>
        <w:tc>
          <w:tcPr>
            <w:tcW w:w="0" w:type="dxa"/>
            <w:vAlign w:val="bottom"/>
          </w:tcPr>
          <w:p>
            <w:pPr>
              <w:spacing w:after="0"/>
              <w:rPr>
                <w:sz w:val="1"/>
                <w:szCs w:val="1"/>
                <w:color w:val="auto"/>
              </w:rPr>
            </w:pPr>
          </w:p>
        </w:tc>
      </w:tr>
      <w:tr>
        <w:trPr>
          <w:trHeight w:val="24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(51,599)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(20,608)</w:t>
            </w:r>
          </w:p>
        </w:tc>
        <w:tc>
          <w:tcPr>
            <w:tcW w:w="0" w:type="dxa"/>
            <w:vAlign w:val="bottom"/>
          </w:tcPr>
          <w:p>
            <w:pPr>
              <w:spacing w:after="0"/>
              <w:rPr>
                <w:sz w:val="1"/>
                <w:szCs w:val="1"/>
                <w:color w:val="auto"/>
              </w:rPr>
            </w:pPr>
          </w:p>
        </w:tc>
      </w:tr>
      <w:tr>
        <w:trPr>
          <w:trHeight w:val="227"/>
        </w:trPr>
        <w:tc>
          <w:tcPr>
            <w:tcW w:w="47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52"/>
        </w:trPr>
        <w:tc>
          <w:tcPr>
            <w:tcW w:w="476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32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45"/>
        </w:trPr>
        <w:tc>
          <w:tcPr>
            <w:tcW w:w="476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other income</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0" w:type="dxa"/>
            <w:vAlign w:val="bottom"/>
          </w:tcPr>
          <w:p>
            <w:pPr>
              <w:spacing w:after="0"/>
              <w:rPr>
                <w:sz w:val="1"/>
                <w:szCs w:val="1"/>
                <w:color w:val="auto"/>
              </w:rPr>
            </w:pPr>
          </w:p>
        </w:tc>
      </w:tr>
      <w:tr>
        <w:trPr>
          <w:trHeight w:val="245"/>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(18,385)</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(51,430)</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(19,839)</w:t>
            </w:r>
          </w:p>
        </w:tc>
        <w:tc>
          <w:tcPr>
            <w:tcW w:w="0" w:type="dxa"/>
            <w:vAlign w:val="bottom"/>
          </w:tcPr>
          <w:p>
            <w:pPr>
              <w:spacing w:after="0"/>
              <w:rPr>
                <w:sz w:val="1"/>
                <w:szCs w:val="1"/>
                <w:color w:val="auto"/>
              </w:rPr>
            </w:pPr>
          </w:p>
        </w:tc>
      </w:tr>
      <w:tr>
        <w:trPr>
          <w:trHeight w:val="21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Unrealized gain (loss) on available-for-sale securities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(51,492)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(19,720)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4"/>
              </w:rPr>
              <w:t>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60" w:type="dxa"/>
            <w:vAlign w:val="bottom"/>
            <w:vMerge w:val="continue"/>
          </w:tcPr>
          <w:p>
            <w:pPr>
              <w:spacing w:after="0"/>
              <w:rPr>
                <w:sz w:val="13"/>
                <w:szCs w:val="13"/>
                <w:color w:val="auto"/>
              </w:rPr>
            </w:pPr>
          </w:p>
        </w:tc>
        <w:tc>
          <w:tcPr>
            <w:tcW w:w="320" w:type="dxa"/>
            <w:vAlign w:val="bottom"/>
            <w:vMerge w:val="restart"/>
          </w:tcPr>
          <w:p>
            <w:pPr>
              <w:jc w:val="right"/>
              <w:ind w:right="136"/>
              <w:spacing w:after="0"/>
              <w:rPr>
                <w:sz w:val="20"/>
                <w:szCs w:val="20"/>
                <w:color w:val="auto"/>
              </w:rPr>
            </w:pPr>
            <w:r>
              <w:rPr>
                <w:rFonts w:ascii="Arial" w:cs="Arial" w:eastAsia="Arial" w:hAnsi="Arial"/>
                <w:sz w:val="17"/>
                <w:szCs w:val="17"/>
                <w:color w:val="auto"/>
                <w:w w:val="84"/>
              </w:rPr>
              <w:t>$</w:t>
            </w: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3"/>
                <w:szCs w:val="13"/>
                <w:color w:val="auto"/>
              </w:rPr>
            </w:pPr>
          </w:p>
        </w:tc>
        <w:tc>
          <w:tcPr>
            <w:tcW w:w="360" w:type="dxa"/>
            <w:vAlign w:val="bottom"/>
            <w:vMerge w:val="restart"/>
          </w:tcPr>
          <w:p>
            <w:pPr>
              <w:jc w:val="right"/>
              <w:ind w:right="176"/>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(0.80)</w:t>
            </w:r>
          </w:p>
        </w:tc>
        <w:tc>
          <w:tcPr>
            <w:tcW w:w="100" w:type="dxa"/>
            <w:vAlign w:val="bottom"/>
          </w:tcPr>
          <w:p>
            <w:pPr>
              <w:spacing w:after="0"/>
              <w:rPr>
                <w:sz w:val="13"/>
                <w:szCs w:val="13"/>
                <w:color w:val="auto"/>
              </w:rPr>
            </w:pPr>
          </w:p>
        </w:tc>
        <w:tc>
          <w:tcPr>
            <w:tcW w:w="320" w:type="dxa"/>
            <w:vAlign w:val="bottom"/>
            <w:vMerge w:val="restart"/>
          </w:tcPr>
          <w:p>
            <w:pPr>
              <w:jc w:val="right"/>
              <w:ind w:right="136"/>
              <w:spacing w:after="0"/>
              <w:rPr>
                <w:sz w:val="20"/>
                <w:szCs w:val="20"/>
                <w:color w:val="auto"/>
              </w:rPr>
            </w:pPr>
            <w:r>
              <w:rPr>
                <w:rFonts w:ascii="Arial" w:cs="Arial" w:eastAsia="Arial" w:hAnsi="Arial"/>
                <w:sz w:val="17"/>
                <w:szCs w:val="17"/>
                <w:color w:val="auto"/>
                <w:w w:val="84"/>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(0.85)</w:t>
            </w:r>
          </w:p>
        </w:tc>
        <w:tc>
          <w:tcPr>
            <w:tcW w:w="80" w:type="dxa"/>
            <w:vAlign w:val="bottom"/>
          </w:tcPr>
          <w:p>
            <w:pPr>
              <w:spacing w:after="0"/>
              <w:rPr>
                <w:sz w:val="13"/>
                <w:szCs w:val="13"/>
                <w:color w:val="auto"/>
              </w:rPr>
            </w:pPr>
          </w:p>
        </w:tc>
        <w:tc>
          <w:tcPr>
            <w:tcW w:w="380" w:type="dxa"/>
            <w:vAlign w:val="bottom"/>
            <w:vMerge w:val="restart"/>
          </w:tcPr>
          <w:p>
            <w:pPr>
              <w:jc w:val="right"/>
              <w:ind w:right="196"/>
              <w:spacing w:after="0"/>
              <w:rPr>
                <w:sz w:val="20"/>
                <w:szCs w:val="20"/>
                <w:color w:val="auto"/>
              </w:rPr>
            </w:pPr>
            <w:r>
              <w:rPr>
                <w:rFonts w:ascii="Arial" w:cs="Arial" w:eastAsia="Arial" w:hAnsi="Arial"/>
                <w:sz w:val="17"/>
                <w:szCs w:val="17"/>
                <w:color w:val="auto"/>
                <w:w w:val="84"/>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19"/>
        </w:trPr>
        <w:tc>
          <w:tcPr>
            <w:tcW w:w="4760" w:type="dxa"/>
            <w:vAlign w:val="bottom"/>
          </w:tcPr>
          <w:p>
            <w:pPr>
              <w:ind w:left="160"/>
              <w:spacing w:after="0"/>
              <w:rPr>
                <w:sz w:val="20"/>
                <w:szCs w:val="20"/>
                <w:color w:val="auto"/>
              </w:rPr>
            </w:pPr>
            <w:r>
              <w:rPr>
                <w:rFonts w:ascii="Arial" w:cs="Arial" w:eastAsia="Arial" w:hAnsi="Arial"/>
                <w:sz w:val="17"/>
                <w:szCs w:val="17"/>
                <w:color w:val="auto"/>
              </w:rPr>
              <w:t>diluted</w:t>
            </w: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5"/>
              </w:rPr>
              <w:t>Weighted-average common shares outstanding, basic and diluted</w:t>
            </w:r>
          </w:p>
        </w:tc>
        <w:tc>
          <w:tcPr>
            <w:tcW w:w="3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61,133,518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10,285,401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60,625,601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9,709,501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7" w:name="page8"/>
    <w:bookmarkEnd w:id="7"/>
    <w:p>
      <w:pPr>
        <w:jc w:val="center"/>
        <w:ind w:right="-47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ind w:left="4320"/>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500" w:type="dxa"/>
        <w:tblCellMar>
          <w:top w:w="0" w:type="dxa"/>
          <w:left w:w="0" w:type="dxa"/>
          <w:bottom w:w="0" w:type="dxa"/>
          <w:right w:w="0" w:type="dxa"/>
        </w:tblCellMar>
      </w:tblPr>
      <w:tr>
        <w:trPr>
          <w:trHeight w:val="151"/>
        </w:trPr>
        <w:tc>
          <w:tcPr>
            <w:tcW w:w="2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5"/>
            <w:vMerge w:val="restart"/>
          </w:tcPr>
          <w:p>
            <w:pPr>
              <w:ind w:left="320"/>
              <w:spacing w:after="0"/>
              <w:rPr>
                <w:sz w:val="20"/>
                <w:szCs w:val="20"/>
                <w:color w:val="auto"/>
              </w:rPr>
            </w:pPr>
            <w:r>
              <w:rPr>
                <w:rFonts w:ascii="Arial" w:cs="Arial" w:eastAsia="Arial" w:hAnsi="Arial"/>
                <w:sz w:val="13"/>
                <w:szCs w:val="13"/>
                <w:b w:val="1"/>
                <w:bCs w:val="1"/>
                <w:color w:val="auto"/>
              </w:rPr>
              <w:t>Class A and Class B</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8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880" w:type="dxa"/>
            <w:vAlign w:val="bottom"/>
          </w:tcPr>
          <w:p>
            <w:pPr>
              <w:spacing w:after="0"/>
              <w:rPr>
                <w:sz w:val="13"/>
                <w:szCs w:val="13"/>
                <w:color w:val="auto"/>
              </w:rPr>
            </w:pPr>
          </w:p>
        </w:tc>
        <w:tc>
          <w:tcPr>
            <w:tcW w:w="1760" w:type="dxa"/>
            <w:vAlign w:val="bottom"/>
            <w:tcBorders>
              <w:bottom w:val="single" w:sz="8" w:color="auto"/>
            </w:tcBorders>
            <w:gridSpan w:val="5"/>
          </w:tcPr>
          <w:p>
            <w:pPr>
              <w:jc w:val="right"/>
              <w:ind w:right="5"/>
              <w:spacing w:after="0" w:line="131" w:lineRule="exact"/>
              <w:rPr>
                <w:sz w:val="20"/>
                <w:szCs w:val="20"/>
                <w:color w:val="auto"/>
              </w:rPr>
            </w:pPr>
            <w:r>
              <w:rPr>
                <w:rFonts w:ascii="Arial" w:cs="Arial" w:eastAsia="Arial" w:hAnsi="Arial"/>
                <w:sz w:val="13"/>
                <w:szCs w:val="13"/>
                <w:b w:val="1"/>
                <w:bCs w:val="1"/>
                <w:color w:val="auto"/>
                <w:w w:val="96"/>
              </w:rPr>
              <w:t>Convertible Preferred Stock</w:t>
            </w:r>
          </w:p>
        </w:tc>
        <w:tc>
          <w:tcPr>
            <w:tcW w:w="60" w:type="dxa"/>
            <w:vAlign w:val="bottom"/>
          </w:tcPr>
          <w:p>
            <w:pPr>
              <w:spacing w:after="0"/>
              <w:rPr>
                <w:sz w:val="13"/>
                <w:szCs w:val="13"/>
                <w:color w:val="auto"/>
              </w:rPr>
            </w:pPr>
          </w:p>
        </w:tc>
        <w:tc>
          <w:tcPr>
            <w:tcW w:w="1780" w:type="dxa"/>
            <w:vAlign w:val="bottom"/>
            <w:tcBorders>
              <w:bottom w:val="single" w:sz="8" w:color="auto"/>
            </w:tcBorders>
            <w:gridSpan w:val="4"/>
          </w:tcPr>
          <w:p>
            <w:pPr>
              <w:jc w:val="right"/>
              <w:ind w:right="365"/>
              <w:spacing w:after="0" w:line="131"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80"/>
              <w:spacing w:after="0" w:line="131" w:lineRule="exact"/>
              <w:rPr>
                <w:sz w:val="20"/>
                <w:szCs w:val="20"/>
                <w:color w:val="auto"/>
              </w:rPr>
            </w:pPr>
            <w:r>
              <w:rPr>
                <w:rFonts w:ascii="Arial" w:cs="Arial" w:eastAsia="Arial" w:hAnsi="Arial"/>
                <w:sz w:val="13"/>
                <w:szCs w:val="13"/>
                <w:b w:val="1"/>
                <w:bCs w:val="1"/>
                <w:color w:val="auto"/>
                <w:w w:val="98"/>
              </w:rPr>
              <w:t>Paid in</w:t>
            </w:r>
          </w:p>
        </w:tc>
        <w:tc>
          <w:tcPr>
            <w:tcW w:w="940" w:type="dxa"/>
            <w:vAlign w:val="bottom"/>
            <w:gridSpan w:val="3"/>
          </w:tcPr>
          <w:p>
            <w:pPr>
              <w:ind w:left="60"/>
              <w:spacing w:after="0" w:line="131"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20"/>
              <w:spacing w:after="0" w:line="131" w:lineRule="exact"/>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02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Pr>
          <w:p>
            <w:pPr>
              <w:spacing w:after="0"/>
              <w:rPr>
                <w:sz w:val="14"/>
                <w:szCs w:val="14"/>
                <w:color w:val="auto"/>
              </w:rPr>
            </w:pPr>
          </w:p>
        </w:tc>
        <w:tc>
          <w:tcPr>
            <w:tcW w:w="660" w:type="dxa"/>
            <w:vAlign w:val="bottom"/>
          </w:tcPr>
          <w:p>
            <w:pPr>
              <w:jc w:val="right"/>
              <w:ind w:right="20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December 31, 2020</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59,261,051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486,915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(55,361)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431,609</w:t>
            </w:r>
          </w:p>
        </w:tc>
        <w:tc>
          <w:tcPr>
            <w:tcW w:w="0" w:type="dxa"/>
            <w:vAlign w:val="bottom"/>
          </w:tcPr>
          <w:p>
            <w:pPr>
              <w:spacing w:after="0"/>
              <w:rPr>
                <w:sz w:val="1"/>
                <w:szCs w:val="1"/>
                <w:color w:val="auto"/>
              </w:rPr>
            </w:pPr>
          </w:p>
        </w:tc>
      </w:tr>
      <w:tr>
        <w:trPr>
          <w:trHeight w:val="156"/>
        </w:trPr>
        <w:tc>
          <w:tcPr>
            <w:tcW w:w="348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Issuance of Class A common stock from</w:t>
            </w:r>
          </w:p>
        </w:tc>
        <w:tc>
          <w:tcPr>
            <w:tcW w:w="30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399,174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5"/>
              <w:spacing w:after="0"/>
              <w:rPr>
                <w:sz w:val="20"/>
                <w:szCs w:val="20"/>
                <w:color w:val="auto"/>
              </w:rPr>
            </w:pPr>
            <w:r>
              <w:rPr>
                <w:rFonts w:ascii="Arial" w:cs="Arial" w:eastAsia="Arial" w:hAnsi="Arial"/>
                <w:sz w:val="15"/>
                <w:szCs w:val="15"/>
                <w:color w:val="auto"/>
              </w:rPr>
              <w:t>171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94"/>
        </w:trPr>
        <w:tc>
          <w:tcPr>
            <w:tcW w:w="3480" w:type="dxa"/>
            <w:vAlign w:val="bottom"/>
            <w:gridSpan w:val="2"/>
          </w:tcPr>
          <w:p>
            <w:pPr>
              <w:ind w:left="260"/>
              <w:spacing w:after="0"/>
              <w:rPr>
                <w:sz w:val="20"/>
                <w:szCs w:val="20"/>
                <w:color w:val="auto"/>
              </w:rPr>
            </w:pPr>
            <w:r>
              <w:rPr>
                <w:rFonts w:ascii="Arial" w:cs="Arial" w:eastAsia="Arial" w:hAnsi="Arial"/>
                <w:sz w:val="15"/>
                <w:szCs w:val="15"/>
                <w:color w:val="auto"/>
              </w:rPr>
              <w:t>exercise of options</w:t>
            </w: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Repurchase of Class A common stock</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48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Vesting of early exercised stock options and</w:t>
            </w:r>
          </w:p>
        </w:tc>
        <w:tc>
          <w:tcPr>
            <w:tcW w:w="30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5"/>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4"/>
        </w:trPr>
        <w:tc>
          <w:tcPr>
            <w:tcW w:w="3480" w:type="dxa"/>
            <w:vAlign w:val="bottom"/>
            <w:gridSpan w:val="2"/>
          </w:tcPr>
          <w:p>
            <w:pPr>
              <w:ind w:left="260"/>
              <w:spacing w:after="0"/>
              <w:rPr>
                <w:sz w:val="20"/>
                <w:szCs w:val="20"/>
                <w:color w:val="auto"/>
              </w:rPr>
            </w:pPr>
            <w:r>
              <w:rPr>
                <w:rFonts w:ascii="Arial" w:cs="Arial" w:eastAsia="Arial" w:hAnsi="Arial"/>
                <w:sz w:val="15"/>
                <w:szCs w:val="15"/>
                <w:color w:val="auto"/>
              </w:rPr>
              <w:t>restricted common stock</w:t>
            </w: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4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5"/>
                <w:szCs w:val="15"/>
                <w:color w:val="auto"/>
              </w:rPr>
              <w:t>Issuance of Class A common stock upon</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80" w:type="dxa"/>
            <w:vAlign w:val="bottom"/>
            <w:gridSpan w:val="2"/>
            <w:shd w:val="clear" w:color="auto" w:fill="CCEEFF"/>
          </w:tcPr>
          <w:p>
            <w:pPr>
              <w:ind w:left="260"/>
              <w:spacing w:after="0" w:line="151" w:lineRule="exact"/>
              <w:rPr>
                <w:sz w:val="20"/>
                <w:szCs w:val="20"/>
                <w:color w:val="auto"/>
              </w:rPr>
            </w:pPr>
            <w:r>
              <w:rPr>
                <w:rFonts w:ascii="Arial" w:cs="Arial" w:eastAsia="Arial" w:hAnsi="Arial"/>
                <w:sz w:val="15"/>
                <w:szCs w:val="15"/>
                <w:color w:val="auto"/>
              </w:rPr>
              <w:t>follow-on offering, net of issuance costs</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1,650,000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102,959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102,959</w:t>
            </w:r>
          </w:p>
        </w:tc>
        <w:tc>
          <w:tcPr>
            <w:tcW w:w="0" w:type="dxa"/>
            <w:vAlign w:val="bottom"/>
          </w:tcPr>
          <w:p>
            <w:pPr>
              <w:spacing w:after="0"/>
              <w:rPr>
                <w:sz w:val="1"/>
                <w:szCs w:val="1"/>
                <w:color w:val="auto"/>
              </w:rPr>
            </w:pPr>
          </w:p>
        </w:tc>
      </w:tr>
      <w:tr>
        <w:trPr>
          <w:trHeight w:val="197"/>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of $7,591</w:t>
            </w: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ind w:left="120"/>
              <w:spacing w:after="0"/>
              <w:rPr>
                <w:sz w:val="20"/>
                <w:szCs w:val="20"/>
                <w:color w:val="auto"/>
              </w:rPr>
            </w:pPr>
            <w:r>
              <w:rPr>
                <w:rFonts w:ascii="Arial" w:cs="Arial" w:eastAsia="Arial" w:hAnsi="Arial"/>
                <w:sz w:val="15"/>
                <w:szCs w:val="15"/>
                <w:color w:val="auto"/>
              </w:rPr>
              <w:t>Return of profit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11,403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11,403</w:t>
            </w: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Stock-based compensation</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6,039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6,039</w:t>
            </w:r>
          </w:p>
        </w:tc>
        <w:tc>
          <w:tcPr>
            <w:tcW w:w="0" w:type="dxa"/>
            <w:vAlign w:val="bottom"/>
          </w:tcPr>
          <w:p>
            <w:pPr>
              <w:spacing w:after="0"/>
              <w:rPr>
                <w:sz w:val="1"/>
                <w:szCs w:val="1"/>
                <w:color w:val="auto"/>
              </w:rPr>
            </w:pPr>
          </w:p>
        </w:tc>
      </w:tr>
      <w:tr>
        <w:trPr>
          <w:trHeight w:val="224"/>
        </w:trPr>
        <w:tc>
          <w:tcPr>
            <w:tcW w:w="3480" w:type="dxa"/>
            <w:vAlign w:val="bottom"/>
            <w:gridSpan w:val="2"/>
          </w:tcPr>
          <w:p>
            <w:pPr>
              <w:ind w:left="120"/>
              <w:spacing w:after="0"/>
              <w:rPr>
                <w:sz w:val="20"/>
                <w:szCs w:val="20"/>
                <w:color w:val="auto"/>
              </w:rPr>
            </w:pPr>
            <w:r>
              <w:rPr>
                <w:rFonts w:ascii="Arial" w:cs="Arial" w:eastAsia="Arial" w:hAnsi="Arial"/>
                <w:sz w:val="15"/>
                <w:szCs w:val="15"/>
                <w:color w:val="auto"/>
              </w:rPr>
              <w:t>Other comprehensive loss</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7"/>
        </w:trPr>
        <w:tc>
          <w:tcPr>
            <w:tcW w:w="28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w:t>
            </w:r>
          </w:p>
        </w:tc>
        <w:tc>
          <w:tcPr>
            <w:tcW w:w="6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8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(16,429)</w:t>
            </w:r>
          </w:p>
        </w:tc>
        <w:tc>
          <w:tcPr>
            <w:tcW w:w="0" w:type="dxa"/>
            <w:vAlign w:val="bottom"/>
          </w:tcPr>
          <w:p>
            <w:pPr>
              <w:spacing w:after="0"/>
              <w:rPr>
                <w:sz w:val="1"/>
                <w:szCs w:val="1"/>
                <w:color w:val="auto"/>
              </w:rPr>
            </w:pPr>
          </w:p>
        </w:tc>
      </w:tr>
      <w:tr>
        <w:trPr>
          <w:trHeight w:val="213"/>
        </w:trPr>
        <w:tc>
          <w:tcPr>
            <w:tcW w:w="3480" w:type="dxa"/>
            <w:vAlign w:val="bottom"/>
            <w:gridSpan w:val="2"/>
          </w:tcPr>
          <w:p>
            <w:pPr>
              <w:ind w:left="20"/>
              <w:spacing w:after="0"/>
              <w:rPr>
                <w:sz w:val="20"/>
                <w:szCs w:val="20"/>
                <w:color w:val="auto"/>
              </w:rPr>
            </w:pPr>
            <w:r>
              <w:rPr>
                <w:rFonts w:ascii="Arial" w:cs="Arial" w:eastAsia="Arial" w:hAnsi="Arial"/>
                <w:sz w:val="15"/>
                <w:szCs w:val="15"/>
                <w:color w:val="auto"/>
              </w:rPr>
              <w:t>Balance at March 31, 2021</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61,309,349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607,531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(71,790)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535,770</w:t>
            </w:r>
          </w:p>
        </w:tc>
        <w:tc>
          <w:tcPr>
            <w:tcW w:w="0" w:type="dxa"/>
            <w:vAlign w:val="bottom"/>
          </w:tcPr>
          <w:p>
            <w:pPr>
              <w:spacing w:after="0"/>
              <w:rPr>
                <w:sz w:val="1"/>
                <w:szCs w:val="1"/>
                <w:color w:val="auto"/>
              </w:rPr>
            </w:pPr>
          </w:p>
        </w:tc>
      </w:tr>
      <w:tr>
        <w:trPr>
          <w:trHeight w:val="165"/>
        </w:trPr>
        <w:tc>
          <w:tcPr>
            <w:tcW w:w="3480" w:type="dxa"/>
            <w:vAlign w:val="bottom"/>
            <w:gridSpan w:val="2"/>
            <w:shd w:val="clear" w:color="auto" w:fill="CCEEFF"/>
          </w:tcPr>
          <w:p>
            <w:pPr>
              <w:ind w:left="120"/>
              <w:spacing w:after="0" w:line="166" w:lineRule="exact"/>
              <w:rPr>
                <w:sz w:val="20"/>
                <w:szCs w:val="20"/>
                <w:color w:val="auto"/>
              </w:rPr>
            </w:pPr>
            <w:r>
              <w:rPr>
                <w:rFonts w:ascii="Arial" w:cs="Arial" w:eastAsia="Arial" w:hAnsi="Arial"/>
                <w:sz w:val="15"/>
                <w:szCs w:val="15"/>
                <w:color w:val="auto"/>
              </w:rPr>
              <w:t>Issuance of Class A common stock from</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480" w:type="dxa"/>
            <w:vAlign w:val="bottom"/>
            <w:gridSpan w:val="2"/>
            <w:shd w:val="clear" w:color="auto" w:fill="CCEEFF"/>
          </w:tcPr>
          <w:p>
            <w:pPr>
              <w:ind w:left="260"/>
              <w:spacing w:after="0" w:line="151" w:lineRule="exact"/>
              <w:rPr>
                <w:sz w:val="20"/>
                <w:szCs w:val="20"/>
                <w:color w:val="auto"/>
              </w:rPr>
            </w:pPr>
            <w:r>
              <w:rPr>
                <w:rFonts w:ascii="Arial" w:cs="Arial" w:eastAsia="Arial" w:hAnsi="Arial"/>
                <w:sz w:val="15"/>
                <w:szCs w:val="15"/>
                <w:color w:val="auto"/>
              </w:rPr>
              <w:t>exercise of options and release of</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132,766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236</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236</w:t>
            </w:r>
          </w:p>
        </w:tc>
        <w:tc>
          <w:tcPr>
            <w:tcW w:w="0" w:type="dxa"/>
            <w:vAlign w:val="bottom"/>
          </w:tcPr>
          <w:p>
            <w:pPr>
              <w:spacing w:after="0"/>
              <w:rPr>
                <w:sz w:val="1"/>
                <w:szCs w:val="1"/>
                <w:color w:val="auto"/>
              </w:rPr>
            </w:pPr>
          </w:p>
        </w:tc>
      </w:tr>
      <w:tr>
        <w:trPr>
          <w:trHeight w:val="197"/>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restricted stock units</w:t>
            </w: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ind w:left="120"/>
              <w:spacing w:after="0"/>
              <w:rPr>
                <w:sz w:val="20"/>
                <w:szCs w:val="20"/>
                <w:color w:val="auto"/>
              </w:rPr>
            </w:pPr>
            <w:r>
              <w:rPr>
                <w:rFonts w:ascii="Arial" w:cs="Arial" w:eastAsia="Arial" w:hAnsi="Arial"/>
                <w:sz w:val="15"/>
                <w:szCs w:val="15"/>
                <w:color w:val="auto"/>
              </w:rPr>
              <w:t>Repurchase of Class A common stock</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(18,852)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34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5"/>
                <w:szCs w:val="15"/>
                <w:color w:val="auto"/>
              </w:rPr>
              <w:t>Vesting of early exercised stock options and</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285</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97"/>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restricted common stock</w:t>
            </w: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ind w:left="120"/>
              <w:spacing w:after="0"/>
              <w:rPr>
                <w:sz w:val="20"/>
                <w:szCs w:val="20"/>
                <w:color w:val="auto"/>
              </w:rPr>
            </w:pPr>
            <w:r>
              <w:rPr>
                <w:rFonts w:ascii="Arial" w:cs="Arial" w:eastAsia="Arial" w:hAnsi="Arial"/>
                <w:sz w:val="15"/>
                <w:szCs w:val="15"/>
                <w:color w:val="auto"/>
              </w:rPr>
              <w:t>Stock-based compensation</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6,431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6,431</w:t>
            </w: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comprehensive loss</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(16,616)</w:t>
            </w:r>
          </w:p>
        </w:tc>
        <w:tc>
          <w:tcPr>
            <w:tcW w:w="0" w:type="dxa"/>
            <w:vAlign w:val="bottom"/>
          </w:tcPr>
          <w:p>
            <w:pPr>
              <w:spacing w:after="0"/>
              <w:rPr>
                <w:sz w:val="1"/>
                <w:szCs w:val="1"/>
                <w:color w:val="auto"/>
              </w:rPr>
            </w:pPr>
          </w:p>
        </w:tc>
      </w:tr>
      <w:tr>
        <w:trPr>
          <w:trHeight w:val="223"/>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June 30, 2021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61,423,263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614,483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526,044</w:t>
            </w:r>
          </w:p>
        </w:tc>
        <w:tc>
          <w:tcPr>
            <w:tcW w:w="0" w:type="dxa"/>
            <w:vAlign w:val="bottom"/>
          </w:tcPr>
          <w:p>
            <w:pPr>
              <w:spacing w:after="0"/>
              <w:rPr>
                <w:sz w:val="1"/>
                <w:szCs w:val="1"/>
                <w:color w:val="auto"/>
              </w:rPr>
            </w:pPr>
          </w:p>
        </w:tc>
      </w:tr>
      <w:tr>
        <w:trPr>
          <w:trHeight w:val="156"/>
        </w:trPr>
        <w:tc>
          <w:tcPr>
            <w:tcW w:w="3480" w:type="dxa"/>
            <w:vAlign w:val="bottom"/>
            <w:gridSpan w:val="2"/>
          </w:tcPr>
          <w:p>
            <w:pPr>
              <w:ind w:left="120"/>
              <w:spacing w:after="0" w:line="156" w:lineRule="exact"/>
              <w:rPr>
                <w:sz w:val="20"/>
                <w:szCs w:val="20"/>
                <w:color w:val="auto"/>
              </w:rPr>
            </w:pPr>
            <w:r>
              <w:rPr>
                <w:rFonts w:ascii="Arial" w:cs="Arial" w:eastAsia="Arial" w:hAnsi="Arial"/>
                <w:sz w:val="15"/>
                <w:szCs w:val="15"/>
                <w:color w:val="auto"/>
              </w:rPr>
              <w:t>Issuance of Class A common stock from</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480" w:type="dxa"/>
            <w:vAlign w:val="bottom"/>
            <w:gridSpan w:val="2"/>
          </w:tcPr>
          <w:p>
            <w:pPr>
              <w:ind w:left="260"/>
              <w:spacing w:after="0" w:line="151" w:lineRule="exact"/>
              <w:rPr>
                <w:sz w:val="20"/>
                <w:szCs w:val="20"/>
                <w:color w:val="auto"/>
              </w:rPr>
            </w:pPr>
            <w:r>
              <w:rPr>
                <w:rFonts w:ascii="Arial" w:cs="Arial" w:eastAsia="Arial" w:hAnsi="Arial"/>
                <w:sz w:val="15"/>
                <w:szCs w:val="15"/>
                <w:color w:val="auto"/>
              </w:rPr>
              <w:t>exercise of options and release of</w:t>
            </w:r>
          </w:p>
        </w:tc>
        <w:tc>
          <w:tcPr>
            <w:tcW w:w="30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230,635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740" w:type="dxa"/>
            <w:vAlign w:val="bottom"/>
            <w:vMerge w:val="restart"/>
          </w:tcPr>
          <w:p>
            <w:pPr>
              <w:jc w:val="right"/>
              <w:ind w:right="5"/>
              <w:spacing w:after="0"/>
              <w:rPr>
                <w:sz w:val="20"/>
                <w:szCs w:val="20"/>
                <w:color w:val="auto"/>
              </w:rPr>
            </w:pPr>
            <w:r>
              <w:rPr>
                <w:rFonts w:ascii="Arial" w:cs="Arial" w:eastAsia="Arial" w:hAnsi="Arial"/>
                <w:sz w:val="15"/>
                <w:szCs w:val="15"/>
                <w:color w:val="auto"/>
              </w:rPr>
              <w:t>631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660" w:type="dxa"/>
            <w:vAlign w:val="bottom"/>
            <w:vMerge w:val="restart"/>
          </w:tcPr>
          <w:p>
            <w:pPr>
              <w:jc w:val="right"/>
              <w:ind w:right="5"/>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194"/>
        </w:trPr>
        <w:tc>
          <w:tcPr>
            <w:tcW w:w="3480" w:type="dxa"/>
            <w:vAlign w:val="bottom"/>
            <w:gridSpan w:val="2"/>
          </w:tcPr>
          <w:p>
            <w:pPr>
              <w:ind w:left="260"/>
              <w:spacing w:after="0"/>
              <w:rPr>
                <w:sz w:val="20"/>
                <w:szCs w:val="20"/>
                <w:color w:val="auto"/>
              </w:rPr>
            </w:pPr>
            <w:r>
              <w:rPr>
                <w:rFonts w:ascii="Arial" w:cs="Arial" w:eastAsia="Arial" w:hAnsi="Arial"/>
                <w:sz w:val="15"/>
                <w:szCs w:val="15"/>
                <w:color w:val="auto"/>
              </w:rPr>
              <w:t>restricted stock units</w:t>
            </w:r>
          </w:p>
        </w:tc>
        <w:tc>
          <w:tcPr>
            <w:tcW w:w="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4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5"/>
                <w:szCs w:val="15"/>
                <w:color w:val="auto"/>
              </w:rPr>
              <w:t>Vesting of early exercised stock options and</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94</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97"/>
        </w:trPr>
        <w:tc>
          <w:tcPr>
            <w:tcW w:w="348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restricted common stock</w:t>
            </w:r>
          </w:p>
        </w:tc>
        <w:tc>
          <w:tcPr>
            <w:tcW w:w="3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480" w:type="dxa"/>
            <w:vAlign w:val="bottom"/>
            <w:gridSpan w:val="2"/>
          </w:tcPr>
          <w:p>
            <w:pPr>
              <w:ind w:left="120"/>
              <w:spacing w:after="0"/>
              <w:rPr>
                <w:sz w:val="20"/>
                <w:szCs w:val="20"/>
                <w:color w:val="auto"/>
              </w:rPr>
            </w:pPr>
            <w:r>
              <w:rPr>
                <w:rFonts w:ascii="Arial" w:cs="Arial" w:eastAsia="Arial" w:hAnsi="Arial"/>
                <w:sz w:val="15"/>
                <w:szCs w:val="15"/>
                <w:color w:val="auto"/>
              </w:rPr>
              <w:t>Stock-based compensation</w:t>
            </w:r>
          </w:p>
        </w:tc>
        <w:tc>
          <w:tcPr>
            <w:tcW w:w="30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9"/>
                <w:szCs w:val="19"/>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6,786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6,786</w:t>
            </w: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comprehensive income</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24"/>
        </w:trPr>
        <w:tc>
          <w:tcPr>
            <w:tcW w:w="28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Net loss</w:t>
            </w: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(18,385)</w:t>
            </w:r>
          </w:p>
        </w:tc>
        <w:tc>
          <w:tcPr>
            <w:tcW w:w="0" w:type="dxa"/>
            <w:vAlign w:val="bottom"/>
          </w:tcPr>
          <w:p>
            <w:pPr>
              <w:spacing w:after="0"/>
              <w:rPr>
                <w:sz w:val="1"/>
                <w:szCs w:val="1"/>
                <w:color w:val="auto"/>
              </w:rPr>
            </w:pPr>
          </w:p>
        </w:tc>
      </w:tr>
      <w:tr>
        <w:trPr>
          <w:trHeight w:val="243"/>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Balance at September 30, 2021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61,653,898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621,994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(106,791)</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515,196</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0760"/>
          </w:cols>
          <w:pgMar w:left="320" w:top="123" w:right="819" w:bottom="1440" w:gutter="0" w:footer="0" w:header="0"/>
        </w:sectPr>
      </w:pPr>
    </w:p>
    <w:bookmarkStart w:id="8" w:name="page9"/>
    <w:bookmarkEnd w:id="8"/>
    <w:p>
      <w:pPr>
        <w:jc w:val="center"/>
        <w:ind w:right="4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Condensed Consolidated Statements of Changes in Stockholders’ Equity</w:t>
      </w:r>
    </w:p>
    <w:p>
      <w:pPr>
        <w:spacing w:after="0" w:line="6"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 and Class B</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Accumulated</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165"/>
              <w:spacing w:after="0" w:line="131" w:lineRule="exact"/>
              <w:rPr>
                <w:sz w:val="20"/>
                <w:szCs w:val="20"/>
                <w:color w:val="auto"/>
              </w:rPr>
            </w:pPr>
            <w:r>
              <w:rPr>
                <w:rFonts w:ascii="Arial" w:cs="Arial" w:eastAsia="Arial" w:hAnsi="Arial"/>
                <w:sz w:val="13"/>
                <w:szCs w:val="13"/>
                <w:b w:val="1"/>
                <w:bCs w:val="1"/>
                <w:color w:val="auto"/>
              </w:rPr>
              <w:t>Convertible Preferred Stock</w:t>
            </w:r>
          </w:p>
        </w:tc>
        <w:tc>
          <w:tcPr>
            <w:tcW w:w="80" w:type="dxa"/>
            <w:vAlign w:val="bottom"/>
          </w:tcPr>
          <w:p>
            <w:pPr>
              <w:spacing w:after="0"/>
              <w:rPr>
                <w:sz w:val="13"/>
                <w:szCs w:val="13"/>
                <w:color w:val="auto"/>
              </w:rPr>
            </w:pPr>
          </w:p>
        </w:tc>
        <w:tc>
          <w:tcPr>
            <w:tcW w:w="1780" w:type="dxa"/>
            <w:vAlign w:val="bottom"/>
            <w:tcBorders>
              <w:bottom w:val="single" w:sz="8" w:color="auto"/>
            </w:tcBorders>
            <w:gridSpan w:val="3"/>
          </w:tcPr>
          <w:p>
            <w:pPr>
              <w:jc w:val="right"/>
              <w:ind w:right="87"/>
              <w:spacing w:after="0" w:line="131" w:lineRule="exact"/>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Additional</w:t>
            </w:r>
          </w:p>
        </w:tc>
        <w:tc>
          <w:tcPr>
            <w:tcW w:w="400" w:type="dxa"/>
            <w:vAlign w:val="bottom"/>
          </w:tcPr>
          <w:p>
            <w:pPr>
              <w:spacing w:after="0"/>
              <w:rPr>
                <w:sz w:val="13"/>
                <w:szCs w:val="13"/>
                <w:color w:val="auto"/>
              </w:rPr>
            </w:pPr>
          </w:p>
        </w:tc>
        <w:tc>
          <w:tcPr>
            <w:tcW w:w="940" w:type="dxa"/>
            <w:vAlign w:val="bottom"/>
            <w:gridSpan w:val="2"/>
          </w:tcPr>
          <w:p>
            <w:pPr>
              <w:spacing w:after="0" w:line="131" w:lineRule="exact"/>
              <w:rPr>
                <w:sz w:val="20"/>
                <w:szCs w:val="20"/>
                <w:color w:val="auto"/>
              </w:rPr>
            </w:pPr>
            <w:r>
              <w:rPr>
                <w:rFonts w:ascii="Arial" w:cs="Arial" w:eastAsia="Arial" w:hAnsi="Arial"/>
                <w:sz w:val="13"/>
                <w:szCs w:val="13"/>
                <w:b w:val="1"/>
                <w:bCs w:val="1"/>
                <w:color w:val="auto"/>
              </w:rPr>
              <w:t>Accumulated</w:t>
            </w:r>
          </w:p>
        </w:tc>
        <w:tc>
          <w:tcPr>
            <w:tcW w:w="146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2"/>
              </w:rPr>
              <w:t>Other Comprehensive</w:t>
            </w: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14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4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11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1000" w:type="dxa"/>
            <w:vAlign w:val="bottom"/>
            <w:gridSpan w:val="3"/>
          </w:tcPr>
          <w:p>
            <w:pPr>
              <w:ind w:left="38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3"/>
          </w:tcPr>
          <w:p>
            <w:pPr>
              <w:ind w:left="120"/>
              <w:spacing w:after="0"/>
              <w:rPr>
                <w:sz w:val="20"/>
                <w:szCs w:val="20"/>
                <w:color w:val="auto"/>
              </w:rPr>
            </w:pPr>
            <w:r>
              <w:rPr>
                <w:rFonts w:ascii="Arial" w:cs="Arial" w:eastAsia="Arial" w:hAnsi="Arial"/>
                <w:sz w:val="13"/>
                <w:szCs w:val="13"/>
                <w:b w:val="1"/>
                <w:bCs w:val="1"/>
                <w:color w:val="auto"/>
              </w:rPr>
              <w:t>Paid in Capital</w:t>
            </w:r>
          </w:p>
        </w:tc>
        <w:tc>
          <w:tcPr>
            <w:tcW w:w="4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Deficit</w:t>
            </w:r>
          </w:p>
        </w:tc>
        <w:tc>
          <w:tcPr>
            <w:tcW w:w="14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Income (Loss)</w:t>
            </w:r>
          </w:p>
        </w:tc>
        <w:tc>
          <w:tcPr>
            <w:tcW w:w="520" w:type="dxa"/>
            <w:vAlign w:val="bottom"/>
          </w:tcPr>
          <w:p>
            <w:pPr>
              <w:spacing w:after="0"/>
              <w:rPr>
                <w:sz w:val="14"/>
                <w:szCs w:val="14"/>
                <w:color w:val="auto"/>
              </w:rPr>
            </w:pPr>
          </w:p>
        </w:tc>
        <w:tc>
          <w:tcPr>
            <w:tcW w:w="740" w:type="dxa"/>
            <w:vAlign w:val="bottom"/>
          </w:tcPr>
          <w:p>
            <w:pPr>
              <w:jc w:val="right"/>
              <w:ind w:right="24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3"/>
        </w:trPr>
        <w:tc>
          <w:tcPr>
            <w:tcW w:w="1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1200" w:type="dxa"/>
            <w:vAlign w:val="bottom"/>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22,173,216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12,193,677</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2,288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87,679</w:t>
            </w:r>
          </w:p>
        </w:tc>
        <w:tc>
          <w:tcPr>
            <w:tcW w:w="0" w:type="dxa"/>
            <w:vAlign w:val="bottom"/>
          </w:tcPr>
          <w:p>
            <w:pPr>
              <w:spacing w:after="0"/>
              <w:rPr>
                <w:sz w:val="1"/>
                <w:szCs w:val="1"/>
                <w:color w:val="auto"/>
              </w:rPr>
            </w:pPr>
          </w:p>
        </w:tc>
      </w:tr>
      <w:tr>
        <w:trPr>
          <w:trHeight w:val="156"/>
        </w:trPr>
        <w:tc>
          <w:tcPr>
            <w:tcW w:w="1200" w:type="dxa"/>
            <w:vAlign w:val="bottom"/>
          </w:tcPr>
          <w:p>
            <w:pPr>
              <w:ind w:left="120"/>
              <w:spacing w:after="0" w:line="156" w:lineRule="exact"/>
              <w:rPr>
                <w:sz w:val="20"/>
                <w:szCs w:val="20"/>
                <w:color w:val="auto"/>
              </w:rPr>
            </w:pPr>
            <w:r>
              <w:rPr>
                <w:rFonts w:ascii="Arial" w:cs="Arial" w:eastAsia="Arial" w:hAnsi="Arial"/>
                <w:sz w:val="15"/>
                <w:szCs w:val="15"/>
                <w:color w:val="auto"/>
                <w:w w:val="89"/>
              </w:rPr>
              <w:t>Issuance of Class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A common</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stock from</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exercise of</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5"/>
              <w:spacing w:after="0"/>
              <w:rPr>
                <w:sz w:val="20"/>
                <w:szCs w:val="20"/>
                <w:color w:val="auto"/>
              </w:rPr>
            </w:pPr>
            <w:r>
              <w:rPr>
                <w:rFonts w:ascii="Arial" w:cs="Arial" w:eastAsia="Arial" w:hAnsi="Arial"/>
                <w:sz w:val="15"/>
                <w:szCs w:val="15"/>
                <w:color w:val="auto"/>
              </w:rPr>
              <w:t>40,207</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24</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194"/>
        </w:trPr>
        <w:tc>
          <w:tcPr>
            <w:tcW w:w="1200" w:type="dxa"/>
            <w:vAlign w:val="bottom"/>
          </w:tcPr>
          <w:p>
            <w:pPr>
              <w:ind w:left="280"/>
              <w:spacing w:after="0"/>
              <w:rPr>
                <w:sz w:val="20"/>
                <w:szCs w:val="20"/>
                <w:color w:val="auto"/>
              </w:rPr>
            </w:pPr>
            <w:r>
              <w:rPr>
                <w:rFonts w:ascii="Arial" w:cs="Arial" w:eastAsia="Arial" w:hAnsi="Arial"/>
                <w:sz w:val="15"/>
                <w:szCs w:val="15"/>
                <w:color w:val="auto"/>
              </w:rPr>
              <w:t>options</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80"/>
              <w:spacing w:after="0" w:line="159" w:lineRule="exact"/>
              <w:rPr>
                <w:sz w:val="20"/>
                <w:szCs w:val="20"/>
                <w:color w:val="auto"/>
              </w:rPr>
            </w:pPr>
            <w:r>
              <w:rPr>
                <w:rFonts w:ascii="Arial" w:cs="Arial" w:eastAsia="Arial" w:hAnsi="Arial"/>
                <w:sz w:val="15"/>
                <w:szCs w:val="15"/>
                <w:color w:val="auto"/>
              </w:rPr>
              <w:t>Vesting of early</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w w:val="92"/>
              </w:rPr>
              <w:t>exercised stock</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rPr>
              <w:t>options and</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20"/>
              <w:spacing w:after="0" w:line="151" w:lineRule="exact"/>
              <w:rPr>
                <w:sz w:val="20"/>
                <w:szCs w:val="20"/>
                <w:color w:val="auto"/>
              </w:rPr>
            </w:pPr>
            <w:r>
              <w:rPr>
                <w:rFonts w:ascii="Arial" w:cs="Arial" w:eastAsia="Arial" w:hAnsi="Arial"/>
                <w:sz w:val="15"/>
                <w:szCs w:val="15"/>
                <w:color w:val="auto"/>
              </w:rPr>
              <w:t>restricted</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20"/>
              <w:spacing w:after="0"/>
              <w:rPr>
                <w:sz w:val="20"/>
                <w:szCs w:val="20"/>
                <w:color w:val="auto"/>
              </w:rPr>
            </w:pPr>
            <w:r>
              <w:rPr>
                <w:rFonts w:ascii="Arial" w:cs="Arial" w:eastAsia="Arial" w:hAnsi="Arial"/>
                <w:sz w:val="15"/>
                <w:szCs w:val="15"/>
                <w:color w:val="auto"/>
                <w:w w:val="99"/>
              </w:rPr>
              <w:t>common stock</w:t>
            </w: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420"/>
              <w:spacing w:after="0" w:line="156" w:lineRule="exact"/>
              <w:rPr>
                <w:sz w:val="20"/>
                <w:szCs w:val="20"/>
                <w:color w:val="auto"/>
              </w:rPr>
            </w:pPr>
            <w:r>
              <w:rPr>
                <w:rFonts w:ascii="Arial" w:cs="Arial" w:eastAsia="Arial" w:hAnsi="Arial"/>
                <w:sz w:val="15"/>
                <w:szCs w:val="15"/>
                <w:color w:val="auto"/>
                <w:w w:val="91"/>
              </w:rPr>
              <w:t>Stock-based</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579</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94"/>
        </w:trPr>
        <w:tc>
          <w:tcPr>
            <w:tcW w:w="120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420"/>
              <w:spacing w:after="0" w:line="159" w:lineRule="exact"/>
              <w:rPr>
                <w:sz w:val="20"/>
                <w:szCs w:val="20"/>
                <w:color w:val="auto"/>
              </w:rPr>
            </w:pPr>
            <w:r>
              <w:rPr>
                <w:rFonts w:ascii="Arial" w:cs="Arial" w:eastAsia="Arial" w:hAnsi="Arial"/>
                <w:sz w:val="15"/>
                <w:szCs w:val="15"/>
                <w:color w:val="auto"/>
              </w:rPr>
              <w:t>Other</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120"/>
              <w:spacing w:after="0" w:line="151" w:lineRule="exact"/>
              <w:rPr>
                <w:sz w:val="20"/>
                <w:szCs w:val="20"/>
                <w:color w:val="auto"/>
              </w:rPr>
            </w:pPr>
            <w:r>
              <w:rPr>
                <w:rFonts w:ascii="Arial" w:cs="Arial" w:eastAsia="Arial" w:hAnsi="Arial"/>
                <w:sz w:val="15"/>
                <w:szCs w:val="15"/>
                <w:color w:val="auto"/>
              </w:rPr>
              <w:t>comprehensive</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533</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income</w:t>
            </w: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420"/>
              <w:spacing w:after="0"/>
              <w:rPr>
                <w:sz w:val="20"/>
                <w:szCs w:val="20"/>
                <w:color w:val="auto"/>
              </w:rPr>
            </w:pPr>
            <w:r>
              <w:rPr>
                <w:rFonts w:ascii="Arial" w:cs="Arial" w:eastAsia="Arial" w:hAnsi="Arial"/>
                <w:sz w:val="15"/>
                <w:szCs w:val="15"/>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(5,493)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(5,493)</w:t>
            </w:r>
          </w:p>
        </w:tc>
        <w:tc>
          <w:tcPr>
            <w:tcW w:w="0" w:type="dxa"/>
            <w:vAlign w:val="bottom"/>
          </w:tcPr>
          <w:p>
            <w:pPr>
              <w:spacing w:after="0"/>
              <w:rPr>
                <w:sz w:val="1"/>
                <w:szCs w:val="1"/>
                <w:color w:val="auto"/>
              </w:rPr>
            </w:pPr>
          </w:p>
        </w:tc>
      </w:tr>
      <w:tr>
        <w:trPr>
          <w:trHeight w:val="177"/>
        </w:trPr>
        <w:tc>
          <w:tcPr>
            <w:tcW w:w="12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March 31, 2020</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22,173,216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107,953</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12,233,884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2,895</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557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83,326</w:t>
            </w:r>
          </w:p>
        </w:tc>
        <w:tc>
          <w:tcPr>
            <w:tcW w:w="0" w:type="dxa"/>
            <w:vAlign w:val="bottom"/>
          </w:tcPr>
          <w:p>
            <w:pPr>
              <w:spacing w:after="0"/>
              <w:rPr>
                <w:sz w:val="1"/>
                <w:szCs w:val="1"/>
                <w:color w:val="auto"/>
              </w:rPr>
            </w:pPr>
          </w:p>
        </w:tc>
      </w:tr>
      <w:tr>
        <w:trPr>
          <w:trHeight w:val="156"/>
        </w:trPr>
        <w:tc>
          <w:tcPr>
            <w:tcW w:w="1200" w:type="dxa"/>
            <w:vAlign w:val="bottom"/>
          </w:tcPr>
          <w:p>
            <w:pPr>
              <w:ind w:left="120"/>
              <w:spacing w:after="0" w:line="156" w:lineRule="exact"/>
              <w:rPr>
                <w:sz w:val="20"/>
                <w:szCs w:val="20"/>
                <w:color w:val="auto"/>
              </w:rPr>
            </w:pPr>
            <w:r>
              <w:rPr>
                <w:rFonts w:ascii="Arial" w:cs="Arial" w:eastAsia="Arial" w:hAnsi="Arial"/>
                <w:sz w:val="15"/>
                <w:szCs w:val="15"/>
                <w:color w:val="auto"/>
                <w:w w:val="89"/>
              </w:rPr>
              <w:t>Issuance of Class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A common</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stock from</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exercise of</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5"/>
              <w:spacing w:after="0"/>
              <w:rPr>
                <w:sz w:val="20"/>
                <w:szCs w:val="20"/>
                <w:color w:val="auto"/>
              </w:rPr>
            </w:pPr>
            <w:r>
              <w:rPr>
                <w:rFonts w:ascii="Arial" w:cs="Arial" w:eastAsia="Arial" w:hAnsi="Arial"/>
                <w:sz w:val="15"/>
                <w:szCs w:val="15"/>
                <w:color w:val="auto"/>
              </w:rPr>
              <w:t>11,877</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28</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94"/>
        </w:trPr>
        <w:tc>
          <w:tcPr>
            <w:tcW w:w="1200" w:type="dxa"/>
            <w:vAlign w:val="bottom"/>
          </w:tcPr>
          <w:p>
            <w:pPr>
              <w:ind w:left="280"/>
              <w:spacing w:after="0"/>
              <w:rPr>
                <w:sz w:val="20"/>
                <w:szCs w:val="20"/>
                <w:color w:val="auto"/>
              </w:rPr>
            </w:pPr>
            <w:r>
              <w:rPr>
                <w:rFonts w:ascii="Arial" w:cs="Arial" w:eastAsia="Arial" w:hAnsi="Arial"/>
                <w:sz w:val="15"/>
                <w:szCs w:val="15"/>
                <w:color w:val="auto"/>
              </w:rPr>
              <w:t>options</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420"/>
              <w:spacing w:after="0" w:line="159" w:lineRule="exact"/>
              <w:rPr>
                <w:sz w:val="20"/>
                <w:szCs w:val="20"/>
                <w:color w:val="auto"/>
              </w:rPr>
            </w:pPr>
            <w:r>
              <w:rPr>
                <w:rFonts w:ascii="Arial" w:cs="Arial" w:eastAsia="Arial" w:hAnsi="Arial"/>
                <w:sz w:val="15"/>
                <w:szCs w:val="15"/>
                <w:color w:val="auto"/>
                <w:w w:val="93"/>
              </w:rPr>
              <w:t>Repurchase</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120"/>
              <w:spacing w:after="0" w:line="151" w:lineRule="exact"/>
              <w:rPr>
                <w:sz w:val="20"/>
                <w:szCs w:val="20"/>
                <w:color w:val="auto"/>
              </w:rPr>
            </w:pPr>
            <w:r>
              <w:rPr>
                <w:rFonts w:ascii="Arial" w:cs="Arial" w:eastAsia="Arial" w:hAnsi="Arial"/>
                <w:sz w:val="15"/>
                <w:szCs w:val="15"/>
                <w:color w:val="auto"/>
              </w:rPr>
              <w:t>of Class A</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(215,245)</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common stock</w:t>
            </w: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100"/>
              <w:spacing w:after="0" w:line="156" w:lineRule="exact"/>
              <w:rPr>
                <w:sz w:val="20"/>
                <w:szCs w:val="20"/>
                <w:color w:val="auto"/>
              </w:rPr>
            </w:pPr>
            <w:r>
              <w:rPr>
                <w:rFonts w:ascii="Arial" w:cs="Arial" w:eastAsia="Arial" w:hAnsi="Arial"/>
                <w:sz w:val="15"/>
                <w:szCs w:val="15"/>
                <w:color w:val="auto"/>
              </w:rPr>
              <w:t>Vesting of early</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40"/>
              <w:spacing w:after="0" w:line="151" w:lineRule="exact"/>
              <w:rPr>
                <w:sz w:val="20"/>
                <w:szCs w:val="20"/>
                <w:color w:val="auto"/>
              </w:rPr>
            </w:pPr>
            <w:r>
              <w:rPr>
                <w:rFonts w:ascii="Arial" w:cs="Arial" w:eastAsia="Arial" w:hAnsi="Arial"/>
                <w:sz w:val="15"/>
                <w:szCs w:val="15"/>
                <w:color w:val="auto"/>
                <w:w w:val="90"/>
              </w:rPr>
              <w:t>exercised stock</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40"/>
              <w:spacing w:after="0" w:line="151" w:lineRule="exact"/>
              <w:rPr>
                <w:sz w:val="20"/>
                <w:szCs w:val="20"/>
                <w:color w:val="auto"/>
              </w:rPr>
            </w:pPr>
            <w:r>
              <w:rPr>
                <w:rFonts w:ascii="Arial" w:cs="Arial" w:eastAsia="Arial" w:hAnsi="Arial"/>
                <w:sz w:val="15"/>
                <w:szCs w:val="15"/>
                <w:color w:val="auto"/>
              </w:rPr>
              <w:t>options and</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40"/>
              <w:spacing w:after="0" w:line="151" w:lineRule="exact"/>
              <w:rPr>
                <w:sz w:val="20"/>
                <w:szCs w:val="20"/>
                <w:color w:val="auto"/>
              </w:rPr>
            </w:pPr>
            <w:r>
              <w:rPr>
                <w:rFonts w:ascii="Arial" w:cs="Arial" w:eastAsia="Arial" w:hAnsi="Arial"/>
                <w:sz w:val="15"/>
                <w:szCs w:val="15"/>
                <w:color w:val="auto"/>
              </w:rPr>
              <w:t>restricted</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10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94"/>
        </w:trPr>
        <w:tc>
          <w:tcPr>
            <w:tcW w:w="1200" w:type="dxa"/>
            <w:vAlign w:val="bottom"/>
          </w:tcPr>
          <w:p>
            <w:pPr>
              <w:ind w:left="240"/>
              <w:spacing w:after="0"/>
              <w:rPr>
                <w:sz w:val="20"/>
                <w:szCs w:val="20"/>
                <w:color w:val="auto"/>
              </w:rPr>
            </w:pPr>
            <w:r>
              <w:rPr>
                <w:rFonts w:ascii="Arial" w:cs="Arial" w:eastAsia="Arial" w:hAnsi="Arial"/>
                <w:sz w:val="15"/>
                <w:szCs w:val="15"/>
                <w:color w:val="auto"/>
                <w:w w:val="97"/>
              </w:rPr>
              <w:t>common stock</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Issuance of</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Series D-1</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convertible</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preferred</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stock, net of</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w w:val="95"/>
              </w:rPr>
              <w:t>issuance costs</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6,853,571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54,896</w:t>
            </w:r>
          </w:p>
        </w:tc>
        <w:tc>
          <w:tcPr>
            <w:tcW w:w="8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54,896</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of $104</w:t>
            </w: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420"/>
              <w:spacing w:after="0" w:line="156" w:lineRule="exact"/>
              <w:rPr>
                <w:sz w:val="20"/>
                <w:szCs w:val="20"/>
                <w:color w:val="auto"/>
              </w:rPr>
            </w:pPr>
            <w:r>
              <w:rPr>
                <w:rFonts w:ascii="Arial" w:cs="Arial" w:eastAsia="Arial" w:hAnsi="Arial"/>
                <w:sz w:val="15"/>
                <w:szCs w:val="15"/>
                <w:color w:val="auto"/>
                <w:w w:val="91"/>
              </w:rPr>
              <w:t>Stock-based</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808</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194"/>
        </w:trPr>
        <w:tc>
          <w:tcPr>
            <w:tcW w:w="120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Other</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w w:val="92"/>
              </w:rPr>
              <w:t>comprehensive</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w:t>
            </w: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200" w:type="dxa"/>
            <w:vAlign w:val="bottom"/>
          </w:tcPr>
          <w:p>
            <w:pPr>
              <w:ind w:left="420"/>
              <w:spacing w:after="0"/>
              <w:rPr>
                <w:sz w:val="20"/>
                <w:szCs w:val="20"/>
                <w:color w:val="auto"/>
              </w:rPr>
            </w:pPr>
            <w:r>
              <w:rPr>
                <w:rFonts w:ascii="Arial" w:cs="Arial" w:eastAsia="Arial" w:hAnsi="Arial"/>
                <w:sz w:val="15"/>
                <w:szCs w:val="15"/>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(6,117)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(6,117)</w:t>
            </w:r>
          </w:p>
        </w:tc>
        <w:tc>
          <w:tcPr>
            <w:tcW w:w="0" w:type="dxa"/>
            <w:vAlign w:val="bottom"/>
          </w:tcPr>
          <w:p>
            <w:pPr>
              <w:spacing w:after="0"/>
              <w:rPr>
                <w:sz w:val="1"/>
                <w:szCs w:val="1"/>
                <w:color w:val="auto"/>
              </w:rPr>
            </w:pPr>
          </w:p>
        </w:tc>
      </w:tr>
      <w:tr>
        <w:trPr>
          <w:trHeight w:val="177"/>
        </w:trPr>
        <w:tc>
          <w:tcPr>
            <w:tcW w:w="12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Balance at</w:t>
            </w: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30, 2020</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29,026,787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162,849</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12,030,516</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3,741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(34,196)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302</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132,696</w:t>
            </w:r>
          </w:p>
        </w:tc>
        <w:tc>
          <w:tcPr>
            <w:tcW w:w="0" w:type="dxa"/>
            <w:vAlign w:val="bottom"/>
          </w:tcPr>
          <w:p>
            <w:pPr>
              <w:spacing w:after="0"/>
              <w:rPr>
                <w:sz w:val="1"/>
                <w:szCs w:val="1"/>
                <w:color w:val="auto"/>
              </w:rPr>
            </w:pPr>
          </w:p>
        </w:tc>
      </w:tr>
      <w:tr>
        <w:trPr>
          <w:trHeight w:val="156"/>
        </w:trPr>
        <w:tc>
          <w:tcPr>
            <w:tcW w:w="1200" w:type="dxa"/>
            <w:vAlign w:val="bottom"/>
          </w:tcPr>
          <w:p>
            <w:pPr>
              <w:ind w:left="120"/>
              <w:spacing w:after="0" w:line="156" w:lineRule="exact"/>
              <w:rPr>
                <w:sz w:val="20"/>
                <w:szCs w:val="20"/>
                <w:color w:val="auto"/>
              </w:rPr>
            </w:pPr>
            <w:r>
              <w:rPr>
                <w:rFonts w:ascii="Arial" w:cs="Arial" w:eastAsia="Arial" w:hAnsi="Arial"/>
                <w:sz w:val="15"/>
                <w:szCs w:val="15"/>
                <w:color w:val="auto"/>
                <w:w w:val="89"/>
              </w:rPr>
              <w:t>Issuance of Class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A common</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stock from</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80"/>
              <w:spacing w:after="0" w:line="151" w:lineRule="exact"/>
              <w:rPr>
                <w:sz w:val="20"/>
                <w:szCs w:val="20"/>
                <w:color w:val="auto"/>
              </w:rPr>
            </w:pPr>
            <w:r>
              <w:rPr>
                <w:rFonts w:ascii="Arial" w:cs="Arial" w:eastAsia="Arial" w:hAnsi="Arial"/>
                <w:sz w:val="15"/>
                <w:szCs w:val="15"/>
                <w:color w:val="auto"/>
              </w:rPr>
              <w:t>exercise of</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5"/>
              <w:spacing w:after="0"/>
              <w:rPr>
                <w:sz w:val="20"/>
                <w:szCs w:val="20"/>
                <w:color w:val="auto"/>
              </w:rPr>
            </w:pPr>
            <w:r>
              <w:rPr>
                <w:rFonts w:ascii="Arial" w:cs="Arial" w:eastAsia="Arial" w:hAnsi="Arial"/>
                <w:sz w:val="15"/>
                <w:szCs w:val="15"/>
                <w:color w:val="auto"/>
              </w:rPr>
              <w:t>611,824</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42</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94"/>
        </w:trPr>
        <w:tc>
          <w:tcPr>
            <w:tcW w:w="1200" w:type="dxa"/>
            <w:vAlign w:val="bottom"/>
          </w:tcPr>
          <w:p>
            <w:pPr>
              <w:ind w:left="280"/>
              <w:spacing w:after="0"/>
              <w:rPr>
                <w:sz w:val="20"/>
                <w:szCs w:val="20"/>
                <w:color w:val="auto"/>
              </w:rPr>
            </w:pPr>
            <w:r>
              <w:rPr>
                <w:rFonts w:ascii="Arial" w:cs="Arial" w:eastAsia="Arial" w:hAnsi="Arial"/>
                <w:sz w:val="15"/>
                <w:szCs w:val="15"/>
                <w:color w:val="auto"/>
              </w:rPr>
              <w:t>options</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Vesting of early</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w w:val="90"/>
              </w:rPr>
              <w:t>exercised stock</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options and</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shd w:val="clear" w:color="auto" w:fill="CCEEFF"/>
          </w:tcPr>
          <w:p>
            <w:pPr>
              <w:ind w:left="240"/>
              <w:spacing w:after="0" w:line="151" w:lineRule="exact"/>
              <w:rPr>
                <w:sz w:val="20"/>
                <w:szCs w:val="20"/>
                <w:color w:val="auto"/>
              </w:rPr>
            </w:pPr>
            <w:r>
              <w:rPr>
                <w:rFonts w:ascii="Arial" w:cs="Arial" w:eastAsia="Arial" w:hAnsi="Arial"/>
                <w:sz w:val="15"/>
                <w:szCs w:val="15"/>
                <w:color w:val="auto"/>
              </w:rPr>
              <w:t>restricted</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49</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240"/>
              <w:spacing w:after="0"/>
              <w:rPr>
                <w:sz w:val="20"/>
                <w:szCs w:val="20"/>
                <w:color w:val="auto"/>
              </w:rPr>
            </w:pPr>
            <w:r>
              <w:rPr>
                <w:rFonts w:ascii="Arial" w:cs="Arial" w:eastAsia="Arial" w:hAnsi="Arial"/>
                <w:sz w:val="15"/>
                <w:szCs w:val="15"/>
                <w:color w:val="auto"/>
                <w:w w:val="97"/>
              </w:rPr>
              <w:t>common stock</w:t>
            </w: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100"/>
              <w:spacing w:after="0" w:line="156" w:lineRule="exact"/>
              <w:rPr>
                <w:sz w:val="20"/>
                <w:szCs w:val="20"/>
                <w:color w:val="auto"/>
              </w:rPr>
            </w:pPr>
            <w:r>
              <w:rPr>
                <w:rFonts w:ascii="Arial" w:cs="Arial" w:eastAsia="Arial" w:hAnsi="Arial"/>
                <w:sz w:val="15"/>
                <w:szCs w:val="15"/>
                <w:color w:val="auto"/>
              </w:rPr>
              <w:t>Distribution of</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40"/>
              <w:spacing w:after="0" w:line="151" w:lineRule="exact"/>
              <w:rPr>
                <w:sz w:val="20"/>
                <w:szCs w:val="20"/>
                <w:color w:val="auto"/>
              </w:rPr>
            </w:pPr>
            <w:r>
              <w:rPr>
                <w:rFonts w:ascii="Arial" w:cs="Arial" w:eastAsia="Arial" w:hAnsi="Arial"/>
                <w:sz w:val="15"/>
                <w:szCs w:val="15"/>
                <w:color w:val="auto"/>
              </w:rPr>
              <w:t>PrognomIQ</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194"/>
        </w:trPr>
        <w:tc>
          <w:tcPr>
            <w:tcW w:w="1200" w:type="dxa"/>
            <w:vAlign w:val="bottom"/>
          </w:tcPr>
          <w:p>
            <w:pPr>
              <w:ind w:left="240"/>
              <w:spacing w:after="0"/>
              <w:rPr>
                <w:sz w:val="20"/>
                <w:szCs w:val="20"/>
                <w:color w:val="auto"/>
              </w:rPr>
            </w:pPr>
            <w:r>
              <w:rPr>
                <w:rFonts w:ascii="Arial" w:cs="Arial" w:eastAsia="Arial" w:hAnsi="Arial"/>
                <w:sz w:val="15"/>
                <w:szCs w:val="15"/>
                <w:color w:val="auto"/>
              </w:rPr>
              <w:t>shares</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CEEFF"/>
          </w:tcPr>
          <w:p>
            <w:pPr>
              <w:ind w:left="420"/>
              <w:spacing w:after="0" w:line="159" w:lineRule="exact"/>
              <w:rPr>
                <w:sz w:val="20"/>
                <w:szCs w:val="20"/>
                <w:color w:val="auto"/>
              </w:rPr>
            </w:pPr>
            <w:r>
              <w:rPr>
                <w:rFonts w:ascii="Arial" w:cs="Arial" w:eastAsia="Arial" w:hAnsi="Arial"/>
                <w:sz w:val="15"/>
                <w:szCs w:val="15"/>
                <w:color w:val="auto"/>
                <w:w w:val="91"/>
              </w:rPr>
              <w:t>Stock-based</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1,177</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1,177</w:t>
            </w:r>
          </w:p>
        </w:tc>
        <w:tc>
          <w:tcPr>
            <w:tcW w:w="0" w:type="dxa"/>
            <w:vAlign w:val="bottom"/>
          </w:tcPr>
          <w:p>
            <w:pPr>
              <w:spacing w:after="0"/>
              <w:rPr>
                <w:sz w:val="1"/>
                <w:szCs w:val="1"/>
                <w:color w:val="auto"/>
              </w:rPr>
            </w:pPr>
          </w:p>
        </w:tc>
      </w:tr>
      <w:tr>
        <w:trPr>
          <w:trHeight w:val="197"/>
        </w:trPr>
        <w:tc>
          <w:tcPr>
            <w:tcW w:w="1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1140" w:type="dxa"/>
            <w:vAlign w:val="bottom"/>
            <w:gridSpan w:val="2"/>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200" w:type="dxa"/>
            <w:vAlign w:val="bottom"/>
          </w:tcPr>
          <w:p>
            <w:pPr>
              <w:ind w:left="100"/>
              <w:spacing w:after="0" w:line="156" w:lineRule="exact"/>
              <w:rPr>
                <w:sz w:val="20"/>
                <w:szCs w:val="20"/>
                <w:color w:val="auto"/>
              </w:rPr>
            </w:pPr>
            <w:r>
              <w:rPr>
                <w:rFonts w:ascii="Arial" w:cs="Arial" w:eastAsia="Arial" w:hAnsi="Arial"/>
                <w:sz w:val="15"/>
                <w:szCs w:val="15"/>
                <w:color w:val="auto"/>
              </w:rPr>
              <w:t>Other</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00" w:type="dxa"/>
            <w:vAlign w:val="bottom"/>
          </w:tcPr>
          <w:p>
            <w:pPr>
              <w:ind w:left="240"/>
              <w:spacing w:after="0" w:line="151" w:lineRule="exact"/>
              <w:rPr>
                <w:sz w:val="20"/>
                <w:szCs w:val="20"/>
                <w:color w:val="auto"/>
              </w:rPr>
            </w:pPr>
            <w:r>
              <w:rPr>
                <w:rFonts w:ascii="Arial" w:cs="Arial" w:eastAsia="Arial" w:hAnsi="Arial"/>
                <w:sz w:val="15"/>
                <w:szCs w:val="15"/>
                <w:color w:val="auto"/>
                <w:w w:val="92"/>
              </w:rPr>
              <w:t>comprehensive</w:t>
            </w: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tcPr>
          <w:p>
            <w:pPr>
              <w:spacing w:after="0"/>
              <w:rPr>
                <w:sz w:val="13"/>
                <w:szCs w:val="13"/>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(159)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94"/>
        </w:trPr>
        <w:tc>
          <w:tcPr>
            <w:tcW w:w="1200" w:type="dxa"/>
            <w:vAlign w:val="bottom"/>
          </w:tcPr>
          <w:p>
            <w:pPr>
              <w:ind w:left="240"/>
              <w:spacing w:after="0"/>
              <w:rPr>
                <w:sz w:val="20"/>
                <w:szCs w:val="20"/>
                <w:color w:val="auto"/>
              </w:rPr>
            </w:pPr>
            <w:r>
              <w:rPr>
                <w:rFonts w:ascii="Arial" w:cs="Arial" w:eastAsia="Arial" w:hAnsi="Arial"/>
                <w:sz w:val="15"/>
                <w:szCs w:val="15"/>
                <w:color w:val="auto"/>
              </w:rPr>
              <w:t>loss</w:t>
            </w:r>
          </w:p>
        </w:tc>
        <w:tc>
          <w:tcPr>
            <w:tcW w:w="11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 loss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(8,229)</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(8,229)</w:t>
            </w:r>
          </w:p>
        </w:tc>
        <w:tc>
          <w:tcPr>
            <w:tcW w:w="0" w:type="dxa"/>
            <w:vAlign w:val="bottom"/>
          </w:tcPr>
          <w:p>
            <w:pPr>
              <w:spacing w:after="0"/>
              <w:rPr>
                <w:sz w:val="1"/>
                <w:szCs w:val="1"/>
                <w:color w:val="auto"/>
              </w:rPr>
            </w:pPr>
          </w:p>
        </w:tc>
      </w:tr>
      <w:tr>
        <w:trPr>
          <w:trHeight w:val="174"/>
        </w:trPr>
        <w:tc>
          <w:tcPr>
            <w:tcW w:w="1200" w:type="dxa"/>
            <w:vAlign w:val="bottom"/>
          </w:tcPr>
          <w:p>
            <w:pPr>
              <w:ind w:left="320"/>
              <w:spacing w:after="0"/>
              <w:rPr>
                <w:sz w:val="20"/>
                <w:szCs w:val="20"/>
                <w:color w:val="auto"/>
              </w:rPr>
            </w:pPr>
            <w:r>
              <w:rPr>
                <w:rFonts w:ascii="Arial" w:cs="Arial" w:eastAsia="Arial" w:hAnsi="Arial"/>
                <w:sz w:val="15"/>
                <w:szCs w:val="15"/>
                <w:color w:val="auto"/>
              </w:rPr>
              <w:t>Balance at</w:t>
            </w: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00" w:type="dxa"/>
            <w:vAlign w:val="bottom"/>
          </w:tcPr>
          <w:p>
            <w:pPr>
              <w:ind w:left="20"/>
              <w:spacing w:after="0"/>
              <w:rPr>
                <w:sz w:val="20"/>
                <w:szCs w:val="20"/>
                <w:color w:val="auto"/>
              </w:rPr>
            </w:pPr>
            <w:r>
              <w:rPr>
                <w:rFonts w:ascii="Arial" w:cs="Arial" w:eastAsia="Arial" w:hAnsi="Arial"/>
                <w:sz w:val="15"/>
                <w:szCs w:val="15"/>
                <w:color w:val="auto"/>
              </w:rPr>
              <w:t>September 30,</w:t>
            </w: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29,026,787</w:t>
            </w:r>
          </w:p>
        </w:tc>
        <w:tc>
          <w:tcPr>
            <w:tcW w:w="8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162,849</w:t>
            </w:r>
          </w:p>
        </w:tc>
        <w:tc>
          <w:tcPr>
            <w:tcW w:w="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12,642,340</w:t>
            </w:r>
          </w:p>
        </w:tc>
        <w:tc>
          <w:tcPr>
            <w:tcW w:w="60" w:type="dxa"/>
            <w:vAlign w:val="bottom"/>
          </w:tcPr>
          <w:p>
            <w:pPr>
              <w:spacing w:after="0"/>
              <w:rPr>
                <w:sz w:val="15"/>
                <w:szCs w:val="15"/>
                <w:color w:val="auto"/>
              </w:rPr>
            </w:pPr>
          </w:p>
        </w:tc>
        <w:tc>
          <w:tcPr>
            <w:tcW w:w="660" w:type="dxa"/>
            <w:vAlign w:val="bottom"/>
            <w:vMerge w:val="restart"/>
          </w:tcPr>
          <w:p>
            <w:pPr>
              <w:jc w:val="right"/>
              <w:ind w:right="187"/>
              <w:spacing w:after="0"/>
              <w:rPr>
                <w:sz w:val="20"/>
                <w:szCs w:val="20"/>
                <w:color w:val="auto"/>
              </w:rPr>
            </w:pPr>
            <w:r>
              <w:rPr>
                <w:rFonts w:ascii="Arial" w:cs="Arial" w:eastAsia="Arial" w:hAnsi="Arial"/>
                <w:sz w:val="15"/>
                <w:szCs w:val="15"/>
                <w:color w:val="auto"/>
              </w:rPr>
              <w:t>$</w:t>
            </w:r>
          </w:p>
        </w:tc>
        <w:tc>
          <w:tcPr>
            <w:tcW w:w="340" w:type="dxa"/>
            <w:vAlign w:val="bottom"/>
            <w:gridSpan w:val="2"/>
            <w:vMerge w:val="restart"/>
          </w:tcPr>
          <w:p>
            <w:pPr>
              <w:ind w:left="60"/>
              <w:spacing w:after="0"/>
              <w:rPr>
                <w:sz w:val="20"/>
                <w:szCs w:val="20"/>
                <w:color w:val="auto"/>
              </w:rPr>
            </w:pPr>
            <w:r>
              <w:rPr>
                <w:rFonts w:ascii="Arial" w:cs="Arial" w:eastAsia="Arial" w:hAnsi="Arial"/>
                <w:sz w:val="15"/>
                <w:szCs w:val="15"/>
                <w:color w:val="auto"/>
              </w:rPr>
              <w:t>—</w:t>
            </w: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4,969</w:t>
            </w:r>
          </w:p>
        </w:tc>
        <w:tc>
          <w:tcPr>
            <w:tcW w:w="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(42,425)</w:t>
            </w:r>
          </w:p>
        </w:tc>
        <w:tc>
          <w:tcPr>
            <w:tcW w:w="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143</w:t>
            </w:r>
          </w:p>
        </w:tc>
        <w:tc>
          <w:tcPr>
            <w:tcW w:w="60" w:type="dxa"/>
            <w:vAlign w:val="bottom"/>
          </w:tcPr>
          <w:p>
            <w:pPr>
              <w:spacing w:after="0"/>
              <w:rPr>
                <w:sz w:val="15"/>
                <w:szCs w:val="15"/>
                <w:color w:val="auto"/>
              </w:rPr>
            </w:pPr>
          </w:p>
        </w:tc>
        <w:tc>
          <w:tcPr>
            <w:tcW w:w="5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125,536</w:t>
            </w:r>
          </w:p>
        </w:tc>
        <w:tc>
          <w:tcPr>
            <w:tcW w:w="0" w:type="dxa"/>
            <w:vAlign w:val="bottom"/>
          </w:tcPr>
          <w:p>
            <w:pPr>
              <w:spacing w:after="0"/>
              <w:rPr>
                <w:sz w:val="1"/>
                <w:szCs w:val="1"/>
                <w:color w:val="auto"/>
              </w:rPr>
            </w:pPr>
          </w:p>
        </w:tc>
      </w:tr>
      <w:tr>
        <w:trPr>
          <w:trHeight w:val="185"/>
        </w:trPr>
        <w:tc>
          <w:tcPr>
            <w:tcW w:w="1200" w:type="dxa"/>
            <w:vAlign w:val="bottom"/>
          </w:tcPr>
          <w:p>
            <w:pPr>
              <w:ind w:left="20"/>
              <w:spacing w:after="0"/>
              <w:rPr>
                <w:sz w:val="20"/>
                <w:szCs w:val="20"/>
                <w:color w:val="auto"/>
              </w:rPr>
            </w:pPr>
            <w:r>
              <w:rPr>
                <w:rFonts w:ascii="Arial" w:cs="Arial" w:eastAsia="Arial" w:hAnsi="Arial"/>
                <w:sz w:val="15"/>
                <w:szCs w:val="15"/>
                <w:color w:val="auto"/>
              </w:rPr>
              <w:t>2020</w:t>
            </w: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040"/>
          </w:cols>
          <w:pgMar w:left="620" w:top="12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40"/>
          </w:cols>
          <w:pgMar w:left="620" w:top="123" w:right="239" w:bottom="0" w:gutter="0" w:footer="0" w:header="0"/>
          <w:type w:val="continuous"/>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191135</wp:posOffset>
            </wp:positionH>
            <wp:positionV relativeFrom="page">
              <wp:posOffset>88900</wp:posOffset>
            </wp:positionV>
            <wp:extent cx="7166610" cy="28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6610" cy="28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ind w:right="2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2640" w:type="dxa"/>
            <w:vAlign w:val="bottom"/>
            <w:gridSpan w:val="4"/>
          </w:tcPr>
          <w:p>
            <w:pPr>
              <w:jc w:val="right"/>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1"/>
        </w:trPr>
        <w:tc>
          <w:tcPr>
            <w:tcW w:w="78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Net loss</w:t>
            </w:r>
          </w:p>
        </w:tc>
        <w:tc>
          <w:tcPr>
            <w:tcW w:w="940" w:type="dxa"/>
            <w:vAlign w:val="bottom"/>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(51,430)</w:t>
            </w:r>
          </w:p>
        </w:tc>
        <w:tc>
          <w:tcPr>
            <w:tcW w:w="100" w:type="dxa"/>
            <w:vAlign w:val="bottom"/>
          </w:tcPr>
          <w:p>
            <w:pPr>
              <w:spacing w:after="0"/>
              <w:rPr>
                <w:sz w:val="15"/>
                <w:szCs w:val="15"/>
                <w:color w:val="auto"/>
              </w:rPr>
            </w:pPr>
          </w:p>
        </w:tc>
        <w:tc>
          <w:tcPr>
            <w:tcW w:w="1000" w:type="dxa"/>
            <w:vAlign w:val="bottom"/>
          </w:tcPr>
          <w:p>
            <w:pPr>
              <w:jc w:val="right"/>
              <w:ind w:right="853"/>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(19,839)</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19,256</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2,564</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Depreciation and amortization</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20"/>
              <w:spacing w:after="0"/>
              <w:rPr>
                <w:sz w:val="20"/>
                <w:szCs w:val="20"/>
                <w:color w:val="auto"/>
              </w:rPr>
            </w:pPr>
            <w:r>
              <w:rPr>
                <w:rFonts w:ascii="Arial" w:cs="Arial" w:eastAsia="Arial" w:hAnsi="Arial"/>
                <w:sz w:val="13"/>
                <w:szCs w:val="13"/>
                <w:color w:val="auto"/>
              </w:rPr>
              <w:t>Net amortization of premium on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Non-cash interest expense and other adjustments</w:t>
            </w:r>
          </w:p>
        </w:tc>
        <w:tc>
          <w:tcPr>
            <w:tcW w:w="9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Accounts receivable, net</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Related party receivables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Other receivables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Prepaid expenses and other current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(2,114)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Inventory</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Other assets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Accounts payable</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Deferred revenue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Deferred rent</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Accrued expenses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738</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Accrued research and development</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420"/>
              <w:spacing w:after="0"/>
              <w:rPr>
                <w:sz w:val="20"/>
                <w:szCs w:val="20"/>
                <w:color w:val="auto"/>
              </w:rPr>
            </w:pPr>
            <w:r>
              <w:rPr>
                <w:rFonts w:ascii="Arial" w:cs="Arial" w:eastAsia="Arial" w:hAnsi="Arial"/>
                <w:sz w:val="13"/>
                <w:szCs w:val="13"/>
                <w:color w:val="auto"/>
              </w:rPr>
              <w:t>Other noncurrent liabilities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4"/>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Net cash used in operating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(33,978)</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(15,343)</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59"/>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(5,588)</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(4,407)</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Purchase of available-for-sale securities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(169,801)</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(75,624)</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maturities of available-for-sale securities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92,000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40,250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Investment in equity method investee</w:t>
            </w:r>
          </w:p>
        </w:tc>
        <w:tc>
          <w:tcPr>
            <w:tcW w:w="9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4"/>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Net cash used in investing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(83,389)</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(39,831)</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59"/>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upon follow-on public offering, net of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102,959</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197"/>
        </w:trPr>
        <w:tc>
          <w:tcPr>
            <w:tcW w:w="7860" w:type="dxa"/>
            <w:vAlign w:val="bottom"/>
          </w:tcPr>
          <w:p>
            <w:pPr>
              <w:ind w:left="20"/>
              <w:spacing w:after="0"/>
              <w:rPr>
                <w:sz w:val="20"/>
                <w:szCs w:val="20"/>
                <w:color w:val="auto"/>
              </w:rPr>
            </w:pPr>
            <w:r>
              <w:rPr>
                <w:rFonts w:ascii="Arial" w:cs="Arial" w:eastAsia="Arial" w:hAnsi="Arial"/>
                <w:sz w:val="13"/>
                <w:szCs w:val="13"/>
                <w:color w:val="auto"/>
              </w:rPr>
              <w:t>Proceeds from return of profit</w:t>
            </w:r>
          </w:p>
        </w:tc>
        <w:tc>
          <w:tcPr>
            <w:tcW w:w="9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11,403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r>
      <w:tr>
        <w:trPr>
          <w:trHeight w:val="18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Repurchase of Class A common stock</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Proceeds from stock option exercises including early exercised options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1,038</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578</w:t>
            </w: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issuance of Series D-1 preferred stock, net of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54,896</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color w:val="auto"/>
              </w:rPr>
              <w:t>Payments of deferred offering costs</w:t>
            </w:r>
          </w:p>
        </w:tc>
        <w:tc>
          <w:tcPr>
            <w:tcW w:w="9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94"/>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3"/>
                <w:szCs w:val="13"/>
                <w:color w:val="auto"/>
              </w:rPr>
              <w:t>Net cash provided by financing activities</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115,365</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55,395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Net increase (decrease) in cash, cash equivalents and restricted cash</w:t>
            </w:r>
          </w:p>
        </w:tc>
        <w:tc>
          <w:tcPr>
            <w:tcW w:w="9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4"/>
                <w:szCs w:val="14"/>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333,928</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17,828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4"/>
        </w:trPr>
        <w:tc>
          <w:tcPr>
            <w:tcW w:w="786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94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331,926</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53"/>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18,049</w:t>
            </w:r>
          </w:p>
        </w:tc>
        <w:tc>
          <w:tcPr>
            <w:tcW w:w="100" w:type="dxa"/>
            <w:vAlign w:val="bottom"/>
          </w:tcPr>
          <w:p>
            <w:pPr>
              <w:spacing w:after="0"/>
              <w:rPr>
                <w:sz w:val="16"/>
                <w:szCs w:val="16"/>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54"/>
        </w:trPr>
        <w:tc>
          <w:tcPr>
            <w:tcW w:w="78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9"/>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
        </w:trPr>
        <w:tc>
          <w:tcPr>
            <w:tcW w:w="78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2"/>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940" w:type="dxa"/>
            <w:vAlign w:val="bottom"/>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34"/>
        </w:trPr>
        <w:tc>
          <w:tcPr>
            <w:tcW w:w="7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9"/>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4"/>
        </w:trPr>
        <w:tc>
          <w:tcPr>
            <w:tcW w:w="78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2"/>
        </w:trPr>
        <w:tc>
          <w:tcPr>
            <w:tcW w:w="7860" w:type="dxa"/>
            <w:vAlign w:val="bottom"/>
          </w:tcPr>
          <w:p>
            <w:pPr>
              <w:ind w:left="20"/>
              <w:spacing w:after="0"/>
              <w:rPr>
                <w:sz w:val="20"/>
                <w:szCs w:val="20"/>
                <w:color w:val="auto"/>
              </w:rPr>
            </w:pPr>
            <w:r>
              <w:rPr>
                <w:rFonts w:ascii="Arial" w:cs="Arial" w:eastAsia="Arial" w:hAnsi="Arial"/>
                <w:sz w:val="13"/>
                <w:szCs w:val="13"/>
                <w:color w:val="auto"/>
              </w:rPr>
              <w:t>Property and equipment purchases included in accounts payable</w:t>
            </w:r>
          </w:p>
        </w:tc>
        <w:tc>
          <w:tcPr>
            <w:tcW w:w="940" w:type="dxa"/>
            <w:vAlign w:val="bottom"/>
            <w:tcBorders>
              <w:bottom w:val="single" w:sz="8" w:color="auto"/>
            </w:tcBorders>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7"/>
                <w:szCs w:val="17"/>
                <w:color w:val="auto"/>
              </w:rPr>
            </w:pPr>
          </w:p>
        </w:tc>
        <w:tc>
          <w:tcPr>
            <w:tcW w:w="1000" w:type="dxa"/>
            <w:vAlign w:val="bottom"/>
            <w:tcBorders>
              <w:bottom w:val="single" w:sz="8" w:color="auto"/>
            </w:tcBorders>
          </w:tcPr>
          <w:p>
            <w:pPr>
              <w:jc w:val="right"/>
              <w:ind w:right="853"/>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7"/>
                <w:szCs w:val="17"/>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Property and equipment purchases included in accrued expenses</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7860" w:type="dxa"/>
            <w:vAlign w:val="bottom"/>
          </w:tcPr>
          <w:p>
            <w:pPr>
              <w:ind w:left="20"/>
              <w:spacing w:after="0"/>
              <w:rPr>
                <w:sz w:val="20"/>
                <w:szCs w:val="20"/>
                <w:color w:val="auto"/>
              </w:rPr>
            </w:pPr>
            <w:r>
              <w:rPr>
                <w:rFonts w:ascii="Arial" w:cs="Arial" w:eastAsia="Arial" w:hAnsi="Arial"/>
                <w:sz w:val="13"/>
                <w:szCs w:val="13"/>
                <w:color w:val="auto"/>
              </w:rPr>
              <w:t>Deferred offering costs in accounts payable</w:t>
            </w:r>
          </w:p>
        </w:tc>
        <w:tc>
          <w:tcPr>
            <w:tcW w:w="940" w:type="dxa"/>
            <w:vAlign w:val="bottom"/>
          </w:tcPr>
          <w:p>
            <w:pPr>
              <w:jc w:val="right"/>
              <w:ind w:right="793"/>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853"/>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offering costs in accrued expenses</w:t>
            </w:r>
          </w:p>
        </w:tc>
        <w:tc>
          <w:tcPr>
            <w:tcW w:w="940" w:type="dxa"/>
            <w:vAlign w:val="bottom"/>
            <w:shd w:val="clear" w:color="auto" w:fill="CCEEFF"/>
          </w:tcPr>
          <w:p>
            <w:pPr>
              <w:jc w:val="right"/>
              <w:ind w:right="793"/>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853"/>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1,006</w:t>
            </w:r>
          </w:p>
        </w:tc>
        <w:tc>
          <w:tcPr>
            <w:tcW w:w="100" w:type="dxa"/>
            <w:vAlign w:val="bottom"/>
            <w:shd w:val="clear" w:color="auto" w:fill="CCEEFF"/>
          </w:tcPr>
          <w:p>
            <w:pPr>
              <w:spacing w:after="0"/>
              <w:rPr>
                <w:sz w:val="18"/>
                <w:szCs w:val="18"/>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1140"/>
          </w:cols>
          <w:pgMar w:left="380" w:top="12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180975</wp:posOffset>
            </wp:positionV>
            <wp:extent cx="716661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80" w:top="123" w:right="379" w:bottom="1440"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599"/>
        <w:spacing w:after="0"/>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DESCRIPTION OF THE BUSINESS</w:t>
      </w:r>
    </w:p>
    <w:p>
      <w:pPr>
        <w:spacing w:after="0" w:line="162" w:lineRule="exact"/>
        <w:rPr>
          <w:sz w:val="20"/>
          <w:szCs w:val="20"/>
          <w:color w:val="auto"/>
        </w:rPr>
      </w:pPr>
    </w:p>
    <w:p>
      <w:pPr>
        <w:ind w:right="120" w:firstLine="303"/>
        <w:spacing w:after="0" w:line="253" w:lineRule="auto"/>
        <w:rPr>
          <w:sz w:val="20"/>
          <w:szCs w:val="20"/>
          <w:color w:val="auto"/>
        </w:rPr>
      </w:pPr>
      <w:r>
        <w:rPr>
          <w:rFonts w:ascii="Arial" w:cs="Arial" w:eastAsia="Arial" w:hAnsi="Arial"/>
          <w:sz w:val="17"/>
          <w:szCs w:val="17"/>
          <w:color w:val="auto"/>
        </w:rPr>
        <w:t>Seer, Inc. (the Company) was incorporated in Delaware on March 16, 2017, and is headquartered in Redwood City, California. In December 2020, the Company formed the wholly-owned subsidiary, Seer Securities Corporation, located in Massachusetts. The Company is a life sciences company focused on capturing deep molecular insights from the proteome to enable novel insights and breakthroughs in the understanding of biology and disease. Since inception, the Company has devoted its efforts principally to research, development and commercialization of its technology and products, recruiting management and technical staff, acquiring operating assets, and raising capital.</w:t>
      </w:r>
    </w:p>
    <w:p>
      <w:pPr>
        <w:spacing w:after="0" w:line="130" w:lineRule="exact"/>
        <w:rPr>
          <w:sz w:val="20"/>
          <w:szCs w:val="20"/>
          <w:color w:val="auto"/>
        </w:rPr>
      </w:pPr>
    </w:p>
    <w:p>
      <w:pPr>
        <w:ind w:right="220" w:firstLine="303"/>
        <w:spacing w:after="0" w:line="258" w:lineRule="auto"/>
        <w:rPr>
          <w:sz w:val="20"/>
          <w:szCs w:val="20"/>
          <w:color w:val="auto"/>
        </w:rPr>
      </w:pPr>
      <w:r>
        <w:rPr>
          <w:rFonts w:ascii="Arial" w:cs="Arial" w:eastAsia="Arial" w:hAnsi="Arial"/>
          <w:sz w:val="17"/>
          <w:szCs w:val="17"/>
          <w:color w:val="auto"/>
        </w:rPr>
        <w:t>The Company is subject to a number of risks, similar to other early-stage life science companies, including, but not limited to, development and commercialization of its products, market acceptance of its products, development by its competitors of new technological innovations, protection of its intellectual property, and raising additional capital.</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Public Offering</w:t>
      </w:r>
    </w:p>
    <w:p>
      <w:pPr>
        <w:spacing w:after="0" w:line="158" w:lineRule="exact"/>
        <w:rPr>
          <w:sz w:val="20"/>
          <w:szCs w:val="20"/>
          <w:color w:val="auto"/>
        </w:rPr>
      </w:pPr>
    </w:p>
    <w:p>
      <w:pPr>
        <w:jc w:val="both"/>
        <w:ind w:right="380" w:firstLine="303"/>
        <w:spacing w:after="0" w:line="338" w:lineRule="auto"/>
        <w:rPr>
          <w:sz w:val="20"/>
          <w:szCs w:val="20"/>
          <w:color w:val="auto"/>
        </w:rPr>
      </w:pPr>
      <w:r>
        <w:rPr>
          <w:rFonts w:ascii="Arial" w:cs="Arial" w:eastAsia="Arial" w:hAnsi="Arial"/>
          <w:sz w:val="15"/>
          <w:szCs w:val="15"/>
          <w:color w:val="auto"/>
        </w:rPr>
        <w:t>On February 1, 2021, the Company completed an underwritten public offering of 1,650,000 shares of its Class A common stock at a public offering price of $67.00 per share. The Company received net proceeds of $103.0 million after deducting offering costs, underwriting discounts, and commissions of $7.6 million.</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58" w:lineRule="exact"/>
        <w:rPr>
          <w:sz w:val="20"/>
          <w:szCs w:val="20"/>
          <w:color w:val="auto"/>
        </w:rPr>
      </w:pPr>
    </w:p>
    <w:p>
      <w:pPr>
        <w:ind w:right="100" w:firstLine="303"/>
        <w:spacing w:after="0" w:line="295" w:lineRule="auto"/>
        <w:rPr>
          <w:sz w:val="20"/>
          <w:szCs w:val="20"/>
          <w:color w:val="auto"/>
        </w:rPr>
      </w:pPr>
      <w:r>
        <w:rPr>
          <w:rFonts w:ascii="Arial" w:cs="Arial" w:eastAsia="Arial" w:hAnsi="Arial"/>
          <w:sz w:val="15"/>
          <w:szCs w:val="15"/>
          <w:color w:val="auto"/>
        </w:rPr>
        <w:t>In November 2020, the Company’s board of directors approved an amended and restated certificate of incorporation to effect a reverse split of shares of the Company’s common stock and convertible preferred stock on a 1-for-2.14 basis (the Reverse Stock Split) effective as of November 25, 2020. The par values of the common stock and convertible preferred stock were not adjusted as a result of the Reverse Stock Split. All references to common stock, options to purchase common stock, restricted stock awards, restricted stock units, convertible preferred stock, share data, per share data, and related information contained in the unaudited condensed consolidated financial statements have been retrospectively adjusted to reflect the effect of the Reverse Stock Split for all periods presented.</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Liquidity</w:t>
      </w:r>
    </w:p>
    <w:p>
      <w:pPr>
        <w:spacing w:after="0" w:line="158" w:lineRule="exact"/>
        <w:rPr>
          <w:sz w:val="20"/>
          <w:szCs w:val="20"/>
          <w:color w:val="auto"/>
        </w:rPr>
      </w:pPr>
    </w:p>
    <w:p>
      <w:pPr>
        <w:ind w:right="120" w:firstLine="303"/>
        <w:spacing w:after="0" w:line="272" w:lineRule="auto"/>
        <w:rPr>
          <w:sz w:val="20"/>
          <w:szCs w:val="20"/>
          <w:color w:val="auto"/>
        </w:rPr>
      </w:pPr>
      <w:r>
        <w:rPr>
          <w:rFonts w:ascii="Arial" w:cs="Arial" w:eastAsia="Arial" w:hAnsi="Arial"/>
          <w:sz w:val="16"/>
          <w:szCs w:val="16"/>
          <w:color w:val="auto"/>
        </w:rPr>
        <w:t>As of September 30, 2021, the Company has incurred significant losses and has had negative cash flows from operations. As of September 30, 2021, the Company had cash, cash equivalents and investments of $506.6 million and an accumulated deficit of $106.8 million. Management expects to continue to incur significant expenses for the foreseeable future and to incur operating losses in the near term while the Company makes investments to support its anticipated growth. The Company believes that its cash and cash equivalents balance as of September 30, 2021 provides sufficient capital resources to continue its operations for at least 12 months from the issuance date of the accompanying unaudited condensed consolidated financial statements.</w:t>
      </w:r>
    </w:p>
    <w:p>
      <w:pPr>
        <w:spacing w:after="0" w:line="113" w:lineRule="exact"/>
        <w:rPr>
          <w:sz w:val="20"/>
          <w:szCs w:val="20"/>
          <w:color w:val="auto"/>
        </w:rPr>
      </w:pPr>
    </w:p>
    <w:p>
      <w:pPr>
        <w:ind w:left="600" w:hanging="599"/>
        <w:spacing w:after="0"/>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AND BASIS OF PRESENTATION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58" w:lineRule="exact"/>
        <w:rPr>
          <w:sz w:val="20"/>
          <w:szCs w:val="20"/>
          <w:color w:val="auto"/>
        </w:rPr>
      </w:pPr>
    </w:p>
    <w:p>
      <w:pPr>
        <w:ind w:right="120" w:firstLine="303"/>
        <w:spacing w:after="0" w:line="299" w:lineRule="auto"/>
        <w:rPr>
          <w:sz w:val="20"/>
          <w:szCs w:val="20"/>
          <w:color w:val="auto"/>
        </w:rPr>
      </w:pPr>
      <w:r>
        <w:rPr>
          <w:rFonts w:ascii="Arial" w:cs="Arial" w:eastAsia="Arial" w:hAnsi="Arial"/>
          <w:sz w:val="15"/>
          <w:szCs w:val="15"/>
          <w:color w:val="auto"/>
        </w:rPr>
        <w:t>The unaudited condensed consolidated financial statements have been prepared in accordance with accounting principles generally accepted in the United States of America (U.S. GAAP). The Company has issued shares of Class A common stock, herein referred to as “Class A common stock” or “Class A,” and Class B common stock, herein referred to as “Class B common stock” or “Class B,” and collectively as “common stock.” The unaudited condensed consolidated financial statements include the accounts of Seer, Inc. and its wholly-owned subsidiary. All intercompany transactions and balances have been eliminated.</w:t>
      </w:r>
    </w:p>
    <w:p>
      <w:pPr>
        <w:spacing w:after="0" w:line="99" w:lineRule="exact"/>
        <w:rPr>
          <w:sz w:val="20"/>
          <w:szCs w:val="20"/>
          <w:color w:val="auto"/>
        </w:rPr>
      </w:pPr>
    </w:p>
    <w:p>
      <w:pPr>
        <w:ind w:firstLine="303"/>
        <w:spacing w:after="0" w:line="282" w:lineRule="auto"/>
        <w:rPr>
          <w:sz w:val="20"/>
          <w:szCs w:val="20"/>
          <w:color w:val="auto"/>
        </w:rPr>
      </w:pPr>
      <w:r>
        <w:rPr>
          <w:rFonts w:ascii="Arial" w:cs="Arial" w:eastAsia="Arial" w:hAnsi="Arial"/>
          <w:sz w:val="16"/>
          <w:szCs w:val="16"/>
          <w:color w:val="auto"/>
        </w:rPr>
        <w:t>The condensed consolidated balance sheet at December 31, 2020 has been derived from the audited consolidated financial statements of the Company at that date. Certain information and footnote disclosures typically included in the Company’s audited consolidated financial statements have been condensed or omitted. The accompanying unaudited condensed consolidated financial statements have been prepared on the same basis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60"/>
        <w:spacing w:after="0" w:line="258" w:lineRule="auto"/>
        <w:rPr>
          <w:sz w:val="20"/>
          <w:szCs w:val="20"/>
          <w:color w:val="auto"/>
        </w:rPr>
      </w:pPr>
      <w:r>
        <w:rPr>
          <w:rFonts w:ascii="Arial" w:cs="Arial" w:eastAsia="Arial" w:hAnsi="Arial"/>
          <w:sz w:val="17"/>
          <w:szCs w:val="17"/>
          <w:color w:val="auto"/>
        </w:rPr>
        <w:t>annual consolidated financial statements and, in the opinion of management, reflect all adjustments, which include only normal recurring adjustments, necessary to state fairly the Company’s financial position, results of operations, comprehensive loss and cash flows for the periods presented, but are not necessarily indicative of the results of operations to be anticipated for any future annual or interim period.</w:t>
      </w:r>
    </w:p>
    <w:p>
      <w:pPr>
        <w:spacing w:after="0" w:line="126" w:lineRule="exact"/>
        <w:rPr>
          <w:sz w:val="20"/>
          <w:szCs w:val="20"/>
          <w:color w:val="auto"/>
        </w:rPr>
      </w:pPr>
    </w:p>
    <w:p>
      <w:pPr>
        <w:ind w:right="540" w:firstLine="303"/>
        <w:spacing w:after="0" w:line="338" w:lineRule="auto"/>
        <w:rPr>
          <w:sz w:val="20"/>
          <w:szCs w:val="20"/>
          <w:color w:val="auto"/>
        </w:rPr>
      </w:pPr>
      <w:r>
        <w:rPr>
          <w:rFonts w:ascii="Arial" w:cs="Arial" w:eastAsia="Arial" w:hAnsi="Arial"/>
          <w:sz w:val="15"/>
          <w:szCs w:val="15"/>
          <w:color w:val="auto"/>
        </w:rPr>
        <w:t>The accompanying unaudited condensed consolidated financial statements and notes should be read in conjunction with the audited consolidated financial statements and related notes for the year ended December 31, 2020 included in the Annual Report on Form 10-K filed with the SEC on March 29, 2021.</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58" w:lineRule="exact"/>
        <w:rPr>
          <w:sz w:val="20"/>
          <w:szCs w:val="20"/>
          <w:color w:val="auto"/>
        </w:rPr>
      </w:pPr>
    </w:p>
    <w:p>
      <w:pPr>
        <w:ind w:right="240" w:firstLine="303"/>
        <w:spacing w:after="0" w:line="270" w:lineRule="auto"/>
        <w:rPr>
          <w:sz w:val="20"/>
          <w:szCs w:val="20"/>
          <w:color w:val="auto"/>
        </w:rPr>
      </w:pPr>
      <w:r>
        <w:rPr>
          <w:rFonts w:ascii="Arial" w:cs="Arial" w:eastAsia="Arial" w:hAnsi="Arial"/>
          <w:sz w:val="16"/>
          <w:szCs w:val="16"/>
          <w:color w:val="auto"/>
        </w:rPr>
        <w:t>The preparation of unaudited condensed consolidated financial statements in conformity with U.S. GAAP requires management to make estimates and assumptions that affect the reported amounts of assets, liabilities, and the disclosure of contingent assets and liabilities at the date of the unaudited condensed consolidated financial statements and the reported amounts of expenses during the reporting period. On an ongoing basis, the Company evaluates its estimates and assumptions, including, but not limited to, those related to the determination of stand-alone selling price for revenue recognition, the fair value of common stock, stock-based compensation, accrued research and development expenses, allowance for credit losses, inventory valuation, useful lives and valuation of property and equipment, income tax uncertainties, and tax valuation allowances.</w:t>
      </w:r>
    </w:p>
    <w:p>
      <w:pPr>
        <w:spacing w:after="0" w:line="120" w:lineRule="exact"/>
        <w:rPr>
          <w:sz w:val="20"/>
          <w:szCs w:val="20"/>
          <w:color w:val="auto"/>
        </w:rPr>
      </w:pPr>
    </w:p>
    <w:p>
      <w:pPr>
        <w:ind w:right="100" w:firstLine="303"/>
        <w:spacing w:after="0" w:line="258" w:lineRule="auto"/>
        <w:rPr>
          <w:sz w:val="20"/>
          <w:szCs w:val="20"/>
          <w:color w:val="auto"/>
        </w:rPr>
      </w:pPr>
      <w:r>
        <w:rPr>
          <w:rFonts w:ascii="Arial" w:cs="Arial" w:eastAsia="Arial" w:hAnsi="Arial"/>
          <w:sz w:val="17"/>
          <w:szCs w:val="17"/>
          <w:color w:val="auto"/>
        </w:rPr>
        <w:t>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58" w:lineRule="exact"/>
        <w:rPr>
          <w:sz w:val="20"/>
          <w:szCs w:val="20"/>
          <w:color w:val="auto"/>
        </w:rPr>
      </w:pPr>
    </w:p>
    <w:p>
      <w:pPr>
        <w:ind w:right="20" w:firstLine="303"/>
        <w:spacing w:after="0" w:line="251" w:lineRule="auto"/>
        <w:rPr>
          <w:sz w:val="20"/>
          <w:szCs w:val="20"/>
          <w:color w:val="auto"/>
        </w:rPr>
      </w:pPr>
      <w:r>
        <w:rPr>
          <w:rFonts w:ascii="Arial" w:cs="Arial" w:eastAsia="Arial" w:hAnsi="Arial"/>
          <w:sz w:val="17"/>
          <w:szCs w:val="17"/>
          <w:color w:val="auto"/>
        </w:rPr>
        <w:t>As a result of the COVID-19 pandemic (COVID-19), the Company’s operations experienced disruptions and restrictions on employees’ ability to work and on the hiring of additional personnel, particularly as a result of preventive and precautionary measures taken by the Company and some of its suppliers and other service providers. In particular, some of the Company’s laboratory material and equipment suppliers, collaborators, and service providers used in the performance of its research activities and phased commercial launch plan have been similarly impacted by COVID-19, which may limit the Company’s ability to achieve its planned progress. COVID-19 has adversely affected the broader economy, which could affect the Company’s financing prospects. Continued disruptions from COVID-19 could harm the Company’s operations and the Company cannot anticipate all the ways in which it could be adversely impacted by health epidemics such as COVID-19.</w:t>
      </w:r>
    </w:p>
    <w:p>
      <w:pPr>
        <w:spacing w:after="0" w:line="132" w:lineRule="exact"/>
        <w:rPr>
          <w:sz w:val="20"/>
          <w:szCs w:val="20"/>
          <w:color w:val="auto"/>
        </w:rPr>
      </w:pPr>
    </w:p>
    <w:p>
      <w:pPr>
        <w:ind w:right="140" w:firstLine="303"/>
        <w:spacing w:after="0" w:line="282" w:lineRule="auto"/>
        <w:rPr>
          <w:sz w:val="20"/>
          <w:szCs w:val="20"/>
          <w:color w:val="auto"/>
        </w:rPr>
      </w:pPr>
      <w:r>
        <w:rPr>
          <w:rFonts w:ascii="Arial" w:cs="Arial" w:eastAsia="Arial" w:hAnsi="Arial"/>
          <w:sz w:val="16"/>
          <w:szCs w:val="16"/>
          <w:color w:val="auto"/>
        </w:rPr>
        <w:t>The COVID-19 pandemic has mainly impacted some of the Company’s suppliers who have experienced a surge in demand for their products resulting in supply delays for critical hardware, instrumentation and medical and testing supplies used for product development and commercialization. The Company continues to monitor and assess the effects of the COVID-19 pandemic on its business, financial condition, results of operations and cash flows.</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58" w:lineRule="exact"/>
        <w:rPr>
          <w:sz w:val="20"/>
          <w:szCs w:val="20"/>
          <w:color w:val="auto"/>
        </w:rPr>
      </w:pPr>
    </w:p>
    <w:p>
      <w:pPr>
        <w:ind w:right="500" w:firstLine="303"/>
        <w:spacing w:after="0" w:line="338" w:lineRule="auto"/>
        <w:rPr>
          <w:sz w:val="20"/>
          <w:szCs w:val="20"/>
          <w:color w:val="auto"/>
        </w:rPr>
      </w:pPr>
      <w:r>
        <w:rPr>
          <w:rFonts w:ascii="Arial" w:cs="Arial" w:eastAsia="Arial" w:hAnsi="Arial"/>
          <w:sz w:val="15"/>
          <w:szCs w:val="15"/>
          <w:color w:val="auto"/>
        </w:rPr>
        <w:t>The Company considers all highly liquid investments with an original maturity of three months or less at the date of purchase to be cash equivalents. As of September 30, 2021 and December 31, 2020, all amounts recorded as cash and cash equivalents consist of money market funds and are stated at fair value.</w:t>
      </w:r>
    </w:p>
    <w:p>
      <w:pPr>
        <w:spacing w:after="0" w:line="69"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Restricted cash as of September 30, 2021 and December 31, 2020 represents cash held by a financial institution as security for a letter of credit issued to the lessor for one of the Company’s operating leases and is classified as noncurrent.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firstLine="303"/>
        <w:spacing w:after="0" w:line="301"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6"/>
                <w:szCs w:val="16"/>
                <w:color w:val="auto"/>
              </w:rPr>
            </w:pPr>
          </w:p>
        </w:tc>
        <w:tc>
          <w:tcPr>
            <w:tcW w:w="1300" w:type="dxa"/>
            <w:vAlign w:val="bottom"/>
          </w:tcPr>
          <w:p>
            <w:pPr>
              <w:jc w:val="right"/>
              <w:ind w:right="303"/>
              <w:spacing w:after="0"/>
              <w:rPr>
                <w:sz w:val="20"/>
                <w:szCs w:val="20"/>
                <w:color w:val="auto"/>
              </w:rPr>
            </w:pPr>
            <w:r>
              <w:rPr>
                <w:rFonts w:ascii="Arial" w:cs="Arial" w:eastAsia="Arial" w:hAnsi="Arial"/>
                <w:sz w:val="13"/>
                <w:szCs w:val="13"/>
                <w:b w:val="1"/>
                <w:bCs w:val="1"/>
                <w:color w:val="auto"/>
              </w:rPr>
              <w:t>December 31,</w:t>
            </w:r>
          </w:p>
        </w:tc>
      </w:tr>
      <w:tr>
        <w:trPr>
          <w:trHeight w:val="182"/>
        </w:trPr>
        <w:tc>
          <w:tcPr>
            <w:tcW w:w="58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2020</w:t>
            </w:r>
          </w:p>
        </w:tc>
      </w:tr>
      <w:tr>
        <w:trPr>
          <w:trHeight w:val="225"/>
        </w:trPr>
        <w:tc>
          <w:tcPr>
            <w:tcW w:w="5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4"/>
        </w:trPr>
        <w:tc>
          <w:tcPr>
            <w:tcW w:w="5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333,585</w:t>
            </w:r>
          </w:p>
        </w:tc>
      </w:tr>
      <w:tr>
        <w:trPr>
          <w:trHeight w:val="214"/>
        </w:trPr>
        <w:tc>
          <w:tcPr>
            <w:tcW w:w="58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Restricted cash</w:t>
            </w: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32"/>
        </w:trPr>
        <w:tc>
          <w:tcPr>
            <w:tcW w:w="5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cash, cash equivalents and restricted cash</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331,926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333,928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Accounts Receivable, Net</w:t>
      </w:r>
    </w:p>
    <w:p>
      <w:pPr>
        <w:spacing w:after="0" w:line="158" w:lineRule="exact"/>
        <w:rPr>
          <w:sz w:val="20"/>
          <w:szCs w:val="20"/>
          <w:color w:val="auto"/>
        </w:rPr>
      </w:pPr>
    </w:p>
    <w:p>
      <w:pPr>
        <w:ind w:right="280" w:firstLine="303"/>
        <w:spacing w:after="0" w:line="270" w:lineRule="auto"/>
        <w:rPr>
          <w:sz w:val="20"/>
          <w:szCs w:val="20"/>
          <w:color w:val="auto"/>
        </w:rPr>
      </w:pPr>
      <w:r>
        <w:rPr>
          <w:rFonts w:ascii="Arial" w:cs="Arial" w:eastAsia="Arial" w:hAnsi="Arial"/>
          <w:sz w:val="16"/>
          <w:szCs w:val="16"/>
          <w:color w:val="auto"/>
        </w:rPr>
        <w:t>Accounts receivable consist of amounts due from customers for the sales of products and services, net of any allowance for credit losses. The Company’s expected loss allowance methodology for receivables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an identified risk of default. General allowance amounts are established based upon an assessment of expected credit losses for the Company’s receivables by aging category. Balances are written off when they are ultimately determined to be uncollectible. There was no allowance for credit losses related to accounts receivable as of September 30, 2021 and December 31, 2020.</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Inventory</w:t>
      </w:r>
    </w:p>
    <w:p>
      <w:pPr>
        <w:spacing w:after="0" w:line="158" w:lineRule="exact"/>
        <w:rPr>
          <w:sz w:val="20"/>
          <w:szCs w:val="20"/>
          <w:color w:val="auto"/>
        </w:rPr>
      </w:pPr>
    </w:p>
    <w:p>
      <w:pPr>
        <w:jc w:val="both"/>
        <w:ind w:right="340" w:firstLine="303"/>
        <w:spacing w:after="0" w:line="258" w:lineRule="auto"/>
        <w:rPr>
          <w:sz w:val="20"/>
          <w:szCs w:val="20"/>
          <w:color w:val="auto"/>
        </w:rPr>
      </w:pPr>
      <w:r>
        <w:rPr>
          <w:rFonts w:ascii="Arial" w:cs="Arial" w:eastAsia="Arial" w:hAnsi="Arial"/>
          <w:sz w:val="17"/>
          <w:szCs w:val="17"/>
          <w:color w:val="auto"/>
        </w:rPr>
        <w:t>Inventory is recorded at the lower of standard cost, which approximates actual cost on a weighted-average basis, or net realizable value. Provisions for slow-moving, excess or obsolete inventories are recorded when required to reduce inventory values to their estimated net realizable values based on product expiration, development plans, or quality issues.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Product and Service Revenue</w:t>
      </w:r>
    </w:p>
    <w:p>
      <w:pPr>
        <w:spacing w:after="0" w:line="158" w:lineRule="exact"/>
        <w:rPr>
          <w:sz w:val="20"/>
          <w:szCs w:val="20"/>
          <w:color w:val="auto"/>
        </w:rPr>
      </w:pPr>
    </w:p>
    <w:p>
      <w:pPr>
        <w:ind w:right="400" w:firstLine="303"/>
        <w:spacing w:after="0" w:line="270" w:lineRule="auto"/>
        <w:rPr>
          <w:sz w:val="20"/>
          <w:szCs w:val="20"/>
          <w:color w:val="auto"/>
        </w:rPr>
      </w:pPr>
      <w:r>
        <w:rPr>
          <w:rFonts w:ascii="Arial" w:cs="Arial" w:eastAsia="Arial" w:hAnsi="Arial"/>
          <w:sz w:val="17"/>
          <w:szCs w:val="17"/>
          <w:color w:val="auto"/>
        </w:rPr>
        <w:t>The Company generates revenue from sales of products and services. The Company’s product, the Proteograph Product Suite, consists of an instrument with software and consumables. The Company began shipping its Proteograph Product Suite during the second quarter of 2021.</w:t>
      </w:r>
    </w:p>
    <w:p>
      <w:pPr>
        <w:spacing w:after="0" w:line="115" w:lineRule="exact"/>
        <w:rPr>
          <w:sz w:val="20"/>
          <w:szCs w:val="20"/>
          <w:color w:val="auto"/>
        </w:rPr>
      </w:pPr>
    </w:p>
    <w:p>
      <w:pPr>
        <w:ind w:right="20" w:firstLine="303"/>
        <w:spacing w:after="0" w:line="268" w:lineRule="auto"/>
        <w:rPr>
          <w:sz w:val="20"/>
          <w:szCs w:val="20"/>
          <w:color w:val="auto"/>
        </w:rPr>
      </w:pPr>
      <w:r>
        <w:rPr>
          <w:rFonts w:ascii="Arial" w:cs="Arial" w:eastAsia="Arial" w:hAnsi="Arial"/>
          <w:sz w:val="16"/>
          <w:szCs w:val="16"/>
          <w:color w:val="auto"/>
        </w:rPr>
        <w:t>The Company recognizes revenue when control of the products and services is transferred to its customers in an amount that reflects the consideration it expects to receive from its customers in exchange for those products and services.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considers a performance obligation satisfied once it has transferred control of a good or service to the customer, meaning the customer has the ability to use and obtain the benefit of the good or service. The Company elected to account for shipping and handling activities that occur after the customer has obtained control as a fulfillment activity and not a separate performance obligation.</w:t>
      </w:r>
    </w:p>
    <w:p>
      <w:pPr>
        <w:spacing w:after="0" w:line="122"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In instances where right of payment or transfer of title is contingent upon the customer’s acceptance of the product, revenue is deferred until all acceptance criteria have been met. Revenue is recorded net of discounts and sales taxes collected on behalf of governmental authorities. Customers are invoiced generally upon shipment, or upon order for services, and payment is typically due within 30 or 60 days. Cash received from customers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advance of product shipment or providing services is recorded as a contract liability. The Company’s contracts with its customers generally do not include rights of return or a significant financing component.</w:t>
      </w:r>
    </w:p>
    <w:p>
      <w:pPr>
        <w:spacing w:after="0" w:line="115" w:lineRule="exact"/>
        <w:rPr>
          <w:sz w:val="20"/>
          <w:szCs w:val="20"/>
          <w:color w:val="auto"/>
        </w:rPr>
      </w:pPr>
    </w:p>
    <w:p>
      <w:pPr>
        <w:ind w:right="20" w:firstLine="303"/>
        <w:spacing w:after="0" w:line="276" w:lineRule="auto"/>
        <w:rPr>
          <w:sz w:val="20"/>
          <w:szCs w:val="20"/>
          <w:color w:val="auto"/>
        </w:rPr>
      </w:pPr>
      <w:r>
        <w:rPr>
          <w:rFonts w:ascii="Arial" w:cs="Arial" w:eastAsia="Arial" w:hAnsi="Arial"/>
          <w:sz w:val="16"/>
          <w:szCs w:val="16"/>
          <w:color w:val="auto"/>
        </w:rPr>
        <w:t>The Company regularly enters into contracts that include various combinations of products and services which are generally distinct and accounted for as separate performance obligations. The transaction price is allocated to each performance obligation in proportion to its standalone selling price. The Company determines standalone selling price using average selling prices with consideration of current market conditions. If the product or service has no history of sales or if the sales volume is not sufficient, the Company relies upon prices set by management, adjusted for applicable discounts.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Grant Revenue</w:t>
      </w:r>
    </w:p>
    <w:p>
      <w:pPr>
        <w:spacing w:after="0" w:line="158" w:lineRule="exact"/>
        <w:rPr>
          <w:sz w:val="20"/>
          <w:szCs w:val="20"/>
          <w:color w:val="auto"/>
        </w:rPr>
      </w:pPr>
    </w:p>
    <w:p>
      <w:pPr>
        <w:ind w:right="120" w:firstLine="303"/>
        <w:spacing w:after="0" w:line="272" w:lineRule="auto"/>
        <w:rPr>
          <w:sz w:val="20"/>
          <w:szCs w:val="20"/>
          <w:color w:val="auto"/>
        </w:rPr>
      </w:pPr>
      <w:r>
        <w:rPr>
          <w:rFonts w:ascii="Arial" w:cs="Arial" w:eastAsia="Arial" w:hAnsi="Arial"/>
          <w:sz w:val="16"/>
          <w:szCs w:val="16"/>
          <w:color w:val="auto"/>
        </w:rPr>
        <w:t>Grant revenue represents funding under cost reimbursement programs from federal foundation sources for qualified research and development activities performed by the Company and are not based on estimates that are subject to change. Grants received are assessed to determine if the agreement should be accounted for as an exchange transaction or a contribution. An agreement is accounted for as a contribution if the resource provider does not receive commensurate value in return for the assets transferred. Such amounts are recorded as revenue as grant-funded activities are performed up to the amount of expenses incurred. Any advance funding payments are recorded as deferred revenue until the activities are performed.</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Shipping and Handling Costs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Shipping and handling costs are included in cost of revenue.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8"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The Company accounts for stock-based compensation, including from restricted common stock awards (RSAs), grants of restricted stock units (RSUs), and stock options that may be settled in shares of our common stock, based on the fair values of the equity instruments issued. The fair value is determined on the measurement date, which is generally the date of grant. The fair value of RSAs is the difference between the fair value of the underlying stock at the measurement date and the purchase price. The fair value of RSUs is the fair value of the underlying stock at the measurement date. The fair value for our stock option awards is determined at the grant date using the Black-Scholes valuation model. For share-based payment awards that vest subject to the satisfaction of a service requirement, the fair value of the awards is recognized as expense on a straight-line basis over the requisite service period in which the awards are expected to vest. For share-based payment awards with performance-based vesting conditions, the fair value of the awards is recognized as expense using the accelerated attribution method over the vesting period. Forfeitures are accounted for in the period in which they occur. Share-based payment awards that include a service condition and a performance condition are expected to vest when the performance condition is probable of being met.</w:t>
      </w:r>
    </w:p>
    <w:p>
      <w:pPr>
        <w:spacing w:after="0" w:line="125" w:lineRule="exact"/>
        <w:rPr>
          <w:sz w:val="20"/>
          <w:szCs w:val="20"/>
          <w:color w:val="auto"/>
        </w:rPr>
      </w:pPr>
    </w:p>
    <w:p>
      <w:pPr>
        <w:ind w:right="20" w:firstLine="303"/>
        <w:spacing w:after="0" w:line="309" w:lineRule="auto"/>
        <w:rPr>
          <w:sz w:val="20"/>
          <w:szCs w:val="20"/>
          <w:color w:val="auto"/>
        </w:rPr>
      </w:pPr>
      <w:r>
        <w:rPr>
          <w:rFonts w:ascii="Arial" w:cs="Arial" w:eastAsia="Arial" w:hAnsi="Arial"/>
          <w:sz w:val="15"/>
          <w:szCs w:val="15"/>
          <w:color w:val="auto"/>
        </w:rPr>
        <w:t>The Black-Scholes model considers several variables and assumptions in estimating the fair value of stock-based awards that require judgment, for which changes if they occur can materially affect the resulting estimates of fair value. These assumptions include the per share fair value of the underlying common stock, exercise price, expected term, risk-free interest rate, expected annual dividend yield, and the expected stock price volatility over the expected term as follows: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Fair Value of Common Stock</w:t>
      </w:r>
    </w:p>
    <w:p>
      <w:pPr>
        <w:spacing w:after="0" w:line="158" w:lineRule="exact"/>
        <w:rPr>
          <w:sz w:val="20"/>
          <w:szCs w:val="20"/>
          <w:color w:val="auto"/>
        </w:rPr>
      </w:pPr>
    </w:p>
    <w:p>
      <w:pPr>
        <w:ind w:firstLine="303"/>
        <w:spacing w:after="0" w:line="270" w:lineRule="auto"/>
        <w:rPr>
          <w:sz w:val="20"/>
          <w:szCs w:val="20"/>
          <w:color w:val="auto"/>
        </w:rPr>
      </w:pPr>
      <w:r>
        <w:rPr>
          <w:rFonts w:ascii="Arial" w:cs="Arial" w:eastAsia="Arial" w:hAnsi="Arial"/>
          <w:sz w:val="16"/>
          <w:szCs w:val="16"/>
          <w:color w:val="auto"/>
        </w:rPr>
        <w:t>For grants prior to the Company’s initial public offering (IPO) in December 2020, the grant-date fair market value of the shares of common stock underlying stock options was determined by the Company’s Board of Directors with assistance of third-party valuation specialists. Because there was no public market for the Company’s common stock, the Board of Directors exercised reasonable judgment and considered a number of objective and subjective factors to determine the best estimate of the fair market value, which include important developments in the Company’s operations, the prices at which the Company sold shares of its convertible preferred stock, the rights, preferences and privileges of the Company’s convertible preferred stock relative to those of the Company’s common stock, actual operating results, financial performance, external market conditions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general U.S. market conditions, equity market conditions of comparable public companies, and the lack of marketability of the Company’s common stock. For all grants subsequent to the IPO, the fair value of common stock was determined by using the closing price per share of common stock as reported on the Nasdaq Global Select Market.</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Expected Volatility</w:t>
      </w:r>
    </w:p>
    <w:p>
      <w:pPr>
        <w:spacing w:after="0" w:line="158" w:lineRule="exact"/>
        <w:rPr>
          <w:sz w:val="20"/>
          <w:szCs w:val="20"/>
          <w:color w:val="auto"/>
        </w:rPr>
      </w:pPr>
    </w:p>
    <w:p>
      <w:pPr>
        <w:jc w:val="both"/>
        <w:ind w:right="80" w:firstLine="303"/>
        <w:spacing w:after="0" w:line="258" w:lineRule="auto"/>
        <w:rPr>
          <w:sz w:val="20"/>
          <w:szCs w:val="20"/>
          <w:color w:val="auto"/>
        </w:rPr>
      </w:pPr>
      <w:r>
        <w:rPr>
          <w:rFonts w:ascii="Arial" w:cs="Arial" w:eastAsia="Arial" w:hAnsi="Arial"/>
          <w:sz w:val="17"/>
          <w:szCs w:val="17"/>
          <w:color w:val="auto"/>
        </w:rPr>
        <w:t>The Company had no publicly available stock price information prior to its IPO and limited publicly available stock price information subsequent to its IPO and therefore the Company has used the historical volatility of the stock price of similar publicly traded peer companies. The historical volatility is calculated based on a period of time commensurate with the expected term assumptions.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Expected Term</w:t>
      </w:r>
    </w:p>
    <w:p>
      <w:pPr>
        <w:spacing w:after="0" w:line="158" w:lineRule="exact"/>
        <w:rPr>
          <w:sz w:val="20"/>
          <w:szCs w:val="20"/>
          <w:color w:val="auto"/>
        </w:rPr>
      </w:pPr>
    </w:p>
    <w:p>
      <w:pPr>
        <w:ind w:right="220" w:firstLine="303"/>
        <w:spacing w:after="0" w:line="270" w:lineRule="auto"/>
        <w:rPr>
          <w:sz w:val="20"/>
          <w:szCs w:val="20"/>
          <w:color w:val="auto"/>
        </w:rPr>
      </w:pPr>
      <w:r>
        <w:rPr>
          <w:rFonts w:ascii="Arial" w:cs="Arial" w:eastAsia="Arial" w:hAnsi="Arial"/>
          <w:sz w:val="17"/>
          <w:szCs w:val="17"/>
          <w:color w:val="auto"/>
        </w:rPr>
        <w:t>For stock options granted to employees and directors, the expected term is calculated using the simplified method for “plain vanilla” stock option awards. The expected term for stock options granted to non-employees is the contractual term.</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Risk-Free Interest Rate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risk-free interest rate is based on the yield available on U.S. Treasury issues similar in duration to the expected term of the equity-settled award.</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Expected Dividends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expected dividend yield is assumed to be zero as the Company has never paid dividends and has no current plans to pay dividends on its common stock.</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158" w:lineRule="exact"/>
        <w:rPr>
          <w:sz w:val="20"/>
          <w:szCs w:val="20"/>
          <w:color w:val="auto"/>
        </w:rPr>
      </w:pPr>
    </w:p>
    <w:p>
      <w:pPr>
        <w:ind w:right="20" w:firstLine="303"/>
        <w:spacing w:after="0" w:line="272" w:lineRule="auto"/>
        <w:rPr>
          <w:sz w:val="20"/>
          <w:szCs w:val="20"/>
          <w:color w:val="auto"/>
        </w:rPr>
      </w:pPr>
      <w:r>
        <w:rPr>
          <w:rFonts w:ascii="Arial" w:cs="Arial" w:eastAsia="Arial" w:hAnsi="Arial"/>
          <w:sz w:val="16"/>
          <w:szCs w:val="16"/>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17" w:lineRule="exact"/>
        <w:rPr>
          <w:sz w:val="20"/>
          <w:szCs w:val="20"/>
          <w:color w:val="auto"/>
        </w:rPr>
      </w:pPr>
    </w:p>
    <w:p>
      <w:pPr>
        <w:ind w:firstLine="303"/>
        <w:spacing w:after="0" w:line="272" w:lineRule="auto"/>
        <w:rPr>
          <w:sz w:val="20"/>
          <w:szCs w:val="20"/>
          <w:color w:val="auto"/>
        </w:rPr>
      </w:pPr>
      <w:r>
        <w:rPr>
          <w:rFonts w:ascii="Arial" w:cs="Arial" w:eastAsia="Arial" w:hAnsi="Arial"/>
          <w:sz w:val="16"/>
          <w:szCs w:val="16"/>
          <w:color w:val="auto"/>
        </w:rPr>
        <w:t>The Company’s participating securities include the Company’s convertible preferred stock that was outstanding prior to the completion of the Company’s IPO, as the holders were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convertible preferred stock, as well as the holders of early exercised shares subject to repurchase, do not have a contractual obligation to share in losses.</w:t>
      </w:r>
    </w:p>
    <w:p>
      <w:pPr>
        <w:spacing w:after="0" w:line="117" w:lineRule="exact"/>
        <w:rPr>
          <w:sz w:val="20"/>
          <w:szCs w:val="20"/>
          <w:color w:val="auto"/>
        </w:rPr>
      </w:pPr>
    </w:p>
    <w:p>
      <w:pPr>
        <w:ind w:right="100" w:firstLine="303"/>
        <w:spacing w:after="0" w:line="301"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93" w:lineRule="exact"/>
        <w:rPr>
          <w:sz w:val="20"/>
          <w:szCs w:val="20"/>
          <w:color w:val="auto"/>
        </w:rPr>
      </w:pPr>
    </w:p>
    <w:p>
      <w:pPr>
        <w:ind w:right="220" w:firstLine="303"/>
        <w:spacing w:after="0" w:line="255"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58"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the accounting for income taxes. This standard removes certain exceptions to the general principles in Topic 740 and also clarifies and amends existing standards to improve consistent application. The Company adopted this standard as of January 1, 2021, which did not have a material impact on its financial statements as of the adoption date.</w:t>
      </w:r>
    </w:p>
    <w:p>
      <w:pPr>
        <w:spacing w:after="0" w:line="127"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 xml:space="preserve">In January 2020, the FASB issued ASU No. 2020-01, </w:t>
      </w:r>
      <w:r>
        <w:rPr>
          <w:rFonts w:ascii="Arial" w:cs="Arial" w:eastAsia="Arial" w:hAnsi="Arial"/>
          <w:sz w:val="17"/>
          <w:szCs w:val="17"/>
          <w:i w:val="1"/>
          <w:iCs w:val="1"/>
          <w:color w:val="auto"/>
        </w:rPr>
        <w:t>Investments—Equity Securities (Topic 321), Investments—Equity Method and Joint Ventures (Topic 323),</w:t>
      </w:r>
      <w:r>
        <w:rPr>
          <w:rFonts w:ascii="Arial" w:cs="Arial" w:eastAsia="Arial" w:hAnsi="Arial"/>
          <w:sz w:val="17"/>
          <w:szCs w:val="17"/>
          <w:color w:val="auto"/>
        </w:rPr>
        <w:t xml:space="preserve"> </w:t>
      </w:r>
      <w:r>
        <w:rPr>
          <w:rFonts w:ascii="Arial" w:cs="Arial" w:eastAsia="Arial" w:hAnsi="Arial"/>
          <w:sz w:val="17"/>
          <w:szCs w:val="17"/>
          <w:i w:val="1"/>
          <w:iCs w:val="1"/>
          <w:color w:val="auto"/>
        </w:rPr>
        <w:t>and Derivatives and Hedging (Topic 815)</w:t>
      </w:r>
      <w:r>
        <w:rPr>
          <w:rFonts w:ascii="Arial" w:cs="Arial" w:eastAsia="Arial" w:hAnsi="Arial"/>
          <w:sz w:val="17"/>
          <w:szCs w:val="17"/>
          <w:color w:val="auto"/>
        </w:rPr>
        <w:t>. This standard clarifies the interaction between accounting standards related to equity securities, equity method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derivative instruments. The Company adopted this standard as of January 1, 2021, which did not have a material impact on its financial statements as of the adoption date.</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Recently Issued Accounting Pronouncements Not Yet Adopted</w:t>
      </w:r>
    </w:p>
    <w:p>
      <w:pPr>
        <w:spacing w:after="0" w:line="158" w:lineRule="exact"/>
        <w:rPr>
          <w:sz w:val="20"/>
          <w:szCs w:val="20"/>
          <w:color w:val="auto"/>
        </w:rPr>
      </w:pPr>
    </w:p>
    <w:p>
      <w:pPr>
        <w:ind w:right="40" w:firstLine="303"/>
        <w:spacing w:after="0" w:line="27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This standard clarifies the definition of a lease and requires a lessee to recognize in the statement of financial position a liability to make lease payments (the lease liability) and a right-to-use asset representing its right to use the underlying asset for the lease term. The Company anticipates that it will no longer qualify as an emerging growth company as of December 31, 2021, and will first present the application of this standard in its annual financial statements for the year ending December 31, 2021. While the Company has not yet quantified the impact, these adjustments will increase total assets and total liabilities relative to such amounts reported prior to adoption.</w:t>
      </w:r>
    </w:p>
    <w:p>
      <w:pPr>
        <w:spacing w:after="0" w:line="113" w:lineRule="exact"/>
        <w:rPr>
          <w:sz w:val="20"/>
          <w:szCs w:val="20"/>
          <w:color w:val="auto"/>
        </w:rPr>
      </w:pPr>
    </w:p>
    <w:p>
      <w:pPr>
        <w:ind w:left="600" w:hanging="599"/>
        <w:spacing w:after="0"/>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AND FAIR VALUE OF FINANCIAL INSTRUMENTS</w:t>
      </w:r>
    </w:p>
    <w:p>
      <w:pPr>
        <w:spacing w:after="0" w:line="162" w:lineRule="exact"/>
        <w:rPr>
          <w:sz w:val="20"/>
          <w:szCs w:val="20"/>
          <w:color w:val="auto"/>
        </w:rPr>
      </w:pPr>
    </w:p>
    <w:p>
      <w:pPr>
        <w:ind w:right="180" w:firstLine="303"/>
        <w:spacing w:after="0" w:line="270" w:lineRule="auto"/>
        <w:rPr>
          <w:sz w:val="20"/>
          <w:szCs w:val="20"/>
          <w:color w:val="auto"/>
        </w:rPr>
      </w:pPr>
      <w:r>
        <w:rPr>
          <w:rFonts w:ascii="Arial" w:cs="Arial" w:eastAsia="Arial" w:hAnsi="Arial"/>
          <w:sz w:val="17"/>
          <w:szCs w:val="17"/>
          <w:color w:val="auto"/>
        </w:rPr>
        <w:t>The following tables set forth the fair value of the Company’s financial assets that were measured at fair value on a recurring basis by level within the fair value hierarchy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681"/>
              <w:spacing w:after="0"/>
              <w:rPr>
                <w:sz w:val="20"/>
                <w:szCs w:val="20"/>
                <w:color w:val="auto"/>
              </w:rPr>
            </w:pPr>
            <w:r>
              <w:rPr>
                <w:rFonts w:ascii="Arial" w:cs="Arial" w:eastAsia="Arial" w:hAnsi="Arial"/>
                <w:sz w:val="13"/>
                <w:szCs w:val="13"/>
                <w:b w:val="1"/>
                <w:bCs w:val="1"/>
                <w:color w:val="auto"/>
              </w:rPr>
              <w:t>September 30, 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
        </w:trPr>
        <w:tc>
          <w:tcPr>
            <w:tcW w:w="2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1"/>
        </w:trPr>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3"/>
          </w:tcPr>
          <w:p>
            <w:pPr>
              <w:ind w:left="140"/>
              <w:spacing w:after="0"/>
              <w:rPr>
                <w:sz w:val="20"/>
                <w:szCs w:val="20"/>
                <w:color w:val="auto"/>
              </w:rPr>
            </w:pPr>
            <w:r>
              <w:rPr>
                <w:rFonts w:ascii="Arial" w:cs="Arial" w:eastAsia="Arial" w:hAnsi="Arial"/>
                <w:sz w:val="13"/>
                <w:szCs w:val="13"/>
                <w:b w:val="1"/>
                <w:bCs w:val="1"/>
                <w:color w:val="auto"/>
              </w:rPr>
              <w:t>Level 1</w:t>
            </w:r>
          </w:p>
        </w:tc>
        <w:tc>
          <w:tcPr>
            <w:tcW w:w="600" w:type="dxa"/>
            <w:vAlign w:val="bottom"/>
          </w:tcPr>
          <w:p>
            <w:pPr>
              <w:spacing w:after="0"/>
              <w:rPr>
                <w:sz w:val="14"/>
                <w:szCs w:val="14"/>
                <w:color w:val="auto"/>
              </w:rPr>
            </w:pPr>
          </w:p>
        </w:tc>
        <w:tc>
          <w:tcPr>
            <w:tcW w:w="800" w:type="dxa"/>
            <w:vAlign w:val="bottom"/>
            <w:gridSpan w:val="3"/>
          </w:tcPr>
          <w:p>
            <w:pPr>
              <w:jc w:val="right"/>
              <w:ind w:right="241"/>
              <w:spacing w:after="0"/>
              <w:rPr>
                <w:sz w:val="20"/>
                <w:szCs w:val="20"/>
                <w:color w:val="auto"/>
              </w:rPr>
            </w:pPr>
            <w:r>
              <w:rPr>
                <w:rFonts w:ascii="Arial" w:cs="Arial" w:eastAsia="Arial" w:hAnsi="Arial"/>
                <w:sz w:val="13"/>
                <w:szCs w:val="13"/>
                <w:b w:val="1"/>
                <w:bCs w:val="1"/>
                <w:color w:val="auto"/>
              </w:rPr>
              <w:t>Level 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261"/>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40"/>
              <w:spacing w:after="0"/>
              <w:rPr>
                <w:sz w:val="20"/>
                <w:szCs w:val="20"/>
                <w:color w:val="auto"/>
              </w:rPr>
            </w:pPr>
            <w:r>
              <w:rPr>
                <w:rFonts w:ascii="Arial" w:cs="Arial" w:eastAsia="Arial" w:hAnsi="Arial"/>
                <w:sz w:val="13"/>
                <w:szCs w:val="13"/>
                <w:b w:val="1"/>
                <w:bCs w:val="1"/>
                <w:color w:val="auto"/>
              </w:rPr>
              <w:t>Total</w:t>
            </w:r>
          </w:p>
        </w:tc>
      </w:tr>
      <w:tr>
        <w:trPr>
          <w:trHeight w:val="23"/>
        </w:trPr>
        <w:tc>
          <w:tcPr>
            <w:tcW w:w="26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2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2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Classification:</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52"/>
        </w:trPr>
        <w:tc>
          <w:tcPr>
            <w:tcW w:w="2680" w:type="dxa"/>
            <w:vAlign w:val="bottom"/>
          </w:tcPr>
          <w:p>
            <w:pPr>
              <w:ind w:left="320"/>
              <w:spacing w:after="0"/>
              <w:rPr>
                <w:sz w:val="20"/>
                <w:szCs w:val="20"/>
                <w:color w:val="auto"/>
              </w:rPr>
            </w:pPr>
            <w:r>
              <w:rPr>
                <w:rFonts w:ascii="Arial" w:cs="Arial" w:eastAsia="Arial" w:hAnsi="Arial"/>
                <w:sz w:val="17"/>
                <w:szCs w:val="17"/>
                <w:color w:val="auto"/>
              </w:rPr>
              <w:t>Money market funds</w:t>
            </w:r>
          </w:p>
        </w:tc>
        <w:tc>
          <w:tcPr>
            <w:tcW w:w="2540" w:type="dxa"/>
            <w:vAlign w:val="bottom"/>
          </w:tcPr>
          <w:p>
            <w:pPr>
              <w:ind w:left="340"/>
              <w:spacing w:after="0"/>
              <w:rPr>
                <w:sz w:val="20"/>
                <w:szCs w:val="20"/>
                <w:color w:val="auto"/>
              </w:rPr>
            </w:pPr>
            <w:r>
              <w:rPr>
                <w:rFonts w:ascii="Arial" w:cs="Arial" w:eastAsia="Arial" w:hAnsi="Arial"/>
                <w:sz w:val="17"/>
                <w:szCs w:val="17"/>
                <w:color w:val="auto"/>
              </w:rPr>
              <w:t>Cash and cash equivalents</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330,308</w:t>
            </w:r>
          </w:p>
        </w:tc>
        <w:tc>
          <w:tcPr>
            <w:tcW w:w="100" w:type="dxa"/>
            <w:vAlign w:val="bottom"/>
          </w:tcPr>
          <w:p>
            <w:pPr>
              <w:spacing w:after="0"/>
              <w:rPr>
                <w:sz w:val="21"/>
                <w:szCs w:val="21"/>
                <w:color w:val="auto"/>
              </w:rPr>
            </w:pPr>
          </w:p>
        </w:tc>
        <w:tc>
          <w:tcPr>
            <w:tcW w:w="6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ind w:left="7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330,308</w:t>
            </w:r>
          </w:p>
        </w:tc>
      </w:tr>
      <w:tr>
        <w:trPr>
          <w:trHeight w:val="252"/>
        </w:trPr>
        <w:tc>
          <w:tcPr>
            <w:tcW w:w="2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2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Investments</w:t>
            </w:r>
          </w:p>
        </w:tc>
        <w:tc>
          <w:tcPr>
            <w:tcW w:w="5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175,202</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175,202</w:t>
            </w:r>
          </w:p>
        </w:tc>
      </w:tr>
      <w:tr>
        <w:trPr>
          <w:trHeight w:val="245"/>
        </w:trPr>
        <w:tc>
          <w:tcPr>
            <w:tcW w:w="2680" w:type="dxa"/>
            <w:vAlign w:val="bottom"/>
          </w:tcPr>
          <w:p>
            <w:pPr>
              <w:ind w:left="20"/>
              <w:spacing w:after="0"/>
              <w:rPr>
                <w:sz w:val="20"/>
                <w:szCs w:val="20"/>
                <w:color w:val="auto"/>
              </w:rPr>
            </w:pPr>
            <w:r>
              <w:rPr>
                <w:rFonts w:ascii="Arial" w:cs="Arial" w:eastAsia="Arial" w:hAnsi="Arial"/>
                <w:sz w:val="17"/>
                <w:szCs w:val="17"/>
                <w:color w:val="auto"/>
                <w:w w:val="99"/>
              </w:rPr>
              <w:t>Total assets measured at fair value</w:t>
            </w:r>
          </w:p>
        </w:tc>
        <w:tc>
          <w:tcPr>
            <w:tcW w:w="2540" w:type="dxa"/>
            <w:vAlign w:val="bottom"/>
          </w:tcPr>
          <w:p>
            <w:pPr>
              <w:spacing w:after="0"/>
              <w:rPr>
                <w:sz w:val="21"/>
                <w:szCs w:val="21"/>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330,308</w:t>
            </w:r>
          </w:p>
        </w:tc>
        <w:tc>
          <w:tcPr>
            <w:tcW w:w="100" w:type="dxa"/>
            <w:vAlign w:val="bottom"/>
          </w:tcPr>
          <w:p>
            <w:pPr>
              <w:spacing w:after="0"/>
              <w:rPr>
                <w:sz w:val="21"/>
                <w:szCs w:val="21"/>
                <w:color w:val="auto"/>
              </w:rPr>
            </w:pPr>
          </w:p>
        </w:tc>
        <w:tc>
          <w:tcPr>
            <w:tcW w:w="6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175,202</w:t>
            </w:r>
          </w:p>
        </w:tc>
        <w:tc>
          <w:tcPr>
            <w:tcW w:w="58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tcPr>
          <w:p>
            <w:pPr>
              <w:ind w:left="7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505,510</w:t>
            </w:r>
          </w:p>
        </w:tc>
      </w:tr>
      <w:tr>
        <w:trPr>
          <w:trHeight w:val="20"/>
        </w:trPr>
        <w:tc>
          <w:tcPr>
            <w:tcW w:w="2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34"/>
        </w:trPr>
        <w:tc>
          <w:tcPr>
            <w:tcW w:w="2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gridSpan w:val="5"/>
          </w:tcPr>
          <w:p>
            <w:pPr>
              <w:jc w:val="right"/>
              <w:ind w:right="361"/>
              <w:spacing w:after="0"/>
              <w:rPr>
                <w:sz w:val="20"/>
                <w:szCs w:val="20"/>
                <w:color w:val="auto"/>
              </w:rPr>
            </w:pPr>
            <w:r>
              <w:rPr>
                <w:rFonts w:ascii="Arial" w:cs="Arial" w:eastAsia="Arial" w:hAnsi="Arial"/>
                <w:sz w:val="13"/>
                <w:szCs w:val="13"/>
                <w:b w:val="1"/>
                <w:bCs w:val="1"/>
                <w:color w:val="auto"/>
                <w:w w:val="90"/>
              </w:rPr>
              <w:t>December 31, 2020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
        </w:trPr>
        <w:tc>
          <w:tcPr>
            <w:tcW w:w="26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1"/>
        </w:trPr>
        <w:tc>
          <w:tcPr>
            <w:tcW w:w="2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gridSpan w:val="3"/>
          </w:tcPr>
          <w:p>
            <w:pPr>
              <w:jc w:val="right"/>
              <w:ind w:right="296"/>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Level 2</w:t>
            </w:r>
          </w:p>
        </w:tc>
        <w:tc>
          <w:tcPr>
            <w:tcW w:w="940" w:type="dxa"/>
            <w:vAlign w:val="bottom"/>
          </w:tcPr>
          <w:p>
            <w:pPr>
              <w:jc w:val="right"/>
              <w:ind w:right="61"/>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3"/>
        </w:trPr>
        <w:tc>
          <w:tcPr>
            <w:tcW w:w="268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2"/>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5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Classification:</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52"/>
        </w:trPr>
        <w:tc>
          <w:tcPr>
            <w:tcW w:w="26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2540" w:type="dxa"/>
            <w:vAlign w:val="bottom"/>
          </w:tcPr>
          <w:p>
            <w:pPr>
              <w:ind w:left="660"/>
              <w:spacing w:after="0"/>
              <w:rPr>
                <w:sz w:val="20"/>
                <w:szCs w:val="20"/>
                <w:color w:val="auto"/>
              </w:rPr>
            </w:pPr>
            <w:r>
              <w:rPr>
                <w:rFonts w:ascii="Arial" w:cs="Arial" w:eastAsia="Arial" w:hAnsi="Arial"/>
                <w:sz w:val="17"/>
                <w:szCs w:val="17"/>
                <w:color w:val="auto"/>
                <w:w w:val="91"/>
              </w:rPr>
              <w:t>Cash and cash equivalents</w:t>
            </w:r>
          </w:p>
        </w:tc>
        <w:tc>
          <w:tcPr>
            <w:tcW w:w="540" w:type="dxa"/>
            <w:vAlign w:val="bottom"/>
          </w:tcPr>
          <w:p>
            <w:pPr>
              <w:spacing w:after="0"/>
              <w:rPr>
                <w:sz w:val="21"/>
                <w:szCs w:val="21"/>
                <w:color w:val="auto"/>
              </w:rPr>
            </w:pPr>
          </w:p>
        </w:tc>
        <w:tc>
          <w:tcPr>
            <w:tcW w:w="920" w:type="dxa"/>
            <w:vAlign w:val="bottom"/>
            <w:gridSpan w:val="2"/>
          </w:tcPr>
          <w:p>
            <w:pPr>
              <w:jc w:val="right"/>
              <w:ind w:right="30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4"/>
              </w:rPr>
              <w:t>333,585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761"/>
              <w:spacing w:after="0"/>
              <w:rPr>
                <w:sz w:val="20"/>
                <w:szCs w:val="20"/>
                <w:color w:val="auto"/>
              </w:rPr>
            </w:pPr>
            <w:r>
              <w:rPr>
                <w:rFonts w:ascii="Arial" w:cs="Arial" w:eastAsia="Arial" w:hAnsi="Arial"/>
                <w:sz w:val="17"/>
                <w:szCs w:val="17"/>
                <w:color w:val="auto"/>
                <w:w w:val="84"/>
              </w:rPr>
              <w:t>$</w:t>
            </w: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333,585</w:t>
            </w:r>
          </w:p>
        </w:tc>
      </w:tr>
      <w:tr>
        <w:trPr>
          <w:trHeight w:val="252"/>
        </w:trPr>
        <w:tc>
          <w:tcPr>
            <w:tcW w:w="2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25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Investments</w:t>
            </w:r>
          </w:p>
        </w:tc>
        <w:tc>
          <w:tcPr>
            <w:tcW w:w="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98,278</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98,278</w:t>
            </w:r>
          </w:p>
        </w:tc>
      </w:tr>
      <w:tr>
        <w:trPr>
          <w:trHeight w:val="245"/>
        </w:trPr>
        <w:tc>
          <w:tcPr>
            <w:tcW w:w="2680" w:type="dxa"/>
            <w:vAlign w:val="bottom"/>
          </w:tcPr>
          <w:p>
            <w:pPr>
              <w:ind w:left="20"/>
              <w:spacing w:after="0"/>
              <w:rPr>
                <w:sz w:val="20"/>
                <w:szCs w:val="20"/>
                <w:color w:val="auto"/>
              </w:rPr>
            </w:pPr>
            <w:r>
              <w:rPr>
                <w:rFonts w:ascii="Arial" w:cs="Arial" w:eastAsia="Arial" w:hAnsi="Arial"/>
                <w:sz w:val="17"/>
                <w:szCs w:val="17"/>
                <w:color w:val="auto"/>
                <w:w w:val="99"/>
              </w:rPr>
              <w:t>Total assets measured at fair value</w:t>
            </w:r>
          </w:p>
        </w:tc>
        <w:tc>
          <w:tcPr>
            <w:tcW w:w="2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gridSpan w:val="2"/>
          </w:tcPr>
          <w:p>
            <w:pPr>
              <w:jc w:val="right"/>
              <w:ind w:right="30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4"/>
              </w:rPr>
              <w:t>333,585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4"/>
          </w:tcPr>
          <w:p>
            <w:pPr>
              <w:jc w:val="right"/>
              <w:spacing w:after="0"/>
              <w:rPr>
                <w:sz w:val="20"/>
                <w:szCs w:val="20"/>
                <w:color w:val="auto"/>
              </w:rPr>
            </w:pPr>
            <w:r>
              <w:rPr>
                <w:rFonts w:ascii="Arial" w:cs="Arial" w:eastAsia="Arial" w:hAnsi="Arial"/>
                <w:sz w:val="17"/>
                <w:szCs w:val="17"/>
                <w:color w:val="auto"/>
              </w:rPr>
              <w:t>98,278</w:t>
            </w:r>
          </w:p>
        </w:tc>
        <w:tc>
          <w:tcPr>
            <w:tcW w:w="80" w:type="dxa"/>
            <w:vAlign w:val="bottom"/>
          </w:tcPr>
          <w:p>
            <w:pPr>
              <w:spacing w:after="0"/>
              <w:rPr>
                <w:sz w:val="21"/>
                <w:szCs w:val="21"/>
                <w:color w:val="auto"/>
              </w:rPr>
            </w:pPr>
          </w:p>
        </w:tc>
        <w:tc>
          <w:tcPr>
            <w:tcW w:w="940" w:type="dxa"/>
            <w:vAlign w:val="bottom"/>
          </w:tcPr>
          <w:p>
            <w:pPr>
              <w:jc w:val="right"/>
              <w:ind w:right="761"/>
              <w:spacing w:after="0"/>
              <w:rPr>
                <w:sz w:val="20"/>
                <w:szCs w:val="20"/>
                <w:color w:val="auto"/>
              </w:rPr>
            </w:pPr>
            <w:r>
              <w:rPr>
                <w:rFonts w:ascii="Arial" w:cs="Arial" w:eastAsia="Arial" w:hAnsi="Arial"/>
                <w:sz w:val="17"/>
                <w:szCs w:val="17"/>
                <w:color w:val="auto"/>
                <w:w w:val="84"/>
              </w:rPr>
              <w:t>$</w:t>
            </w:r>
          </w:p>
        </w:tc>
        <w:tc>
          <w:tcPr>
            <w:tcW w:w="340" w:type="dxa"/>
            <w:vAlign w:val="bottom"/>
            <w:gridSpan w:val="3"/>
          </w:tcPr>
          <w:p>
            <w:pPr>
              <w:ind w:left="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431,863</w:t>
            </w:r>
          </w:p>
        </w:tc>
      </w:tr>
      <w:tr>
        <w:trPr>
          <w:trHeight w:val="20"/>
        </w:trPr>
        <w:tc>
          <w:tcPr>
            <w:tcW w:w="26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right="60" w:firstLine="303"/>
        <w:spacing w:after="0" w:line="255" w:lineRule="auto"/>
        <w:rPr>
          <w:sz w:val="20"/>
          <w:szCs w:val="20"/>
          <w:color w:val="auto"/>
        </w:rPr>
      </w:pPr>
      <w:r>
        <w:rPr>
          <w:rFonts w:ascii="Arial" w:cs="Arial" w:eastAsia="Arial" w:hAnsi="Arial"/>
          <w:sz w:val="17"/>
          <w:szCs w:val="17"/>
          <w:color w:val="auto"/>
        </w:rPr>
        <w:t>There were no financial liabilities measured at fair value. The Company classifies money market funds within Level 1 of the fair value hierarchy because they are valued using quoted market prices. The Company classifies its investments in U.S. Treasury securities (Treasury bills, Treasury notes, and Treasury bonds) as Level 2 instruments and obtains fair value from an independent pricing service, which may use quoted market prices for identical or comparable instruments or model-driven valuations using observable market data or inputs corroborated by observable market data.</w:t>
      </w:r>
    </w:p>
    <w:p>
      <w:pPr>
        <w:spacing w:after="0" w:line="127" w:lineRule="exact"/>
        <w:rPr>
          <w:sz w:val="20"/>
          <w:szCs w:val="20"/>
          <w:color w:val="auto"/>
        </w:rPr>
      </w:pPr>
    </w:p>
    <w:p>
      <w:pPr>
        <w:jc w:val="both"/>
        <w:ind w:right="60" w:firstLine="303"/>
        <w:spacing w:after="0" w:line="270" w:lineRule="auto"/>
        <w:rPr>
          <w:sz w:val="20"/>
          <w:szCs w:val="20"/>
          <w:color w:val="auto"/>
        </w:rPr>
      </w:pPr>
      <w:r>
        <w:rPr>
          <w:rFonts w:ascii="Arial" w:cs="Arial" w:eastAsia="Arial" w:hAnsi="Arial"/>
          <w:sz w:val="17"/>
          <w:szCs w:val="17"/>
          <w:color w:val="auto"/>
        </w:rPr>
        <w:t>The carrying amount of the Company’s accounts receivable, other receivables, prepaid expenses and other current assets, accounts payable, and accrued expenses approximate fair value due to their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is a summary of the Company’s cash equivalents and investments and the gross unrealized holding gains and losses (in thousands):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20" w:type="dxa"/>
            <w:vAlign w:val="bottom"/>
            <w:gridSpan w:val="7"/>
          </w:tcPr>
          <w:p>
            <w:pPr>
              <w:ind w:left="860"/>
              <w:spacing w:after="0"/>
              <w:rPr>
                <w:sz w:val="20"/>
                <w:szCs w:val="20"/>
                <w:color w:val="auto"/>
              </w:rPr>
            </w:pPr>
            <w:r>
              <w:rPr>
                <w:rFonts w:ascii="Arial" w:cs="Arial" w:eastAsia="Arial" w:hAnsi="Arial"/>
                <w:sz w:val="13"/>
                <w:szCs w:val="13"/>
                <w:b w:val="1"/>
                <w:bCs w:val="1"/>
                <w:color w:val="auto"/>
              </w:rPr>
              <w:t>September 30, 2021</w:t>
            </w: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
        </w:trPr>
        <w:tc>
          <w:tcPr>
            <w:tcW w:w="4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8"/>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jc w:val="right"/>
              <w:ind w:right="140"/>
              <w:spacing w:after="0"/>
              <w:rPr>
                <w:sz w:val="20"/>
                <w:szCs w:val="20"/>
                <w:color w:val="auto"/>
              </w:rPr>
            </w:pPr>
            <w:r>
              <w:rPr>
                <w:rFonts w:ascii="Arial" w:cs="Arial" w:eastAsia="Arial" w:hAnsi="Arial"/>
                <w:sz w:val="13"/>
                <w:szCs w:val="13"/>
                <w:b w:val="1"/>
                <w:bCs w:val="1"/>
                <w:color w:val="auto"/>
              </w:rPr>
              <w:t>Amortized Cost Basis</w:t>
            </w:r>
          </w:p>
        </w:tc>
        <w:tc>
          <w:tcPr>
            <w:tcW w:w="420" w:type="dxa"/>
            <w:vAlign w:val="bottom"/>
          </w:tcPr>
          <w:p>
            <w:pPr>
              <w:spacing w:after="0"/>
              <w:rPr>
                <w:sz w:val="14"/>
                <w:szCs w:val="14"/>
                <w:color w:val="auto"/>
              </w:rPr>
            </w:pPr>
          </w:p>
        </w:tc>
        <w:tc>
          <w:tcPr>
            <w:tcW w:w="1340" w:type="dxa"/>
            <w:vAlign w:val="bottom"/>
            <w:gridSpan w:val="4"/>
          </w:tcPr>
          <w:p>
            <w:pPr>
              <w:ind w:left="80"/>
              <w:spacing w:after="0"/>
              <w:rPr>
                <w:sz w:val="20"/>
                <w:szCs w:val="20"/>
                <w:color w:val="auto"/>
              </w:rPr>
            </w:pPr>
            <w:r>
              <w:rPr>
                <w:rFonts w:ascii="Arial" w:cs="Arial" w:eastAsia="Arial" w:hAnsi="Arial"/>
                <w:sz w:val="13"/>
                <w:szCs w:val="13"/>
                <w:b w:val="1"/>
                <w:bCs w:val="1"/>
                <w:color w:val="auto"/>
              </w:rPr>
              <w:t>Unrealized Gains</w:t>
            </w:r>
          </w:p>
        </w:tc>
        <w:tc>
          <w:tcPr>
            <w:tcW w:w="4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Unrealized Losses</w:t>
            </w:r>
          </w:p>
        </w:tc>
        <w:tc>
          <w:tcPr>
            <w:tcW w:w="54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44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7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2"/>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Money market funds</w:t>
            </w:r>
          </w:p>
        </w:tc>
        <w:tc>
          <w:tcPr>
            <w:tcW w:w="700" w:type="dxa"/>
            <w:vAlign w:val="bottom"/>
          </w:tcPr>
          <w:p>
            <w:pPr>
              <w:ind w:left="3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330,308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ind w:left="102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330,3</w:t>
            </w:r>
          </w:p>
        </w:tc>
      </w:tr>
      <w:tr>
        <w:trPr>
          <w:trHeight w:val="214"/>
        </w:trPr>
        <w:tc>
          <w:tcPr>
            <w:tcW w:w="44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175,210</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w w:val="73"/>
              </w:rPr>
              <w:t>12</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175,2</w:t>
            </w:r>
          </w:p>
        </w:tc>
      </w:tr>
      <w:tr>
        <w:trPr>
          <w:trHeight w:val="207"/>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7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505,518</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w w:val="73"/>
              </w:rPr>
              <w:t>12</w:t>
            </w: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505,5</w:t>
            </w:r>
          </w:p>
        </w:tc>
      </w:tr>
      <w:tr>
        <w:trPr>
          <w:trHeight w:val="20"/>
        </w:trPr>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34"/>
        </w:trPr>
        <w:tc>
          <w:tcPr>
            <w:tcW w:w="4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20" w:type="dxa"/>
            <w:vAlign w:val="bottom"/>
            <w:gridSpan w:val="7"/>
          </w:tcPr>
          <w:p>
            <w:pPr>
              <w:ind w:left="840"/>
              <w:spacing w:after="0"/>
              <w:rPr>
                <w:sz w:val="20"/>
                <w:szCs w:val="20"/>
                <w:color w:val="auto"/>
              </w:rPr>
            </w:pPr>
            <w:r>
              <w:rPr>
                <w:rFonts w:ascii="Arial" w:cs="Arial" w:eastAsia="Arial" w:hAnsi="Arial"/>
                <w:sz w:val="13"/>
                <w:szCs w:val="13"/>
                <w:b w:val="1"/>
                <w:bCs w:val="1"/>
                <w:color w:val="auto"/>
              </w:rPr>
              <w:t>December 31, 2020</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
        </w:trPr>
        <w:tc>
          <w:tcPr>
            <w:tcW w:w="4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8"/>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5"/>
          </w:tcPr>
          <w:p>
            <w:pPr>
              <w:ind w:left="300"/>
              <w:spacing w:after="0"/>
              <w:rPr>
                <w:sz w:val="20"/>
                <w:szCs w:val="20"/>
                <w:color w:val="auto"/>
              </w:rPr>
            </w:pPr>
            <w:r>
              <w:rPr>
                <w:rFonts w:ascii="Arial" w:cs="Arial" w:eastAsia="Arial" w:hAnsi="Arial"/>
                <w:sz w:val="13"/>
                <w:szCs w:val="13"/>
                <w:b w:val="1"/>
                <w:bCs w:val="1"/>
                <w:color w:val="auto"/>
              </w:rPr>
              <w:t>Amortized Cost Basis</w:t>
            </w:r>
          </w:p>
        </w:tc>
        <w:tc>
          <w:tcPr>
            <w:tcW w:w="42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Arial" w:cs="Arial" w:eastAsia="Arial" w:hAnsi="Arial"/>
                <w:sz w:val="13"/>
                <w:szCs w:val="13"/>
                <w:b w:val="1"/>
                <w:bCs w:val="1"/>
                <w:color w:val="auto"/>
              </w:rPr>
              <w:t>Unrealized Gains</w:t>
            </w:r>
          </w:p>
        </w:tc>
        <w:tc>
          <w:tcPr>
            <w:tcW w:w="40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3"/>
                <w:szCs w:val="13"/>
                <w:b w:val="1"/>
                <w:bCs w:val="1"/>
                <w:color w:val="auto"/>
              </w:rPr>
              <w:t>Unrealized Losses</w:t>
            </w:r>
          </w:p>
        </w:tc>
        <w:tc>
          <w:tcPr>
            <w:tcW w:w="540" w:type="dxa"/>
            <w:vAlign w:val="bottom"/>
          </w:tcPr>
          <w:p>
            <w:pPr>
              <w:spacing w:after="0"/>
              <w:rPr>
                <w:sz w:val="14"/>
                <w:szCs w:val="14"/>
                <w:color w:val="auto"/>
              </w:rPr>
            </w:pPr>
          </w:p>
        </w:tc>
        <w:tc>
          <w:tcPr>
            <w:tcW w:w="920" w:type="dxa"/>
            <w:vAlign w:val="bottom"/>
          </w:tcPr>
          <w:p>
            <w:pPr>
              <w:jc w:val="right"/>
              <w:ind w:right="80"/>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43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Assets:</w:t>
            </w: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52"/>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Money market funds</w:t>
            </w:r>
          </w:p>
        </w:tc>
        <w:tc>
          <w:tcPr>
            <w:tcW w:w="70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333,585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ind w:left="94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9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333,5</w:t>
            </w:r>
          </w:p>
        </w:tc>
      </w:tr>
      <w:tr>
        <w:trPr>
          <w:trHeight w:val="214"/>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U.S. Treasury securities</w:t>
            </w:r>
          </w:p>
        </w:tc>
        <w:tc>
          <w:tcPr>
            <w:tcW w:w="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98,223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rPr>
              <w:t>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r>
      <w:tr>
        <w:trPr>
          <w:trHeight w:val="207"/>
        </w:trPr>
        <w:tc>
          <w:tcPr>
            <w:tcW w:w="440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700" w:type="dxa"/>
            <w:vAlign w:val="bottom"/>
          </w:tcPr>
          <w:p>
            <w:pPr>
              <w:jc w:val="right"/>
              <w:ind w:right="282"/>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431,808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ind w:left="940"/>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431,8</w:t>
            </w:r>
          </w:p>
        </w:tc>
      </w:tr>
      <w:tr>
        <w:trPr>
          <w:trHeight w:val="20"/>
        </w:trPr>
        <w:tc>
          <w:tcPr>
            <w:tcW w:w="4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right="220" w:firstLine="303"/>
        <w:spacing w:after="0" w:line="309" w:lineRule="auto"/>
        <w:rPr>
          <w:sz w:val="20"/>
          <w:szCs w:val="20"/>
          <w:color w:val="auto"/>
        </w:rPr>
      </w:pPr>
      <w:r>
        <w:rPr>
          <w:rFonts w:ascii="Arial" w:cs="Arial" w:eastAsia="Arial" w:hAnsi="Arial"/>
          <w:sz w:val="15"/>
          <w:szCs w:val="15"/>
          <w:color w:val="auto"/>
        </w:rPr>
        <w:t>As of September 30, 2021 and December 31, 2020, unrealized losses on available-for-sale investments are not attributable to credit risk and are considered to be temporary. The Company believes it is more likely than not that investments in an unrealized loss position will be held until maturity or the recovery of the cost basis of the investment. To date, the Company has not recorded any impairment charges on marketable securities related to other-than-temporary declines in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8" w:name="page19"/>
    <w:bookmarkEnd w:id="18"/>
    <w:p>
      <w:pPr>
        <w:jc w:val="center"/>
        <w:ind w:right="-15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jc w:val="right"/>
              <w:ind w:right="16"/>
              <w:spacing w:after="0"/>
              <w:rPr>
                <w:sz w:val="20"/>
                <w:szCs w:val="20"/>
                <w:color w:val="auto"/>
              </w:rPr>
            </w:pPr>
            <w:r>
              <w:rPr>
                <w:rFonts w:ascii="Arial" w:cs="Arial" w:eastAsia="Arial" w:hAnsi="Arial"/>
                <w:sz w:val="17"/>
                <w:szCs w:val="17"/>
                <w:b w:val="1"/>
                <w:bCs w:val="1"/>
                <w:color w:val="auto"/>
                <w:w w:val="70"/>
              </w:rPr>
              <w:t>4.</w:t>
            </w:r>
          </w:p>
        </w:tc>
        <w:tc>
          <w:tcPr>
            <w:tcW w:w="80" w:type="dxa"/>
            <w:vAlign w:val="bottom"/>
          </w:tcPr>
          <w:p>
            <w:pPr>
              <w:spacing w:after="0"/>
              <w:rPr>
                <w:sz w:val="18"/>
                <w:szCs w:val="18"/>
                <w:color w:val="auto"/>
              </w:rPr>
            </w:pPr>
          </w:p>
        </w:tc>
        <w:tc>
          <w:tcPr>
            <w:tcW w:w="5880" w:type="dxa"/>
            <w:vAlign w:val="bottom"/>
          </w:tcPr>
          <w:p>
            <w:pPr>
              <w:ind w:left="300"/>
              <w:spacing w:after="0"/>
              <w:rPr>
                <w:sz w:val="20"/>
                <w:szCs w:val="20"/>
                <w:color w:val="auto"/>
              </w:rPr>
            </w:pPr>
            <w:r>
              <w:rPr>
                <w:rFonts w:ascii="Arial" w:cs="Arial" w:eastAsia="Arial" w:hAnsi="Arial"/>
                <w:sz w:val="17"/>
                <w:szCs w:val="17"/>
                <w:b w:val="1"/>
                <w:bCs w:val="1"/>
                <w:color w:val="auto"/>
              </w:rPr>
              <w:t>OTHER FINANCIAL STATEMENT INFORMATION</w:t>
            </w:r>
          </w:p>
        </w:tc>
        <w:tc>
          <w:tcPr>
            <w:tcW w:w="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53"/>
        </w:trPr>
        <w:tc>
          <w:tcPr>
            <w:tcW w:w="220" w:type="dxa"/>
            <w:vAlign w:val="bottom"/>
          </w:tcPr>
          <w:p>
            <w:pPr>
              <w:spacing w:after="0"/>
              <w:rPr>
                <w:sz w:val="24"/>
                <w:szCs w:val="24"/>
                <w:color w:val="auto"/>
              </w:rPr>
            </w:pPr>
          </w:p>
        </w:tc>
        <w:tc>
          <w:tcPr>
            <w:tcW w:w="5960" w:type="dxa"/>
            <w:vAlign w:val="bottom"/>
            <w:gridSpan w:val="2"/>
          </w:tcPr>
          <w:p>
            <w:pPr>
              <w:ind w:left="80"/>
              <w:spacing w:after="0"/>
              <w:rPr>
                <w:sz w:val="20"/>
                <w:szCs w:val="20"/>
                <w:color w:val="auto"/>
              </w:rPr>
            </w:pPr>
            <w:r>
              <w:rPr>
                <w:rFonts w:ascii="Arial" w:cs="Arial" w:eastAsia="Arial" w:hAnsi="Arial"/>
                <w:sz w:val="17"/>
                <w:szCs w:val="17"/>
                <w:b w:val="1"/>
                <w:bCs w:val="1"/>
                <w:i w:val="1"/>
                <w:iCs w:val="1"/>
                <w:color w:val="auto"/>
              </w:rPr>
              <w:t>Inventory</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3"/>
        </w:trPr>
        <w:tc>
          <w:tcPr>
            <w:tcW w:w="220" w:type="dxa"/>
            <w:vAlign w:val="bottom"/>
          </w:tcPr>
          <w:p>
            <w:pPr>
              <w:spacing w:after="0"/>
              <w:rPr>
                <w:sz w:val="24"/>
                <w:szCs w:val="24"/>
                <w:color w:val="auto"/>
              </w:rPr>
            </w:pPr>
          </w:p>
        </w:tc>
        <w:tc>
          <w:tcPr>
            <w:tcW w:w="5960" w:type="dxa"/>
            <w:vAlign w:val="bottom"/>
            <w:gridSpan w:val="2"/>
          </w:tcPr>
          <w:p>
            <w:pPr>
              <w:ind w:left="80"/>
              <w:spacing w:after="0"/>
              <w:rPr>
                <w:sz w:val="20"/>
                <w:szCs w:val="20"/>
                <w:color w:val="auto"/>
              </w:rPr>
            </w:pPr>
            <w:r>
              <w:rPr>
                <w:rFonts w:ascii="Arial" w:cs="Arial" w:eastAsia="Arial" w:hAnsi="Arial"/>
                <w:sz w:val="17"/>
                <w:szCs w:val="17"/>
                <w:color w:val="auto"/>
              </w:rPr>
              <w:t>Inventory consists of the following (in thousands):</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68"/>
        </w:trPr>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520" w:type="dxa"/>
            <w:vAlign w:val="bottom"/>
          </w:tcPr>
          <w:p>
            <w:pPr>
              <w:spacing w:after="0"/>
              <w:rPr>
                <w:sz w:val="24"/>
                <w:szCs w:val="24"/>
                <w:color w:val="auto"/>
              </w:rPr>
            </w:pPr>
          </w:p>
        </w:tc>
        <w:tc>
          <w:tcPr>
            <w:tcW w:w="1280" w:type="dxa"/>
            <w:vAlign w:val="bottom"/>
          </w:tcPr>
          <w:p>
            <w:pPr>
              <w:jc w:val="right"/>
              <w:ind w:right="283"/>
              <w:spacing w:after="0"/>
              <w:rPr>
                <w:sz w:val="20"/>
                <w:szCs w:val="20"/>
                <w:color w:val="auto"/>
              </w:rPr>
            </w:pPr>
            <w:r>
              <w:rPr>
                <w:rFonts w:ascii="Arial" w:cs="Arial" w:eastAsia="Arial" w:hAnsi="Arial"/>
                <w:sz w:val="13"/>
                <w:szCs w:val="13"/>
                <w:b w:val="1"/>
                <w:bCs w:val="1"/>
                <w:color w:val="auto"/>
              </w:rPr>
              <w:t>December 31,</w:t>
            </w:r>
          </w:p>
        </w:tc>
      </w:tr>
      <w:tr>
        <w:trPr>
          <w:trHeight w:val="207"/>
        </w:trPr>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2020</w:t>
            </w:r>
          </w:p>
        </w:tc>
      </w:tr>
      <w:tr>
        <w:trPr>
          <w:trHeight w:val="225"/>
        </w:trPr>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Raw materials</w:t>
            </w: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
              <w:spacing w:after="0"/>
              <w:rPr>
                <w:sz w:val="20"/>
                <w:szCs w:val="20"/>
                <w:color w:val="auto"/>
              </w:rPr>
            </w:pPr>
            <w:r>
              <w:rPr>
                <w:rFonts w:ascii="Arial" w:cs="Arial" w:eastAsia="Arial" w:hAnsi="Arial"/>
                <w:sz w:val="17"/>
                <w:szCs w:val="17"/>
                <w:color w:val="auto"/>
              </w:rPr>
              <w:t>1,743</w:t>
            </w:r>
          </w:p>
        </w:tc>
        <w:tc>
          <w:tcPr>
            <w:tcW w:w="100" w:type="dxa"/>
            <w:vAlign w:val="bottom"/>
          </w:tcPr>
          <w:p>
            <w:pPr>
              <w:spacing w:after="0"/>
              <w:rPr>
                <w:sz w:val="18"/>
                <w:szCs w:val="18"/>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Finished goods</w:t>
            </w: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231F20"/>
              </w:rPr>
              <w:t>814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r>
      <w:tr>
        <w:trPr>
          <w:trHeight w:val="207"/>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7"/>
                <w:szCs w:val="17"/>
                <w:color w:val="auto"/>
              </w:rPr>
              <w:t>Total inventory</w:t>
            </w: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2,557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w:t>
            </w:r>
          </w:p>
        </w:tc>
      </w:tr>
      <w:tr>
        <w:trPr>
          <w:trHeight w:val="20"/>
        </w:trPr>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5"/>
                <w:szCs w:val="15"/>
                <w:color w:val="auto"/>
              </w:rPr>
            </w:pPr>
          </w:p>
        </w:tc>
        <w:tc>
          <w:tcPr>
            <w:tcW w:w="1280" w:type="dxa"/>
            <w:vAlign w:val="bottom"/>
          </w:tcPr>
          <w:p>
            <w:pPr>
              <w:jc w:val="right"/>
              <w:ind w:right="280"/>
              <w:spacing w:after="0"/>
              <w:rPr>
                <w:sz w:val="20"/>
                <w:szCs w:val="20"/>
                <w:color w:val="auto"/>
              </w:rPr>
            </w:pPr>
            <w:r>
              <w:rPr>
                <w:rFonts w:ascii="Arial" w:cs="Arial" w:eastAsia="Arial" w:hAnsi="Arial"/>
                <w:sz w:val="13"/>
                <w:szCs w:val="13"/>
                <w:b w:val="1"/>
                <w:bCs w:val="1"/>
                <w:color w:val="auto"/>
              </w:rPr>
              <w:t>December 31,</w:t>
            </w:r>
          </w:p>
        </w:tc>
      </w:tr>
      <w:tr>
        <w:trPr>
          <w:trHeight w:val="202"/>
        </w:trPr>
        <w:tc>
          <w:tcPr>
            <w:tcW w:w="5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0"/>
              <w:spacing w:after="0"/>
              <w:rPr>
                <w:sz w:val="20"/>
                <w:szCs w:val="20"/>
                <w:color w:val="auto"/>
              </w:rPr>
            </w:pPr>
            <w:r>
              <w:rPr>
                <w:rFonts w:ascii="Arial" w:cs="Arial" w:eastAsia="Arial" w:hAnsi="Arial"/>
                <w:sz w:val="13"/>
                <w:szCs w:val="13"/>
                <w:b w:val="1"/>
                <w:bCs w:val="1"/>
                <w:color w:val="auto"/>
              </w:rPr>
              <w:t>2020</w:t>
            </w:r>
          </w:p>
        </w:tc>
      </w:tr>
      <w:tr>
        <w:trPr>
          <w:trHeight w:val="23"/>
        </w:trPr>
        <w:tc>
          <w:tcPr>
            <w:tcW w:w="5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5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Laboratory equipment</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12,470</w:t>
            </w:r>
          </w:p>
        </w:tc>
        <w:tc>
          <w:tcPr>
            <w:tcW w:w="10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8,075</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Computer equipment and software</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Furniture and fixtures</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241</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Leasehold improvements</w:t>
            </w: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2,294</w:t>
            </w:r>
          </w:p>
        </w:tc>
      </w:tr>
      <w:tr>
        <w:trPr>
          <w:trHeight w:val="207"/>
        </w:trPr>
        <w:tc>
          <w:tcPr>
            <w:tcW w:w="5860" w:type="dxa"/>
            <w:vAlign w:val="bottom"/>
          </w:tcPr>
          <w:p>
            <w:pPr>
              <w:ind w:left="320"/>
              <w:spacing w:after="0"/>
              <w:rPr>
                <w:sz w:val="20"/>
                <w:szCs w:val="20"/>
                <w:color w:val="auto"/>
              </w:rPr>
            </w:pPr>
            <w:r>
              <w:rPr>
                <w:rFonts w:ascii="Arial" w:cs="Arial" w:eastAsia="Arial" w:hAnsi="Arial"/>
                <w:sz w:val="17"/>
                <w:szCs w:val="17"/>
                <w:color w:val="auto"/>
              </w:rPr>
              <w:t>Property and equipment</w:t>
            </w: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16,661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10,792</w:t>
            </w:r>
          </w:p>
        </w:tc>
      </w:tr>
      <w:tr>
        <w:trPr>
          <w:trHeight w:val="214"/>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Less: accumulated depreciation and amortization</w:t>
            </w: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2,351</w:t>
            </w:r>
          </w:p>
        </w:tc>
      </w:tr>
      <w:tr>
        <w:trPr>
          <w:trHeight w:val="207"/>
        </w:trPr>
        <w:tc>
          <w:tcPr>
            <w:tcW w:w="5860" w:type="dxa"/>
            <w:vAlign w:val="bottom"/>
          </w:tcPr>
          <w:p>
            <w:pPr>
              <w:ind w:left="320"/>
              <w:spacing w:after="0"/>
              <w:rPr>
                <w:sz w:val="20"/>
                <w:szCs w:val="20"/>
                <w:color w:val="auto"/>
              </w:rPr>
            </w:pPr>
            <w:r>
              <w:rPr>
                <w:rFonts w:ascii="Arial" w:cs="Arial" w:eastAsia="Arial" w:hAnsi="Arial"/>
                <w:sz w:val="17"/>
                <w:szCs w:val="17"/>
                <w:color w:val="auto"/>
              </w:rPr>
              <w:t>Total property and equipment, net</w:t>
            </w: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12,588</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8,441</w:t>
            </w:r>
          </w:p>
        </w:tc>
      </w:tr>
      <w:tr>
        <w:trPr>
          <w:trHeight w:val="20"/>
        </w:trPr>
        <w:tc>
          <w:tcPr>
            <w:tcW w:w="5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Depreciation and amortization expense related to property and equipment was $0.7 million and $0.4 million for the three months ended September 30, 2021 and 2020, respectively. Depreciation and amortization expense related to property and equipment was $1.7 million and $1.1 million for the nine months ended September 30, 2021 and 2020, respectively.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Accrued expenses consists of the following (in thousands):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5"/>
                <w:szCs w:val="15"/>
                <w:color w:val="auto"/>
              </w:rPr>
            </w:pPr>
          </w:p>
        </w:tc>
        <w:tc>
          <w:tcPr>
            <w:tcW w:w="1280" w:type="dxa"/>
            <w:vAlign w:val="bottom"/>
          </w:tcPr>
          <w:p>
            <w:pPr>
              <w:jc w:val="right"/>
              <w:ind w:right="280"/>
              <w:spacing w:after="0"/>
              <w:rPr>
                <w:sz w:val="20"/>
                <w:szCs w:val="20"/>
                <w:color w:val="auto"/>
              </w:rPr>
            </w:pPr>
            <w:r>
              <w:rPr>
                <w:rFonts w:ascii="Arial" w:cs="Arial" w:eastAsia="Arial" w:hAnsi="Arial"/>
                <w:sz w:val="13"/>
                <w:szCs w:val="13"/>
                <w:b w:val="1"/>
                <w:bCs w:val="1"/>
                <w:color w:val="auto"/>
              </w:rPr>
              <w:t>December 31,</w:t>
            </w:r>
          </w:p>
        </w:tc>
      </w:tr>
      <w:tr>
        <w:trPr>
          <w:trHeight w:val="202"/>
        </w:trPr>
        <w:tc>
          <w:tcPr>
            <w:tcW w:w="5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ind w:right="540"/>
              <w:spacing w:after="0"/>
              <w:rPr>
                <w:sz w:val="20"/>
                <w:szCs w:val="20"/>
                <w:color w:val="auto"/>
              </w:rPr>
            </w:pPr>
            <w:r>
              <w:rPr>
                <w:rFonts w:ascii="Arial" w:cs="Arial" w:eastAsia="Arial" w:hAnsi="Arial"/>
                <w:sz w:val="13"/>
                <w:szCs w:val="13"/>
                <w:b w:val="1"/>
                <w:bCs w:val="1"/>
                <w:color w:val="auto"/>
              </w:rPr>
              <w:t>2020</w:t>
            </w:r>
          </w:p>
        </w:tc>
      </w:tr>
      <w:tr>
        <w:trPr>
          <w:trHeight w:val="23"/>
        </w:trPr>
        <w:tc>
          <w:tcPr>
            <w:tcW w:w="58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0"/>
        </w:trPr>
        <w:tc>
          <w:tcPr>
            <w:tcW w:w="5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Accrued compensation</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8"/>
                <w:szCs w:val="18"/>
                <w:color w:val="auto"/>
              </w:rPr>
            </w:pP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2,866</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professional services</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Accrued property and equipment</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5"/>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taxes</w:t>
            </w: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5860" w:type="dxa"/>
            <w:vAlign w:val="bottom"/>
          </w:tcPr>
          <w:p>
            <w:pPr>
              <w:ind w:left="320"/>
              <w:spacing w:after="0"/>
              <w:rPr>
                <w:sz w:val="20"/>
                <w:szCs w:val="20"/>
                <w:color w:val="auto"/>
              </w:rPr>
            </w:pPr>
            <w:r>
              <w:rPr>
                <w:rFonts w:ascii="Arial" w:cs="Arial" w:eastAsia="Arial" w:hAnsi="Arial"/>
                <w:sz w:val="17"/>
                <w:szCs w:val="17"/>
                <w:color w:val="auto"/>
              </w:rPr>
              <w:t>Restricted stock liability, current</w:t>
            </w: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484</w:t>
            </w:r>
          </w:p>
        </w:tc>
      </w:tr>
      <w:tr>
        <w:trPr>
          <w:trHeight w:val="214"/>
        </w:trPr>
        <w:tc>
          <w:tcPr>
            <w:tcW w:w="58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w:t>
            </w:r>
          </w:p>
        </w:tc>
      </w:tr>
      <w:tr>
        <w:trPr>
          <w:trHeight w:val="207"/>
        </w:trPr>
        <w:tc>
          <w:tcPr>
            <w:tcW w:w="5860" w:type="dxa"/>
            <w:vAlign w:val="bottom"/>
          </w:tcPr>
          <w:p>
            <w:pPr>
              <w:ind w:left="320"/>
              <w:spacing w:after="0"/>
              <w:rPr>
                <w:sz w:val="20"/>
                <w:szCs w:val="20"/>
                <w:color w:val="auto"/>
              </w:rPr>
            </w:pPr>
            <w:r>
              <w:rPr>
                <w:rFonts w:ascii="Arial" w:cs="Arial" w:eastAsia="Arial" w:hAnsi="Arial"/>
                <w:sz w:val="17"/>
                <w:szCs w:val="17"/>
                <w:color w:val="auto"/>
              </w:rPr>
              <w:t>Total accrued expenses</w:t>
            </w: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5,974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5,147</w:t>
            </w:r>
          </w:p>
        </w:tc>
      </w:tr>
      <w:tr>
        <w:trPr>
          <w:trHeight w:val="20"/>
        </w:trPr>
        <w:tc>
          <w:tcPr>
            <w:tcW w:w="5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599"/>
        <w:spacing w:after="0"/>
        <w:tabs>
          <w:tab w:leader="none" w:pos="6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REVENUE AND DEFERRED REVENUE</w:t>
      </w:r>
    </w:p>
    <w:p>
      <w:pPr>
        <w:spacing w:after="0" w:line="162" w:lineRule="exact"/>
        <w:rPr>
          <w:sz w:val="20"/>
          <w:szCs w:val="20"/>
          <w:color w:val="auto"/>
        </w:rPr>
      </w:pPr>
    </w:p>
    <w:p>
      <w:pPr>
        <w:jc w:val="both"/>
        <w:ind w:right="240" w:firstLine="303"/>
        <w:spacing w:after="0" w:line="270" w:lineRule="auto"/>
        <w:rPr>
          <w:sz w:val="20"/>
          <w:szCs w:val="20"/>
          <w:color w:val="auto"/>
        </w:rPr>
      </w:pPr>
      <w:r>
        <w:rPr>
          <w:rFonts w:ascii="Arial" w:cs="Arial" w:eastAsia="Arial" w:hAnsi="Arial"/>
          <w:sz w:val="17"/>
          <w:szCs w:val="17"/>
          <w:color w:val="auto"/>
        </w:rPr>
        <w:t>Product revenue consists of instruments, consumables and platform evaluation agreements. Related party revenue is comprised of both the sale of products and services performed.</w:t>
      </w:r>
    </w:p>
    <w:p>
      <w:pPr>
        <w:spacing w:after="0" w:line="115" w:lineRule="exact"/>
        <w:rPr>
          <w:sz w:val="20"/>
          <w:szCs w:val="20"/>
          <w:color w:val="auto"/>
        </w:rPr>
      </w:pPr>
    </w:p>
    <w:p>
      <w:pPr>
        <w:jc w:val="both"/>
        <w:ind w:right="240" w:firstLine="303"/>
        <w:spacing w:after="0" w:line="258" w:lineRule="auto"/>
        <w:rPr>
          <w:sz w:val="20"/>
          <w:szCs w:val="20"/>
          <w:color w:val="auto"/>
        </w:rPr>
      </w:pPr>
      <w:r>
        <w:rPr>
          <w:rFonts w:ascii="Arial" w:cs="Arial" w:eastAsia="Arial" w:hAnsi="Arial"/>
          <w:sz w:val="17"/>
          <w:szCs w:val="17"/>
          <w:color w:val="auto"/>
        </w:rPr>
        <w:t>As of September 30, 2021 and December 31, 2020, the Company recorded $0.1 million and $0.3 million of contract liabilities, consisting of deferred revenue. None of the revenue recorded in the nine months ended September 30, 2021 was included in contract liabilities as of December 31, 2020. All contract liabilities are expected to be recognized as revenue in the next twelve months.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Agreements</w:t>
      </w:r>
    </w:p>
    <w:p>
      <w:pPr>
        <w:spacing w:after="0" w:line="158" w:lineRule="exact"/>
        <w:rPr>
          <w:sz w:val="20"/>
          <w:szCs w:val="20"/>
          <w:color w:val="auto"/>
        </w:rPr>
      </w:pPr>
    </w:p>
    <w:p>
      <w:pPr>
        <w:ind w:right="280" w:firstLine="303"/>
        <w:spacing w:after="0" w:line="309" w:lineRule="auto"/>
        <w:rPr>
          <w:sz w:val="20"/>
          <w:szCs w:val="20"/>
          <w:color w:val="auto"/>
        </w:rPr>
      </w:pPr>
      <w:r>
        <w:rPr>
          <w:rFonts w:ascii="Arial" w:cs="Arial" w:eastAsia="Arial" w:hAnsi="Arial"/>
          <w:sz w:val="15"/>
          <w:szCs w:val="15"/>
          <w:color w:val="auto"/>
        </w:rPr>
        <w:t>In February 2019 and March 2020, the Company entered into sponsored research agreements with a biotechnology company and a pharmaceutical company, respectively, under which the Company is required to execute certain research and development activities for total aggregate consideration payable of $0.9 million. During the three and nine months ended September 30, 2021 and 2020, the Company did not recognize any revenue with respect to these agreements.</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National Institutes of Health Grant</w:t>
      </w:r>
    </w:p>
    <w:p>
      <w:pPr>
        <w:spacing w:after="0" w:line="158" w:lineRule="exact"/>
        <w:rPr>
          <w:sz w:val="20"/>
          <w:szCs w:val="20"/>
          <w:color w:val="auto"/>
        </w:rPr>
      </w:pPr>
    </w:p>
    <w:p>
      <w:pPr>
        <w:ind w:right="40" w:firstLine="303"/>
        <w:spacing w:after="0" w:line="272" w:lineRule="auto"/>
        <w:rPr>
          <w:sz w:val="20"/>
          <w:szCs w:val="20"/>
          <w:color w:val="auto"/>
        </w:rPr>
      </w:pPr>
      <w:r>
        <w:rPr>
          <w:rFonts w:ascii="Arial" w:cs="Arial" w:eastAsia="Arial" w:hAnsi="Arial"/>
          <w:sz w:val="16"/>
          <w:szCs w:val="16"/>
          <w:color w:val="auto"/>
        </w:rPr>
        <w:t>In August 2019, the Company received a notice of a Small Business Innovation Research grant award from the National Institutes of Health, which will provide funding of approximately $1.1 million to the Company for its development of research applications. In June 2020, the Company received a notice that additional grant consideration of $0.9 million will be awarded. During the three months ended September 30, 2021 and 2020, the Company recognized grant revenue of approximately $10,000 and $0.1 million, respectively, with respect to the award. During the nine months ended September 30, 2021 and 2020, the Company recognized grant revenue of $0.2 million and $0.3 million, respectively, with respect to the award.</w:t>
      </w:r>
    </w:p>
    <w:p>
      <w:pPr>
        <w:spacing w:after="0" w:line="113" w:lineRule="exact"/>
        <w:rPr>
          <w:sz w:val="20"/>
          <w:szCs w:val="20"/>
          <w:color w:val="auto"/>
        </w:rPr>
      </w:pPr>
    </w:p>
    <w:p>
      <w:pPr>
        <w:ind w:left="600" w:hanging="599"/>
        <w:spacing w:after="0"/>
        <w:tabs>
          <w:tab w:leader="none" w:pos="6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AND STOCKHOLDERS’ EQUITY</w:t>
      </w:r>
    </w:p>
    <w:p>
      <w:pPr>
        <w:spacing w:after="0" w:line="162" w:lineRule="exact"/>
        <w:rPr>
          <w:sz w:val="20"/>
          <w:szCs w:val="20"/>
          <w:color w:val="auto"/>
        </w:rPr>
      </w:pPr>
    </w:p>
    <w:p>
      <w:pPr>
        <w:ind w:right="340" w:firstLine="303"/>
        <w:spacing w:after="0" w:line="270" w:lineRule="auto"/>
        <w:rPr>
          <w:sz w:val="20"/>
          <w:szCs w:val="20"/>
          <w:color w:val="auto"/>
        </w:rPr>
      </w:pPr>
      <w:r>
        <w:rPr>
          <w:rFonts w:ascii="Arial" w:cs="Arial" w:eastAsia="Arial" w:hAnsi="Arial"/>
          <w:sz w:val="17"/>
          <w:szCs w:val="17"/>
          <w:color w:val="auto"/>
        </w:rPr>
        <w:t>As of September 30, 2021, the Company is authorized to issue 105,000,000 shares of capital stock consisting of 94,000,000 shares of Class A common stock, 6,000,000 shares of Class B common stock, and 5,000,000 shares of preferred stock.</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Common Stock</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issued and outstanding is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1660" w:type="dxa"/>
            <w:vAlign w:val="bottom"/>
            <w:gridSpan w:val="2"/>
          </w:tcPr>
          <w:p>
            <w:pPr>
              <w:ind w:left="520"/>
              <w:spacing w:after="0"/>
              <w:rPr>
                <w:sz w:val="20"/>
                <w:szCs w:val="20"/>
                <w:color w:val="auto"/>
              </w:rPr>
            </w:pPr>
            <w:r>
              <w:rPr>
                <w:rFonts w:ascii="Arial" w:cs="Arial" w:eastAsia="Arial" w:hAnsi="Arial"/>
                <w:sz w:val="13"/>
                <w:szCs w:val="13"/>
                <w:b w:val="1"/>
                <w:bCs w:val="1"/>
                <w:color w:val="auto"/>
              </w:rPr>
              <w:t>September 30,</w:t>
            </w:r>
          </w:p>
        </w:tc>
        <w:tc>
          <w:tcPr>
            <w:tcW w:w="1560" w:type="dxa"/>
            <w:vAlign w:val="bottom"/>
          </w:tcPr>
          <w:p>
            <w:pPr>
              <w:jc w:val="right"/>
              <w:ind w:right="163"/>
              <w:spacing w:after="0"/>
              <w:rPr>
                <w:sz w:val="20"/>
                <w:szCs w:val="20"/>
                <w:color w:val="auto"/>
              </w:rPr>
            </w:pPr>
            <w:r>
              <w:rPr>
                <w:rFonts w:ascii="Arial" w:cs="Arial" w:eastAsia="Arial" w:hAnsi="Arial"/>
                <w:sz w:val="13"/>
                <w:szCs w:val="13"/>
                <w:b w:val="1"/>
                <w:bCs w:val="1"/>
                <w:color w:val="auto"/>
              </w:rPr>
              <w:t>December 31,</w:t>
            </w:r>
          </w:p>
        </w:tc>
      </w:tr>
      <w:tr>
        <w:trPr>
          <w:trHeight w:val="202"/>
        </w:trPr>
        <w:tc>
          <w:tcPr>
            <w:tcW w:w="6380" w:type="dxa"/>
            <w:vAlign w:val="bottom"/>
          </w:tcPr>
          <w:p>
            <w:pPr>
              <w:spacing w:after="0"/>
              <w:rPr>
                <w:sz w:val="17"/>
                <w:szCs w:val="17"/>
                <w:color w:val="auto"/>
              </w:rPr>
            </w:pPr>
          </w:p>
        </w:tc>
        <w:tc>
          <w:tcPr>
            <w:tcW w:w="1560" w:type="dxa"/>
            <w:vAlign w:val="bottom"/>
          </w:tcPr>
          <w:p>
            <w:pPr>
              <w:jc w:val="right"/>
              <w:ind w:right="42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1560" w:type="dxa"/>
            <w:vAlign w:val="bottom"/>
          </w:tcPr>
          <w:p>
            <w:pPr>
              <w:jc w:val="right"/>
              <w:ind w:right="423"/>
              <w:spacing w:after="0"/>
              <w:rPr>
                <w:sz w:val="20"/>
                <w:szCs w:val="20"/>
                <w:color w:val="auto"/>
              </w:rPr>
            </w:pPr>
            <w:r>
              <w:rPr>
                <w:rFonts w:ascii="Arial" w:cs="Arial" w:eastAsia="Arial" w:hAnsi="Arial"/>
                <w:sz w:val="13"/>
                <w:szCs w:val="13"/>
                <w:b w:val="1"/>
                <w:bCs w:val="1"/>
                <w:color w:val="auto"/>
              </w:rPr>
              <w:t>2020</w:t>
            </w:r>
          </w:p>
        </w:tc>
      </w:tr>
      <w:tr>
        <w:trPr>
          <w:trHeight w:val="23"/>
        </w:trPr>
        <w:tc>
          <w:tcPr>
            <w:tcW w:w="63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0"/>
        </w:trPr>
        <w:tc>
          <w:tcPr>
            <w:tcW w:w="6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14"/>
        </w:trPr>
        <w:tc>
          <w:tcPr>
            <w:tcW w:w="6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Class A common stock</w:t>
            </w:r>
          </w:p>
        </w:tc>
        <w:tc>
          <w:tcPr>
            <w:tcW w:w="15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56,967,870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53,395,319</w:t>
            </w:r>
          </w:p>
        </w:tc>
      </w:tr>
      <w:tr>
        <w:trPr>
          <w:trHeight w:val="214"/>
        </w:trPr>
        <w:tc>
          <w:tcPr>
            <w:tcW w:w="63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Class B common stock</w:t>
            </w: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4,686,028</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5,865,732</w:t>
            </w:r>
          </w:p>
        </w:tc>
      </w:tr>
      <w:tr>
        <w:trPr>
          <w:trHeight w:val="232"/>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common stock issued and outstanding</w:t>
            </w: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61,653,898</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59,261,051</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Class A and Class B common stock have a par value of $0.00001 per share. Holders of Class A common stock are entitled to one vote per share and holders of Class B common stock are entitled to 10 votes per share. Class B common shares are convertible to Class A common shares at any time at the option of the holder on a one-for-one basis. Holders of common stock are entitled to dividends as declared by the Board of Directors, subject to rights of holders of all classes of stock outstanding having priority rights as to dividends. There have been no dividends declared to date.</w:t>
      </w:r>
    </w:p>
    <w:p>
      <w:pPr>
        <w:spacing w:after="0" w:line="127" w:lineRule="exact"/>
        <w:rPr>
          <w:sz w:val="20"/>
          <w:szCs w:val="20"/>
          <w:color w:val="auto"/>
        </w:rPr>
      </w:pPr>
    </w:p>
    <w:p>
      <w:pPr>
        <w:ind w:right="120" w:firstLine="303"/>
        <w:spacing w:after="0" w:line="282" w:lineRule="auto"/>
        <w:rPr>
          <w:sz w:val="20"/>
          <w:szCs w:val="20"/>
          <w:color w:val="auto"/>
        </w:rPr>
      </w:pPr>
      <w:r>
        <w:rPr>
          <w:rFonts w:ascii="Arial" w:cs="Arial" w:eastAsia="Arial" w:hAnsi="Arial"/>
          <w:sz w:val="16"/>
          <w:szCs w:val="16"/>
          <w:color w:val="auto"/>
        </w:rPr>
        <w:t>In the first quarter of 2021, the Company received $11.4 million related to the return of short-swing profits from one of its beneficial owners. These proceeds are recognized as a capital contribution from stockholders as an increase to additional paid-in capital on the condensed consolidated statements of changes in stockholders’ equity and as cash provided by financing activities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0" w:hanging="599"/>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162" w:lineRule="exact"/>
        <w:rPr>
          <w:sz w:val="20"/>
          <w:szCs w:val="20"/>
          <w:color w:val="auto"/>
        </w:rPr>
      </w:pPr>
    </w:p>
    <w:p>
      <w:pPr>
        <w:ind w:right="240" w:firstLine="303"/>
        <w:spacing w:after="0" w:line="309" w:lineRule="auto"/>
        <w:rPr>
          <w:sz w:val="20"/>
          <w:szCs w:val="20"/>
          <w:color w:val="auto"/>
        </w:rPr>
      </w:pPr>
      <w:r>
        <w:rPr>
          <w:rFonts w:ascii="Arial" w:cs="Arial" w:eastAsia="Arial" w:hAnsi="Arial"/>
          <w:sz w:val="15"/>
          <w:szCs w:val="15"/>
          <w:color w:val="auto"/>
        </w:rPr>
        <w:t>In 2017, the Company adopted the 2017 Stock Incentive Plan (2017 Plan), which provided for the granting of awards to employees, directors, and consultants of the Company. Awards issuable under the Plan include incentive stock options (ISO), nonqualified stock options (NSO), and restricted stock awards. In 2020, the Company adopted the 2020 RSU Equity Incentive Plan (2020 RSU Plan), which provided for the granting of RSUs to certain employees of the Company.</w:t>
      </w:r>
    </w:p>
    <w:p>
      <w:pPr>
        <w:spacing w:after="0" w:line="90" w:lineRule="exact"/>
        <w:rPr>
          <w:sz w:val="20"/>
          <w:szCs w:val="20"/>
          <w:color w:val="auto"/>
        </w:rPr>
      </w:pPr>
    </w:p>
    <w:p>
      <w:pPr>
        <w:jc w:val="both"/>
        <w:ind w:right="320" w:firstLine="303"/>
        <w:spacing w:after="0" w:line="258" w:lineRule="auto"/>
        <w:rPr>
          <w:sz w:val="20"/>
          <w:szCs w:val="20"/>
          <w:color w:val="auto"/>
        </w:rPr>
      </w:pPr>
      <w:r>
        <w:rPr>
          <w:rFonts w:ascii="Arial" w:cs="Arial" w:eastAsia="Arial" w:hAnsi="Arial"/>
          <w:sz w:val="17"/>
          <w:szCs w:val="17"/>
          <w:color w:val="auto"/>
        </w:rPr>
        <w:t>In 2020, the Company adopted the 2020 Equity Incentive Plan (2020 Plan), which became effective in connection with the IPO. The Company’s 2017 Plan and 2020 RSU Plan were terminated in connection with the IPO and no further grants will be made under the 2017 Plan and 2020 RSU Plan from the date that the 2020 Plan became effective.</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 Options</w:t>
      </w:r>
    </w:p>
    <w:p>
      <w:pPr>
        <w:spacing w:after="0" w:line="158" w:lineRule="exact"/>
        <w:rPr>
          <w:sz w:val="20"/>
          <w:szCs w:val="20"/>
          <w:color w:val="auto"/>
        </w:rPr>
      </w:pPr>
    </w:p>
    <w:p>
      <w:pPr>
        <w:ind w:right="700" w:firstLine="303"/>
        <w:spacing w:after="0" w:line="270" w:lineRule="auto"/>
        <w:rPr>
          <w:sz w:val="20"/>
          <w:szCs w:val="20"/>
          <w:color w:val="auto"/>
        </w:rPr>
      </w:pPr>
      <w:r>
        <w:rPr>
          <w:rFonts w:ascii="Arial" w:cs="Arial" w:eastAsia="Arial" w:hAnsi="Arial"/>
          <w:sz w:val="17"/>
          <w:szCs w:val="17"/>
          <w:color w:val="auto"/>
        </w:rPr>
        <w:t>As of September 30, 2021, there are 8,302,701 shares of Class A common stock reserved for issuance under the 2020 Plan, 5,734,044 shares of which are available for issuance in connection with grants of future awards.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Stock option activity for the nine months ended September 30, 2021 is as follows: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5"/>
        </w:trPr>
        <w:tc>
          <w:tcPr>
            <w:tcW w:w="4460" w:type="dxa"/>
            <w:vAlign w:val="bottom"/>
          </w:tcPr>
          <w:p>
            <w:pPr>
              <w:spacing w:after="0"/>
              <w:rPr>
                <w:sz w:val="14"/>
                <w:szCs w:val="14"/>
                <w:color w:val="auto"/>
              </w:rPr>
            </w:pPr>
          </w:p>
        </w:tc>
        <w:tc>
          <w:tcPr>
            <w:tcW w:w="1640" w:type="dxa"/>
            <w:vAlign w:val="bottom"/>
            <w:gridSpan w:val="2"/>
          </w:tcPr>
          <w:p>
            <w:pPr>
              <w:ind w:left="700"/>
              <w:spacing w:after="0"/>
              <w:rPr>
                <w:sz w:val="20"/>
                <w:szCs w:val="20"/>
                <w:color w:val="auto"/>
              </w:rPr>
            </w:pPr>
            <w:r>
              <w:rPr>
                <w:rFonts w:ascii="Arial" w:cs="Arial" w:eastAsia="Arial" w:hAnsi="Arial"/>
                <w:sz w:val="13"/>
                <w:szCs w:val="13"/>
                <w:b w:val="1"/>
                <w:bCs w:val="1"/>
                <w:color w:val="auto"/>
              </w:rPr>
              <w:t>Options</w:t>
            </w:r>
          </w:p>
        </w:tc>
        <w:tc>
          <w:tcPr>
            <w:tcW w:w="460" w:type="dxa"/>
            <w:vAlign w:val="bottom"/>
          </w:tcPr>
          <w:p>
            <w:pPr>
              <w:spacing w:after="0"/>
              <w:rPr>
                <w:sz w:val="14"/>
                <w:szCs w:val="14"/>
                <w:color w:val="auto"/>
              </w:rPr>
            </w:pPr>
          </w:p>
        </w:tc>
        <w:tc>
          <w:tcPr>
            <w:tcW w:w="1400" w:type="dxa"/>
            <w:vAlign w:val="bottom"/>
          </w:tcPr>
          <w:p>
            <w:pPr>
              <w:jc w:val="right"/>
              <w:ind w:right="180"/>
              <w:spacing w:after="0"/>
              <w:rPr>
                <w:sz w:val="20"/>
                <w:szCs w:val="20"/>
                <w:color w:val="auto"/>
              </w:rPr>
            </w:pPr>
            <w:r>
              <w:rPr>
                <w:rFonts w:ascii="Arial" w:cs="Arial" w:eastAsia="Arial" w:hAnsi="Arial"/>
                <w:sz w:val="13"/>
                <w:szCs w:val="13"/>
                <w:b w:val="1"/>
                <w:bCs w:val="1"/>
                <w:color w:val="auto"/>
                <w:w w:val="98"/>
              </w:rPr>
              <w:t>Weighted Average</w:t>
            </w:r>
          </w:p>
        </w:tc>
      </w:tr>
      <w:tr>
        <w:trPr>
          <w:trHeight w:val="178"/>
        </w:trPr>
        <w:tc>
          <w:tcPr>
            <w:tcW w:w="4460" w:type="dxa"/>
            <w:vAlign w:val="bottom"/>
          </w:tcPr>
          <w:p>
            <w:pPr>
              <w:spacing w:after="0"/>
              <w:rPr>
                <w:sz w:val="15"/>
                <w:szCs w:val="15"/>
                <w:color w:val="auto"/>
              </w:rPr>
            </w:pPr>
          </w:p>
        </w:tc>
        <w:tc>
          <w:tcPr>
            <w:tcW w:w="1640" w:type="dxa"/>
            <w:vAlign w:val="bottom"/>
            <w:gridSpan w:val="2"/>
          </w:tcPr>
          <w:p>
            <w:pPr>
              <w:ind w:left="420"/>
              <w:spacing w:after="0"/>
              <w:rPr>
                <w:sz w:val="20"/>
                <w:szCs w:val="20"/>
                <w:color w:val="auto"/>
              </w:rPr>
            </w:pPr>
            <w:r>
              <w:rPr>
                <w:rFonts w:ascii="Arial" w:cs="Arial" w:eastAsia="Arial" w:hAnsi="Arial"/>
                <w:sz w:val="13"/>
                <w:szCs w:val="13"/>
                <w:b w:val="1"/>
                <w:bCs w:val="1"/>
                <w:color w:val="auto"/>
              </w:rPr>
              <w:t>Outstanding</w:t>
            </w:r>
          </w:p>
        </w:tc>
        <w:tc>
          <w:tcPr>
            <w:tcW w:w="460" w:type="dxa"/>
            <w:vAlign w:val="bottom"/>
          </w:tcPr>
          <w:p>
            <w:pPr>
              <w:spacing w:after="0"/>
              <w:rPr>
                <w:sz w:val="15"/>
                <w:szCs w:val="15"/>
                <w:color w:val="auto"/>
              </w:rPr>
            </w:pPr>
          </w:p>
        </w:tc>
        <w:tc>
          <w:tcPr>
            <w:tcW w:w="1400" w:type="dxa"/>
            <w:vAlign w:val="bottom"/>
          </w:tcPr>
          <w:p>
            <w:pPr>
              <w:jc w:val="right"/>
              <w:ind w:right="440"/>
              <w:spacing w:after="0"/>
              <w:rPr>
                <w:sz w:val="20"/>
                <w:szCs w:val="20"/>
                <w:color w:val="auto"/>
              </w:rPr>
            </w:pPr>
            <w:r>
              <w:rPr>
                <w:rFonts w:ascii="Arial" w:cs="Arial" w:eastAsia="Arial" w:hAnsi="Arial"/>
                <w:sz w:val="13"/>
                <w:szCs w:val="13"/>
                <w:b w:val="1"/>
                <w:bCs w:val="1"/>
                <w:color w:val="auto"/>
                <w:w w:val="96"/>
              </w:rPr>
              <w:t>Exercise Price</w:t>
            </w:r>
          </w:p>
        </w:tc>
      </w:tr>
      <w:tr>
        <w:trPr>
          <w:trHeight w:val="211"/>
        </w:trPr>
        <w:tc>
          <w:tcPr>
            <w:tcW w:w="44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 December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9,551,105</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5.55</w:t>
            </w:r>
          </w:p>
        </w:tc>
      </w:tr>
      <w:tr>
        <w:trPr>
          <w:trHeight w:val="214"/>
        </w:trPr>
        <w:tc>
          <w:tcPr>
            <w:tcW w:w="4460" w:type="dxa"/>
            <w:vAlign w:val="bottom"/>
          </w:tcPr>
          <w:p>
            <w:pPr>
              <w:ind w:left="320"/>
              <w:spacing w:after="0"/>
              <w:rPr>
                <w:sz w:val="20"/>
                <w:szCs w:val="20"/>
                <w:color w:val="auto"/>
              </w:rPr>
            </w:pPr>
            <w:r>
              <w:rPr>
                <w:rFonts w:ascii="Arial" w:cs="Arial" w:eastAsia="Arial" w:hAnsi="Arial"/>
                <w:sz w:val="17"/>
                <w:szCs w:val="17"/>
                <w:color w:val="auto"/>
              </w:rPr>
              <w:t>Options granted</w:t>
            </w:r>
          </w:p>
        </w:tc>
        <w:tc>
          <w:tcPr>
            <w:tcW w:w="1540" w:type="dxa"/>
            <w:vAlign w:val="bottom"/>
          </w:tcPr>
          <w:p>
            <w:pPr>
              <w:jc w:val="right"/>
              <w:spacing w:after="0"/>
              <w:rPr>
                <w:sz w:val="20"/>
                <w:szCs w:val="20"/>
                <w:color w:val="auto"/>
              </w:rPr>
            </w:pPr>
            <w:r>
              <w:rPr>
                <w:rFonts w:ascii="Arial" w:cs="Arial" w:eastAsia="Arial" w:hAnsi="Arial"/>
                <w:sz w:val="17"/>
                <w:szCs w:val="17"/>
                <w:color w:val="231F20"/>
              </w:rPr>
              <w:t>1,384,227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231F20"/>
              </w:rPr>
              <w:t>50.57</w:t>
            </w:r>
          </w:p>
        </w:tc>
      </w:tr>
      <w:tr>
        <w:trPr>
          <w:trHeight w:val="215"/>
        </w:trPr>
        <w:tc>
          <w:tcPr>
            <w:tcW w:w="44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Options 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(760,383)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231F20"/>
              </w:rPr>
              <w:t>1.37</w:t>
            </w:r>
          </w:p>
        </w:tc>
      </w:tr>
      <w:tr>
        <w:trPr>
          <w:trHeight w:val="214"/>
        </w:trPr>
        <w:tc>
          <w:tcPr>
            <w:tcW w:w="44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Options cancelled and 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(276,880)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31F20"/>
              </w:rPr>
              <w:t>17.08</w:t>
            </w:r>
          </w:p>
        </w:tc>
      </w:tr>
      <w:tr>
        <w:trPr>
          <w:trHeight w:val="232"/>
        </w:trPr>
        <w:tc>
          <w:tcPr>
            <w:tcW w:w="4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 September 30,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9,898,069</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231F20"/>
              </w:rPr>
              <w:t>11.84</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4460" w:type="dxa"/>
            <w:vAlign w:val="bottom"/>
          </w:tcPr>
          <w:p>
            <w:pPr>
              <w:ind w:left="20"/>
              <w:spacing w:after="0" w:line="185" w:lineRule="exact"/>
              <w:rPr>
                <w:sz w:val="20"/>
                <w:szCs w:val="20"/>
                <w:color w:val="auto"/>
              </w:rPr>
            </w:pPr>
            <w:r>
              <w:rPr>
                <w:rFonts w:ascii="Arial" w:cs="Arial" w:eastAsia="Arial" w:hAnsi="Arial"/>
                <w:sz w:val="17"/>
                <w:szCs w:val="17"/>
                <w:color w:val="auto"/>
              </w:rPr>
              <w:t>Vested and exercisable, September 30, 2021</w:t>
            </w:r>
          </w:p>
        </w:tc>
        <w:tc>
          <w:tcPr>
            <w:tcW w:w="154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2,600,982</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3.63</w:t>
            </w:r>
          </w:p>
        </w:tc>
      </w:tr>
      <w:tr>
        <w:trPr>
          <w:trHeight w:val="20"/>
        </w:trPr>
        <w:tc>
          <w:tcPr>
            <w:tcW w:w="4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58" w:lineRule="exact"/>
        <w:rPr>
          <w:sz w:val="20"/>
          <w:szCs w:val="20"/>
          <w:color w:val="auto"/>
        </w:rPr>
      </w:pPr>
    </w:p>
    <w:p>
      <w:pPr>
        <w:ind w:right="360" w:firstLine="303"/>
        <w:spacing w:after="0" w:line="338" w:lineRule="auto"/>
        <w:rPr>
          <w:sz w:val="20"/>
          <w:szCs w:val="20"/>
          <w:color w:val="auto"/>
        </w:rPr>
      </w:pPr>
      <w:r>
        <w:rPr>
          <w:rFonts w:ascii="Arial" w:cs="Arial" w:eastAsia="Arial" w:hAnsi="Arial"/>
          <w:sz w:val="15"/>
          <w:szCs w:val="15"/>
          <w:color w:val="auto"/>
        </w:rPr>
        <w:t>Certain stock options granted under the 2017 Plan provide stock option holders the right to exercise unvested stock options in exchange for restricted shares of Class A common stock. The Company has also issued restricted shares of Class A common stock to employees and directors under the 2017 Plan.</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activity of restricted shares of Class A common stock for the nine months ended September 30, 2021 is as follows: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70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26"/>
        </w:trPr>
        <w:tc>
          <w:tcPr>
            <w:tcW w:w="7060" w:type="dxa"/>
            <w:vAlign w:val="bottom"/>
          </w:tcPr>
          <w:p>
            <w:pPr>
              <w:spacing w:after="0"/>
              <w:rPr>
                <w:sz w:val="10"/>
                <w:szCs w:val="10"/>
                <w:color w:val="auto"/>
              </w:rPr>
            </w:pPr>
          </w:p>
        </w:tc>
        <w:tc>
          <w:tcPr>
            <w:tcW w:w="200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auto"/>
              </w:rPr>
              <w:t>Number of Shares</w:t>
            </w:r>
          </w:p>
        </w:tc>
        <w:tc>
          <w:tcPr>
            <w:tcW w:w="560" w:type="dxa"/>
            <w:vAlign w:val="bottom"/>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08"/>
        </w:trPr>
        <w:tc>
          <w:tcPr>
            <w:tcW w:w="7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Unvested at December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775,641</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70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10,728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Repurchased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(19,728)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4"/>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Vested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(461,077)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Unvested at September 30,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305,564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1" w:name="page22"/>
    <w:bookmarkEnd w:id="21"/>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 has granted RSUs under the 2020 RSU Plan and the 2020 Plan. RSU activity for the nine months ended September 30, 2021 is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26"/>
        </w:trPr>
        <w:tc>
          <w:tcPr>
            <w:tcW w:w="7060" w:type="dxa"/>
            <w:vAlign w:val="bottom"/>
          </w:tcPr>
          <w:p>
            <w:pPr>
              <w:spacing w:after="0"/>
              <w:rPr>
                <w:sz w:val="10"/>
                <w:szCs w:val="10"/>
                <w:color w:val="auto"/>
              </w:rPr>
            </w:pPr>
          </w:p>
        </w:tc>
        <w:tc>
          <w:tcPr>
            <w:tcW w:w="2000" w:type="dxa"/>
            <w:vAlign w:val="bottom"/>
            <w:gridSpan w:val="2"/>
            <w:vMerge w:val="restart"/>
          </w:tcPr>
          <w:p>
            <w:pPr>
              <w:ind w:left="580"/>
              <w:spacing w:after="0"/>
              <w:rPr>
                <w:sz w:val="20"/>
                <w:szCs w:val="20"/>
                <w:color w:val="auto"/>
              </w:rPr>
            </w:pPr>
            <w:r>
              <w:rPr>
                <w:rFonts w:ascii="Arial" w:cs="Arial" w:eastAsia="Arial" w:hAnsi="Arial"/>
                <w:sz w:val="13"/>
                <w:szCs w:val="13"/>
                <w:b w:val="1"/>
                <w:bCs w:val="1"/>
                <w:color w:val="auto"/>
              </w:rPr>
              <w:t>Number of Shares</w:t>
            </w:r>
          </w:p>
        </w:tc>
        <w:tc>
          <w:tcPr>
            <w:tcW w:w="560" w:type="dxa"/>
            <w:vAlign w:val="bottom"/>
          </w:tcPr>
          <w:p>
            <w:pPr>
              <w:spacing w:after="0"/>
              <w:rPr>
                <w:sz w:val="10"/>
                <w:szCs w:val="10"/>
                <w:color w:val="auto"/>
              </w:rPr>
            </w:pPr>
          </w:p>
        </w:tc>
        <w:tc>
          <w:tcPr>
            <w:tcW w:w="14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208"/>
        </w:trPr>
        <w:tc>
          <w:tcPr>
            <w:tcW w:w="7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December 31, 2020</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491,318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4"/>
        </w:trPr>
        <w:tc>
          <w:tcPr>
            <w:tcW w:w="7060" w:type="dxa"/>
            <w:vAlign w:val="bottom"/>
          </w:tcPr>
          <w:p>
            <w:pPr>
              <w:ind w:left="320"/>
              <w:spacing w:after="0"/>
              <w:rPr>
                <w:sz w:val="20"/>
                <w:szCs w:val="20"/>
                <w:color w:val="auto"/>
              </w:rPr>
            </w:pPr>
            <w:r>
              <w:rPr>
                <w:rFonts w:ascii="Arial" w:cs="Arial" w:eastAsia="Arial" w:hAnsi="Arial"/>
                <w:sz w:val="17"/>
                <w:szCs w:val="17"/>
                <w:color w:val="auto"/>
              </w:rPr>
              <w:t>Granted</w:t>
            </w:r>
          </w:p>
        </w:tc>
        <w:tc>
          <w:tcPr>
            <w:tcW w:w="1900" w:type="dxa"/>
            <w:vAlign w:val="bottom"/>
          </w:tcPr>
          <w:p>
            <w:pPr>
              <w:jc w:val="right"/>
              <w:spacing w:after="0"/>
              <w:rPr>
                <w:sz w:val="20"/>
                <w:szCs w:val="20"/>
                <w:color w:val="auto"/>
              </w:rPr>
            </w:pPr>
            <w:r>
              <w:rPr>
                <w:rFonts w:ascii="Arial" w:cs="Arial" w:eastAsia="Arial" w:hAnsi="Arial"/>
                <w:sz w:val="17"/>
                <w:szCs w:val="17"/>
                <w:color w:val="auto"/>
              </w:rPr>
              <w:t>300,943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4"/>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Cancelled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Balance at September 30,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783,317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58" w:lineRule="exact"/>
        <w:rPr>
          <w:sz w:val="20"/>
          <w:szCs w:val="20"/>
          <w:color w:val="auto"/>
        </w:rPr>
      </w:pPr>
    </w:p>
    <w:p>
      <w:pPr>
        <w:ind w:right="300" w:firstLine="303"/>
        <w:spacing w:after="0" w:line="255" w:lineRule="auto"/>
        <w:rPr>
          <w:sz w:val="20"/>
          <w:szCs w:val="20"/>
          <w:color w:val="auto"/>
        </w:rPr>
      </w:pPr>
      <w:r>
        <w:rPr>
          <w:rFonts w:ascii="Arial" w:cs="Arial" w:eastAsia="Arial" w:hAnsi="Arial"/>
          <w:sz w:val="17"/>
          <w:szCs w:val="17"/>
          <w:color w:val="auto"/>
        </w:rPr>
        <w:t>In November 2020, the Company’s board of directors adopted the 2020 Employee Stock Purchase Plan (ESPP), which was subsequently approved by the Company’s stockholders and became effective in connection with the IPO. A total of 1,195,327 shares of Class A common stock are reserved for issuance under the ESPP as of September 30, 2021. The first offering period commenced in July 2021. Stock-based compensation related to the ESPP was $0.1 million for the three months ended September 30, 2021.</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58"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The following table summarizes the components of stock-based compensation recognized in the Company’s condensed consolidated statements of operations and comprehensive loss (in thousands):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3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80" w:type="dxa"/>
            <w:vAlign w:val="bottom"/>
            <w:gridSpan w:val="3"/>
          </w:tcPr>
          <w:p>
            <w:pPr>
              <w:jc w:val="right"/>
              <w:ind w:right="482"/>
              <w:spacing w:after="0"/>
              <w:rPr>
                <w:sz w:val="20"/>
                <w:szCs w:val="20"/>
                <w:color w:val="auto"/>
              </w:rPr>
            </w:pPr>
            <w:r>
              <w:rPr>
                <w:rFonts w:ascii="Arial" w:cs="Arial" w:eastAsia="Arial" w:hAnsi="Arial"/>
                <w:sz w:val="13"/>
                <w:szCs w:val="13"/>
                <w:b w:val="1"/>
                <w:bCs w:val="1"/>
                <w:color w:val="auto"/>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2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Nine Months Ended</w:t>
            </w:r>
          </w:p>
        </w:tc>
        <w:tc>
          <w:tcPr>
            <w:tcW w:w="820" w:type="dxa"/>
            <w:vAlign w:val="bottom"/>
          </w:tcPr>
          <w:p>
            <w:pPr>
              <w:spacing w:after="0"/>
              <w:rPr>
                <w:sz w:val="13"/>
                <w:szCs w:val="13"/>
                <w:color w:val="auto"/>
              </w:rPr>
            </w:pPr>
          </w:p>
        </w:tc>
      </w:tr>
      <w:tr>
        <w:trPr>
          <w:trHeight w:val="174"/>
        </w:trPr>
        <w:tc>
          <w:tcPr>
            <w:tcW w:w="3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80" w:type="dxa"/>
            <w:vAlign w:val="bottom"/>
            <w:gridSpan w:val="3"/>
          </w:tcPr>
          <w:p>
            <w:pPr>
              <w:jc w:val="right"/>
              <w:ind w:right="822"/>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gridSpan w:val="3"/>
          </w:tcPr>
          <w:p>
            <w:pPr>
              <w:jc w:val="right"/>
              <w:ind w:right="336"/>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Pr>
          <w:p>
            <w:pPr>
              <w:spacing w:after="0"/>
              <w:rPr>
                <w:sz w:val="15"/>
                <w:szCs w:val="15"/>
                <w:color w:val="auto"/>
              </w:rPr>
            </w:pPr>
          </w:p>
        </w:tc>
      </w:tr>
      <w:tr>
        <w:trPr>
          <w:trHeight w:val="23"/>
        </w:trPr>
        <w:tc>
          <w:tcPr>
            <w:tcW w:w="38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1"/>
        </w:trPr>
        <w:tc>
          <w:tcPr>
            <w:tcW w:w="38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42"/>
              <w:spacing w:after="0"/>
              <w:rPr>
                <w:sz w:val="20"/>
                <w:szCs w:val="20"/>
                <w:color w:val="auto"/>
              </w:rPr>
            </w:pPr>
            <w:r>
              <w:rPr>
                <w:rFonts w:ascii="Arial" w:cs="Arial" w:eastAsia="Arial" w:hAnsi="Arial"/>
                <w:sz w:val="13"/>
                <w:szCs w:val="13"/>
                <w:b w:val="1"/>
                <w:bCs w:val="1"/>
                <w:color w:val="auto"/>
              </w:rPr>
              <w:t>2020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jc w:val="right"/>
              <w:ind w:right="52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jc w:val="right"/>
              <w:ind w:right="359"/>
              <w:spacing w:after="0"/>
              <w:rPr>
                <w:sz w:val="20"/>
                <w:szCs w:val="20"/>
                <w:color w:val="auto"/>
              </w:rPr>
            </w:pPr>
            <w:r>
              <w:rPr>
                <w:rFonts w:ascii="Arial" w:cs="Arial" w:eastAsia="Arial" w:hAnsi="Arial"/>
                <w:sz w:val="13"/>
                <w:szCs w:val="13"/>
                <w:b w:val="1"/>
                <w:bCs w:val="1"/>
                <w:color w:val="auto"/>
              </w:rPr>
              <w:t>2020</w:t>
            </w:r>
          </w:p>
        </w:tc>
      </w:tr>
      <w:tr>
        <w:trPr>
          <w:trHeight w:val="23"/>
        </w:trPr>
        <w:tc>
          <w:tcPr>
            <w:tcW w:w="38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2"/>
        </w:trPr>
        <w:tc>
          <w:tcPr>
            <w:tcW w:w="3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4"/>
        </w:trPr>
        <w:tc>
          <w:tcPr>
            <w:tcW w:w="3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1200" w:type="dxa"/>
            <w:vAlign w:val="bottom"/>
            <w:shd w:val="clear" w:color="auto" w:fill="CCEEFF"/>
          </w:tcPr>
          <w:p>
            <w:pPr>
              <w:jc w:val="right"/>
              <w:ind w:right="722"/>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2"/>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1,271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382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1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1,022</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7"/>
                <w:szCs w:val="17"/>
                <w:color w:val="auto"/>
              </w:rPr>
              <w:t>3,209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561</w:t>
            </w:r>
          </w:p>
        </w:tc>
      </w:tr>
      <w:tr>
        <w:trPr>
          <w:trHeight w:val="214"/>
        </w:trPr>
        <w:tc>
          <w:tcPr>
            <w:tcW w:w="3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1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5,241</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967</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14,776</w:t>
            </w: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2,003</w:t>
            </w:r>
          </w:p>
        </w:tc>
      </w:tr>
      <w:tr>
        <w:trPr>
          <w:trHeight w:val="207"/>
        </w:trPr>
        <w:tc>
          <w:tcPr>
            <w:tcW w:w="3820" w:type="dxa"/>
            <w:vAlign w:val="bottom"/>
          </w:tcPr>
          <w:p>
            <w:pPr>
              <w:ind w:left="320"/>
              <w:spacing w:after="0"/>
              <w:rPr>
                <w:sz w:val="20"/>
                <w:szCs w:val="20"/>
                <w:color w:val="auto"/>
              </w:rPr>
            </w:pPr>
            <w:r>
              <w:rPr>
                <w:rFonts w:ascii="Arial" w:cs="Arial" w:eastAsia="Arial" w:hAnsi="Arial"/>
                <w:sz w:val="17"/>
                <w:szCs w:val="17"/>
                <w:color w:val="auto"/>
              </w:rPr>
              <w:t>Total stock-based compensation</w:t>
            </w:r>
          </w:p>
        </w:tc>
        <w:tc>
          <w:tcPr>
            <w:tcW w:w="1200" w:type="dxa"/>
            <w:vAlign w:val="bottom"/>
            <w:tcBorders>
              <w:bottom w:val="single" w:sz="8" w:color="auto"/>
            </w:tcBorders>
          </w:tcPr>
          <w:p>
            <w:pPr>
              <w:jc w:val="right"/>
              <w:ind w:right="72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6,786</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88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w:t>
            </w: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19,256</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2,564</w:t>
            </w:r>
          </w:p>
        </w:tc>
      </w:tr>
      <w:tr>
        <w:trPr>
          <w:trHeight w:val="20"/>
        </w:trPr>
        <w:tc>
          <w:tcPr>
            <w:tcW w:w="3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0" w:hanging="599"/>
        <w:spacing w:after="0"/>
        <w:tabs>
          <w:tab w:leader="none" w:pos="6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Facility Lease Agreement</w:t>
      </w:r>
    </w:p>
    <w:p>
      <w:pPr>
        <w:spacing w:after="0" w:line="158" w:lineRule="exact"/>
        <w:rPr>
          <w:sz w:val="20"/>
          <w:szCs w:val="20"/>
          <w:color w:val="auto"/>
        </w:rPr>
      </w:pPr>
    </w:p>
    <w:p>
      <w:pPr>
        <w:ind w:right="140" w:firstLine="303"/>
        <w:spacing w:after="0" w:line="255" w:lineRule="auto"/>
        <w:rPr>
          <w:sz w:val="20"/>
          <w:szCs w:val="20"/>
          <w:color w:val="auto"/>
        </w:rPr>
      </w:pPr>
      <w:r>
        <w:rPr>
          <w:rFonts w:ascii="Arial" w:cs="Arial" w:eastAsia="Arial" w:hAnsi="Arial"/>
          <w:sz w:val="17"/>
          <w:szCs w:val="17"/>
          <w:color w:val="auto"/>
        </w:rPr>
        <w:t>On January 4, 2019, the Company entered into a lease agreement for office and laboratory space in Redwood City, California. The lease term commenced in November 2019 and ends on September 30, 2029. In connection with the lease and its amendments, the Company maintains a letter of credit issued to the lessor in the amount of $0.5 million, which is secured by restricted cash that is classified as noncurrent at September 30, 2021 and December 31, 2020 based on the term of the underlying lease.</w:t>
      </w:r>
    </w:p>
    <w:p>
      <w:pPr>
        <w:spacing w:after="0" w:line="127" w:lineRule="exact"/>
        <w:rPr>
          <w:sz w:val="20"/>
          <w:szCs w:val="20"/>
          <w:color w:val="auto"/>
        </w:rPr>
      </w:pPr>
    </w:p>
    <w:p>
      <w:pPr>
        <w:jc w:val="both"/>
        <w:ind w:right="420" w:firstLine="303"/>
        <w:spacing w:after="0" w:line="309" w:lineRule="auto"/>
        <w:rPr>
          <w:sz w:val="20"/>
          <w:szCs w:val="20"/>
          <w:color w:val="auto"/>
        </w:rPr>
      </w:pPr>
      <w:r>
        <w:rPr>
          <w:rFonts w:ascii="Arial" w:cs="Arial" w:eastAsia="Arial" w:hAnsi="Arial"/>
          <w:sz w:val="15"/>
          <w:szCs w:val="15"/>
          <w:color w:val="auto"/>
        </w:rPr>
        <w:t>The Company entered into an amendment to the lease agreement with respect to its facility in Redwood City, California in June 2020. The amendment makes certain changes to the original lease, including (i) additional office and laboratory space in the same building (the Expansion Premises) and (ii) an extension of the expiration date of the original lease to 127.5 months following the delivery date of the Expansion Premises, which is estimated to be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2" w:name="page23"/>
    <w:bookmarkEnd w:id="22"/>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firstLine="303"/>
        <w:spacing w:after="0" w:line="255" w:lineRule="auto"/>
        <w:rPr>
          <w:sz w:val="20"/>
          <w:szCs w:val="20"/>
          <w:color w:val="auto"/>
        </w:rPr>
      </w:pPr>
      <w:r>
        <w:rPr>
          <w:rFonts w:ascii="Arial" w:cs="Arial" w:eastAsia="Arial" w:hAnsi="Arial"/>
          <w:sz w:val="17"/>
          <w:szCs w:val="17"/>
          <w:color w:val="auto"/>
        </w:rPr>
        <w:t>The amendment provides for annual base rent for the Expansion Premises of approximately $0.9 million in the first year of the lease term (subject to an abatement period of nine months), which increases on an annual basis to approximately $1.2 million in the final year of the lease term. The amendment also provides for tenant incentives in the amount of $2.4 million. Under the amendment, the Company retains its original option to renew the lease for an additional five-year term, at then-current market rates.</w:t>
      </w:r>
    </w:p>
    <w:p>
      <w:pPr>
        <w:spacing w:after="0" w:line="127" w:lineRule="exact"/>
        <w:rPr>
          <w:sz w:val="20"/>
          <w:szCs w:val="20"/>
          <w:color w:val="auto"/>
        </w:rPr>
      </w:pPr>
    </w:p>
    <w:p>
      <w:pPr>
        <w:ind w:right="520" w:firstLine="303"/>
        <w:spacing w:after="0" w:line="338" w:lineRule="auto"/>
        <w:rPr>
          <w:sz w:val="20"/>
          <w:szCs w:val="20"/>
          <w:color w:val="auto"/>
        </w:rPr>
      </w:pPr>
      <w:r>
        <w:rPr>
          <w:rFonts w:ascii="Arial" w:cs="Arial" w:eastAsia="Arial" w:hAnsi="Arial"/>
          <w:sz w:val="15"/>
          <w:szCs w:val="15"/>
          <w:color w:val="auto"/>
        </w:rPr>
        <w:t>The Company entered into another amendment to the lease agreement with respect to its facility in Redwood City, California in April 2021. The amendment expanded the office and laboratory space by approximately 25,000 square feet, commenced in May 2021, and has a term of approximately 11 years.</w:t>
      </w:r>
    </w:p>
    <w:p>
      <w:pPr>
        <w:spacing w:after="0" w:line="69" w:lineRule="exact"/>
        <w:rPr>
          <w:sz w:val="20"/>
          <w:szCs w:val="20"/>
          <w:color w:val="auto"/>
        </w:rPr>
      </w:pPr>
    </w:p>
    <w:p>
      <w:pPr>
        <w:ind w:right="120" w:firstLine="303"/>
        <w:spacing w:after="0" w:line="301" w:lineRule="auto"/>
        <w:rPr>
          <w:sz w:val="20"/>
          <w:szCs w:val="20"/>
          <w:color w:val="auto"/>
        </w:rPr>
      </w:pPr>
      <w:r>
        <w:rPr>
          <w:rFonts w:ascii="Arial" w:cs="Arial" w:eastAsia="Arial" w:hAnsi="Arial"/>
          <w:sz w:val="16"/>
          <w:szCs w:val="16"/>
          <w:color w:val="auto"/>
        </w:rPr>
        <w:t>During the period from June 2020 through May 2021, the Company was provided with temporary space. The Company was not required to pay additional rent for the temporary space, but was required to pay property taxes, insurance and normal maintenance costs with respect to the temporary space.</w:t>
      </w:r>
    </w:p>
    <w:p>
      <w:pPr>
        <w:spacing w:after="0" w:line="93" w:lineRule="exact"/>
        <w:rPr>
          <w:sz w:val="20"/>
          <w:szCs w:val="20"/>
          <w:color w:val="auto"/>
        </w:rPr>
      </w:pPr>
    </w:p>
    <w:p>
      <w:pPr>
        <w:ind w:right="260" w:firstLine="303"/>
        <w:spacing w:after="0" w:line="258" w:lineRule="auto"/>
        <w:rPr>
          <w:sz w:val="20"/>
          <w:szCs w:val="20"/>
          <w:color w:val="auto"/>
        </w:rPr>
      </w:pPr>
      <w:r>
        <w:rPr>
          <w:rFonts w:ascii="Arial" w:cs="Arial" w:eastAsia="Arial" w:hAnsi="Arial"/>
          <w:sz w:val="17"/>
          <w:szCs w:val="17"/>
          <w:color w:val="auto"/>
        </w:rPr>
        <w:t>Rent expense was $0.7 million and $0.2 million for the three months ended September 30, 2021 and 2020, respectively. Rent expense was $1.5 million and $0.5 million for the nine months ended September 30, 2021 and 2020, respectively. The Company is required to pay property taxes, insurance, and normal maintenance costs for the facility and will be required to pay any increases over the base year of these expenses.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September 30, 2021, future minimum commitments under the Company’s non-cancelable facility operating lease are as follows: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930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Years ending December 31,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(in thousands)</w:t>
            </w:r>
          </w:p>
        </w:tc>
      </w:tr>
      <w:tr>
        <w:trPr>
          <w:trHeight w:val="212"/>
        </w:trPr>
        <w:tc>
          <w:tcPr>
            <w:tcW w:w="94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2021 (three months remaining)</w:t>
            </w:r>
          </w:p>
        </w:tc>
        <w:tc>
          <w:tcPr>
            <w:tcW w:w="5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4"/>
        </w:trPr>
        <w:tc>
          <w:tcPr>
            <w:tcW w:w="9300" w:type="dxa"/>
            <w:vAlign w:val="bottom"/>
          </w:tcPr>
          <w:p>
            <w:pPr>
              <w:ind w:left="3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5"/>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14"/>
        </w:trPr>
        <w:tc>
          <w:tcPr>
            <w:tcW w:w="9300" w:type="dxa"/>
            <w:vAlign w:val="bottom"/>
          </w:tcPr>
          <w:p>
            <w:pPr>
              <w:ind w:left="3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5"/>
        </w:trPr>
        <w:tc>
          <w:tcPr>
            <w:tcW w:w="9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4"/>
        </w:trPr>
        <w:tc>
          <w:tcPr>
            <w:tcW w:w="940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Thereafter</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r>
      <w:tr>
        <w:trPr>
          <w:trHeight w:val="232"/>
        </w:trPr>
        <w:tc>
          <w:tcPr>
            <w:tcW w:w="94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7"/>
                <w:szCs w:val="17"/>
                <w:color w:val="auto"/>
              </w:rPr>
              <w:t>Total</w:t>
            </w: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Purchase Commitments and Obligations</w:t>
      </w:r>
    </w:p>
    <w:p>
      <w:pPr>
        <w:spacing w:after="0" w:line="158" w:lineRule="exact"/>
        <w:rPr>
          <w:sz w:val="20"/>
          <w:szCs w:val="20"/>
          <w:color w:val="auto"/>
        </w:rPr>
      </w:pPr>
    </w:p>
    <w:p>
      <w:pPr>
        <w:ind w:right="120" w:firstLine="303"/>
        <w:spacing w:after="0" w:line="253" w:lineRule="auto"/>
        <w:rPr>
          <w:sz w:val="20"/>
          <w:szCs w:val="20"/>
          <w:color w:val="auto"/>
        </w:rPr>
      </w:pPr>
      <w:r>
        <w:rPr>
          <w:rFonts w:ascii="Arial" w:cs="Arial" w:eastAsia="Arial" w:hAnsi="Arial"/>
          <w:sz w:val="17"/>
          <w:szCs w:val="17"/>
          <w:color w:val="auto"/>
        </w:rPr>
        <w:t>The Company has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 These outstanding commitments amounted to $7.2 million and $3.1 million as of September 30, 2021 and December 31, 2020, respectively, and are excluded from the future minimum commitments table above.</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158" w:lineRule="exact"/>
        <w:rPr>
          <w:sz w:val="20"/>
          <w:szCs w:val="20"/>
          <w:color w:val="auto"/>
        </w:rPr>
      </w:pPr>
    </w:p>
    <w:p>
      <w:pPr>
        <w:ind w:right="100" w:firstLine="303"/>
        <w:spacing w:after="0" w:line="270"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The Company has entered into indemnification agreements with certain directors and officers that require the Company, among other things, to indemnify them against certain liabilities that may arise by reason of the status or service as directors or officers. To date, the Company has not paid any claims or been required to defend any action related to its indemnification obligations. As of September 30, 2021 and December 31, 2020, the Company does not have any material indemnification claims that were probable or reasonably possible and consequently has not recorded related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Contingencies</w:t>
      </w:r>
    </w:p>
    <w:p>
      <w:pPr>
        <w:spacing w:after="0" w:line="158" w:lineRule="exact"/>
        <w:rPr>
          <w:sz w:val="20"/>
          <w:szCs w:val="20"/>
          <w:color w:val="auto"/>
        </w:rPr>
      </w:pPr>
    </w:p>
    <w:p>
      <w:pPr>
        <w:ind w:right="340" w:firstLine="303"/>
        <w:spacing w:after="0" w:line="270" w:lineRule="auto"/>
        <w:rPr>
          <w:sz w:val="20"/>
          <w:szCs w:val="20"/>
          <w:color w:val="auto"/>
        </w:rPr>
      </w:pPr>
      <w:r>
        <w:rPr>
          <w:rFonts w:ascii="Arial" w:cs="Arial" w:eastAsia="Arial" w:hAnsi="Arial"/>
          <w:sz w:val="17"/>
          <w:szCs w:val="17"/>
          <w:color w:val="auto"/>
        </w:rPr>
        <w:t>From time to time, the Company may become involved in legal proceedings arising in the ordinary course of business. The Company is not currently a party to any material legal proceedings.</w:t>
      </w:r>
    </w:p>
    <w:p>
      <w:pPr>
        <w:spacing w:after="0" w:line="111" w:lineRule="exact"/>
        <w:rPr>
          <w:sz w:val="20"/>
          <w:szCs w:val="20"/>
          <w:color w:val="auto"/>
        </w:rPr>
      </w:pPr>
    </w:p>
    <w:p>
      <w:pPr>
        <w:ind w:left="600" w:hanging="599"/>
        <w:spacing w:after="0"/>
        <w:tabs>
          <w:tab w:leader="none" w:pos="60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PROGNOMIQ, INC.</w:t>
      </w:r>
    </w:p>
    <w:p>
      <w:pPr>
        <w:spacing w:after="0" w:line="162" w:lineRule="exact"/>
        <w:rPr>
          <w:sz w:val="20"/>
          <w:szCs w:val="20"/>
          <w:color w:val="auto"/>
        </w:rPr>
      </w:pPr>
    </w:p>
    <w:p>
      <w:pPr>
        <w:ind w:right="380" w:firstLine="303"/>
        <w:spacing w:after="0" w:line="309" w:lineRule="auto"/>
        <w:rPr>
          <w:sz w:val="20"/>
          <w:szCs w:val="20"/>
          <w:color w:val="auto"/>
        </w:rPr>
      </w:pPr>
      <w:r>
        <w:rPr>
          <w:rFonts w:ascii="Arial" w:cs="Arial" w:eastAsia="Arial" w:hAnsi="Arial"/>
          <w:sz w:val="15"/>
          <w:szCs w:val="15"/>
          <w:color w:val="auto"/>
        </w:rPr>
        <w:t>In August 2020, the Company formed a new entity, PrognomIQ, Inc. (PrognomIQ), and entered into a stock purchase agreement with PrognomIQ, pursuant to which the Company transferred to PrognomIQ certain assets that comprise the Company’s human diagnostics activities in exchange for all the outstanding equity interests of PrognomIQ. The Company subsequently completed a pro-rata distribution to its stockholders of most of the shares of capital stock of PrognomIQ.</w:t>
      </w:r>
    </w:p>
    <w:p>
      <w:pPr>
        <w:spacing w:after="0" w:line="90" w:lineRule="exact"/>
        <w:rPr>
          <w:sz w:val="20"/>
          <w:szCs w:val="20"/>
          <w:color w:val="auto"/>
        </w:rPr>
      </w:pPr>
    </w:p>
    <w:p>
      <w:pPr>
        <w:ind w:right="180" w:firstLine="303"/>
        <w:spacing w:after="0" w:line="295" w:lineRule="auto"/>
        <w:rPr>
          <w:sz w:val="20"/>
          <w:szCs w:val="20"/>
          <w:color w:val="auto"/>
        </w:rPr>
      </w:pPr>
      <w:r>
        <w:rPr>
          <w:rFonts w:ascii="Arial" w:cs="Arial" w:eastAsia="Arial" w:hAnsi="Arial"/>
          <w:sz w:val="15"/>
          <w:szCs w:val="15"/>
          <w:color w:val="auto"/>
        </w:rPr>
        <w:t>The Company has concluded that PrognomIQ is a VIE due to its reliance on future financing and insufficient equity investment at risk. However, the Company is not the primary beneficiary of the VIE as it does not have the power to direct the activities that most significantly impact the economic performance of PrognomIQ and does not have control over the PrognomIQ board of directors. The Company has determined that it has the ability to exercise significant influence over PrognomIQ and therefore has accounted for its investment in PrognomIQ using the equity method. During the year ended December 31, 2020, the carrying value of the Company’s investment in PrognomIQ was reduced to nil after recognizing net losses based on its percentage of ownership in PrognomIQ.</w:t>
      </w:r>
    </w:p>
    <w:p>
      <w:pPr>
        <w:spacing w:after="0" w:line="100" w:lineRule="exact"/>
        <w:rPr>
          <w:sz w:val="20"/>
          <w:szCs w:val="20"/>
          <w:color w:val="auto"/>
        </w:rPr>
      </w:pPr>
    </w:p>
    <w:p>
      <w:pPr>
        <w:ind w:right="360" w:firstLine="303"/>
        <w:spacing w:after="0" w:line="276" w:lineRule="auto"/>
        <w:rPr>
          <w:sz w:val="20"/>
          <w:szCs w:val="20"/>
          <w:color w:val="auto"/>
        </w:rPr>
      </w:pPr>
      <w:r>
        <w:rPr>
          <w:rFonts w:ascii="Arial" w:cs="Arial" w:eastAsia="Arial" w:hAnsi="Arial"/>
          <w:sz w:val="16"/>
          <w:szCs w:val="16"/>
          <w:color w:val="auto"/>
        </w:rPr>
        <w:t>PrognomIQ constitutes a related party and, as of September 30, 2021 and December 31, 2020, the Company recorded $0.7 million and $0.1 million in related party receivables, respectively, on the condensed consolidated balance sheets representing amounts due from product sales and services and for general transition services and support provided. Revenue received from PrognomIQ is recorded as related party revenue on the condensed consolidated statements of operations and comprehensive loss and is comprised of the sale of instruments and consumables, and services performed.</w:t>
      </w:r>
    </w:p>
    <w:p>
      <w:pPr>
        <w:spacing w:after="0" w:line="108" w:lineRule="exact"/>
        <w:rPr>
          <w:sz w:val="20"/>
          <w:szCs w:val="20"/>
          <w:color w:val="auto"/>
        </w:rPr>
      </w:pPr>
    </w:p>
    <w:p>
      <w:pPr>
        <w:ind w:left="600" w:hanging="599"/>
        <w:spacing w:after="0"/>
        <w:tabs>
          <w:tab w:leader="none" w:pos="60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COMMON STOCKHOLDERS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shows the computation of basic and diluted net loss per share (in thousands, except share and per share data):</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60" w:type="dxa"/>
            <w:vAlign w:val="bottom"/>
            <w:gridSpan w:val="3"/>
          </w:tcPr>
          <w:p>
            <w:pPr>
              <w:jc w:val="right"/>
              <w:ind w:right="16"/>
              <w:spacing w:after="0"/>
              <w:rPr>
                <w:sz w:val="20"/>
                <w:szCs w:val="20"/>
                <w:color w:val="auto"/>
              </w:rPr>
            </w:pPr>
            <w:r>
              <w:rPr>
                <w:rFonts w:ascii="Arial" w:cs="Arial" w:eastAsia="Arial" w:hAnsi="Arial"/>
                <w:sz w:val="13"/>
                <w:szCs w:val="13"/>
                <w:b w:val="1"/>
                <w:bCs w:val="1"/>
                <w:color w:val="auto"/>
              </w:rPr>
              <w:t>Nine Months Ended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3"/>
                <w:szCs w:val="13"/>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Numerator:</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tcPr>
          <w:p>
            <w:pPr>
              <w:ind w:left="320"/>
              <w:spacing w:after="0"/>
              <w:rPr>
                <w:sz w:val="20"/>
                <w:szCs w:val="20"/>
                <w:color w:val="auto"/>
              </w:rPr>
            </w:pPr>
            <w:r>
              <w:rPr>
                <w:rFonts w:ascii="Arial" w:cs="Arial" w:eastAsia="Arial" w:hAnsi="Arial"/>
                <w:sz w:val="17"/>
                <w:szCs w:val="17"/>
                <w:color w:val="auto"/>
              </w:rPr>
              <w:t>Net loss attributable to common stockholders</w:t>
            </w: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(18,385)</w:t>
            </w: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(8,229)</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(51,430)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40" w:type="dxa"/>
            <w:vAlign w:val="bottom"/>
            <w:shd w:val="clear" w:color="auto" w:fill="CCEEFF"/>
          </w:tcPr>
          <w:p>
            <w:pPr>
              <w:ind w:left="320"/>
              <w:spacing w:after="0" w:line="180" w:lineRule="exact"/>
              <w:rPr>
                <w:sz w:val="20"/>
                <w:szCs w:val="20"/>
                <w:color w:val="auto"/>
              </w:rPr>
            </w:pPr>
            <w:r>
              <w:rPr>
                <w:rFonts w:ascii="Arial" w:cs="Arial" w:eastAsia="Arial" w:hAnsi="Arial"/>
                <w:sz w:val="17"/>
                <w:szCs w:val="17"/>
                <w:color w:val="auto"/>
              </w:rPr>
              <w:t>Denominator:</w:t>
            </w:r>
          </w:p>
        </w:tc>
        <w:tc>
          <w:tcPr>
            <w:tcW w:w="6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040" w:type="dxa"/>
            <w:vAlign w:val="bottom"/>
          </w:tcPr>
          <w:p>
            <w:pPr>
              <w:ind w:left="20"/>
              <w:spacing w:after="0" w:line="164" w:lineRule="exact"/>
              <w:rPr>
                <w:sz w:val="20"/>
                <w:szCs w:val="20"/>
                <w:color w:val="auto"/>
              </w:rPr>
            </w:pPr>
            <w:r>
              <w:rPr>
                <w:rFonts w:ascii="Arial" w:cs="Arial" w:eastAsia="Arial" w:hAnsi="Arial"/>
                <w:sz w:val="17"/>
                <w:szCs w:val="17"/>
                <w:color w:val="auto"/>
                <w:w w:val="91"/>
              </w:rPr>
              <w:t>Weighted-average common shares used in computing net</w:t>
            </w: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40" w:type="dxa"/>
            <w:vAlign w:val="bottom"/>
          </w:tcPr>
          <w:p>
            <w:pPr>
              <w:ind w:left="180"/>
              <w:spacing w:after="0" w:line="164" w:lineRule="exact"/>
              <w:rPr>
                <w:sz w:val="20"/>
                <w:szCs w:val="20"/>
                <w:color w:val="auto"/>
              </w:rPr>
            </w:pPr>
            <w:r>
              <w:rPr>
                <w:rFonts w:ascii="Arial" w:cs="Arial" w:eastAsia="Arial" w:hAnsi="Arial"/>
                <w:sz w:val="17"/>
                <w:szCs w:val="17"/>
                <w:color w:val="auto"/>
                <w:w w:val="88"/>
              </w:rPr>
              <w:t>loss per share attributable to common stockholders, basic</w:t>
            </w:r>
          </w:p>
        </w:tc>
        <w:tc>
          <w:tcPr>
            <w:tcW w:w="640" w:type="dxa"/>
            <w:vAlign w:val="bottom"/>
          </w:tcPr>
          <w:p>
            <w:pPr>
              <w:spacing w:after="0"/>
              <w:rPr>
                <w:sz w:val="14"/>
                <w:szCs w:val="14"/>
                <w:color w:val="auto"/>
              </w:rPr>
            </w:pPr>
          </w:p>
        </w:tc>
        <w:tc>
          <w:tcPr>
            <w:tcW w:w="1120" w:type="dxa"/>
            <w:vAlign w:val="bottom"/>
            <w:vMerge w:val="restart"/>
          </w:tcPr>
          <w:p>
            <w:pPr>
              <w:jc w:val="right"/>
              <w:ind w:right="4"/>
              <w:spacing w:after="0"/>
              <w:rPr>
                <w:sz w:val="20"/>
                <w:szCs w:val="20"/>
                <w:color w:val="auto"/>
              </w:rPr>
            </w:pPr>
            <w:r>
              <w:rPr>
                <w:rFonts w:ascii="Arial" w:cs="Arial" w:eastAsia="Arial" w:hAnsi="Arial"/>
                <w:sz w:val="17"/>
                <w:szCs w:val="17"/>
                <w:color w:val="auto"/>
              </w:rPr>
              <w:t>61,133,518</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w w:val="98"/>
              </w:rPr>
              <w:t>10,285,401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60,625,601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9,709,5</w:t>
            </w:r>
          </w:p>
        </w:tc>
        <w:tc>
          <w:tcPr>
            <w:tcW w:w="0" w:type="dxa"/>
            <w:vAlign w:val="bottom"/>
          </w:tcPr>
          <w:p>
            <w:pPr>
              <w:spacing w:after="0"/>
              <w:rPr>
                <w:sz w:val="1"/>
                <w:szCs w:val="1"/>
                <w:color w:val="auto"/>
              </w:rPr>
            </w:pPr>
          </w:p>
        </w:tc>
      </w:tr>
      <w:tr>
        <w:trPr>
          <w:trHeight w:val="189"/>
        </w:trPr>
        <w:tc>
          <w:tcPr>
            <w:tcW w:w="4040" w:type="dxa"/>
            <w:vAlign w:val="bottom"/>
          </w:tcPr>
          <w:p>
            <w:pPr>
              <w:ind w:left="180"/>
              <w:spacing w:after="0" w:line="189" w:lineRule="exact"/>
              <w:rPr>
                <w:sz w:val="20"/>
                <w:szCs w:val="20"/>
                <w:color w:val="auto"/>
              </w:rPr>
            </w:pPr>
            <w:r>
              <w:rPr>
                <w:rFonts w:ascii="Arial" w:cs="Arial" w:eastAsia="Arial" w:hAnsi="Arial"/>
                <w:sz w:val="17"/>
                <w:szCs w:val="17"/>
                <w:color w:val="auto"/>
              </w:rPr>
              <w:t>and diluted</w:t>
            </w: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Net loss per share attributable to common stockholders,</w:t>
            </w:r>
          </w:p>
        </w:tc>
        <w:tc>
          <w:tcPr>
            <w:tcW w:w="64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316"/>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9"/>
        </w:trPr>
        <w:tc>
          <w:tcPr>
            <w:tcW w:w="404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7"/>
                <w:szCs w:val="17"/>
                <w:color w:val="auto"/>
              </w:rPr>
              <w:t>basic and diluted</w:t>
            </w: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4" w:name="page25"/>
    <w:bookmarkEnd w:id="24"/>
    <w:p>
      <w:pPr>
        <w:jc w:val="center"/>
        <w:ind w:right="100"/>
        <w:spacing w:after="0"/>
        <w:rPr>
          <w:sz w:val="20"/>
          <w:szCs w:val="20"/>
          <w:color w:val="auto"/>
        </w:rPr>
      </w:pPr>
      <w:r>
        <w:rPr>
          <w:rFonts w:ascii="Arial" w:cs="Arial" w:eastAsia="Arial" w:hAnsi="Arial"/>
          <w:sz w:val="17"/>
          <w:szCs w:val="17"/>
          <w:b w:val="1"/>
          <w:bCs w:val="1"/>
          <w:color w:val="auto"/>
        </w:rPr>
        <w:t>SEER, INC.</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0" w:firstLine="303"/>
        <w:spacing w:after="0" w:line="301" w:lineRule="auto"/>
        <w:rPr>
          <w:sz w:val="20"/>
          <w:szCs w:val="20"/>
          <w:color w:val="auto"/>
        </w:rPr>
      </w:pPr>
      <w:r>
        <w:rPr>
          <w:rFonts w:ascii="Arial" w:cs="Arial" w:eastAsia="Arial" w:hAnsi="Arial"/>
          <w:sz w:val="16"/>
          <w:szCs w:val="16"/>
          <w:color w:val="auto"/>
        </w:rPr>
        <w:t>The following outstanding shares of potentially dilutive securities were excluded from the computation of diluted net loss per share attributable to common stockholders for the periods presented, because including them would have been anti-dilutive (on an as-converted basis):</w:t>
      </w:r>
    </w:p>
    <w:p>
      <w:pPr>
        <w:spacing w:after="0" w:line="108"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2380" w:type="dxa"/>
            <w:vAlign w:val="bottom"/>
            <w:gridSpan w:val="3"/>
          </w:tcPr>
          <w:p>
            <w:pPr>
              <w:ind w:left="1140"/>
              <w:spacing w:after="0"/>
              <w:rPr>
                <w:sz w:val="20"/>
                <w:szCs w:val="20"/>
                <w:color w:val="auto"/>
              </w:rPr>
            </w:pPr>
            <w:r>
              <w:rPr>
                <w:rFonts w:ascii="Arial" w:cs="Arial" w:eastAsia="Arial" w:hAnsi="Arial"/>
                <w:sz w:val="13"/>
                <w:szCs w:val="13"/>
                <w:b w:val="1"/>
                <w:bCs w:val="1"/>
                <w:color w:val="auto"/>
                <w:w w:val="94"/>
              </w:rPr>
              <w:t>Three Months Ended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gridSpan w:val="3"/>
          </w:tcPr>
          <w:p>
            <w:pPr>
              <w:ind w:left="1180"/>
              <w:spacing w:after="0"/>
              <w:rPr>
                <w:sz w:val="20"/>
                <w:szCs w:val="20"/>
                <w:color w:val="auto"/>
              </w:rPr>
            </w:pPr>
            <w:r>
              <w:rPr>
                <w:rFonts w:ascii="Arial" w:cs="Arial" w:eastAsia="Arial" w:hAnsi="Arial"/>
                <w:sz w:val="13"/>
                <w:szCs w:val="13"/>
                <w:b w:val="1"/>
                <w:bCs w:val="1"/>
                <w:color w:val="auto"/>
                <w:w w:val="95"/>
              </w:rPr>
              <w:t>Nine Months Ended</w:t>
            </w:r>
          </w:p>
        </w:tc>
        <w:tc>
          <w:tcPr>
            <w:tcW w:w="640" w:type="dxa"/>
            <w:vAlign w:val="bottom"/>
          </w:tcPr>
          <w:p>
            <w:pPr>
              <w:spacing w:after="0"/>
              <w:rPr>
                <w:sz w:val="13"/>
                <w:szCs w:val="13"/>
                <w:color w:val="auto"/>
              </w:rPr>
            </w:pPr>
          </w:p>
        </w:tc>
      </w:tr>
      <w:tr>
        <w:trPr>
          <w:trHeight w:val="175"/>
        </w:trPr>
        <w:tc>
          <w:tcPr>
            <w:tcW w:w="4760" w:type="dxa"/>
            <w:vAlign w:val="bottom"/>
          </w:tcPr>
          <w:p>
            <w:pPr>
              <w:spacing w:after="0"/>
              <w:rPr>
                <w:sz w:val="15"/>
                <w:szCs w:val="15"/>
                <w:color w:val="auto"/>
              </w:rPr>
            </w:pPr>
          </w:p>
        </w:tc>
        <w:tc>
          <w:tcPr>
            <w:tcW w:w="2380" w:type="dxa"/>
            <w:vAlign w:val="bottom"/>
            <w:tcBorders>
              <w:bottom w:val="single" w:sz="8" w:color="auto"/>
            </w:tcBorders>
            <w:gridSpan w:val="3"/>
          </w:tcPr>
          <w:p>
            <w:pPr>
              <w:ind w:left="1200"/>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60" w:type="dxa"/>
            <w:vAlign w:val="bottom"/>
            <w:tcBorders>
              <w:bottom w:val="single" w:sz="8" w:color="auto"/>
            </w:tcBorders>
            <w:gridSpan w:val="3"/>
          </w:tcPr>
          <w:p>
            <w:pPr>
              <w:ind w:left="1200"/>
              <w:spacing w:after="0"/>
              <w:rPr>
                <w:sz w:val="20"/>
                <w:szCs w:val="20"/>
                <w:color w:val="auto"/>
              </w:rPr>
            </w:pPr>
            <w:r>
              <w:rPr>
                <w:rFonts w:ascii="Arial" w:cs="Arial" w:eastAsia="Arial" w:hAnsi="Arial"/>
                <w:sz w:val="13"/>
                <w:szCs w:val="13"/>
                <w:b w:val="1"/>
                <w:bCs w:val="1"/>
                <w:color w:val="auto"/>
              </w:rPr>
              <w:t>September 30,</w:t>
            </w:r>
          </w:p>
        </w:tc>
        <w:tc>
          <w:tcPr>
            <w:tcW w:w="640" w:type="dxa"/>
            <w:vAlign w:val="bottom"/>
            <w:tcBorders>
              <w:bottom w:val="single" w:sz="8" w:color="auto"/>
            </w:tcBorders>
          </w:tcPr>
          <w:p>
            <w:pPr>
              <w:spacing w:after="0"/>
              <w:rPr>
                <w:sz w:val="15"/>
                <w:szCs w:val="15"/>
                <w:color w:val="auto"/>
              </w:rPr>
            </w:pPr>
          </w:p>
        </w:tc>
      </w:tr>
      <w:tr>
        <w:trPr>
          <w:trHeight w:val="169"/>
        </w:trPr>
        <w:tc>
          <w:tcPr>
            <w:tcW w:w="4760" w:type="dxa"/>
            <w:vAlign w:val="bottom"/>
          </w:tcPr>
          <w:p>
            <w:pPr>
              <w:spacing w:after="0"/>
              <w:rPr>
                <w:sz w:val="14"/>
                <w:szCs w:val="14"/>
                <w:color w:val="auto"/>
              </w:rPr>
            </w:pP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156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2020</w:t>
            </w:r>
          </w:p>
        </w:tc>
      </w:tr>
      <w:tr>
        <w:trPr>
          <w:trHeight w:val="221"/>
        </w:trPr>
        <w:tc>
          <w:tcPr>
            <w:tcW w:w="4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4"/>
        </w:trPr>
        <w:tc>
          <w:tcPr>
            <w:tcW w:w="4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Convertible preferred stock</w:t>
            </w:r>
          </w:p>
        </w:tc>
        <w:tc>
          <w:tcPr>
            <w:tcW w:w="2380" w:type="dxa"/>
            <w:vAlign w:val="bottom"/>
            <w:gridSpan w:val="3"/>
            <w:shd w:val="clear" w:color="auto" w:fill="CCEEFF"/>
          </w:tcPr>
          <w:p>
            <w:pPr>
              <w:jc w:val="right"/>
              <w:ind w:right="88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29,026,787</w:t>
            </w:r>
          </w:p>
        </w:tc>
        <w:tc>
          <w:tcPr>
            <w:tcW w:w="8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29,026,7</w:t>
            </w:r>
          </w:p>
        </w:tc>
      </w:tr>
      <w:tr>
        <w:trPr>
          <w:trHeight w:val="214"/>
        </w:trPr>
        <w:tc>
          <w:tcPr>
            <w:tcW w:w="4760" w:type="dxa"/>
            <w:vAlign w:val="bottom"/>
          </w:tcPr>
          <w:p>
            <w:pPr>
              <w:ind w:left="20"/>
              <w:spacing w:after="0"/>
              <w:rPr>
                <w:sz w:val="20"/>
                <w:szCs w:val="20"/>
                <w:color w:val="auto"/>
              </w:rPr>
            </w:pPr>
            <w:r>
              <w:rPr>
                <w:rFonts w:ascii="Arial" w:cs="Arial" w:eastAsia="Arial" w:hAnsi="Arial"/>
                <w:sz w:val="17"/>
                <w:szCs w:val="17"/>
                <w:color w:val="auto"/>
              </w:rPr>
              <w:t>Class A common stock options issued and outstanding</w:t>
            </w:r>
          </w:p>
        </w:tc>
        <w:tc>
          <w:tcPr>
            <w:tcW w:w="1560" w:type="dxa"/>
            <w:vAlign w:val="bottom"/>
          </w:tcPr>
          <w:p>
            <w:pPr>
              <w:jc w:val="right"/>
              <w:spacing w:after="0"/>
              <w:rPr>
                <w:sz w:val="20"/>
                <w:szCs w:val="20"/>
                <w:color w:val="auto"/>
              </w:rPr>
            </w:pPr>
            <w:r>
              <w:rPr>
                <w:rFonts w:ascii="Arial" w:cs="Arial" w:eastAsia="Arial" w:hAnsi="Arial"/>
                <w:sz w:val="17"/>
                <w:szCs w:val="17"/>
                <w:color w:val="auto"/>
              </w:rPr>
              <w:t>9,898,069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7,553,500</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9,898,069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7,553,5</w:t>
            </w:r>
          </w:p>
        </w:tc>
      </w:tr>
      <w:tr>
        <w:trPr>
          <w:trHeight w:val="215"/>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common stock subject to future vesting</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305,564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1,573,436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305,564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1,573,4</w:t>
            </w:r>
          </w:p>
        </w:tc>
      </w:tr>
      <w:tr>
        <w:trPr>
          <w:trHeight w:val="21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783,317</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335,194</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783,317</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335,1</w:t>
            </w:r>
          </w:p>
        </w:tc>
      </w:tr>
      <w:tr>
        <w:trPr>
          <w:trHeight w:val="232"/>
        </w:trPr>
        <w:tc>
          <w:tcPr>
            <w:tcW w:w="4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10,986,950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6"/>
              </w:rPr>
              <w:t>38,488,917</w:t>
            </w: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10,986,950</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38,488,9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5" w:name="page26"/>
    <w:bookmarkEnd w:id="25"/>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303"/>
        <w:spacing w:after="0" w:line="25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included in Part I, Item 1 of this Quarterly Report. This discussion contains forward-looking statements that involve risks and uncertainties, including those described in the section titled “Special Note Regarding Forward 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62" w:lineRule="exact"/>
        <w:rPr>
          <w:sz w:val="20"/>
          <w:szCs w:val="20"/>
          <w:color w:val="auto"/>
        </w:rPr>
      </w:pPr>
    </w:p>
    <w:p>
      <w:pPr>
        <w:ind w:right="120" w:firstLine="303"/>
        <w:spacing w:after="0" w:line="287" w:lineRule="auto"/>
        <w:rPr>
          <w:sz w:val="20"/>
          <w:szCs w:val="20"/>
          <w:color w:val="auto"/>
        </w:rPr>
      </w:pPr>
      <w:r>
        <w:rPr>
          <w:rFonts w:ascii="Arial" w:cs="Arial" w:eastAsia="Arial" w:hAnsi="Arial"/>
          <w:sz w:val="15"/>
          <w:szCs w:val="15"/>
          <w:color w:val="auto"/>
        </w:rPr>
        <w:t>We aim to enable exceptional scientific outcomes by commercializing transformative products for researchers to unlock deep, unbiased biological information. Our initial product, the Proteograph Product Suite (Proteograph), leverages our proprietary engineered nanoparticle (NP) technology to provide unbiased, deep, rapid and large-scale access across the proteome. Our Proteograph Product Suite is an integrated solution that is comprised of consumables, our SP100 automation instrument and the Proteograph™ Analysis Suite software. Our Proteograph solution provides an easy-to-use workflow, which has the potential to make proteomic profiling, and the analysis of the thousands of samples needed to characterize the complex, dynamic nature of the proteome, accessible for nearly any laboratory. We believe that characterizing and understanding the full complexity of the proteome is foundational for accelerating biological insights and will lead to broad potential end-markets for proteomics, encompassing basic research and discovery, translational research, diagnostics and applied applications. This full understanding of the complexity of the proteome requires large-scale, unbiased and deep interrogation of thousands of samples across time, which we believe is unavailable with the proteomic approaches available today. We believe that our Proteograph has the potential to enable researchers to perform proteomics studies at scale, similar to the manner in which next generation sequencing (NGS) technologies have transformed genomics.</w:t>
      </w:r>
    </w:p>
    <w:p>
      <w:pPr>
        <w:spacing w:after="0" w:line="106" w:lineRule="exact"/>
        <w:rPr>
          <w:sz w:val="20"/>
          <w:szCs w:val="20"/>
          <w:color w:val="auto"/>
        </w:rPr>
      </w:pPr>
    </w:p>
    <w:p>
      <w:pPr>
        <w:ind w:right="240" w:firstLine="303"/>
        <w:spacing w:after="0" w:line="258" w:lineRule="auto"/>
        <w:rPr>
          <w:sz w:val="20"/>
          <w:szCs w:val="20"/>
          <w:color w:val="auto"/>
        </w:rPr>
      </w:pPr>
      <w:r>
        <w:rPr>
          <w:rFonts w:ascii="Arial" w:cs="Arial" w:eastAsia="Arial" w:hAnsi="Arial"/>
          <w:sz w:val="17"/>
          <w:szCs w:val="17"/>
          <w:color w:val="auto"/>
        </w:rPr>
        <w:t>Since we were incorporated in 2017, we have devoted substantially all of our resources to research and development activities, including with respect to our Proteograph Product Suite, establishing and maintaining our intellectual property portfolio, hiring personnel, raising capital, building our commercial infrastructure and providing general and administrative support for these activities.</w:t>
      </w:r>
    </w:p>
    <w:p>
      <w:pPr>
        <w:spacing w:after="0" w:line="126" w:lineRule="exact"/>
        <w:rPr>
          <w:sz w:val="20"/>
          <w:szCs w:val="20"/>
          <w:color w:val="auto"/>
        </w:rPr>
      </w:pPr>
    </w:p>
    <w:p>
      <w:pPr>
        <w:ind w:firstLine="303"/>
        <w:spacing w:after="0" w:line="288" w:lineRule="auto"/>
        <w:rPr>
          <w:sz w:val="20"/>
          <w:szCs w:val="20"/>
          <w:color w:val="auto"/>
        </w:rPr>
      </w:pPr>
      <w:r>
        <w:rPr>
          <w:rFonts w:ascii="Arial" w:cs="Arial" w:eastAsia="Arial" w:hAnsi="Arial"/>
          <w:sz w:val="15"/>
          <w:szCs w:val="15"/>
          <w:color w:val="auto"/>
        </w:rPr>
        <w:t>Our ability to generate product revenue sufficient to achieve profitability, if ever, will depend on the successful commercialization of our Proteograph. We are commercializing our Proteograph utilizing a three phase commercialization plan that has been shown to be effective and optimal for introducing disruptive products in numerous life sciences technology markets, including NGS. We have completed the first Collaboration phase, during which we signed collaboration agreements with a small number of key opinion leaders in proteomics, whose assessment and validation of products can significantly influence other researchers in their respective markets. We commenced the second, or Limited Release, phase of our commercialization plan, and generated our first revenues from product sales during the second quarter of 2021. We will continue to target sales of our Proteograph Product Suite to select sites performing large-scale proteomics or genomics research. We will work closely with these sites, which we expect will serve as models for the rest of the market, to exemplify applications that demonstrate the unique value proposition of our Proteograph. We expect this phase to continue through 2021 and lead into the third phase of commercialization, Broad Release, in early 2022.</w:t>
      </w:r>
    </w:p>
    <w:p>
      <w:pPr>
        <w:spacing w:after="0" w:line="109" w:lineRule="exact"/>
        <w:rPr>
          <w:sz w:val="20"/>
          <w:szCs w:val="20"/>
          <w:color w:val="auto"/>
        </w:rPr>
      </w:pPr>
    </w:p>
    <w:p>
      <w:pPr>
        <w:ind w:right="40" w:firstLine="303"/>
        <w:spacing w:after="0" w:line="255" w:lineRule="auto"/>
        <w:rPr>
          <w:sz w:val="20"/>
          <w:szCs w:val="20"/>
          <w:color w:val="auto"/>
        </w:rPr>
      </w:pPr>
      <w:r>
        <w:rPr>
          <w:rFonts w:ascii="Arial" w:cs="Arial" w:eastAsia="Arial" w:hAnsi="Arial"/>
          <w:sz w:val="17"/>
          <w:szCs w:val="17"/>
          <w:color w:val="auto"/>
        </w:rPr>
        <w:t>We are commercializing our Proteograph Product Suite as an integrated solution comprising consumables, our SP100 automation instrument and software. Our commercial strategy will focus on growing adoption by the research community of our Proteograph, expanding the installed base and increasing utilization to generate revenue from the purchase of Proteograph consumables. We expect a highly efficient sales model because our workflow integrates with most existing proteomics laboratories’ workflows and also complements large-scale genomics research.</w:t>
      </w:r>
    </w:p>
    <w:p>
      <w:pPr>
        <w:spacing w:after="0" w:line="127" w:lineRule="exact"/>
        <w:rPr>
          <w:sz w:val="20"/>
          <w:szCs w:val="20"/>
          <w:color w:val="auto"/>
        </w:rPr>
      </w:pPr>
    </w:p>
    <w:p>
      <w:pPr>
        <w:ind w:right="20" w:firstLine="303"/>
        <w:spacing w:after="0" w:line="309" w:lineRule="auto"/>
        <w:rPr>
          <w:sz w:val="20"/>
          <w:szCs w:val="20"/>
          <w:color w:val="auto"/>
        </w:rPr>
      </w:pPr>
      <w:r>
        <w:rPr>
          <w:rFonts w:ascii="Arial" w:cs="Arial" w:eastAsia="Arial" w:hAnsi="Arial"/>
          <w:sz w:val="15"/>
          <w:szCs w:val="15"/>
          <w:color w:val="auto"/>
        </w:rPr>
        <w:t>We intend to broadly commercialize our Proteograph Product Suite through a direct sales channel in the United States, and through both direct and distributor sales channels in regions outside the United States. Given our stage of commercialization, we are currently in the early stages of building sales, marketing, support and product distribution capabilities. We intend to build the necessary infrastructure for these activities in the United States, European Union,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49"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the United Kingdom, and potentially other countries and regions, including Asia-Pacific, as we execute on our three phase commercialization strategy for our Proteograph.</w:t>
      </w:r>
    </w:p>
    <w:p>
      <w:pPr>
        <w:spacing w:after="0" w:line="115"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We leverage well-established unit operations to formulate and manufacture our NPs and to assemble our assay kits at our facilities in Redwood City, California. We procure some of our consumables, including components of our NPs, from third-party manufacturers, which includes the commonly-available raw materials needed for manufacturing our proprietary engineered NPs. We are currently manufacturing using our pilot line and building out our manufacturing capabilities as we ramp towards Broad Release. We obtain some of the reagents and components used in our Proteograph Product Suite workflow from third-party suppliers. While some of these reagents and components are sourced from a single supplier, these products are readily available from numerous suppliers. While we currently handle packaging of our Proteograph assay and the related consumables, in the future, we may have our packaging outsourced to a third-party. While we currently plan to handle filling of our Proteograph assay reagents both internally and externally, in the future, we may have some of our internal filling outsourced to a third-party. We conduct vendor and component qualification for components provided by third-party suppliers and quality control tests on all of our NPs. We will need to substantially expand our NP manufacturing capabilities to enable the successful commercialization of our Proteograph.</w:t>
      </w:r>
    </w:p>
    <w:p>
      <w:pPr>
        <w:spacing w:after="0" w:line="110" w:lineRule="exact"/>
        <w:rPr>
          <w:sz w:val="20"/>
          <w:szCs w:val="20"/>
          <w:color w:val="auto"/>
        </w:rPr>
      </w:pPr>
    </w:p>
    <w:p>
      <w:pPr>
        <w:ind w:right="40" w:firstLine="303"/>
        <w:spacing w:after="0" w:line="253" w:lineRule="auto"/>
        <w:rPr>
          <w:sz w:val="20"/>
          <w:szCs w:val="20"/>
          <w:color w:val="auto"/>
        </w:rPr>
      </w:pPr>
      <w:r>
        <w:rPr>
          <w:rFonts w:ascii="Arial" w:cs="Arial" w:eastAsia="Arial" w:hAnsi="Arial"/>
          <w:sz w:val="17"/>
          <w:szCs w:val="17"/>
          <w:color w:val="auto"/>
        </w:rPr>
        <w:t>We have designed our SP100 automation instrument and have outsourced the manufacturing of our SP100 to Hamilton Company, a leading manufacturer of automated liquid handling workstations. We have entered into a non-exclusive agreement with Hamilton that covers the manufacturing of our SP100 and its continued supply on a purchase order basis. The agreement has an initial term that runs three years following our commercial launch. Pricing for the supply of our SP100 automation instrument is on a fixed schedule during the initial term of the agreement, with tiered pricing dependent upon the number of units purchased in a twelve-month period.</w:t>
      </w:r>
    </w:p>
    <w:p>
      <w:pPr>
        <w:spacing w:after="0" w:line="130" w:lineRule="exact"/>
        <w:rPr>
          <w:sz w:val="20"/>
          <w:szCs w:val="20"/>
          <w:color w:val="auto"/>
        </w:rPr>
      </w:pPr>
    </w:p>
    <w:p>
      <w:pPr>
        <w:ind w:right="40" w:firstLine="303"/>
        <w:spacing w:after="0" w:line="272" w:lineRule="auto"/>
        <w:rPr>
          <w:sz w:val="20"/>
          <w:szCs w:val="20"/>
          <w:color w:val="auto"/>
        </w:rPr>
      </w:pPr>
      <w:r>
        <w:rPr>
          <w:rFonts w:ascii="Arial" w:cs="Arial" w:eastAsia="Arial" w:hAnsi="Arial"/>
          <w:sz w:val="16"/>
          <w:szCs w:val="16"/>
          <w:color w:val="auto"/>
        </w:rPr>
        <w:t>On December 8, 2020, we completed our IPO, in which we sold 10,592,106 shares of Class A common stock at a price of $19.00 per share, resulting in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 offering of 1,650,000 shares of our Class A common stock at a public offering price of $67.00 per share. We received net proceeds of $103.0 million after deducting offering costs, underwriting discounts and commissions of $7.6 million.</w:t>
      </w:r>
    </w:p>
    <w:p>
      <w:pPr>
        <w:spacing w:after="0" w:line="117" w:lineRule="exact"/>
        <w:rPr>
          <w:sz w:val="20"/>
          <w:szCs w:val="20"/>
          <w:color w:val="auto"/>
        </w:rPr>
      </w:pPr>
    </w:p>
    <w:p>
      <w:pPr>
        <w:ind w:right="160" w:firstLine="303"/>
        <w:spacing w:after="0" w:line="258" w:lineRule="auto"/>
        <w:rPr>
          <w:sz w:val="20"/>
          <w:szCs w:val="20"/>
          <w:color w:val="auto"/>
        </w:rPr>
      </w:pPr>
      <w:r>
        <w:rPr>
          <w:rFonts w:ascii="Arial" w:cs="Arial" w:eastAsia="Arial" w:hAnsi="Arial"/>
          <w:sz w:val="17"/>
          <w:szCs w:val="17"/>
          <w:color w:val="auto"/>
        </w:rPr>
        <w:t>During the nine months ended September 30, 2021 and 2020, we incurred a net loss of $51.4 million and $19.8 million, respectively. As of September 30, 2021, we had an accumulated deficit of $106.8 million and cash, cash equivalents, and investments of $506.6 million. We expect to continue to incur significant and increasing losses and do not expect positive cash flows from operations for the foreseeable future.</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expect our expenses to increase significantly in connection with our ongoing activities, as we:</w:t>
      </w:r>
    </w:p>
    <w:p>
      <w:pPr>
        <w:spacing w:after="0" w:line="158" w:lineRule="exact"/>
        <w:rPr>
          <w:sz w:val="20"/>
          <w:szCs w:val="20"/>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develop and commercialize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attract, hire and retain qualified personnel;</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establish a sales, marketing, service, support and distribution infrastructure as part of our commercialization efforts;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build-out and expand our in-house NP manufacturing capabilities;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engage in research and development of other products and enhancements to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operational, financial and management information systems;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obtain, maintain, expand, and protect our intellectual property portfolio;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build the infrastructure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PrognomIQ</w:t>
      </w:r>
    </w:p>
    <w:p>
      <w:pPr>
        <w:spacing w:after="0" w:line="158"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In August 2020, we transferred certain assets related to human disease testing to PrognomIQ, Inc. (PrognomIQ), a new wholly-owned subsidiary, in exchange for all of its outstanding equity interests. Following the transfer, we completed a pro-rata distribution to our stockholders of most of the shares of capital stock of PrognomIQ. Following the distribution and a subsequent $55.0 million equity financing of PrognomIQ, we hold approximately 19% of the outstanding capital stock in PrognomIQ.</w:t>
      </w:r>
    </w:p>
    <w:p>
      <w:pPr>
        <w:spacing w:after="0" w:line="127" w:lineRule="exact"/>
        <w:rPr>
          <w:sz w:val="20"/>
          <w:szCs w:val="20"/>
          <w:color w:val="auto"/>
        </w:rPr>
      </w:pPr>
    </w:p>
    <w:p>
      <w:pPr>
        <w:ind w:right="80" w:firstLine="303"/>
        <w:spacing w:after="0" w:line="288" w:lineRule="auto"/>
        <w:rPr>
          <w:sz w:val="20"/>
          <w:szCs w:val="20"/>
          <w:color w:val="auto"/>
        </w:rPr>
      </w:pPr>
      <w:r>
        <w:rPr>
          <w:rFonts w:ascii="Arial" w:cs="Arial" w:eastAsia="Arial" w:hAnsi="Arial"/>
          <w:sz w:val="15"/>
          <w:szCs w:val="15"/>
          <w:color w:val="auto"/>
        </w:rPr>
        <w:t>The rationale for this transaction was to enable the growth of ecosystems around new applications that leverage unbiased, deep and large-scale proteomic information. The transaction allows us to remain focused on our core strategy, which is to be a provider, rather than a consumer, of proteomics solutions to all customers across these ecosystems. By focusing on our role as a provider of proteomics solutions, we are no longer potentially competing with, or creating the perception that we are competing with, our customers. Our relationship with PrognomIQ does not preclude us from selling our Proteograph Product Suite to any customer in any geography, nor does it preclude our customers from using our Proteograph in any way. PrognomIQ has indicated that it plans to combine the protein data from our Proteograph solution with genomics and other -omics data, to create a multi-omics approach to health and disease testing. We believe PrognomIQ’s use of proteomics and the potential for other similar companies that use proteomics in their research and products will help us drive the adoption of our Proteograph Product Suite in these applications. We have entered into certain agreements with PrognomIQ.</w:t>
      </w:r>
    </w:p>
    <w:p>
      <w:pPr>
        <w:spacing w:after="0" w:line="109" w:lineRule="exact"/>
        <w:rPr>
          <w:sz w:val="20"/>
          <w:szCs w:val="20"/>
          <w:color w:val="auto"/>
        </w:rPr>
      </w:pPr>
    </w:p>
    <w:p>
      <w:pPr>
        <w:ind w:right="140" w:firstLine="303"/>
        <w:spacing w:after="0" w:line="255" w:lineRule="auto"/>
        <w:rPr>
          <w:sz w:val="20"/>
          <w:szCs w:val="20"/>
          <w:color w:val="auto"/>
        </w:rPr>
      </w:pPr>
      <w:r>
        <w:rPr>
          <w:rFonts w:ascii="Arial" w:cs="Arial" w:eastAsia="Arial" w:hAnsi="Arial"/>
          <w:sz w:val="17"/>
          <w:szCs w:val="17"/>
          <w:color w:val="auto"/>
        </w:rPr>
        <w:t>Omid Farokhzad, Chief Executive Officer and Chair of our board of directors, serves as the Chair of PrognomIQ’s board of directors. Philip Ma, Ph.D., our former Chief Business Officer, serves as the Chief Executive Officer of PrognomIQ. Dr. Ma has fully transitioned to PrognomIQ and remains our consultant through April 2022. In addition, three of our other employees have also transitioned to PrognomIQ. We will be providing general transition services and support, including laboratory and office space to PrognomIQ during the transition period.</w:t>
      </w:r>
    </w:p>
    <w:p>
      <w:pPr>
        <w:spacing w:after="0" w:line="127" w:lineRule="exact"/>
        <w:rPr>
          <w:sz w:val="20"/>
          <w:szCs w:val="20"/>
          <w:color w:val="auto"/>
        </w:rPr>
      </w:pPr>
    </w:p>
    <w:p>
      <w:pPr>
        <w:ind w:firstLine="303"/>
        <w:spacing w:after="0" w:line="268" w:lineRule="auto"/>
        <w:rPr>
          <w:sz w:val="20"/>
          <w:szCs w:val="20"/>
          <w:color w:val="auto"/>
        </w:rPr>
      </w:pPr>
      <w:r>
        <w:rPr>
          <w:rFonts w:ascii="Arial" w:cs="Arial" w:eastAsia="Arial" w:hAnsi="Arial"/>
          <w:sz w:val="16"/>
          <w:szCs w:val="16"/>
          <w:color w:val="auto"/>
        </w:rPr>
        <w:t>We granted PrognomIQ a non-exclusive license to certain patents and patent applications that we own and a non-exclusive sublicense to certain patent applications we exclusively licensed from Brigham and Women’s Hospital (BWH), in each case relating to our core technology, to develop, manufacture and commercialize licensed products for the field of human diagnostics on a worldwide basis. In consideration of the non-exclusive sublicense to certain patent applications licensed from BWH, PrognomIQ paid us a low-five digit figure, and would pay a low single digit royalty, in an amount equivalent to what we would have to pay under our license with BWH, on net sales of sublicensed products beginning with the first commercial sale of a sublicensed product during the term of the agreement. We do not view these amounts to be material to our financial condition and results of operations nor do we expect these amounts to be material to us in the future. In accordance with the non-exclusive license agreement with PrognomIQ, we entered into a supply agreement with PrognomIQ in June 2021. The PrognomIQ supply agreement provides that we will supply PrognomIQ with the Proteograph Product Suite and associated consumables.</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COVID-19 Pandemic</w:t>
      </w:r>
    </w:p>
    <w:p>
      <w:pPr>
        <w:spacing w:after="0" w:line="158" w:lineRule="exact"/>
        <w:rPr>
          <w:sz w:val="20"/>
          <w:szCs w:val="20"/>
          <w:color w:val="auto"/>
        </w:rPr>
      </w:pPr>
    </w:p>
    <w:p>
      <w:pPr>
        <w:ind w:right="120" w:firstLine="303"/>
        <w:spacing w:after="0" w:line="288" w:lineRule="auto"/>
        <w:rPr>
          <w:sz w:val="20"/>
          <w:szCs w:val="20"/>
          <w:color w:val="auto"/>
        </w:rPr>
      </w:pPr>
      <w:r>
        <w:rPr>
          <w:rFonts w:ascii="Arial" w:cs="Arial" w:eastAsia="Arial" w:hAnsi="Arial"/>
          <w:sz w:val="15"/>
          <w:szCs w:val="15"/>
          <w:color w:val="auto"/>
        </w:rPr>
        <w:t>As a result of the COVID-19 pandemic, we could experience disruptions that could severely impact our business. For example, we have experienced longer lead times from Hamilton for orders of our SP100 automation instruments and may experience delays and longer lead times from our other suppliers of critical hardware, instrumentation and consumables used for product development, manufacturing and commercial operations. Pandemic precautions and preventative measures may also impact our commercialization plans due to restrictions on our customers’ ability to access laboratories, causing delays in the delivery and installation of our Proteograph products, training such customers on our products, and their ability to conduct research. The ongoing build-out of our expansion facilities may also be delayed by COVID-related restrictions. Furthermore, COVID-19 has adversely affected the broader economy and financial markets, resulting in an economic downturn that could curtail the research and development budgets of our customers, our ability to hire additional personnel and our financing prospects. Any of the foregoing could harm our operations and we cannot anticipate all the ways in which it could be adversely impacted by health epidemics such as COVID-19.</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additional details, see the section 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158" w:lineRule="exact"/>
        <w:rPr>
          <w:sz w:val="20"/>
          <w:szCs w:val="20"/>
          <w:color w:val="auto"/>
        </w:rPr>
      </w:pPr>
    </w:p>
    <w:p>
      <w:pPr>
        <w:ind w:right="60" w:firstLine="303"/>
        <w:spacing w:after="0" w:line="252" w:lineRule="auto"/>
        <w:rPr>
          <w:sz w:val="20"/>
          <w:szCs w:val="20"/>
          <w:color w:val="auto"/>
        </w:rPr>
      </w:pPr>
      <w:r>
        <w:rPr>
          <w:rFonts w:ascii="Arial" w:cs="Arial" w:eastAsia="Arial" w:hAnsi="Arial"/>
          <w:sz w:val="17"/>
          <w:szCs w:val="17"/>
          <w:color w:val="auto"/>
        </w:rPr>
        <w:t>We generate revenue from product sales, which includes sales of our Proteograph Product Suite and associated consumables as well as our platform evaluation agreements. In addition, we may at times generate revenue from performing services and the receipt of grant revenue for the reimbursement of research-related expenses. Our revenue is primarily generated domestically. We intend to focus our commercial efforts in the United States and expect to grow our international presence. A portion of our revenue is generated by sales to a related party and we anticipate a portion of our revenue to continue to be generated by such related party. Our grant-funded activities are expected to decrease as a percentage of total revenue as we continue to ramp up commercialization of our Proteograph Product Suite and our product offerings.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58" w:lineRule="exact"/>
        <w:rPr>
          <w:sz w:val="20"/>
          <w:szCs w:val="20"/>
          <w:color w:val="auto"/>
        </w:rPr>
      </w:pPr>
    </w:p>
    <w:p>
      <w:pPr>
        <w:jc w:val="both"/>
        <w:ind w:right="180" w:firstLine="303"/>
        <w:spacing w:after="0" w:line="258" w:lineRule="auto"/>
        <w:rPr>
          <w:sz w:val="20"/>
          <w:szCs w:val="20"/>
          <w:color w:val="auto"/>
        </w:rPr>
      </w:pPr>
      <w:r>
        <w:rPr>
          <w:rFonts w:ascii="Arial" w:cs="Arial" w:eastAsia="Arial" w:hAnsi="Arial"/>
          <w:sz w:val="17"/>
          <w:szCs w:val="17"/>
          <w:color w:val="auto"/>
        </w:rPr>
        <w:t>We utilize third-party manufacturers for production of our SP100 instrument and we manufacture our NPs and assemble our assay kits internally. Cost of goods sold consists primarily of costs of the components of Proteograph Product Suite, including the SP100, consumables and software, and distribution-related expenses such as logistics and shipping costs.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58" w:lineRule="exact"/>
        <w:rPr>
          <w:sz w:val="20"/>
          <w:szCs w:val="20"/>
          <w:color w:val="auto"/>
        </w:rPr>
      </w:pPr>
    </w:p>
    <w:p>
      <w:pPr>
        <w:jc w:val="both"/>
        <w:ind w:right="200" w:firstLine="303"/>
        <w:spacing w:after="0" w:line="299" w:lineRule="auto"/>
        <w:rPr>
          <w:sz w:val="20"/>
          <w:szCs w:val="20"/>
          <w:color w:val="auto"/>
        </w:rPr>
      </w:pPr>
      <w:r>
        <w:rPr>
          <w:rFonts w:ascii="Arial" w:cs="Arial" w:eastAsia="Arial" w:hAnsi="Arial"/>
          <w:sz w:val="15"/>
          <w:szCs w:val="15"/>
          <w:color w:val="auto"/>
        </w:rPr>
        <w:t>Research and development, or R&amp;D, expenses include cost associated with performing services under research and development service contracts and research and development of our technology and product candidates. R&amp;D expenses consist primarily of employee compensation, including stock-based compensation, and related benefits, laboratory supplies used for in-house research, consulting costs, costs related to clinical studies for the collection of biological samples for research use, which relate to the assets transferred to PrognomIQ, and allocated overhead, including rent, depreciation, information technology and utilities.</w:t>
      </w:r>
    </w:p>
    <w:p>
      <w:pPr>
        <w:spacing w:after="0" w:line="99"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We plan to increase our investment in our R&amp;D efforts related to our Proteograph Product Suite, our product development pipeline and our proprietary engineered NP and other technologies. Therefore, we expect R&amp;D expenses will increase in absolute dollars in future periods as we incur expenses associated with hiring additional personnel, purchasing supplies and materials, and the allocation of facility expense associated with the ongoing build-out of our expansion facilities to support our R&amp;D efforts.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58" w:lineRule="exact"/>
        <w:rPr>
          <w:sz w:val="20"/>
          <w:szCs w:val="20"/>
          <w:color w:val="auto"/>
        </w:rPr>
      </w:pPr>
    </w:p>
    <w:p>
      <w:pPr>
        <w:jc w:val="both"/>
        <w:ind w:right="40" w:firstLine="303"/>
        <w:spacing w:after="0" w:line="258" w:lineRule="auto"/>
        <w:rPr>
          <w:sz w:val="20"/>
          <w:szCs w:val="20"/>
          <w:color w:val="auto"/>
        </w:rPr>
      </w:pPr>
      <w:r>
        <w:rPr>
          <w:rFonts w:ascii="Arial" w:cs="Arial" w:eastAsia="Arial" w:hAnsi="Arial"/>
          <w:sz w:val="17"/>
          <w:szCs w:val="17"/>
          <w:color w:val="auto"/>
        </w:rPr>
        <w:t>Selling, general and administrative expenses consist primarily of employee compensation, including stock-based compensation, and related benefits for executive management, sales and marketing, finance, administration and human resources, legal, allocated overhead, professional service fees and other general overhead costs to support our operations.</w:t>
      </w:r>
    </w:p>
    <w:p>
      <w:pPr>
        <w:spacing w:after="0" w:line="126" w:lineRule="exact"/>
        <w:rPr>
          <w:sz w:val="20"/>
          <w:szCs w:val="20"/>
          <w:color w:val="auto"/>
        </w:rPr>
      </w:pPr>
    </w:p>
    <w:p>
      <w:pPr>
        <w:ind w:firstLine="303"/>
        <w:spacing w:after="0" w:line="282" w:lineRule="auto"/>
        <w:rPr>
          <w:sz w:val="20"/>
          <w:szCs w:val="20"/>
          <w:color w:val="auto"/>
        </w:rPr>
      </w:pPr>
      <w:r>
        <w:rPr>
          <w:rFonts w:ascii="Arial" w:cs="Arial" w:eastAsia="Arial" w:hAnsi="Arial"/>
          <w:sz w:val="16"/>
          <w:szCs w:val="16"/>
          <w:color w:val="auto"/>
        </w:rPr>
        <w:t>We expect to incur additional selling, general and administrative expenses as we continue to invest in our personnel as we grow our commercial operations and with the additional costs incurred as a result of operating as a public company, including accounting, human resources, legal, insurance and investor relations costs. As a result, we expect selling, general and administrative expenses to increase in absolute dollars in future periods.</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Interest income consists of interest earned on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Comparisons of the Three Months Ended September 30, 2021 and 2020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0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20" w:type="dxa"/>
            <w:vAlign w:val="bottom"/>
            <w:gridSpan w:val="2"/>
            <w:vMerge w:val="restart"/>
          </w:tcPr>
          <w:p>
            <w:pPr>
              <w:jc w:val="right"/>
              <w:ind w:right="1036"/>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458"/>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right"/>
              <w:ind w:right="43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317"/>
              <w:spacing w:after="0"/>
              <w:rPr>
                <w:sz w:val="20"/>
                <w:szCs w:val="20"/>
                <w:color w:val="auto"/>
              </w:rPr>
            </w:pPr>
            <w:r>
              <w:rPr>
                <w:rFonts w:ascii="Arial" w:cs="Arial" w:eastAsia="Arial" w:hAnsi="Arial"/>
                <w:sz w:val="13"/>
                <w:szCs w:val="13"/>
                <w:b w:val="1"/>
                <w:bCs w:val="1"/>
                <w:color w:val="auto"/>
              </w:rPr>
              <w:t>Amount</w:t>
            </w:r>
          </w:p>
        </w:tc>
        <w:tc>
          <w:tcPr>
            <w:tcW w:w="1620" w:type="dxa"/>
            <w:vAlign w:val="bottom"/>
            <w:gridSpan w:val="2"/>
          </w:tcPr>
          <w:p>
            <w:pPr>
              <w:jc w:val="right"/>
              <w:ind w:right="356"/>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gridSpan w:val="4"/>
          </w:tcPr>
          <w:p>
            <w:pPr>
              <w:jc w:val="right"/>
              <w:ind w:right="777"/>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520"/>
              <w:spacing w:after="0"/>
              <w:rPr>
                <w:sz w:val="20"/>
                <w:szCs w:val="20"/>
                <w:color w:val="auto"/>
              </w:rPr>
            </w:pPr>
            <w:r>
              <w:rPr>
                <w:rFonts w:ascii="Arial" w:cs="Arial" w:eastAsia="Arial" w:hAnsi="Arial"/>
                <w:sz w:val="17"/>
                <w:szCs w:val="17"/>
                <w:color w:val="auto"/>
              </w:rPr>
              <w:t>Product</w:t>
            </w:r>
          </w:p>
        </w:tc>
        <w:tc>
          <w:tcPr>
            <w:tcW w:w="6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858</w:t>
            </w:r>
          </w:p>
        </w:tc>
        <w:tc>
          <w:tcPr>
            <w:tcW w:w="80" w:type="dxa"/>
            <w:vAlign w:val="bottom"/>
          </w:tcPr>
          <w:p>
            <w:pPr>
              <w:spacing w:after="0"/>
              <w:rPr>
                <w:sz w:val="19"/>
                <w:szCs w:val="19"/>
                <w:color w:val="auto"/>
              </w:rPr>
            </w:pPr>
          </w:p>
        </w:tc>
        <w:tc>
          <w:tcPr>
            <w:tcW w:w="78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858</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Service</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520"/>
              <w:spacing w:after="0"/>
              <w:rPr>
                <w:sz w:val="20"/>
                <w:szCs w:val="20"/>
                <w:color w:val="auto"/>
              </w:rPr>
            </w:pPr>
            <w:r>
              <w:rPr>
                <w:rFonts w:ascii="Arial" w:cs="Arial" w:eastAsia="Arial" w:hAnsi="Arial"/>
                <w:sz w:val="17"/>
                <w:szCs w:val="17"/>
                <w:color w:val="auto"/>
              </w:rPr>
              <w:t>Related party</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787</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Grant</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62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9"/>
        </w:trPr>
        <w:tc>
          <w:tcPr>
            <w:tcW w:w="4360" w:type="dxa"/>
            <w:vAlign w:val="bottom"/>
          </w:tcPr>
          <w:p>
            <w:pPr>
              <w:ind w:left="720"/>
              <w:spacing w:after="0"/>
              <w:rPr>
                <w:sz w:val="20"/>
                <w:szCs w:val="20"/>
                <w:color w:val="auto"/>
              </w:rPr>
            </w:pPr>
            <w:r>
              <w:rPr>
                <w:rFonts w:ascii="Arial" w:cs="Arial" w:eastAsia="Arial" w:hAnsi="Arial"/>
                <w:sz w:val="17"/>
                <w:szCs w:val="17"/>
                <w:color w:val="auto"/>
              </w:rPr>
              <w:t>Total revenue</w:t>
            </w: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2,155</w:t>
            </w: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2,083</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2893</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520"/>
              <w:spacing w:after="0"/>
              <w:rPr>
                <w:sz w:val="20"/>
                <w:szCs w:val="20"/>
                <w:color w:val="auto"/>
              </w:rPr>
            </w:pPr>
            <w:r>
              <w:rPr>
                <w:rFonts w:ascii="Arial" w:cs="Arial" w:eastAsia="Arial" w:hAnsi="Arial"/>
                <w:sz w:val="17"/>
                <w:szCs w:val="17"/>
                <w:color w:val="auto"/>
              </w:rPr>
              <w:t>Product</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574</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574</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Service</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520"/>
              <w:spacing w:after="0"/>
              <w:rPr>
                <w:sz w:val="20"/>
                <w:szCs w:val="20"/>
                <w:color w:val="auto"/>
              </w:rPr>
            </w:pPr>
            <w:r>
              <w:rPr>
                <w:rFonts w:ascii="Arial" w:cs="Arial" w:eastAsia="Arial" w:hAnsi="Arial"/>
                <w:sz w:val="17"/>
                <w:szCs w:val="17"/>
                <w:color w:val="auto"/>
              </w:rPr>
              <w:t>Related party</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Total cost of revenue</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360" w:type="dxa"/>
            <w:vAlign w:val="bottom"/>
          </w:tcPr>
          <w:p>
            <w:pPr>
              <w:ind w:left="320"/>
              <w:spacing w:after="0"/>
              <w:rPr>
                <w:sz w:val="20"/>
                <w:szCs w:val="20"/>
                <w:color w:val="auto"/>
              </w:rPr>
            </w:pPr>
            <w:r>
              <w:rPr>
                <w:rFonts w:ascii="Arial" w:cs="Arial" w:eastAsia="Arial" w:hAnsi="Arial"/>
                <w:sz w:val="17"/>
                <w:szCs w:val="17"/>
                <w:color w:val="auto"/>
              </w:rPr>
              <w:t>Gross profit</w:t>
            </w: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1,169</w:t>
            </w: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1,097</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26"/>
        </w:trPr>
        <w:tc>
          <w:tcPr>
            <w:tcW w:w="43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Operating expenses:</w:t>
            </w:r>
          </w:p>
        </w:tc>
        <w:tc>
          <w:tcPr>
            <w:tcW w:w="6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520"/>
              <w:spacing w:after="0"/>
              <w:rPr>
                <w:sz w:val="20"/>
                <w:szCs w:val="20"/>
                <w:color w:val="auto"/>
              </w:rPr>
            </w:pPr>
            <w:r>
              <w:rPr>
                <w:rFonts w:ascii="Arial" w:cs="Arial" w:eastAsia="Arial" w:hAnsi="Arial"/>
                <w:sz w:val="17"/>
                <w:szCs w:val="17"/>
                <w:color w:val="auto"/>
              </w:rPr>
              <w:t>Research and development</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7,745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2,983</w:t>
            </w:r>
          </w:p>
        </w:tc>
        <w:tc>
          <w:tcPr>
            <w:tcW w:w="1620" w:type="dxa"/>
            <w:vAlign w:val="bottom"/>
            <w:gridSpan w:val="2"/>
          </w:tcPr>
          <w:p>
            <w:pPr>
              <w:jc w:val="right"/>
              <w:ind w:right="216"/>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Selling, general and administrative</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11,855</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8,129</w:t>
            </w:r>
          </w:p>
        </w:tc>
        <w:tc>
          <w:tcPr>
            <w:tcW w:w="162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r>
        <w:trPr>
          <w:trHeight w:val="219"/>
        </w:trPr>
        <w:tc>
          <w:tcPr>
            <w:tcW w:w="4360" w:type="dxa"/>
            <w:vAlign w:val="bottom"/>
          </w:tcPr>
          <w:p>
            <w:pPr>
              <w:ind w:left="720"/>
              <w:spacing w:after="0"/>
              <w:rPr>
                <w:sz w:val="20"/>
                <w:szCs w:val="20"/>
                <w:color w:val="auto"/>
              </w:rPr>
            </w:pPr>
            <w:r>
              <w:rPr>
                <w:rFonts w:ascii="Arial" w:cs="Arial" w:eastAsia="Arial" w:hAnsi="Arial"/>
                <w:sz w:val="17"/>
                <w:szCs w:val="17"/>
                <w:color w:val="auto"/>
              </w:rPr>
              <w:t>Total operating expenses</w:t>
            </w:r>
          </w:p>
        </w:tc>
        <w:tc>
          <w:tcPr>
            <w:tcW w:w="6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19,600</w:t>
            </w: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8,488</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11,112</w:t>
            </w:r>
          </w:p>
        </w:tc>
        <w:tc>
          <w:tcPr>
            <w:tcW w:w="80" w:type="dxa"/>
            <w:vAlign w:val="bottom"/>
          </w:tcPr>
          <w:p>
            <w:pPr>
              <w:spacing w:after="0"/>
              <w:rPr>
                <w:sz w:val="19"/>
                <w:szCs w:val="19"/>
                <w:color w:val="auto"/>
              </w:rPr>
            </w:pPr>
          </w:p>
        </w:tc>
        <w:tc>
          <w:tcPr>
            <w:tcW w:w="154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Loss from operations</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(18,431)</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(8,416)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(10,015)</w:t>
            </w:r>
          </w:p>
        </w:tc>
        <w:tc>
          <w:tcPr>
            <w:tcW w:w="162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27"/>
        </w:trPr>
        <w:tc>
          <w:tcPr>
            <w:tcW w:w="4360" w:type="dxa"/>
            <w:vAlign w:val="bottom"/>
          </w:tcPr>
          <w:p>
            <w:pPr>
              <w:ind w:left="320"/>
              <w:spacing w:after="0"/>
              <w:rPr>
                <w:sz w:val="20"/>
                <w:szCs w:val="20"/>
                <w:color w:val="auto"/>
              </w:rPr>
            </w:pPr>
            <w:r>
              <w:rPr>
                <w:rFonts w:ascii="Arial" w:cs="Arial" w:eastAsia="Arial" w:hAnsi="Arial"/>
                <w:sz w:val="17"/>
                <w:szCs w:val="17"/>
                <w:color w:val="auto"/>
              </w:rPr>
              <w:t>Other income (expense):</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Interest income</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62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7"/>
        </w:trPr>
        <w:tc>
          <w:tcPr>
            <w:tcW w:w="4360" w:type="dxa"/>
            <w:vAlign w:val="bottom"/>
          </w:tcPr>
          <w:p>
            <w:pPr>
              <w:ind w:left="520"/>
              <w:spacing w:after="0"/>
              <w:rPr>
                <w:sz w:val="20"/>
                <w:szCs w:val="20"/>
                <w:color w:val="auto"/>
              </w:rPr>
            </w:pPr>
            <w:r>
              <w:rPr>
                <w:rFonts w:ascii="Arial" w:cs="Arial" w:eastAsia="Arial" w:hAnsi="Arial"/>
                <w:sz w:val="17"/>
                <w:szCs w:val="17"/>
                <w:color w:val="auto"/>
              </w:rPr>
              <w:t>Other expense</w:t>
            </w:r>
          </w:p>
        </w:tc>
        <w:tc>
          <w:tcPr>
            <w:tcW w:w="6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w:t>
            </w:r>
          </w:p>
        </w:tc>
        <w:tc>
          <w:tcPr>
            <w:tcW w:w="1620" w:type="dxa"/>
            <w:vAlign w:val="bottom"/>
            <w:gridSpan w:val="2"/>
          </w:tcPr>
          <w:p>
            <w:pPr>
              <w:jc w:val="right"/>
              <w:ind w:right="176"/>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43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4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Total other income</w:t>
            </w:r>
          </w:p>
        </w:tc>
        <w:tc>
          <w:tcPr>
            <w:tcW w:w="6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320"/>
              <w:spacing w:after="0"/>
              <w:rPr>
                <w:sz w:val="20"/>
                <w:szCs w:val="20"/>
                <w:color w:val="auto"/>
              </w:rPr>
            </w:pPr>
            <w:r>
              <w:rPr>
                <w:rFonts w:ascii="Arial" w:cs="Arial" w:eastAsia="Arial" w:hAnsi="Arial"/>
                <w:sz w:val="17"/>
                <w:szCs w:val="17"/>
                <w:color w:val="auto"/>
              </w:rPr>
              <w:t>Net loss</w:t>
            </w: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62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(18,385)</w:t>
            </w:r>
          </w:p>
        </w:tc>
        <w:tc>
          <w:tcPr>
            <w:tcW w:w="80" w:type="dxa"/>
            <w:vAlign w:val="bottom"/>
          </w:tcPr>
          <w:p>
            <w:pPr>
              <w:spacing w:after="0"/>
              <w:rPr>
                <w:sz w:val="17"/>
                <w:szCs w:val="17"/>
                <w:color w:val="auto"/>
              </w:rPr>
            </w:pPr>
          </w:p>
        </w:tc>
        <w:tc>
          <w:tcPr>
            <w:tcW w:w="78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(8,229)</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(10,156)</w:t>
            </w:r>
          </w:p>
        </w:tc>
        <w:tc>
          <w:tcPr>
            <w:tcW w:w="1620" w:type="dxa"/>
            <w:vAlign w:val="bottom"/>
            <w:gridSpan w:val="2"/>
          </w:tcPr>
          <w:p>
            <w:pPr>
              <w:jc w:val="right"/>
              <w:ind w:right="216"/>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300" w:right="9820" w:firstLine="3"/>
        <w:spacing w:after="0" w:line="512" w:lineRule="auto"/>
        <w:tabs>
          <w:tab w:leader="none" w:pos="426" w:val="left"/>
        </w:tabs>
        <w:numPr>
          <w:ilvl w:val="0"/>
          <w:numId w:val="1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Not meaningful Revenue</w:t>
      </w:r>
    </w:p>
    <w:tbl>
      <w:tblPr>
        <w:tblLayout w:type="fixed"/>
        <w:tblInd w:w="300" w:type="dxa"/>
        <w:tblCellMar>
          <w:top w:w="0" w:type="dxa"/>
          <w:left w:w="0" w:type="dxa"/>
          <w:bottom w:w="0" w:type="dxa"/>
          <w:right w:w="0" w:type="dxa"/>
        </w:tblCellMar>
      </w:tblPr>
      <w:tr>
        <w:trPr>
          <w:trHeight w:val="134"/>
        </w:trPr>
        <w:tc>
          <w:tcPr>
            <w:tcW w:w="4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Three Months Ended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60" w:type="dxa"/>
            <w:vAlign w:val="bottom"/>
            <w:vMerge w:val="restart"/>
          </w:tcPr>
          <w:p>
            <w:pPr>
              <w:jc w:val="right"/>
              <w:ind w:right="108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Amount</w:t>
            </w:r>
          </w:p>
        </w:tc>
        <w:tc>
          <w:tcPr>
            <w:tcW w:w="166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gridSpan w:val="4"/>
          </w:tcPr>
          <w:p>
            <w:pPr>
              <w:jc w:val="right"/>
              <w:ind w:right="744"/>
              <w:spacing w:after="0"/>
              <w:rPr>
                <w:sz w:val="20"/>
                <w:szCs w:val="20"/>
                <w:color w:val="auto"/>
              </w:rPr>
            </w:pPr>
            <w:r>
              <w:rPr>
                <w:rFonts w:ascii="Arial" w:cs="Arial" w:eastAsia="Arial" w:hAnsi="Arial"/>
                <w:sz w:val="13"/>
                <w:szCs w:val="13"/>
                <w:i w:val="1"/>
                <w:iCs w:val="1"/>
                <w:color w:val="auto"/>
              </w:rPr>
              <w:t>(dollars in thousands)</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ind w:left="40"/>
              <w:spacing w:after="0"/>
              <w:rPr>
                <w:sz w:val="20"/>
                <w:szCs w:val="20"/>
                <w:color w:val="auto"/>
              </w:rPr>
            </w:pPr>
            <w:r>
              <w:rPr>
                <w:rFonts w:ascii="Arial" w:cs="Arial" w:eastAsia="Arial" w:hAnsi="Arial"/>
                <w:sz w:val="17"/>
                <w:szCs w:val="17"/>
                <w:color w:val="auto"/>
              </w:rPr>
              <w:t>2,155</w:t>
            </w:r>
          </w:p>
        </w:tc>
        <w:tc>
          <w:tcPr>
            <w:tcW w:w="110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w:t>
            </w:r>
          </w:p>
        </w:tc>
        <w:tc>
          <w:tcPr>
            <w:tcW w:w="166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2,893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firstLine="303"/>
        <w:spacing w:after="0" w:line="272" w:lineRule="auto"/>
        <w:rPr>
          <w:sz w:val="20"/>
          <w:szCs w:val="20"/>
          <w:color w:val="auto"/>
        </w:rPr>
      </w:pPr>
      <w:r>
        <w:rPr>
          <w:rFonts w:ascii="Arial" w:cs="Arial" w:eastAsia="Arial" w:hAnsi="Arial"/>
          <w:sz w:val="16"/>
          <w:szCs w:val="16"/>
          <w:color w:val="auto"/>
        </w:rPr>
        <w:t>Revenue increased by $2.1 million, or 2,893%, from $0.1 million during the three months ended September 30, 2020 to $2.2 million during the three months ended September 30, 2021, due to sales of products related to our Proteograph Product Suite in the three months ended September 30, 2021. Revenue recognized primarily consisted of sales of the Proteograph SP100 instrument and assay kits, platform evaluations of which $0.8 million was attributed to related parties and $0.5M was attributable to a research-related service agreement. Revenue related to our grant-funded activities related to our Small Business Innovation Research (SBIR) grant from the National Institutes of Health Grant (NIH) decreased between the two periods by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200" w:lineRule="exact"/>
        <w:rPr>
          <w:sz w:val="20"/>
          <w:szCs w:val="20"/>
          <w:color w:val="auto"/>
        </w:rPr>
      </w:pPr>
    </w:p>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0" w:type="dxa"/>
            <w:vAlign w:val="bottom"/>
            <w:vMerge w:val="restart"/>
          </w:tcPr>
          <w:p>
            <w:pPr>
              <w:jc w:val="right"/>
              <w:ind w:right="88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4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9"/>
              <w:spacing w:after="0"/>
              <w:rPr>
                <w:sz w:val="20"/>
                <w:szCs w:val="20"/>
                <w:color w:val="auto"/>
              </w:rPr>
            </w:pPr>
            <w:r>
              <w:rPr>
                <w:rFonts w:ascii="Arial" w:cs="Arial" w:eastAsia="Arial" w:hAnsi="Arial"/>
                <w:sz w:val="17"/>
                <w:szCs w:val="17"/>
                <w:color w:val="auto"/>
              </w:rPr>
              <w:t>986</w:t>
            </w:r>
          </w:p>
        </w:tc>
        <w:tc>
          <w:tcPr>
            <w:tcW w:w="7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07"/>
              <w:spacing w:after="0"/>
              <w:rPr>
                <w:sz w:val="20"/>
                <w:szCs w:val="20"/>
                <w:color w:val="auto"/>
              </w:rPr>
            </w:pPr>
            <w:r>
              <w:rPr>
                <w:rFonts w:ascii="Arial" w:cs="Arial" w:eastAsia="Arial" w:hAnsi="Arial"/>
                <w:sz w:val="17"/>
                <w:szCs w:val="17"/>
                <w:color w:val="auto"/>
              </w:rPr>
              <w:t>986</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60" w:firstLine="303"/>
        <w:spacing w:after="0" w:line="258" w:lineRule="auto"/>
        <w:rPr>
          <w:sz w:val="20"/>
          <w:szCs w:val="20"/>
          <w:color w:val="auto"/>
        </w:rPr>
      </w:pPr>
      <w:r>
        <w:rPr>
          <w:rFonts w:ascii="Arial" w:cs="Arial" w:eastAsia="Arial" w:hAnsi="Arial"/>
          <w:sz w:val="17"/>
          <w:szCs w:val="17"/>
          <w:color w:val="auto"/>
        </w:rPr>
        <w:t>Cost of revenue for the three months ended September 30, 2021 was $1.0 million compared to $0 for the three months ended September 30, 2020, primarily due to the first sales of our Proteograph Product Suite. Cost of revenue related to our Proteograph Product Suite consist of costs of the SP100 instrument, assay kits and other related costs, including labor and overhead.</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20" w:type="dxa"/>
            <w:vAlign w:val="bottom"/>
            <w:vMerge w:val="restart"/>
          </w:tcPr>
          <w:p>
            <w:pPr>
              <w:jc w:val="right"/>
              <w:ind w:right="1067"/>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2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40" w:type="dxa"/>
            <w:vAlign w:val="bottom"/>
            <w:gridSpan w:val="4"/>
          </w:tcPr>
          <w:p>
            <w:pPr>
              <w:jc w:val="right"/>
              <w:ind w:right="784"/>
              <w:spacing w:after="0"/>
              <w:rPr>
                <w:sz w:val="20"/>
                <w:szCs w:val="20"/>
                <w:color w:val="auto"/>
              </w:rPr>
            </w:pPr>
            <w:r>
              <w:rPr>
                <w:rFonts w:ascii="Arial" w:cs="Arial" w:eastAsia="Arial" w:hAnsi="Arial"/>
                <w:sz w:val="13"/>
                <w:szCs w:val="13"/>
                <w:i w:val="1"/>
                <w:iCs w:val="1"/>
                <w:color w:val="auto"/>
              </w:rPr>
              <w:t>(dollars in thousands)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6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49"/>
              <w:spacing w:after="0"/>
              <w:rPr>
                <w:sz w:val="20"/>
                <w:szCs w:val="20"/>
                <w:color w:val="auto"/>
              </w:rPr>
            </w:pPr>
            <w:r>
              <w:rPr>
                <w:rFonts w:ascii="Arial" w:cs="Arial" w:eastAsia="Arial" w:hAnsi="Arial"/>
                <w:sz w:val="17"/>
                <w:szCs w:val="17"/>
                <w:color w:val="auto"/>
              </w:rPr>
              <w:t>7,745</w:t>
            </w:r>
          </w:p>
        </w:tc>
        <w:tc>
          <w:tcPr>
            <w:tcW w:w="7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4,762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62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40" w:firstLine="303"/>
        <w:spacing w:after="0" w:line="292" w:lineRule="auto"/>
        <w:rPr>
          <w:sz w:val="20"/>
          <w:szCs w:val="20"/>
          <w:color w:val="auto"/>
        </w:rPr>
      </w:pPr>
      <w:r>
        <w:rPr>
          <w:rFonts w:ascii="Arial" w:cs="Arial" w:eastAsia="Arial" w:hAnsi="Arial"/>
          <w:sz w:val="15"/>
          <w:szCs w:val="15"/>
          <w:color w:val="auto"/>
        </w:rPr>
        <w:t>R&amp;D expenses increased by $3.0 million, or 63%, from $4.8 million during the three months ended September 30, 2020 to $7.7 million during the three months ended September 30, 2021. The increase was primarily due to an increase in product development efforts related to our Proteograph Product Suite, including $1.0 million in employee compensation and other related expenses, $0.8 million in stock-based compensation due to growth in research and development personnel and $1.4 million related to the expansion of facilities and maintenance and depreciation of laboratory equipment. This was offset by a decrease in professional and consulting fees of $(0.2) million and a decrease in clinical study fees of $(0.2) million related to the costs associated with the ramp down of site enrollment for clinical studies related to the collection of biological samples for research use. These clinical studies are related to the assets transferred to PrognomIQ.</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ind w:right="336"/>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540" w:type="dxa"/>
            <w:vAlign w:val="bottom"/>
            <w:gridSpan w:val="4"/>
          </w:tcPr>
          <w:p>
            <w:pPr>
              <w:jc w:val="right"/>
              <w:ind w:right="784"/>
              <w:spacing w:after="0"/>
              <w:rPr>
                <w:sz w:val="20"/>
                <w:szCs w:val="20"/>
                <w:color w:val="auto"/>
              </w:rPr>
            </w:pPr>
            <w:r>
              <w:rPr>
                <w:rFonts w:ascii="Arial" w:cs="Arial" w:eastAsia="Arial" w:hAnsi="Arial"/>
                <w:sz w:val="13"/>
                <w:szCs w:val="13"/>
                <w:i w:val="1"/>
                <w:iCs w:val="1"/>
                <w:color w:val="auto"/>
              </w:rPr>
              <w:t>(dollars in thousands)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49"/>
              <w:spacing w:after="0"/>
              <w:rPr>
                <w:sz w:val="20"/>
                <w:szCs w:val="20"/>
                <w:color w:val="auto"/>
              </w:rPr>
            </w:pPr>
            <w:r>
              <w:rPr>
                <w:rFonts w:ascii="Arial" w:cs="Arial" w:eastAsia="Arial" w:hAnsi="Arial"/>
                <w:sz w:val="17"/>
                <w:szCs w:val="17"/>
                <w:color w:val="auto"/>
              </w:rPr>
              <w:t>11,855</w:t>
            </w:r>
          </w:p>
        </w:tc>
        <w:tc>
          <w:tcPr>
            <w:tcW w:w="7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3,726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8,129</w:t>
            </w:r>
          </w:p>
        </w:tc>
        <w:tc>
          <w:tcPr>
            <w:tcW w:w="1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218</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00" w:firstLine="303"/>
        <w:spacing w:after="0" w:line="292" w:lineRule="auto"/>
        <w:rPr>
          <w:sz w:val="20"/>
          <w:szCs w:val="20"/>
          <w:color w:val="auto"/>
        </w:rPr>
      </w:pPr>
      <w:r>
        <w:rPr>
          <w:rFonts w:ascii="Arial" w:cs="Arial" w:eastAsia="Arial" w:hAnsi="Arial"/>
          <w:sz w:val="15"/>
          <w:szCs w:val="15"/>
          <w:color w:val="auto"/>
        </w:rPr>
        <w:t>Selling, general and administrative expenses increased by $8.1 million, or 218%, from $3.7 million during the three months ended September 30, 2020 to $11.9 million during the three months ended September 30, 2021, due to a $1.8 million increase in employee compensation and other related expenses, and a $4.3 million increase in stock-based compensation. Other increases are attributable to $0.3 million in marketing costs related to the Limited Release phase of our commercial plan, and costs related to becoming a publicly traded company including a $0.5 million increase in professional and consulting fees related to accounting and audit services, and a $1.5 million increase in general business expenses which includes insurance premiums. The increase was offset by a decrease in corporate and patent legal matters of $(0.1) million and a decrease of $(0.2) million in facility and other related expenses due to a reduction of square footage for general administration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1" w:name="page32"/>
    <w:bookmarkEnd w:id="31"/>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40" w:type="dxa"/>
            <w:vAlign w:val="bottom"/>
            <w:gridSpan w:val="2"/>
          </w:tcPr>
          <w:p>
            <w:pPr>
              <w:jc w:val="right"/>
              <w:ind w:right="404"/>
              <w:spacing w:after="0"/>
              <w:rPr>
                <w:sz w:val="20"/>
                <w:szCs w:val="20"/>
                <w:color w:val="auto"/>
              </w:rPr>
            </w:pPr>
            <w:r>
              <w:rPr>
                <w:rFonts w:ascii="Arial" w:cs="Arial" w:eastAsia="Arial" w:hAnsi="Arial"/>
                <w:sz w:val="13"/>
                <w:szCs w:val="13"/>
                <w:b w:val="1"/>
                <w:bCs w:val="1"/>
                <w:color w:val="auto"/>
                <w:w w:val="96"/>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20" w:type="dxa"/>
            <w:vAlign w:val="bottom"/>
            <w:vMerge w:val="restart"/>
          </w:tcPr>
          <w:p>
            <w:pPr>
              <w:jc w:val="right"/>
              <w:ind w:right="1087"/>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744"/>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gridSpan w:val="3"/>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income</w:t>
            </w:r>
          </w:p>
        </w:tc>
        <w:tc>
          <w:tcPr>
            <w:tcW w:w="114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46</w:t>
            </w:r>
          </w:p>
        </w:tc>
        <w:tc>
          <w:tcPr>
            <w:tcW w:w="1120" w:type="dxa"/>
            <w:vAlign w:val="bottom"/>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(141)</w:t>
            </w:r>
          </w:p>
        </w:tc>
        <w:tc>
          <w:tcPr>
            <w:tcW w:w="16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80" w:firstLine="303"/>
        <w:spacing w:after="0" w:line="276" w:lineRule="auto"/>
        <w:rPr>
          <w:sz w:val="20"/>
          <w:szCs w:val="20"/>
          <w:color w:val="auto"/>
        </w:rPr>
      </w:pPr>
      <w:r>
        <w:rPr>
          <w:rFonts w:ascii="Arial" w:cs="Arial" w:eastAsia="Arial" w:hAnsi="Arial"/>
          <w:sz w:val="16"/>
          <w:szCs w:val="16"/>
          <w:color w:val="auto"/>
        </w:rPr>
        <w:t>Total other income decreased by $(0.1) million, or (75)%, from $0.2 million during the three months ended September 30, 2020 to approximately $46,000 during the three months ended September 30, 2021. Short-term interest rate yields decreased significantly during fiscal year 2020 and remained low during fiscal year 2021. These decreases were partially offset quantitatively by higher amounts of cash invested in money market funds and U.S. Treasury securities during fiscal year 2020 and the first nine months of fiscal year 2021 as a result of multiple private and public financing events.</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Comparisons of the Nine Months Ended September 30, 2021 and 2020</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gridSpan w:val="3"/>
            <w:vMerge w:val="restart"/>
          </w:tcPr>
          <w:p>
            <w:pPr>
              <w:ind w:left="1020"/>
              <w:spacing w:after="0"/>
              <w:rPr>
                <w:sz w:val="20"/>
                <w:szCs w:val="20"/>
                <w:color w:val="auto"/>
              </w:rPr>
            </w:pPr>
            <w:r>
              <w:rPr>
                <w:rFonts w:ascii="Arial" w:cs="Arial" w:eastAsia="Arial" w:hAnsi="Arial"/>
                <w:sz w:val="13"/>
                <w:szCs w:val="13"/>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3"/>
                <w:szCs w:val="13"/>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7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1080" w:type="dxa"/>
            <w:vAlign w:val="bottom"/>
          </w:tcPr>
          <w:p>
            <w:pPr>
              <w:jc w:val="right"/>
              <w:ind w:right="61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6"/>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40" w:type="dxa"/>
            <w:vAlign w:val="bottom"/>
            <w:gridSpan w:val="6"/>
          </w:tcPr>
          <w:p>
            <w:pPr>
              <w:ind w:left="380"/>
              <w:spacing w:after="0"/>
              <w:rPr>
                <w:sz w:val="20"/>
                <w:szCs w:val="20"/>
                <w:color w:val="auto"/>
              </w:rPr>
            </w:pPr>
            <w:r>
              <w:rPr>
                <w:rFonts w:ascii="Arial" w:cs="Arial" w:eastAsia="Arial" w:hAnsi="Arial"/>
                <w:sz w:val="13"/>
                <w:szCs w:val="13"/>
                <w:i w:val="1"/>
                <w:iCs w:val="1"/>
                <w:color w:val="auto"/>
              </w:rPr>
              <w:t>(dollars in thousands)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Product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1,695</w:t>
            </w:r>
          </w:p>
        </w:tc>
        <w:tc>
          <w:tcPr>
            <w:tcW w:w="100" w:type="dxa"/>
            <w:vAlign w:val="bottom"/>
          </w:tcPr>
          <w:p>
            <w:pPr>
              <w:spacing w:after="0"/>
              <w:rPr>
                <w:sz w:val="19"/>
                <w:szCs w:val="19"/>
                <w:color w:val="auto"/>
              </w:rPr>
            </w:pPr>
          </w:p>
        </w:tc>
        <w:tc>
          <w:tcPr>
            <w:tcW w:w="560" w:type="dxa"/>
            <w:vAlign w:val="bottom"/>
          </w:tcPr>
          <w:p>
            <w:pPr>
              <w:jc w:val="right"/>
              <w:ind w:right="37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1,167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Grant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9"/>
        </w:trPr>
        <w:tc>
          <w:tcPr>
            <w:tcW w:w="5140" w:type="dxa"/>
            <w:vAlign w:val="bottom"/>
          </w:tcPr>
          <w:p>
            <w:pPr>
              <w:ind w:left="420"/>
              <w:spacing w:after="0"/>
              <w:rPr>
                <w:sz w:val="20"/>
                <w:szCs w:val="20"/>
                <w:color w:val="auto"/>
              </w:rPr>
            </w:pPr>
            <w:r>
              <w:rPr>
                <w:rFonts w:ascii="Arial" w:cs="Arial" w:eastAsia="Arial" w:hAnsi="Arial"/>
                <w:sz w:val="17"/>
                <w:szCs w:val="17"/>
                <w:color w:val="auto"/>
              </w:rPr>
              <w:t>Total revenue</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3,551</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3,231</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1010 %</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Product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Related party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452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1,979</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1,659</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518 %</w:t>
            </w:r>
          </w:p>
        </w:tc>
        <w:tc>
          <w:tcPr>
            <w:tcW w:w="0" w:type="dxa"/>
            <w:vAlign w:val="bottom"/>
          </w:tcPr>
          <w:p>
            <w:pPr>
              <w:spacing w:after="0"/>
              <w:rPr>
                <w:sz w:val="1"/>
                <w:szCs w:val="1"/>
                <w:color w:val="auto"/>
              </w:rPr>
            </w:pP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20,906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7,386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55 %</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32,672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25,264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341 %</w:t>
            </w:r>
          </w:p>
        </w:tc>
        <w:tc>
          <w:tcPr>
            <w:tcW w:w="0" w:type="dxa"/>
            <w:vAlign w:val="bottom"/>
          </w:tcPr>
          <w:p>
            <w:pPr>
              <w:spacing w:after="0"/>
              <w:rPr>
                <w:sz w:val="1"/>
                <w:szCs w:val="1"/>
                <w:color w:val="auto"/>
              </w:rPr>
            </w:pPr>
          </w:p>
        </w:tc>
      </w:tr>
      <w:tr>
        <w:trPr>
          <w:trHeight w:val="219"/>
        </w:trPr>
        <w:tc>
          <w:tcPr>
            <w:tcW w:w="5140" w:type="dxa"/>
            <w:vAlign w:val="bottom"/>
          </w:tcPr>
          <w:p>
            <w:pPr>
              <w:ind w:left="4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53,578</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20,928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32,650</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156 %</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(51,599)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(30,991)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r>
        <w:trPr>
          <w:trHeight w:val="227"/>
        </w:trPr>
        <w:tc>
          <w:tcPr>
            <w:tcW w:w="51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Interest income</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7"/>
        </w:trPr>
        <w:tc>
          <w:tcPr>
            <w:tcW w:w="5140" w:type="dxa"/>
            <w:vAlign w:val="bottom"/>
          </w:tcPr>
          <w:p>
            <w:pPr>
              <w:ind w:left="220"/>
              <w:spacing w:after="0"/>
              <w:rPr>
                <w:sz w:val="20"/>
                <w:szCs w:val="20"/>
                <w:color w:val="auto"/>
              </w:rPr>
            </w:pPr>
            <w:r>
              <w:rPr>
                <w:rFonts w:ascii="Arial" w:cs="Arial" w:eastAsia="Arial" w:hAnsi="Arial"/>
                <w:sz w:val="17"/>
                <w:szCs w:val="17"/>
                <w:color w:val="auto"/>
              </w:rPr>
              <w:t>Other expense</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1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 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45"/>
        </w:trPr>
        <w:tc>
          <w:tcPr>
            <w:tcW w:w="5140" w:type="dxa"/>
            <w:vAlign w:val="bottom"/>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(51,430)</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(19,839)</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(31,591)</w:t>
            </w:r>
          </w:p>
        </w:tc>
        <w:tc>
          <w:tcPr>
            <w:tcW w:w="8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159 %</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2" w:name="page33"/>
    <w:bookmarkEnd w:id="32"/>
    <w:p>
      <w:pPr>
        <w:spacing w:after="0" w:line="4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Revenue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760" w:type="dxa"/>
            <w:vAlign w:val="bottom"/>
            <w:gridSpan w:val="2"/>
          </w:tcPr>
          <w:p>
            <w:pPr>
              <w:ind w:left="100"/>
              <w:spacing w:after="0"/>
              <w:rPr>
                <w:sz w:val="20"/>
                <w:szCs w:val="20"/>
                <w:color w:val="auto"/>
              </w:rPr>
            </w:pPr>
            <w:r>
              <w:rPr>
                <w:rFonts w:ascii="Arial" w:cs="Arial" w:eastAsia="Arial" w:hAnsi="Arial"/>
                <w:sz w:val="13"/>
                <w:szCs w:val="13"/>
                <w:b w:val="1"/>
                <w:bCs w:val="1"/>
                <w:color w:val="auto"/>
              </w:rPr>
              <w:t>Nine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60" w:type="dxa"/>
            <w:vAlign w:val="bottom"/>
            <w:vMerge w:val="restart"/>
          </w:tcPr>
          <w:p>
            <w:pPr>
              <w:jc w:val="right"/>
              <w:ind w:right="108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Amount</w:t>
            </w:r>
          </w:p>
        </w:tc>
        <w:tc>
          <w:tcPr>
            <w:tcW w:w="166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4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20" w:type="dxa"/>
            <w:vAlign w:val="bottom"/>
            <w:gridSpan w:val="4"/>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Revenue</w:t>
            </w:r>
          </w:p>
        </w:tc>
        <w:tc>
          <w:tcPr>
            <w:tcW w:w="1140" w:type="dxa"/>
            <w:vAlign w:val="bottom"/>
            <w:shd w:val="clear" w:color="auto" w:fill="CCEEFF"/>
          </w:tcPr>
          <w:p>
            <w:pPr>
              <w:jc w:val="right"/>
              <w:ind w:right="66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w w:val="93"/>
              </w:rPr>
              <w:t>3,551</w:t>
            </w:r>
          </w:p>
        </w:tc>
        <w:tc>
          <w:tcPr>
            <w:tcW w:w="110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320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3,231</w:t>
            </w:r>
          </w:p>
        </w:tc>
        <w:tc>
          <w:tcPr>
            <w:tcW w:w="166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40" w:firstLine="303"/>
        <w:spacing w:after="0" w:line="255" w:lineRule="auto"/>
        <w:rPr>
          <w:sz w:val="20"/>
          <w:szCs w:val="20"/>
          <w:color w:val="auto"/>
        </w:rPr>
      </w:pPr>
      <w:r>
        <w:rPr>
          <w:rFonts w:ascii="Arial" w:cs="Arial" w:eastAsia="Arial" w:hAnsi="Arial"/>
          <w:sz w:val="17"/>
          <w:szCs w:val="17"/>
          <w:color w:val="auto"/>
        </w:rPr>
        <w:t>Revenue increased by $3.2 million, or 1,010%, from $0.3 million during the nine months ended September 30, 2020 to $3.6 million during the nine months ended September 30, 2021, primarily due to sales of products related to our Proteograph Product Suite. Revenue recognized primarily consisted of sales of the Proteograph SP100 instrument and assay kits, platform evaluations, and services, of which $1.2 million was attributed to related parties. Revenue related to our grant-funded activities related to our SBIR grant from the NIH declined between the two periods.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00" w:type="dxa"/>
            <w:vAlign w:val="bottom"/>
            <w:gridSpan w:val="2"/>
          </w:tcPr>
          <w:p>
            <w:pPr>
              <w:ind w:left="660"/>
              <w:spacing w:after="0"/>
              <w:rPr>
                <w:sz w:val="20"/>
                <w:szCs w:val="20"/>
                <w:color w:val="auto"/>
              </w:rPr>
            </w:pPr>
            <w:r>
              <w:rPr>
                <w:rFonts w:ascii="Arial" w:cs="Arial" w:eastAsia="Arial" w:hAnsi="Arial"/>
                <w:sz w:val="13"/>
                <w:szCs w:val="13"/>
                <w:b w:val="1"/>
                <w:bCs w:val="1"/>
                <w:color w:val="auto"/>
              </w:rPr>
              <w:t>Nine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60" w:type="dxa"/>
            <w:vAlign w:val="bottom"/>
            <w:vMerge w:val="restart"/>
          </w:tcPr>
          <w:p>
            <w:pPr>
              <w:jc w:val="right"/>
              <w:ind w:right="88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3"/>
              </w:rPr>
              <w:t>Amount</w:t>
            </w:r>
          </w:p>
        </w:tc>
        <w:tc>
          <w:tcPr>
            <w:tcW w:w="166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8"/>
        </w:trPr>
        <w:tc>
          <w:tcPr>
            <w:tcW w:w="4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tcPr>
          <w:p>
            <w:pPr>
              <w:jc w:val="right"/>
              <w:ind w:right="16"/>
              <w:spacing w:after="0"/>
              <w:rPr>
                <w:sz w:val="20"/>
                <w:szCs w:val="20"/>
                <w:color w:val="auto"/>
              </w:rPr>
            </w:pPr>
            <w:r>
              <w:rPr>
                <w:rFonts w:ascii="Arial" w:cs="Arial" w:eastAsia="Arial" w:hAnsi="Arial"/>
                <w:sz w:val="13"/>
                <w:szCs w:val="13"/>
                <w:i w:val="1"/>
                <w:iCs w:val="1"/>
                <w:color w:val="auto"/>
              </w:rPr>
              <w:t>(dollars in thousands)</w:t>
            </w:r>
          </w:p>
        </w:tc>
        <w:tc>
          <w:tcPr>
            <w:tcW w:w="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9"/>
              <w:spacing w:after="0"/>
              <w:rPr>
                <w:sz w:val="20"/>
                <w:szCs w:val="20"/>
                <w:color w:val="auto"/>
              </w:rPr>
            </w:pPr>
            <w:r>
              <w:rPr>
                <w:rFonts w:ascii="Arial" w:cs="Arial" w:eastAsia="Arial" w:hAnsi="Arial"/>
                <w:sz w:val="17"/>
                <w:szCs w:val="17"/>
                <w:color w:val="auto"/>
              </w:rPr>
              <w:t>1,572</w:t>
            </w:r>
          </w:p>
        </w:tc>
        <w:tc>
          <w:tcPr>
            <w:tcW w:w="6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207"/>
              <w:spacing w:after="0"/>
              <w:rPr>
                <w:sz w:val="20"/>
                <w:szCs w:val="20"/>
                <w:color w:val="auto"/>
              </w:rPr>
            </w:pPr>
            <w:r>
              <w:rPr>
                <w:rFonts w:ascii="Arial" w:cs="Arial" w:eastAsia="Arial" w:hAnsi="Arial"/>
                <w:sz w:val="17"/>
                <w:szCs w:val="17"/>
                <w:color w:val="auto"/>
                <w:w w:val="84"/>
              </w:rPr>
              <w:t>1,572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360" w:firstLine="303"/>
        <w:spacing w:after="0" w:line="258" w:lineRule="auto"/>
        <w:rPr>
          <w:sz w:val="20"/>
          <w:szCs w:val="20"/>
          <w:color w:val="auto"/>
        </w:rPr>
      </w:pPr>
      <w:r>
        <w:rPr>
          <w:rFonts w:ascii="Arial" w:cs="Arial" w:eastAsia="Arial" w:hAnsi="Arial"/>
          <w:sz w:val="17"/>
          <w:szCs w:val="17"/>
          <w:color w:val="auto"/>
        </w:rPr>
        <w:t>Cost of revenue increased from $0 during the nine months ended September 30, 2020 to $1.6 million for the nine months ended September 30, 2021, primarily due to the first sales of our Proteograph Product Suite. Cost of revenue related to our Proteograph Product Suite consist of costs of the SP100 instrument, assay kits and other related costs, including labor and overhead.</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2"/>
          </w:tcPr>
          <w:p>
            <w:pPr>
              <w:ind w:left="640"/>
              <w:spacing w:after="0"/>
              <w:rPr>
                <w:sz w:val="20"/>
                <w:szCs w:val="20"/>
                <w:color w:val="auto"/>
              </w:rPr>
            </w:pPr>
            <w:r>
              <w:rPr>
                <w:rFonts w:ascii="Arial" w:cs="Arial" w:eastAsia="Arial" w:hAnsi="Arial"/>
                <w:sz w:val="13"/>
                <w:szCs w:val="13"/>
                <w:b w:val="1"/>
                <w:bCs w:val="1"/>
                <w:color w:val="auto"/>
                <w:w w:val="98"/>
              </w:rPr>
              <w:t>Nine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vMerge w:val="restart"/>
          </w:tcPr>
          <w:p>
            <w:pPr>
              <w:jc w:val="right"/>
              <w:ind w:right="1047"/>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2021</w:t>
            </w:r>
          </w:p>
        </w:tc>
        <w:tc>
          <w:tcPr>
            <w:tcW w:w="6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w w:val="93"/>
              </w:rPr>
              <w:t>Amount</w:t>
            </w:r>
          </w:p>
        </w:tc>
        <w:tc>
          <w:tcPr>
            <w:tcW w:w="160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49"/>
              <w:spacing w:after="0"/>
              <w:rPr>
                <w:sz w:val="20"/>
                <w:szCs w:val="20"/>
                <w:color w:val="auto"/>
              </w:rPr>
            </w:pPr>
            <w:r>
              <w:rPr>
                <w:rFonts w:ascii="Arial" w:cs="Arial" w:eastAsia="Arial" w:hAnsi="Arial"/>
                <w:sz w:val="17"/>
                <w:szCs w:val="17"/>
                <w:color w:val="auto"/>
              </w:rPr>
              <w:t>20,906</w:t>
            </w:r>
          </w:p>
        </w:tc>
        <w:tc>
          <w:tcPr>
            <w:tcW w:w="680" w:type="dxa"/>
            <w:vAlign w:val="bottom"/>
            <w:shd w:val="clear" w:color="auto" w:fill="CCEEFF"/>
          </w:tcPr>
          <w:p>
            <w:pPr>
              <w:jc w:val="right"/>
              <w:ind w:right="27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7,386</w:t>
            </w:r>
          </w:p>
        </w:tc>
        <w:tc>
          <w:tcPr>
            <w:tcW w:w="1600" w:type="dxa"/>
            <w:vAlign w:val="bottom"/>
            <w:shd w:val="clear" w:color="auto" w:fill="CCEEFF"/>
          </w:tcPr>
          <w:p>
            <w:pPr>
              <w:jc w:val="right"/>
              <w:ind w:right="227"/>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00" w:firstLine="303"/>
        <w:spacing w:after="0" w:line="289" w:lineRule="auto"/>
        <w:rPr>
          <w:sz w:val="20"/>
          <w:szCs w:val="20"/>
          <w:color w:val="auto"/>
        </w:rPr>
      </w:pPr>
      <w:r>
        <w:rPr>
          <w:rFonts w:ascii="Arial" w:cs="Arial" w:eastAsia="Arial" w:hAnsi="Arial"/>
          <w:sz w:val="15"/>
          <w:szCs w:val="15"/>
          <w:color w:val="auto"/>
        </w:rPr>
        <w:t>R&amp;D expenses increased by $7.4 million, or 55%, from $13.5 million during the nine months ended September 30, 2020 to $20.9 million during the nine months ended September 30, 2021. The increase was primarily due to an increase in product development efforts related to our Proteograph Product Suite including</w:t>
      </w:r>
    </w:p>
    <w:p>
      <w:pPr>
        <w:ind w:right="180"/>
        <w:spacing w:after="0" w:line="290" w:lineRule="auto"/>
        <w:rPr>
          <w:sz w:val="20"/>
          <w:szCs w:val="20"/>
          <w:color w:val="auto"/>
        </w:rPr>
      </w:pPr>
      <w:r>
        <w:rPr>
          <w:rFonts w:ascii="Arial" w:cs="Arial" w:eastAsia="Arial" w:hAnsi="Arial"/>
          <w:sz w:val="15"/>
          <w:szCs w:val="15"/>
          <w:color w:val="auto"/>
        </w:rPr>
        <w:t>$2.6 million in employee compensation and other related costs and $2.6 million in stock-based compensation due to growth in research and development personnel, $3.1 million related to the expansion of facilities and maintenance and depreciation of laboratory equipment, and $0.2 million in general business expenses which includes subscriptions and software costs. This was offset by a decrease in prototype materials of $(0.3) million as we entered the Limited Release phase of our commercial plan and a decrease in clinical study fees of $(0.8) million related to the costs associated with the ramp down of site enrollment for clinical studies related to the collection of biological samples for research use. These clinical studies are related to the assets transferred to PrognomIQ.</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Selling, General and Administrative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60" w:type="dxa"/>
            <w:vAlign w:val="bottom"/>
            <w:gridSpan w:val="2"/>
          </w:tcPr>
          <w:p>
            <w:pPr>
              <w:ind w:left="640"/>
              <w:spacing w:after="0"/>
              <w:rPr>
                <w:sz w:val="20"/>
                <w:szCs w:val="20"/>
                <w:color w:val="auto"/>
              </w:rPr>
            </w:pPr>
            <w:r>
              <w:rPr>
                <w:rFonts w:ascii="Arial" w:cs="Arial" w:eastAsia="Arial" w:hAnsi="Arial"/>
                <w:sz w:val="13"/>
                <w:szCs w:val="13"/>
                <w:b w:val="1"/>
                <w:bCs w:val="1"/>
                <w:color w:val="auto"/>
                <w:w w:val="98"/>
              </w:rPr>
              <w:t>Nine Months Ended</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7"/>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Amount</w:t>
            </w: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4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80" w:type="dxa"/>
            <w:vAlign w:val="bottom"/>
            <w:gridSpan w:val="4"/>
          </w:tcPr>
          <w:p>
            <w:pPr>
              <w:jc w:val="right"/>
              <w:ind w:right="784"/>
              <w:spacing w:after="0"/>
              <w:rPr>
                <w:sz w:val="20"/>
                <w:szCs w:val="20"/>
                <w:color w:val="auto"/>
              </w:rPr>
            </w:pPr>
            <w:r>
              <w:rPr>
                <w:rFonts w:ascii="Arial" w:cs="Arial" w:eastAsia="Arial" w:hAnsi="Arial"/>
                <w:sz w:val="13"/>
                <w:szCs w:val="13"/>
                <w:i w:val="1"/>
                <w:iCs w:val="1"/>
                <w:color w:val="auto"/>
              </w:rPr>
              <w:t>(dollars in thousands)</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69"/>
              <w:spacing w:after="0"/>
              <w:rPr>
                <w:sz w:val="20"/>
                <w:szCs w:val="20"/>
                <w:color w:val="auto"/>
              </w:rPr>
            </w:pPr>
            <w:r>
              <w:rPr>
                <w:rFonts w:ascii="Arial" w:cs="Arial" w:eastAsia="Arial" w:hAnsi="Arial"/>
                <w:sz w:val="17"/>
                <w:szCs w:val="17"/>
                <w:color w:val="auto"/>
              </w:rPr>
              <w:t>32,672</w:t>
            </w:r>
          </w:p>
        </w:tc>
        <w:tc>
          <w:tcPr>
            <w:tcW w:w="660" w:type="dxa"/>
            <w:vAlign w:val="bottom"/>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25,264</w:t>
            </w:r>
          </w:p>
        </w:tc>
        <w:tc>
          <w:tcPr>
            <w:tcW w:w="162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3" w:name="page34"/>
    <w:bookmarkEnd w:id="33"/>
    <w:p>
      <w:pPr>
        <w:spacing w:after="0" w:line="4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Selling, general and administrative expenses increased by $25.3 million, or 341%, from $7.4 million during the nine months ended September 30, 2020 to $32.7</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million during the nine months ended September 30, 2021, primarily due to a $5.7 million increase in employee compensation and other related expenses, and a</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$12.8 million increase in stock-based compensation, as a result of an increase in personnel, including the addition of key members of executive management. Other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increases are attributable to $0.4 million in marketing costs and $0.2 million in travel costs related to the Limited Release phase of our commercial plan, and costs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related to becoming a publicly traded company including a $1.8 million increase in professional and consulting fees related to accounting and audit services, a</w:t>
      </w:r>
    </w:p>
    <w:p>
      <w:pPr>
        <w:spacing w:after="0" w:line="18" w:lineRule="exact"/>
        <w:rPr>
          <w:sz w:val="20"/>
          <w:szCs w:val="20"/>
          <w:color w:val="auto"/>
        </w:rPr>
      </w:pPr>
    </w:p>
    <w:p>
      <w:pPr>
        <w:jc w:val="both"/>
        <w:ind w:right="200"/>
        <w:spacing w:after="0" w:line="251" w:lineRule="auto"/>
        <w:rPr>
          <w:sz w:val="20"/>
          <w:szCs w:val="20"/>
          <w:color w:val="auto"/>
        </w:rPr>
      </w:pPr>
      <w:r>
        <w:rPr>
          <w:rFonts w:ascii="Arial" w:cs="Arial" w:eastAsia="Arial" w:hAnsi="Arial"/>
          <w:sz w:val="17"/>
          <w:szCs w:val="17"/>
          <w:color w:val="auto"/>
        </w:rPr>
        <w:t>$0.6 million increase in corporate and patent legal matters, and a $4.5 million increase in general business expenses which includes insurance premiums and state and local business taxes. These increases were partially offset by the decrease of $(0.7) million in facility and other related expenses due to a reduction of square footage for general administration function.</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Total Other Income</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2"/>
          </w:tcPr>
          <w:p>
            <w:pPr>
              <w:ind w:left="60"/>
              <w:spacing w:after="0"/>
              <w:rPr>
                <w:sz w:val="20"/>
                <w:szCs w:val="20"/>
                <w:color w:val="auto"/>
              </w:rPr>
            </w:pPr>
            <w:r>
              <w:rPr>
                <w:rFonts w:ascii="Arial" w:cs="Arial" w:eastAsia="Arial" w:hAnsi="Arial"/>
                <w:sz w:val="13"/>
                <w:szCs w:val="13"/>
                <w:b w:val="1"/>
                <w:bCs w:val="1"/>
                <w:color w:val="auto"/>
              </w:rPr>
              <w:t>Nine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vMerge w:val="restart"/>
          </w:tcPr>
          <w:p>
            <w:pPr>
              <w:jc w:val="right"/>
              <w:ind w:right="1067"/>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2"/>
        </w:trPr>
        <w:tc>
          <w:tcPr>
            <w:tcW w:w="4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gridSpan w:val="3"/>
          </w:tcPr>
          <w:p>
            <w:pPr>
              <w:ind w:left="100"/>
              <w:spacing w:after="0"/>
              <w:rPr>
                <w:sz w:val="20"/>
                <w:szCs w:val="20"/>
                <w:color w:val="auto"/>
              </w:rPr>
            </w:pPr>
            <w:r>
              <w:rPr>
                <w:rFonts w:ascii="Arial" w:cs="Arial" w:eastAsia="Arial" w:hAnsi="Arial"/>
                <w:sz w:val="13"/>
                <w:szCs w:val="13"/>
                <w:i w:val="1"/>
                <w:iCs w:val="1"/>
                <w:color w:val="auto"/>
              </w:rPr>
              <w:t>(dollars in thousands)</w:t>
            </w: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other income</w:t>
            </w:r>
          </w:p>
        </w:tc>
        <w:tc>
          <w:tcPr>
            <w:tcW w:w="1160" w:type="dxa"/>
            <w:vAlign w:val="bottom"/>
            <w:shd w:val="clear" w:color="auto" w:fill="CCEEFF"/>
          </w:tcPr>
          <w:p>
            <w:pPr>
              <w:jc w:val="right"/>
              <w:ind w:right="68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67"/>
              <w:spacing w:after="0"/>
              <w:rPr>
                <w:sz w:val="20"/>
                <w:szCs w:val="20"/>
                <w:color w:val="auto"/>
              </w:rPr>
            </w:pPr>
            <w:r>
              <w:rPr>
                <w:rFonts w:ascii="Arial" w:cs="Arial" w:eastAsia="Arial" w:hAnsi="Arial"/>
                <w:sz w:val="17"/>
                <w:szCs w:val="17"/>
                <w:color w:val="auto"/>
              </w:rPr>
              <w:t>169</w:t>
            </w:r>
          </w:p>
        </w:tc>
        <w:tc>
          <w:tcPr>
            <w:tcW w:w="1100" w:type="dxa"/>
            <w:vAlign w:val="bottom"/>
            <w:shd w:val="clear" w:color="auto" w:fill="CCEEFF"/>
          </w:tcPr>
          <w:p>
            <w:pPr>
              <w:jc w:val="right"/>
              <w:ind w:right="70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4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(600)</w:t>
            </w:r>
          </w:p>
        </w:tc>
        <w:tc>
          <w:tcPr>
            <w:tcW w:w="1620" w:type="dxa"/>
            <w:vAlign w:val="bottom"/>
            <w:shd w:val="clear" w:color="auto" w:fill="CCEEFF"/>
          </w:tcPr>
          <w:p>
            <w:pPr>
              <w:jc w:val="right"/>
              <w:ind w:right="187"/>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300" w:firstLine="303"/>
        <w:spacing w:after="0" w:line="276" w:lineRule="auto"/>
        <w:rPr>
          <w:sz w:val="20"/>
          <w:szCs w:val="20"/>
          <w:color w:val="auto"/>
        </w:rPr>
      </w:pPr>
      <w:r>
        <w:rPr>
          <w:rFonts w:ascii="Arial" w:cs="Arial" w:eastAsia="Arial" w:hAnsi="Arial"/>
          <w:sz w:val="16"/>
          <w:szCs w:val="16"/>
          <w:color w:val="auto"/>
        </w:rPr>
        <w:t>Total other income decreased by $(0.6) million, or (78)%, from $0.8 million during the nine months ended September 30, 2020 to $0.2 million during the nine months ended September 30, 2021. Short-term interest rate yields decreased significantly during fiscal year 2020 and remained low during the first nine months of fiscal year 2021. These decreases were partially offset quantitatively by higher amounts of cash invested in money market funds and U.S. Treasury securities during fiscal year 2020 and the first nine months of fiscal year 2021 as a result of multiple private and public financing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4" w:name="page35"/>
    <w:bookmarkEnd w:id="34"/>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2" w:lineRule="exact"/>
        <w:rPr>
          <w:sz w:val="20"/>
          <w:szCs w:val="20"/>
          <w:color w:val="auto"/>
        </w:rPr>
      </w:pPr>
    </w:p>
    <w:p>
      <w:pPr>
        <w:ind w:right="140" w:firstLine="303"/>
        <w:spacing w:after="0" w:line="299" w:lineRule="auto"/>
        <w:rPr>
          <w:sz w:val="20"/>
          <w:szCs w:val="20"/>
          <w:color w:val="auto"/>
        </w:rPr>
      </w:pPr>
      <w:r>
        <w:rPr>
          <w:rFonts w:ascii="Arial" w:cs="Arial" w:eastAsia="Arial" w:hAnsi="Arial"/>
          <w:sz w:val="15"/>
          <w:szCs w:val="15"/>
          <w:color w:val="auto"/>
        </w:rPr>
        <w:t>Since the date of our incorporation, we have not generated significant revenue from product sales and have incurred significant operating losses and negative cash flows from operations. Our operations have been funded primarily through the sale and issuance of equity securities since inception. We anticipate that we will continue to incur net losses and do not expect positive cash flows from operations for the foreseeable future. However, based on our cash on hand, we believe we will have adequate liquidity over the next twelve months following the date of this Quarterly Report to operate our business and to meet our cash requirements.</w:t>
      </w:r>
    </w:p>
    <w:p>
      <w:pPr>
        <w:spacing w:after="0" w:line="99" w:lineRule="exact"/>
        <w:rPr>
          <w:sz w:val="20"/>
          <w:szCs w:val="20"/>
          <w:color w:val="auto"/>
        </w:rPr>
      </w:pPr>
    </w:p>
    <w:p>
      <w:pPr>
        <w:ind w:right="120" w:firstLine="303"/>
        <w:spacing w:after="0" w:line="299" w:lineRule="auto"/>
        <w:rPr>
          <w:sz w:val="20"/>
          <w:szCs w:val="20"/>
          <w:color w:val="auto"/>
        </w:rPr>
      </w:pPr>
      <w:r>
        <w:rPr>
          <w:rFonts w:ascii="Arial" w:cs="Arial" w:eastAsia="Arial" w:hAnsi="Arial"/>
          <w:sz w:val="15"/>
          <w:szCs w:val="15"/>
          <w:color w:val="auto"/>
        </w:rPr>
        <w:t>In connection with our IPO, we sold 10,592,106 shares of Class A common stock and received net proceeds of $183.9 million after deducting offering costs, underwriting discounts and commissions. Concurrent with the IPO, we issued 7,105,262 shares of our common stock in a private placement for net proceeds of $130.3 million after deducting underwriting discounts and commissions. On February 1, 2021, we completed an underwritten public offering of 1,650,000 shares of our Class A common stock and received net proceeds of $103.0 million after deducting offering costs, underwriting discounts and commissions.</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Cash Flows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736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tcPr>
          <w:p>
            <w:pPr>
              <w:spacing w:after="0"/>
              <w:rPr>
                <w:sz w:val="15"/>
                <w:szCs w:val="15"/>
                <w:color w:val="auto"/>
              </w:rPr>
            </w:pPr>
          </w:p>
        </w:tc>
      </w:tr>
      <w:tr>
        <w:trPr>
          <w:trHeight w:val="173"/>
        </w:trPr>
        <w:tc>
          <w:tcPr>
            <w:tcW w:w="736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168"/>
        </w:trPr>
        <w:tc>
          <w:tcPr>
            <w:tcW w:w="7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20" w:type="dxa"/>
            <w:vAlign w:val="bottom"/>
            <w:gridSpan w:val="3"/>
          </w:tcPr>
          <w:p>
            <w:pPr>
              <w:jc w:val="right"/>
              <w:ind w:right="639"/>
              <w:spacing w:after="0"/>
              <w:rPr>
                <w:sz w:val="20"/>
                <w:szCs w:val="20"/>
                <w:color w:val="auto"/>
              </w:rPr>
            </w:pPr>
            <w:r>
              <w:rPr>
                <w:rFonts w:ascii="Arial" w:cs="Arial" w:eastAsia="Arial" w:hAnsi="Arial"/>
                <w:sz w:val="13"/>
                <w:szCs w:val="13"/>
                <w:i w:val="1"/>
                <w:iCs w:val="1"/>
                <w:color w:val="auto"/>
              </w:rPr>
              <w:t>(in thousands)</w:t>
            </w:r>
          </w:p>
        </w:tc>
        <w:tc>
          <w:tcPr>
            <w:tcW w:w="560" w:type="dxa"/>
            <w:vAlign w:val="bottom"/>
          </w:tcPr>
          <w:p>
            <w:pPr>
              <w:spacing w:after="0"/>
              <w:rPr>
                <w:sz w:val="14"/>
                <w:szCs w:val="14"/>
                <w:color w:val="auto"/>
              </w:rPr>
            </w:pPr>
          </w:p>
        </w:tc>
      </w:tr>
      <w:tr>
        <w:trPr>
          <w:trHeight w:val="217"/>
        </w:trPr>
        <w:tc>
          <w:tcPr>
            <w:tcW w:w="7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used in operating activities</w:t>
            </w:r>
          </w:p>
        </w:tc>
        <w:tc>
          <w:tcPr>
            <w:tcW w:w="1200" w:type="dxa"/>
            <w:vAlign w:val="bottom"/>
            <w:shd w:val="clear" w:color="auto" w:fill="CCEEFF"/>
          </w:tcPr>
          <w:p>
            <w:pPr>
              <w:jc w:val="right"/>
              <w:ind w:right="72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(33,978)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(15,343</w:t>
            </w:r>
          </w:p>
        </w:tc>
      </w:tr>
      <w:tr>
        <w:trPr>
          <w:trHeight w:val="214"/>
        </w:trPr>
        <w:tc>
          <w:tcPr>
            <w:tcW w:w="7360" w:type="dxa"/>
            <w:vAlign w:val="bottom"/>
          </w:tcPr>
          <w:p>
            <w:pPr>
              <w:ind w:left="320"/>
              <w:spacing w:after="0"/>
              <w:rPr>
                <w:sz w:val="20"/>
                <w:szCs w:val="20"/>
                <w:color w:val="auto"/>
              </w:rPr>
            </w:pPr>
            <w:r>
              <w:rPr>
                <w:rFonts w:ascii="Arial" w:cs="Arial" w:eastAsia="Arial" w:hAnsi="Arial"/>
                <w:sz w:val="17"/>
                <w:szCs w:val="17"/>
                <w:color w:val="auto"/>
              </w:rPr>
              <w:t>Net cash used in investing activities</w:t>
            </w:r>
          </w:p>
        </w:tc>
        <w:tc>
          <w:tcPr>
            <w:tcW w:w="1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1"/>
              </w:rPr>
              <w:t>(83,389)</w:t>
            </w:r>
          </w:p>
        </w:tc>
        <w:tc>
          <w:tcPr>
            <w:tcW w:w="100" w:type="dxa"/>
            <w:vAlign w:val="bottom"/>
          </w:tcPr>
          <w:p>
            <w:pPr>
              <w:spacing w:after="0"/>
              <w:rPr>
                <w:sz w:val="18"/>
                <w:szCs w:val="18"/>
                <w:color w:val="auto"/>
              </w:rPr>
            </w:pPr>
          </w:p>
        </w:tc>
        <w:tc>
          <w:tcPr>
            <w:tcW w:w="1200" w:type="dxa"/>
            <w:vAlign w:val="bottom"/>
          </w:tcPr>
          <w:p>
            <w:pPr>
              <w:jc w:val="right"/>
              <w:ind w:right="719"/>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0"/>
              </w:rPr>
              <w:t>(39,831</w:t>
            </w:r>
          </w:p>
        </w:tc>
      </w:tr>
      <w:tr>
        <w:trPr>
          <w:trHeight w:val="214"/>
        </w:trPr>
        <w:tc>
          <w:tcPr>
            <w:tcW w:w="7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1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115,365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55,395</w:t>
            </w:r>
          </w:p>
        </w:tc>
      </w:tr>
      <w:tr>
        <w:trPr>
          <w:trHeight w:val="207"/>
        </w:trPr>
        <w:tc>
          <w:tcPr>
            <w:tcW w:w="736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200" w:type="dxa"/>
            <w:vAlign w:val="bottom"/>
            <w:tcBorders>
              <w:bottom w:val="single" w:sz="8" w:color="auto"/>
            </w:tcBorders>
          </w:tcPr>
          <w:p>
            <w:pPr>
              <w:jc w:val="right"/>
              <w:ind w:right="724"/>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71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w:t>
            </w:r>
          </w:p>
        </w:tc>
      </w:tr>
      <w:tr>
        <w:trPr>
          <w:trHeight w:val="20"/>
        </w:trPr>
        <w:tc>
          <w:tcPr>
            <w:tcW w:w="7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58" w:lineRule="exact"/>
        <w:rPr>
          <w:sz w:val="20"/>
          <w:szCs w:val="20"/>
          <w:color w:val="auto"/>
        </w:rPr>
      </w:pPr>
    </w:p>
    <w:p>
      <w:pPr>
        <w:ind w:right="160" w:firstLine="303"/>
        <w:spacing w:after="0" w:line="292" w:lineRule="auto"/>
        <w:rPr>
          <w:sz w:val="20"/>
          <w:szCs w:val="20"/>
          <w:color w:val="auto"/>
        </w:rPr>
      </w:pPr>
      <w:r>
        <w:rPr>
          <w:rFonts w:ascii="Arial" w:cs="Arial" w:eastAsia="Arial" w:hAnsi="Arial"/>
          <w:sz w:val="15"/>
          <w:szCs w:val="15"/>
          <w:color w:val="auto"/>
        </w:rPr>
        <w:t>During the nine months ended September 30, 2021, cash used in operating activities was $34.0 million, which was attributable to a net loss of $(51.4) million and a net change in our net operating assets and liabilities of $(4.3) million, partially offset by non-cash charges of $21.8 million. Non-cash charges primarily consisted of $19.3 million in stock-based compensation, $1.7 million of depreciation and amortization and $0.8 million of net amortization of premiums on available-for-sales securities. The change in our net operating assets and liabilities was primarily due to an increase in inventory levels of $2.0 million, an increase in prepaid expenses and other current assets, including insurance, of $2.1 million related to being a public company and a decrease of $0.1 million in deferred revenue, partially offset by an increase in accounts payable of $0.3 million and an increase in accrued research and development of $0.2 million.</w:t>
      </w:r>
    </w:p>
    <w:p>
      <w:pPr>
        <w:spacing w:after="0" w:line="103" w:lineRule="exact"/>
        <w:rPr>
          <w:sz w:val="20"/>
          <w:szCs w:val="20"/>
          <w:color w:val="auto"/>
        </w:rPr>
      </w:pPr>
    </w:p>
    <w:p>
      <w:pPr>
        <w:ind w:right="140" w:firstLine="303"/>
        <w:spacing w:after="0" w:line="272" w:lineRule="auto"/>
        <w:rPr>
          <w:sz w:val="20"/>
          <w:szCs w:val="20"/>
          <w:color w:val="auto"/>
        </w:rPr>
      </w:pPr>
      <w:r>
        <w:rPr>
          <w:rFonts w:ascii="Arial" w:cs="Arial" w:eastAsia="Arial" w:hAnsi="Arial"/>
          <w:sz w:val="16"/>
          <w:szCs w:val="16"/>
          <w:color w:val="auto"/>
        </w:rPr>
        <w:t>During the nine months ended September 30, 2020, cash used in operating activities was $15.3 million, which was attributable to a net loss of $(19.8) million, partially offset by a net change in our net operating assets and liabilities of $0.6 million and non-cash charges of $3.9 million. Non-cash charges primarily consisted of $2.6 million in stock-based compensation and $1.1 million of depreciation and amortization and $0.2 million of net amortization of premiums on available-for-sales securities. The change in our net operating assets and liabilities was primarily due to increased accrued liabilities related to professional, consulting and legal fees of $0.7 million, partially offset by a decrease in accrued research and development of $0.1 million.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58"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During the nine months ended September 30, 2021, cash used in investing activities was $83.4 million, which related to purchases of available-for-sale securities, net of proceeds from maturities of $(77.8) million and $(5.6) million in payments primarily for laboratory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5" w:name="page36"/>
    <w:bookmarkEnd w:id="35"/>
    <w:p>
      <w:pPr>
        <w:spacing w:after="0" w:line="49"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During the nine months ended September 30, 2020, cash used in investing activities was $39.8 million, which related to purchases of available-for-sale securities, net of proceeds from maturities of $(35.4) million, in addition to $(4.4) million in payments primarily for laboratory equipment.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58" w:lineRule="exact"/>
        <w:rPr>
          <w:sz w:val="20"/>
          <w:szCs w:val="20"/>
          <w:color w:val="auto"/>
        </w:rPr>
      </w:pPr>
    </w:p>
    <w:p>
      <w:pPr>
        <w:jc w:val="both"/>
        <w:ind w:right="460" w:firstLine="303"/>
        <w:spacing w:after="0" w:line="258" w:lineRule="auto"/>
        <w:rPr>
          <w:sz w:val="20"/>
          <w:szCs w:val="20"/>
          <w:color w:val="auto"/>
        </w:rPr>
      </w:pPr>
      <w:r>
        <w:rPr>
          <w:rFonts w:ascii="Arial" w:cs="Arial" w:eastAsia="Arial" w:hAnsi="Arial"/>
          <w:sz w:val="17"/>
          <w:szCs w:val="17"/>
          <w:color w:val="auto"/>
        </w:rPr>
        <w:t>During the nine months ended September 30, 2021, cash provided by financing activities was $115.4 million. This was attributable to net proceeds of $103.0 million from issuance of common stock upon our follow-on offering, net of issuance costs of $(7.6) million, $11.4 million in short-swing profits from a beneficial owner and $1.0 million from the exercise of stock options.</w:t>
      </w:r>
    </w:p>
    <w:p>
      <w:pPr>
        <w:spacing w:after="0" w:line="126" w:lineRule="exact"/>
        <w:rPr>
          <w:sz w:val="20"/>
          <w:szCs w:val="20"/>
          <w:color w:val="auto"/>
        </w:rPr>
      </w:pPr>
    </w:p>
    <w:p>
      <w:pPr>
        <w:jc w:val="both"/>
        <w:ind w:right="580" w:firstLine="303"/>
        <w:spacing w:after="0" w:line="338" w:lineRule="auto"/>
        <w:rPr>
          <w:sz w:val="20"/>
          <w:szCs w:val="20"/>
          <w:color w:val="auto"/>
        </w:rPr>
      </w:pPr>
      <w:r>
        <w:rPr>
          <w:rFonts w:ascii="Arial" w:cs="Arial" w:eastAsia="Arial" w:hAnsi="Arial"/>
          <w:sz w:val="15"/>
          <w:szCs w:val="15"/>
          <w:color w:val="auto"/>
        </w:rPr>
        <w:t>During the nine months ended September 30, 2020, cash provided by financing activities was approximately $55.4 million. This was attributable to the net proceeds of $54.9 million from the issuance of Series D-1 convertible preferred stock, net of issuance costs, and $0.6 million from the exercise of stock options.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3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Payments due by period</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vMerge w:val="restart"/>
          </w:tcPr>
          <w:p>
            <w:pPr>
              <w:jc w:val="right"/>
              <w:ind w:right="544"/>
              <w:spacing w:after="0"/>
              <w:rPr>
                <w:sz w:val="20"/>
                <w:szCs w:val="20"/>
                <w:color w:val="auto"/>
              </w:rPr>
            </w:pPr>
            <w:r>
              <w:rPr>
                <w:rFonts w:ascii="Arial" w:cs="Arial" w:eastAsia="Arial" w:hAnsi="Arial"/>
                <w:sz w:val="13"/>
                <w:szCs w:val="13"/>
                <w:b w:val="1"/>
                <w:bCs w:val="1"/>
                <w:color w:val="auto"/>
              </w:rPr>
              <w:t>Total</w:t>
            </w:r>
          </w:p>
        </w:tc>
        <w:tc>
          <w:tcPr>
            <w:tcW w:w="400" w:type="dxa"/>
            <w:vAlign w:val="bottom"/>
          </w:tcPr>
          <w:p>
            <w:pPr>
              <w:spacing w:after="0"/>
              <w:rPr>
                <w:sz w:val="10"/>
                <w:szCs w:val="10"/>
                <w:color w:val="auto"/>
              </w:rPr>
            </w:pPr>
          </w:p>
        </w:tc>
        <w:tc>
          <w:tcPr>
            <w:tcW w:w="1100" w:type="dxa"/>
            <w:vAlign w:val="bottom"/>
          </w:tcPr>
          <w:p>
            <w:pPr>
              <w:jc w:val="right"/>
              <w:ind w:right="347"/>
              <w:spacing w:after="0" w:line="124" w:lineRule="exact"/>
              <w:rPr>
                <w:sz w:val="20"/>
                <w:szCs w:val="20"/>
                <w:color w:val="auto"/>
              </w:rPr>
            </w:pPr>
            <w:r>
              <w:rPr>
                <w:rFonts w:ascii="Arial" w:cs="Arial" w:eastAsia="Arial" w:hAnsi="Arial"/>
                <w:sz w:val="13"/>
                <w:szCs w:val="13"/>
                <w:b w:val="1"/>
                <w:bCs w:val="1"/>
                <w:color w:val="auto"/>
              </w:rPr>
              <w:t>Less than</w:t>
            </w:r>
          </w:p>
        </w:tc>
        <w:tc>
          <w:tcPr>
            <w:tcW w:w="440" w:type="dxa"/>
            <w:vAlign w:val="bottom"/>
          </w:tcPr>
          <w:p>
            <w:pPr>
              <w:spacing w:after="0"/>
              <w:rPr>
                <w:sz w:val="10"/>
                <w:szCs w:val="10"/>
                <w:color w:val="auto"/>
              </w:rPr>
            </w:pPr>
          </w:p>
        </w:tc>
        <w:tc>
          <w:tcPr>
            <w:tcW w:w="1280" w:type="dxa"/>
            <w:vAlign w:val="bottom"/>
            <w:vMerge w:val="restart"/>
          </w:tcPr>
          <w:p>
            <w:pPr>
              <w:jc w:val="center"/>
              <w:ind w:right="367"/>
              <w:spacing w:after="0"/>
              <w:rPr>
                <w:sz w:val="20"/>
                <w:szCs w:val="20"/>
                <w:color w:val="auto"/>
              </w:rPr>
            </w:pPr>
            <w:r>
              <w:rPr>
                <w:rFonts w:ascii="Arial" w:cs="Arial" w:eastAsia="Arial" w:hAnsi="Arial"/>
                <w:sz w:val="13"/>
                <w:szCs w:val="13"/>
                <w:b w:val="1"/>
                <w:bCs w:val="1"/>
                <w:color w:val="auto"/>
                <w:w w:val="92"/>
              </w:rPr>
              <w:t>1-3 years</w:t>
            </w:r>
          </w:p>
        </w:tc>
        <w:tc>
          <w:tcPr>
            <w:tcW w:w="360" w:type="dxa"/>
            <w:vAlign w:val="bottom"/>
          </w:tcPr>
          <w:p>
            <w:pPr>
              <w:spacing w:after="0"/>
              <w:rPr>
                <w:sz w:val="10"/>
                <w:szCs w:val="10"/>
                <w:color w:val="auto"/>
              </w:rPr>
            </w:pPr>
          </w:p>
        </w:tc>
        <w:tc>
          <w:tcPr>
            <w:tcW w:w="1140" w:type="dxa"/>
            <w:vAlign w:val="bottom"/>
            <w:vMerge w:val="restart"/>
          </w:tcPr>
          <w:p>
            <w:pPr>
              <w:jc w:val="right"/>
              <w:ind w:right="444"/>
              <w:spacing w:after="0"/>
              <w:rPr>
                <w:sz w:val="20"/>
                <w:szCs w:val="20"/>
                <w:color w:val="auto"/>
              </w:rPr>
            </w:pPr>
            <w:r>
              <w:rPr>
                <w:rFonts w:ascii="Arial" w:cs="Arial" w:eastAsia="Arial" w:hAnsi="Arial"/>
                <w:sz w:val="13"/>
                <w:szCs w:val="13"/>
                <w:b w:val="1"/>
                <w:bCs w:val="1"/>
                <w:color w:val="auto"/>
              </w:rPr>
              <w:t>3-5 years</w:t>
            </w:r>
          </w:p>
        </w:tc>
        <w:tc>
          <w:tcPr>
            <w:tcW w:w="400" w:type="dxa"/>
            <w:vAlign w:val="bottom"/>
          </w:tcPr>
          <w:p>
            <w:pPr>
              <w:spacing w:after="0"/>
              <w:rPr>
                <w:sz w:val="10"/>
                <w:szCs w:val="10"/>
                <w:color w:val="auto"/>
              </w:rPr>
            </w:pPr>
          </w:p>
        </w:tc>
        <w:tc>
          <w:tcPr>
            <w:tcW w:w="820" w:type="dxa"/>
            <w:vAlign w:val="bottom"/>
          </w:tcPr>
          <w:p>
            <w:pPr>
              <w:jc w:val="right"/>
              <w:ind w:right="27"/>
              <w:spacing w:after="0" w:line="124"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87"/>
              <w:spacing w:after="0"/>
              <w:rPr>
                <w:sz w:val="20"/>
                <w:szCs w:val="20"/>
                <w:color w:val="auto"/>
              </w:rPr>
            </w:pPr>
            <w:r>
              <w:rPr>
                <w:rFonts w:ascii="Arial" w:cs="Arial" w:eastAsia="Arial" w:hAnsi="Arial"/>
                <w:sz w:val="13"/>
                <w:szCs w:val="13"/>
                <w:b w:val="1"/>
                <w:bCs w:val="1"/>
                <w:color w:val="auto"/>
              </w:rPr>
              <w:t>1 year</w:t>
            </w: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168"/>
        </w:trPr>
        <w:tc>
          <w:tcPr>
            <w:tcW w:w="3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center"/>
              <w:ind w:right="307"/>
              <w:spacing w:after="0"/>
              <w:rPr>
                <w:sz w:val="20"/>
                <w:szCs w:val="20"/>
                <w:color w:val="auto"/>
              </w:rPr>
            </w:pPr>
            <w:r>
              <w:rPr>
                <w:rFonts w:ascii="Arial" w:cs="Arial" w:eastAsia="Arial" w:hAnsi="Arial"/>
                <w:sz w:val="13"/>
                <w:szCs w:val="13"/>
                <w:i w:val="1"/>
                <w:iCs w:val="1"/>
                <w:color w:val="auto"/>
                <w:w w:val="94"/>
              </w:rPr>
              <w:t>(in thousands)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lease obligations</w:t>
            </w:r>
          </w:p>
        </w:tc>
        <w:tc>
          <w:tcPr>
            <w:tcW w:w="5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20,367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07"/>
              <w:spacing w:after="0"/>
              <w:rPr>
                <w:sz w:val="20"/>
                <w:szCs w:val="20"/>
                <w:color w:val="auto"/>
              </w:rPr>
            </w:pPr>
            <w:r>
              <w:rPr>
                <w:rFonts w:ascii="Arial" w:cs="Arial" w:eastAsia="Arial" w:hAnsi="Arial"/>
                <w:sz w:val="17"/>
                <w:szCs w:val="17"/>
                <w:color w:val="auto"/>
              </w:rPr>
              <w:t>795</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247"/>
              <w:spacing w:after="0"/>
              <w:rPr>
                <w:sz w:val="20"/>
                <w:szCs w:val="20"/>
                <w:color w:val="auto"/>
              </w:rPr>
            </w:pPr>
            <w:r>
              <w:rPr>
                <w:rFonts w:ascii="Arial" w:cs="Arial" w:eastAsia="Arial" w:hAnsi="Arial"/>
                <w:sz w:val="17"/>
                <w:szCs w:val="17"/>
                <w:color w:val="auto"/>
              </w:rPr>
              <w:t>3,063</w:t>
            </w:r>
          </w:p>
        </w:tc>
        <w:tc>
          <w:tcPr>
            <w:tcW w:w="3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4"/>
              <w:spacing w:after="0"/>
              <w:rPr>
                <w:sz w:val="20"/>
                <w:szCs w:val="20"/>
                <w:color w:val="auto"/>
              </w:rPr>
            </w:pPr>
            <w:r>
              <w:rPr>
                <w:rFonts w:ascii="Arial" w:cs="Arial" w:eastAsia="Arial" w:hAnsi="Arial"/>
                <w:sz w:val="17"/>
                <w:szCs w:val="17"/>
                <w:color w:val="auto"/>
              </w:rPr>
              <w:t>3,717</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40" w:firstLine="303"/>
        <w:spacing w:after="0" w:line="270" w:lineRule="auto"/>
        <w:rPr>
          <w:sz w:val="20"/>
          <w:szCs w:val="20"/>
          <w:color w:val="auto"/>
        </w:rPr>
      </w:pPr>
      <w:r>
        <w:rPr>
          <w:rFonts w:ascii="Arial" w:cs="Arial" w:eastAsia="Arial" w:hAnsi="Arial"/>
          <w:sz w:val="17"/>
          <w:szCs w:val="17"/>
          <w:color w:val="auto"/>
        </w:rPr>
        <w:t>In addition, we enter into agreements as a part of normal course of business with various vendors, which are generally cancellable without material penalty upon written notice. Payments associated with these agreements are not included in this table of contractual obligations.</w:t>
      </w:r>
    </w:p>
    <w:p>
      <w:pPr>
        <w:spacing w:after="0" w:line="115" w:lineRule="exact"/>
        <w:rPr>
          <w:sz w:val="20"/>
          <w:szCs w:val="20"/>
          <w:color w:val="auto"/>
        </w:rPr>
      </w:pPr>
    </w:p>
    <w:p>
      <w:pPr>
        <w:ind w:right="100" w:firstLine="303"/>
        <w:spacing w:after="0" w:line="272" w:lineRule="auto"/>
        <w:rPr>
          <w:sz w:val="20"/>
          <w:szCs w:val="20"/>
          <w:color w:val="auto"/>
        </w:rPr>
      </w:pPr>
      <w:r>
        <w:rPr>
          <w:rFonts w:ascii="Arial" w:cs="Arial" w:eastAsia="Arial" w:hAnsi="Arial"/>
          <w:sz w:val="16"/>
          <w:szCs w:val="16"/>
          <w:color w:val="auto"/>
        </w:rPr>
        <w:t>Our operating lease obligations reflect our lease obligations for our headquarters facility in Redwood City, California. In June 2020, we amended the lease agreement for this facility to expand the office and laboratory space covered by the lease, extend the lease through February 2032, and increase the annual base rent for the expanded premises. Upon occupancy of the expansion facility that is anticipated to occur in the first quarter of 2022, the annual base rent will be $0.9 million in the first twelve months of the lease term (subject to an abatement period of nine months), and increases on an annual basis to $1.2 million in the final twelve months of the lease term. The amendment also provides for tenant incentives in the amount of $2.4 million.</w:t>
      </w:r>
    </w:p>
    <w:p>
      <w:pPr>
        <w:spacing w:after="0" w:line="117" w:lineRule="exact"/>
        <w:rPr>
          <w:sz w:val="20"/>
          <w:szCs w:val="20"/>
          <w:color w:val="auto"/>
        </w:rPr>
      </w:pPr>
    </w:p>
    <w:p>
      <w:pPr>
        <w:ind w:right="100" w:firstLine="303"/>
        <w:spacing w:after="0" w:line="258" w:lineRule="auto"/>
        <w:rPr>
          <w:sz w:val="20"/>
          <w:szCs w:val="20"/>
          <w:color w:val="auto"/>
        </w:rPr>
      </w:pPr>
      <w:r>
        <w:rPr>
          <w:rFonts w:ascii="Arial" w:cs="Arial" w:eastAsia="Arial" w:hAnsi="Arial"/>
          <w:sz w:val="17"/>
          <w:szCs w:val="17"/>
          <w:color w:val="auto"/>
        </w:rPr>
        <w:t>In April 2021, we entered into a lease amendment for this facility to further expand the office and laboratory space for an approximate term of eleven years. Payments associated with this operating lease agreement will result in additional operating lease obligations not included in the above table of approximately $160,000 per month plus operating expenses.</w:t>
      </w:r>
    </w:p>
    <w:p>
      <w:pPr>
        <w:spacing w:after="0" w:line="126" w:lineRule="exact"/>
        <w:rPr>
          <w:sz w:val="20"/>
          <w:szCs w:val="20"/>
          <w:color w:val="auto"/>
        </w:rPr>
      </w:pPr>
    </w:p>
    <w:p>
      <w:pPr>
        <w:jc w:val="both"/>
        <w:ind w:right="300" w:firstLine="303"/>
        <w:spacing w:after="0" w:line="286" w:lineRule="auto"/>
        <w:rPr>
          <w:sz w:val="20"/>
          <w:szCs w:val="20"/>
          <w:color w:val="auto"/>
        </w:rPr>
      </w:pPr>
      <w:r>
        <w:rPr>
          <w:rFonts w:ascii="Arial" w:cs="Arial" w:eastAsia="Arial" w:hAnsi="Arial"/>
          <w:sz w:val="15"/>
          <w:szCs w:val="15"/>
          <w:color w:val="auto"/>
        </w:rPr>
        <w:t>We have certain purchase commitments related to its inventory management with certain manufacturing suppliers wherein the Company is required to purchase the amounts forecasted in a blanket purchase order within a certain time period. The contractual obligations represent future cash commitments and liabilities under agreements with third parties and exclude orders for goods and services entered into in the normal course of business that are not enforceable or subject to change.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These outstanding commitments amounted to $7.2 million as of September 30, 2021. These payments are not included in the table of contractual obligations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Since the date of our incorporation, we have not engaged in any off-balance sheet arrangements, as such term is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6" w:name="page37"/>
    <w:bookmarkEnd w:id="36"/>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Use of Estimates</w:t>
      </w:r>
    </w:p>
    <w:p>
      <w:pPr>
        <w:spacing w:after="0" w:line="162" w:lineRule="exact"/>
        <w:rPr>
          <w:sz w:val="20"/>
          <w:szCs w:val="20"/>
          <w:color w:val="auto"/>
        </w:rPr>
      </w:pPr>
    </w:p>
    <w:p>
      <w:pPr>
        <w:ind w:right="80" w:firstLine="303"/>
        <w:spacing w:after="0" w:line="288" w:lineRule="auto"/>
        <w:rPr>
          <w:sz w:val="20"/>
          <w:szCs w:val="20"/>
          <w:color w:val="auto"/>
        </w:rPr>
      </w:pPr>
      <w:r>
        <w:rPr>
          <w:rFonts w:ascii="Arial" w:cs="Arial" w:eastAsia="Arial" w:hAnsi="Arial"/>
          <w:sz w:val="15"/>
          <w:szCs w:val="15"/>
          <w:color w:val="auto"/>
        </w:rPr>
        <w:t>The discussion and analysis of our financial condition and results of operations is based on our unaudited condensed consolidated financial statements, which have been prepared in accordance with United States generally accepted accounting principles. The preparation of these unaudited condensed consolidated financial statements requires us to make estimates and assumptions that affect the reported amounts of assets, liabilities, and the disclosure of contingent assets and liabilities at the date of the unaudited condensed consolidated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09"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Our critical accounting policies are described in the section titled “Management’s Discussion and Analysis of Financial Condition and Operations” included in our Annual Report on Form 10-K for the fiscal year ended December 31, 2020.</w:t>
      </w:r>
    </w:p>
    <w:p>
      <w:pPr>
        <w:spacing w:after="0" w:line="115" w:lineRule="exact"/>
        <w:rPr>
          <w:sz w:val="20"/>
          <w:szCs w:val="20"/>
          <w:color w:val="auto"/>
        </w:rPr>
      </w:pPr>
    </w:p>
    <w:p>
      <w:pPr>
        <w:ind w:right="40" w:firstLine="303"/>
        <w:spacing w:after="0" w:line="270"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record revenue based on a five-step model in accordance with Accounting Standards Codification (ASC) 606, Revenue from Contracts with Customers (ASC</w:t>
      </w:r>
    </w:p>
    <w:p>
      <w:pPr>
        <w:spacing w:after="0" w:line="41"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color w:val="auto"/>
        </w:rPr>
        <w:t>606). For the product and service revenue, we identify the performance obligations, determine the transaction price, allocate the contract transaction price to the performance obligations, and recognize the revenue when (or as) the performance obligation is satisfied.</w:t>
      </w:r>
    </w:p>
    <w:p>
      <w:pPr>
        <w:spacing w:after="0" w:line="127" w:lineRule="exact"/>
        <w:rPr>
          <w:sz w:val="20"/>
          <w:szCs w:val="20"/>
          <w:color w:val="auto"/>
        </w:rPr>
      </w:pPr>
    </w:p>
    <w:p>
      <w:pPr>
        <w:ind w:right="40" w:firstLine="303"/>
        <w:spacing w:after="0" w:line="270" w:lineRule="auto"/>
        <w:rPr>
          <w:sz w:val="20"/>
          <w:szCs w:val="20"/>
          <w:color w:val="auto"/>
        </w:rPr>
      </w:pPr>
      <w:r>
        <w:rPr>
          <w:rFonts w:ascii="Arial" w:cs="Arial" w:eastAsia="Arial" w:hAnsi="Arial"/>
          <w:sz w:val="17"/>
          <w:szCs w:val="17"/>
          <w:color w:val="auto"/>
        </w:rPr>
        <w:t>We regularly enter into contracts for various components of the Proteograph Product Suite which are generally distinct and accounted for as separate performance obligations.</w:t>
      </w:r>
    </w:p>
    <w:p>
      <w:pPr>
        <w:spacing w:after="0" w:line="115" w:lineRule="exact"/>
        <w:rPr>
          <w:sz w:val="20"/>
          <w:szCs w:val="20"/>
          <w:color w:val="auto"/>
        </w:rPr>
      </w:pPr>
    </w:p>
    <w:p>
      <w:pPr>
        <w:ind w:right="260" w:firstLine="303"/>
        <w:spacing w:after="0" w:line="270" w:lineRule="auto"/>
        <w:rPr>
          <w:sz w:val="20"/>
          <w:szCs w:val="20"/>
          <w:color w:val="auto"/>
        </w:rPr>
      </w:pPr>
      <w:r>
        <w:rPr>
          <w:rFonts w:ascii="Arial" w:cs="Arial" w:eastAsia="Arial" w:hAnsi="Arial"/>
          <w:sz w:val="17"/>
          <w:szCs w:val="17"/>
          <w:color w:val="auto"/>
        </w:rPr>
        <w:t>We recognize revenue when control of the products and services is transferred to its customers in an amount that reflects the consideration it expects to receive from its customers in exchange for those products and services.</w:t>
      </w:r>
    </w:p>
    <w:p>
      <w:pPr>
        <w:spacing w:after="0" w:line="115" w:lineRule="exact"/>
        <w:rPr>
          <w:sz w:val="20"/>
          <w:szCs w:val="20"/>
          <w:color w:val="auto"/>
        </w:rPr>
      </w:pPr>
    </w:p>
    <w:p>
      <w:pPr>
        <w:ind w:right="240" w:firstLine="303"/>
        <w:spacing w:after="0" w:line="338" w:lineRule="auto"/>
        <w:rPr>
          <w:sz w:val="20"/>
          <w:szCs w:val="20"/>
          <w:color w:val="auto"/>
        </w:rPr>
      </w:pPr>
      <w:r>
        <w:rPr>
          <w:rFonts w:ascii="Arial" w:cs="Arial" w:eastAsia="Arial" w:hAnsi="Arial"/>
          <w:sz w:val="15"/>
          <w:szCs w:val="15"/>
          <w:color w:val="auto"/>
        </w:rPr>
        <w:t>We receive grant agreements and are assess either to be accounted for as an exchange transaction or contribution. We recognize revenue for contribution grants when grant-funded activities are performed up to the amount of expenses incurred and any advance funding payments are recorded as deferred revenue.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62" w:lineRule="exact"/>
        <w:rPr>
          <w:sz w:val="20"/>
          <w:szCs w:val="20"/>
          <w:color w:val="auto"/>
        </w:rPr>
      </w:pPr>
    </w:p>
    <w:p>
      <w:pPr>
        <w:ind w:right="40" w:firstLine="303"/>
        <w:spacing w:after="0" w:line="267"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condensed consolidated financial statements may not be comparable to companies that comply with the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49" w:lineRule="exact"/>
        <w:rPr>
          <w:sz w:val="20"/>
          <w:szCs w:val="20"/>
          <w:color w:val="auto"/>
        </w:rPr>
      </w:pPr>
    </w:p>
    <w:p>
      <w:pPr>
        <w:ind w:right="80" w:firstLine="303"/>
        <w:spacing w:after="0" w:line="252" w:lineRule="auto"/>
        <w:rPr>
          <w:sz w:val="20"/>
          <w:szCs w:val="20"/>
          <w:color w:val="auto"/>
        </w:rPr>
      </w:pPr>
      <w:r>
        <w:rPr>
          <w:rFonts w:ascii="Arial" w:cs="Arial" w:eastAsia="Arial" w:hAnsi="Arial"/>
          <w:sz w:val="17"/>
          <w:szCs w:val="17"/>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or (iii) the date on which we are deemed a “large accelerated filer” under the rules of the SEC with at least $700.0 million of outstanding equity securities held by non-affiliates, or (iv) the last day of the fiscal year following the fifth anniversary of completion of our initial public offering. We will cease to be an emerging growth company as of December 31, 2021 and will become a “large accelerated filer” under the rules of the SEC with at least $700.0 million of outstanding equity securities held by non-affiliates.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62"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See Note 2 to our unaudited condensed consolidated financial statements included elsewhere in this Quarterly Report for more information about recent accounting pronouncements, the timing of their adoption, and our assessment, to the extent we have made one yet, of their potential impact on our financial condition of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8" w:lineRule="exact"/>
        <w:rPr>
          <w:sz w:val="20"/>
          <w:szCs w:val="20"/>
          <w:color w:val="auto"/>
        </w:rPr>
      </w:pPr>
    </w:p>
    <w:p>
      <w:pPr>
        <w:ind w:right="20" w:firstLine="303"/>
        <w:spacing w:after="0" w:line="282" w:lineRule="auto"/>
        <w:rPr>
          <w:sz w:val="20"/>
          <w:szCs w:val="20"/>
          <w:color w:val="auto"/>
        </w:rPr>
      </w:pPr>
      <w:r>
        <w:rPr>
          <w:rFonts w:ascii="Arial" w:cs="Arial" w:eastAsia="Arial" w:hAnsi="Arial"/>
          <w:sz w:val="16"/>
          <w:szCs w:val="16"/>
          <w:color w:val="auto"/>
        </w:rPr>
        <w:t>We have exposure to interest rate risk that relates to our cash, cash equivalents, and investments held in money market funds and U.S. Treasury securities. The goals of our investment policy are liquidity and capital preservation. We believe that we do not have any material exposure to changes in the fair value of these assets as a result of changes in interest rates due to the short-term nature of our cash, cash equivalents, and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62" w:lineRule="exact"/>
        <w:rPr>
          <w:sz w:val="20"/>
          <w:szCs w:val="20"/>
          <w:color w:val="auto"/>
        </w:rPr>
      </w:pPr>
    </w:p>
    <w:p>
      <w:pPr>
        <w:ind w:right="20" w:firstLine="303"/>
        <w:spacing w:after="0" w:line="266"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CEO and the CFO,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CEO and CFO have concluded that our disclosure controls and procedures were not effective at a reasonable assurance level as of September 30, 2021 because of the material weaknesses in internal controls further discussed below. Notwithstanding the material weaknesses, our management, including our CEO and CFO, has concluded that our unaudited condensed consolidated financial statements, included in this Quarterly Report fairly present, in all material respects, our financial condition, results of operations and cash flows for the periods presented in conformity with generally accepted accounting principles.</w:t>
      </w:r>
    </w:p>
    <w:p>
      <w:pPr>
        <w:spacing w:after="0" w:line="125" w:lineRule="exact"/>
        <w:rPr>
          <w:sz w:val="20"/>
          <w:szCs w:val="20"/>
          <w:color w:val="auto"/>
        </w:rPr>
      </w:pPr>
    </w:p>
    <w:p>
      <w:pPr>
        <w:ind w:right="120" w:firstLine="303"/>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5"/>
          <w:szCs w:val="15"/>
          <w:color w:val="auto"/>
        </w:rPr>
        <w:t>Specifically, our management determined that, as of September 30, 2021, we have material weaknesses in each of the following components of the “Internal</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Control—Integrated Framework” (2013), issued by the Committee of Sponsoring Organizations of the Treadway Commission:</w:t>
      </w:r>
    </w:p>
    <w:p>
      <w:pPr>
        <w:spacing w:after="0" w:line="146" w:lineRule="exact"/>
        <w:rPr>
          <w:sz w:val="20"/>
          <w:szCs w:val="20"/>
          <w:color w:val="auto"/>
        </w:rPr>
      </w:pPr>
    </w:p>
    <w:p>
      <w:pPr>
        <w:ind w:left="300"/>
        <w:spacing w:after="0"/>
        <w:tabs>
          <w:tab w:leader="none" w:pos="580" w:val="left"/>
          <w:tab w:leader="none" w:pos="7140" w:val="left"/>
        </w:tabs>
        <w:rPr>
          <w:sz w:val="20"/>
          <w:szCs w:val="20"/>
          <w:color w:val="auto"/>
        </w:rPr>
      </w:pPr>
      <w:r>
        <w:rPr>
          <w:rFonts w:ascii="Arial" w:cs="Arial" w:eastAsia="Arial" w:hAnsi="Arial"/>
          <w:sz w:val="17"/>
          <w:szCs w:val="17"/>
          <w:color w:val="auto"/>
        </w:rPr>
        <w:t>•</w:t>
        <w:tab/>
        <w:t>insufficient accounting personnel to enable segregation of duties relating to the general ledger,</w:t>
      </w:r>
      <w:r>
        <w:rPr>
          <w:sz w:val="20"/>
          <w:szCs w:val="20"/>
          <w:color w:val="auto"/>
        </w:rPr>
        <w:tab/>
      </w:r>
      <w:r>
        <w:rPr>
          <w:rFonts w:ascii="Arial" w:cs="Arial" w:eastAsia="Arial" w:hAnsi="Arial"/>
          <w:sz w:val="15"/>
          <w:szCs w:val="15"/>
          <w:color w:val="auto"/>
        </w:rPr>
        <w:t>disbursement, and certain accounting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8" w:name="page39"/>
    <w:bookmarkEnd w:id="38"/>
    <w:p>
      <w:pPr>
        <w:spacing w:after="0" w:line="49" w:lineRule="exact"/>
        <w:rPr>
          <w:sz w:val="20"/>
          <w:szCs w:val="20"/>
          <w:color w:val="auto"/>
        </w:rPr>
      </w:pPr>
    </w:p>
    <w:p>
      <w:pPr>
        <w:ind w:left="600" w:right="100" w:hanging="297"/>
        <w:spacing w:after="0" w:line="270"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114" w:lineRule="exact"/>
        <w:rPr>
          <w:rFonts w:ascii="Arial" w:cs="Arial" w:eastAsia="Arial" w:hAnsi="Arial"/>
          <w:sz w:val="17"/>
          <w:szCs w:val="17"/>
          <w:color w:val="auto"/>
        </w:rPr>
      </w:pPr>
    </w:p>
    <w:p>
      <w:pPr>
        <w:ind w:left="600" w:right="240" w:hanging="297"/>
        <w:spacing w:after="0" w:line="270"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5" w:lineRule="exact"/>
        <w:rPr>
          <w:sz w:val="20"/>
          <w:szCs w:val="20"/>
          <w:color w:val="auto"/>
        </w:rPr>
      </w:pPr>
    </w:p>
    <w:p>
      <w:pPr>
        <w:ind w:right="60" w:firstLine="303"/>
        <w:spacing w:after="0" w:line="25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of our annual or interim consolidated financial statements that may not be prevented or detected, and accordingly, it was determined that these control deficiencies constitute material weaknesses.</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Remediation Plan</w:t>
      </w:r>
    </w:p>
    <w:p>
      <w:pPr>
        <w:spacing w:after="0" w:line="158" w:lineRule="exact"/>
        <w:rPr>
          <w:sz w:val="20"/>
          <w:szCs w:val="20"/>
          <w:color w:val="auto"/>
        </w:rPr>
      </w:pPr>
    </w:p>
    <w:p>
      <w:pPr>
        <w:jc w:val="both"/>
        <w:ind w:firstLine="303"/>
        <w:spacing w:after="0" w:line="340" w:lineRule="auto"/>
        <w:rPr>
          <w:sz w:val="20"/>
          <w:szCs w:val="20"/>
          <w:color w:val="auto"/>
        </w:rPr>
      </w:pPr>
      <w:r>
        <w:rPr>
          <w:rFonts w:ascii="Arial" w:cs="Arial" w:eastAsia="Arial" w:hAnsi="Arial"/>
          <w:sz w:val="14"/>
          <w:szCs w:val="14"/>
          <w:color w:val="auto"/>
        </w:rPr>
        <w:t>We have commenced measures to remediate the identified material weaknesses. These measures include adding personnel as well as implementing new financial systems and processes. We intend to continue to take steps to remediate the material weaknesses described above and to further improve our accounting processes. We will not be able to fully remediate these material weaknesses until these steps have been completed and have been operating effectively for a sufficient period of time.</w:t>
      </w:r>
    </w:p>
    <w:p>
      <w:pPr>
        <w:spacing w:after="0" w:line="72" w:lineRule="exact"/>
        <w:rPr>
          <w:sz w:val="20"/>
          <w:szCs w:val="20"/>
          <w:color w:val="auto"/>
        </w:rPr>
      </w:pPr>
    </w:p>
    <w:p>
      <w:pPr>
        <w:ind w:right="340" w:firstLine="303"/>
        <w:spacing w:after="0" w:line="301" w:lineRule="auto"/>
        <w:rPr>
          <w:sz w:val="20"/>
          <w:szCs w:val="20"/>
          <w:color w:val="auto"/>
        </w:rPr>
      </w:pPr>
      <w:r>
        <w:rPr>
          <w:rFonts w:ascii="Arial" w:cs="Arial" w:eastAsia="Arial" w:hAnsi="Arial"/>
          <w:sz w:val="16"/>
          <w:szCs w:val="16"/>
          <w:color w:val="auto"/>
        </w:rPr>
        <w:t>While we believe that these efforts will improve our internal control over financial reporting, the implementation of our remediation plan is ongoing and will require validation and testing of the design and operating effectiveness of internal controls over a sustained period of financial reporting cycles.</w:t>
      </w:r>
    </w:p>
    <w:p>
      <w:pPr>
        <w:spacing w:after="0" w:line="93" w:lineRule="exact"/>
        <w:rPr>
          <w:sz w:val="20"/>
          <w:szCs w:val="20"/>
          <w:color w:val="auto"/>
        </w:rPr>
      </w:pPr>
    </w:p>
    <w:p>
      <w:pPr>
        <w:ind w:firstLine="303"/>
        <w:spacing w:after="0" w:line="253" w:lineRule="auto"/>
        <w:rPr>
          <w:sz w:val="20"/>
          <w:szCs w:val="20"/>
          <w:color w:val="auto"/>
        </w:rPr>
      </w:pPr>
      <w:r>
        <w:rPr>
          <w:rFonts w:ascii="Arial" w:cs="Arial" w:eastAsia="Arial" w:hAnsi="Arial"/>
          <w:sz w:val="17"/>
          <w:szCs w:val="17"/>
          <w:color w:val="auto"/>
        </w:rPr>
        <w:t>We are committed to continuing to improve our internal control processes and will continue to review and enhance our financial reporting controls and procedures. As we continue to evaluate and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controls operate for a sufficient period of time and management has concluded, through testing, that the enhanced control is operating effectively.</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62" w:lineRule="exact"/>
        <w:rPr>
          <w:sz w:val="20"/>
          <w:szCs w:val="20"/>
          <w:color w:val="auto"/>
        </w:rPr>
      </w:pPr>
    </w:p>
    <w:p>
      <w:pPr>
        <w:ind w:right="260" w:firstLine="303"/>
        <w:spacing w:after="0" w:line="258" w:lineRule="auto"/>
        <w:rPr>
          <w:sz w:val="20"/>
          <w:szCs w:val="20"/>
          <w:color w:val="auto"/>
        </w:rPr>
      </w:pPr>
      <w:r>
        <w:rPr>
          <w:rFonts w:ascii="Arial" w:cs="Arial" w:eastAsia="Arial" w:hAnsi="Arial"/>
          <w:sz w:val="17"/>
          <w:szCs w:val="17"/>
          <w:color w:val="auto"/>
        </w:rPr>
        <w:t>Except for the identification of the material weaknesses and the remediation plan described above, there were no changes in our internal control over financial reporting (as such term is defined in Rules 13a-15(f) under the Exchange Act) during the quarter ended September 30, 2021 that has materially affected, or is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162" w:lineRule="exact"/>
        <w:rPr>
          <w:sz w:val="20"/>
          <w:szCs w:val="20"/>
          <w:color w:val="auto"/>
        </w:rPr>
      </w:pPr>
    </w:p>
    <w:p>
      <w:pPr>
        <w:ind w:right="20" w:firstLine="303"/>
        <w:spacing w:after="0" w:line="287"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62" w:lineRule="exact"/>
        <w:rPr>
          <w:sz w:val="20"/>
          <w:szCs w:val="20"/>
          <w:color w:val="auto"/>
        </w:rPr>
      </w:pPr>
    </w:p>
    <w:p>
      <w:pPr>
        <w:ind w:firstLine="303"/>
        <w:spacing w:after="0" w:line="301" w:lineRule="auto"/>
        <w:rPr>
          <w:sz w:val="20"/>
          <w:szCs w:val="20"/>
          <w:color w:val="auto"/>
        </w:rPr>
      </w:pPr>
      <w:r>
        <w:rPr>
          <w:rFonts w:ascii="Arial" w:cs="Arial" w:eastAsia="Arial" w:hAnsi="Arial"/>
          <w:sz w:val="16"/>
          <w:szCs w:val="16"/>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62" w:lineRule="exact"/>
        <w:rPr>
          <w:sz w:val="20"/>
          <w:szCs w:val="20"/>
          <w:color w:val="auto"/>
        </w:rPr>
      </w:pPr>
    </w:p>
    <w:p>
      <w:pPr>
        <w:ind w:right="20" w:firstLine="303"/>
        <w:spacing w:after="0" w:line="292"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carefully consider the risks described below, as well as the other information in this Quarterly Report, including our unaudited condensed consolidated financial statements and the related notes and the section titled “Management’s Discussion and Analysis of Financial Condition and Results of Operations” in this Quarterly Report, before deciding whether to invest in our Class A common stock. The occurrence of any of the events or developments described below could harm our business, financial condition, results of operations and prospects. In such an event, the market price of our Class A common stock could decline, and you may lose all or part of your investment. Additional risks and uncertainties not presently known to us or that we currently deem immaterial also may impair our business operations and the market price of our Class A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w:t>
      </w:r>
    </w:p>
    <w:p>
      <w:pPr>
        <w:spacing w:after="0" w:line="162"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b w:val="1"/>
          <w:bCs w:val="1"/>
          <w:i w:val="1"/>
          <w:iCs w:val="1"/>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5" w:lineRule="exact"/>
        <w:rPr>
          <w:sz w:val="20"/>
          <w:szCs w:val="20"/>
          <w:color w:val="auto"/>
        </w:rPr>
      </w:pPr>
    </w:p>
    <w:p>
      <w:pPr>
        <w:ind w:left="600" w:right="54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a limited operating history, which may make it difficult to evaluate the prospects for our future viability and predict our future performance;</w:t>
      </w:r>
    </w:p>
    <w:p>
      <w:pPr>
        <w:spacing w:after="0" w:line="169" w:lineRule="exact"/>
        <w:rPr>
          <w:rFonts w:ascii="Arial" w:cs="Arial" w:eastAsia="Arial" w:hAnsi="Arial"/>
          <w:sz w:val="16"/>
          <w:szCs w:val="16"/>
          <w:color w:val="auto"/>
        </w:rPr>
      </w:pPr>
    </w:p>
    <w:p>
      <w:pPr>
        <w:ind w:left="600" w:right="34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4" w:lineRule="exact"/>
        <w:rPr>
          <w:rFonts w:ascii="Arial" w:cs="Arial" w:eastAsia="Arial" w:hAnsi="Arial"/>
          <w:sz w:val="17"/>
          <w:szCs w:val="17"/>
          <w:color w:val="auto"/>
        </w:rPr>
      </w:pPr>
    </w:p>
    <w:p>
      <w:pPr>
        <w:ind w:left="600" w:right="26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4" w:lineRule="exact"/>
        <w:rPr>
          <w:rFonts w:ascii="Arial" w:cs="Arial" w:eastAsia="Arial" w:hAnsi="Arial"/>
          <w:sz w:val="17"/>
          <w:szCs w:val="17"/>
          <w:color w:val="auto"/>
        </w:rPr>
      </w:pPr>
    </w:p>
    <w:p>
      <w:pPr>
        <w:ind w:left="600" w:right="70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not yet commenced the Broad Release phase of our commercial launch plan for our Proteograph Product Suite, and we may not be able to successfully commence this phase as planned;</w:t>
      </w:r>
    </w:p>
    <w:p>
      <w:pPr>
        <w:spacing w:after="0" w:line="114" w:lineRule="exact"/>
        <w:rPr>
          <w:rFonts w:ascii="Arial" w:cs="Arial" w:eastAsia="Arial" w:hAnsi="Arial"/>
          <w:sz w:val="17"/>
          <w:szCs w:val="17"/>
          <w:color w:val="auto"/>
        </w:rPr>
      </w:pPr>
    </w:p>
    <w:p>
      <w:pPr>
        <w:ind w:left="600" w:right="8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we are able to commence the Broad Release phase of our commercial launch plan, our success depends on broad scientific and market acceptance of our Proteograph, which we may fail to achieve;</w:t>
      </w:r>
    </w:p>
    <w:p>
      <w:pPr>
        <w:spacing w:after="0" w:line="114" w:lineRule="exact"/>
        <w:rPr>
          <w:rFonts w:ascii="Arial" w:cs="Arial" w:eastAsia="Arial" w:hAnsi="Arial"/>
          <w:sz w:val="17"/>
          <w:szCs w:val="17"/>
          <w:color w:val="auto"/>
        </w:rPr>
      </w:pPr>
    </w:p>
    <w:p>
      <w:pPr>
        <w:ind w:left="600" w:right="20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4" w:lineRule="exact"/>
        <w:rPr>
          <w:rFonts w:ascii="Arial" w:cs="Arial" w:eastAsia="Arial" w:hAnsi="Arial"/>
          <w:sz w:val="17"/>
          <w:szCs w:val="17"/>
          <w:color w:val="auto"/>
        </w:rPr>
      </w:pPr>
    </w:p>
    <w:p>
      <w:pPr>
        <w:ind w:left="600" w:right="40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COVID-19 pandemic and efforts to reduce its spread have adversely impacted, and are expected to continue to materially and adversely impact, our business and operations;</w:t>
      </w:r>
    </w:p>
    <w:p>
      <w:pPr>
        <w:spacing w:after="0" w:line="114" w:lineRule="exact"/>
        <w:rPr>
          <w:rFonts w:ascii="Arial" w:cs="Arial" w:eastAsia="Arial" w:hAnsi="Arial"/>
          <w:sz w:val="17"/>
          <w:szCs w:val="17"/>
          <w:color w:val="auto"/>
        </w:rPr>
      </w:pPr>
    </w:p>
    <w:p>
      <w:pPr>
        <w:ind w:left="600" w:right="100" w:hanging="297"/>
        <w:spacing w:after="0" w:line="270"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intellectual property protection for our products and technology, or if the scope of the intellectual property protection obtained is not sufficiently broad,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0" w:name="page41"/>
    <w:bookmarkEnd w:id="40"/>
    <w:p>
      <w:pPr>
        <w:spacing w:after="0" w:line="49" w:lineRule="exact"/>
        <w:rPr>
          <w:sz w:val="20"/>
          <w:szCs w:val="20"/>
          <w:color w:val="auto"/>
        </w:rPr>
      </w:pPr>
    </w:p>
    <w:p>
      <w:pPr>
        <w:ind w:left="600" w:right="540"/>
        <w:spacing w:after="0" w:line="270" w:lineRule="auto"/>
        <w:rPr>
          <w:sz w:val="20"/>
          <w:szCs w:val="20"/>
          <w:color w:val="auto"/>
        </w:rPr>
      </w:pPr>
      <w:r>
        <w:rPr>
          <w:rFonts w:ascii="Arial" w:cs="Arial" w:eastAsia="Arial" w:hAnsi="Arial"/>
          <w:sz w:val="17"/>
          <w:szCs w:val="17"/>
          <w:color w:val="auto"/>
        </w:rPr>
        <w:t>competitors could develop and commercialize products similar or identical to ours, and our ability to successfully commercialize our products may be impaired; and</w:t>
      </w:r>
    </w:p>
    <w:p>
      <w:pPr>
        <w:spacing w:after="0" w:line="115" w:lineRule="exact"/>
        <w:rPr>
          <w:sz w:val="20"/>
          <w:szCs w:val="20"/>
          <w:color w:val="auto"/>
        </w:rPr>
      </w:pPr>
    </w:p>
    <w:p>
      <w:pPr>
        <w:ind w:left="600" w:right="40" w:hanging="297"/>
        <w:spacing w:after="0" w:line="255"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6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We are an early-stage life sciences technology company with a history of net losses, which we expect to continue, and we may not be able to generate meaningful revenues or achieve and sustain profitability in the future.</w:t>
      </w:r>
    </w:p>
    <w:p>
      <w:pPr>
        <w:spacing w:after="0" w:line="115"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We are an early-stage life sciences technology company, and we have incurred significant losses since we were formed in 2017, and expect to continue to incur losses in the future. For the three months ended September 30, 2021 and 2020, we incurred net losses of $18.4 million and $8.2 million, respectively. For the nine months ended September 30, 2021 and 2020, we incurred net losses of $51.4 million and $19.8 million, respectively. As of September 30, 2021, we had an accumulated deficit of $106.8 million. These losses and accumulated deficit were primarily due to the substantial investments we have made to develop and improve our technology and our Proteograph Product Suite. Over the next several years, we expect to continue to devote substantially all of our resources towards continuing development and commercialization of our Proteograph Product Suite and research and development efforts for products. These efforts may prove more costly than we currently anticipate. While we have generated product revenue, we may never generate revenue sufficient to offset our expenses. In addition, as a newly public company, we will incur significant legal, accounting, administrative, insurance and other expenses that we did not incur as a private company. Accordingly, we cannot assure you that we will achieve profitability in the future or that, if we do become profitable, we will sustain profitability.</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which may make it difficult to evaluate the prospects for our future viability and predict our future performance.</w:t>
      </w:r>
    </w:p>
    <w:p>
      <w:pPr>
        <w:spacing w:after="0" w:line="181" w:lineRule="exact"/>
        <w:rPr>
          <w:sz w:val="20"/>
          <w:szCs w:val="20"/>
          <w:color w:val="auto"/>
        </w:rPr>
      </w:pPr>
    </w:p>
    <w:p>
      <w:pPr>
        <w:ind w:right="80" w:firstLine="303"/>
        <w:spacing w:after="0" w:line="252" w:lineRule="auto"/>
        <w:rPr>
          <w:sz w:val="20"/>
          <w:szCs w:val="20"/>
          <w:color w:val="auto"/>
        </w:rPr>
      </w:pPr>
      <w:r>
        <w:rPr>
          <w:rFonts w:ascii="Arial" w:cs="Arial" w:eastAsia="Arial" w:hAnsi="Arial"/>
          <w:sz w:val="17"/>
          <w:szCs w:val="17"/>
          <w:color w:val="auto"/>
        </w:rPr>
        <w:t>We have not yet broadly commercialized our Proteograph Product Suite or any other products. Our operations to date have been primarily focused on developing our technology and products. Our prospects must be considered in light of the uncertainties, risks, expenses, and difficulties frequently encountered by companies in their early stages of operations. We have not yet achieved market acceptance for our products, produced our products at scale, established a sales model, or conducted sales and marketing activities necessary for successful broad product commercialization.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0" w:lineRule="exact"/>
        <w:rPr>
          <w:sz w:val="20"/>
          <w:szCs w:val="20"/>
          <w:color w:val="auto"/>
        </w:rPr>
      </w:pPr>
    </w:p>
    <w:p>
      <w:pPr>
        <w:ind w:right="200" w:firstLine="303"/>
        <w:spacing w:after="0" w:line="292" w:lineRule="auto"/>
        <w:rPr>
          <w:sz w:val="20"/>
          <w:szCs w:val="20"/>
          <w:color w:val="auto"/>
        </w:rPr>
      </w:pPr>
      <w:r>
        <w:rPr>
          <w:rFonts w:ascii="Arial" w:cs="Arial" w:eastAsia="Arial" w:hAnsi="Arial"/>
          <w:sz w:val="15"/>
          <w:szCs w:val="15"/>
          <w:color w:val="auto"/>
        </w:rPr>
        <w:t>In addition, as a business with a limited operating history, we may encounter unforeseen expenses, difficulties, complications, delays and other known and unknown obstacles. We will need to transition from a company with a focus on research and development to a company capable of supporting broad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4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5" w:lineRule="exact"/>
        <w:rPr>
          <w:sz w:val="20"/>
          <w:szCs w:val="20"/>
          <w:color w:val="auto"/>
        </w:rPr>
      </w:pPr>
    </w:p>
    <w:p>
      <w:pPr>
        <w:ind w:right="260" w:firstLine="303"/>
        <w:spacing w:after="0" w:line="270"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5" w:lineRule="exact"/>
        <w:rPr>
          <w:sz w:val="20"/>
          <w:szCs w:val="20"/>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successfully commercialize our Proteograph Product Suite on our anticipated timeline;</w:t>
      </w:r>
    </w:p>
    <w:p>
      <w:pPr>
        <w:spacing w:after="0" w:line="157" w:lineRule="exact"/>
        <w:rPr>
          <w:rFonts w:ascii="Arial" w:cs="Arial" w:eastAsia="Arial" w:hAnsi="Arial"/>
          <w:sz w:val="17"/>
          <w:szCs w:val="17"/>
          <w:color w:val="auto"/>
        </w:rPr>
      </w:pPr>
    </w:p>
    <w:p>
      <w:pPr>
        <w:jc w:val="both"/>
        <w:ind w:left="600" w:right="400" w:hanging="297"/>
        <w:spacing w:after="0" w:line="258"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and development and commercialization activities relating to our Proteograph Product Suite, including our SP100 automation instrument, proprietary engineered nanoparticle (NP) technology and Proteograph Analysis Suite software, which may change from time to time;</w:t>
      </w:r>
    </w:p>
    <w:p>
      <w:pPr>
        <w:spacing w:after="0" w:line="126" w:lineRule="exact"/>
        <w:rPr>
          <w:rFonts w:ascii="Arial" w:cs="Arial" w:eastAsia="Arial" w:hAnsi="Arial"/>
          <w:sz w:val="17"/>
          <w:szCs w:val="17"/>
          <w:color w:val="auto"/>
        </w:rPr>
      </w:pPr>
    </w:p>
    <w:p>
      <w:pPr>
        <w:ind w:left="600" w:right="14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level of demand for any products we are able to commercialize, particularly our Proteograph Product Suite, which may vary significantly from period to period;</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drive adoption of our Proteograph in our target markets and our ability to expand into any future target markets;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prices at which we will be able to sell our Proteograph Product Suite;</w:t>
      </w:r>
    </w:p>
    <w:p>
      <w:pPr>
        <w:spacing w:after="0" w:line="157"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volume and mix of our sales between our Proteograph Product Suite and associated consumables, or changes in the manufacturing or sales costs related to our products;</w:t>
      </w:r>
    </w:p>
    <w:p>
      <w:pPr>
        <w:spacing w:after="0" w:line="114" w:lineRule="exact"/>
        <w:rPr>
          <w:rFonts w:ascii="Arial" w:cs="Arial" w:eastAsia="Arial" w:hAnsi="Arial"/>
          <w:sz w:val="17"/>
          <w:szCs w:val="17"/>
          <w:color w:val="auto"/>
        </w:rPr>
      </w:pPr>
    </w:p>
    <w:p>
      <w:pPr>
        <w:ind w:left="600" w:right="20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length of time of the sales cycle for purchases of our Proteograph, including lead time needed to procure SP100 automation instruments from our third-party contract manufacturer;</w:t>
      </w:r>
    </w:p>
    <w:p>
      <w:pPr>
        <w:spacing w:after="0" w:line="114" w:lineRule="exact"/>
        <w:rPr>
          <w:rFonts w:ascii="Arial" w:cs="Arial" w:eastAsia="Arial" w:hAnsi="Arial"/>
          <w:sz w:val="17"/>
          <w:szCs w:val="17"/>
          <w:color w:val="auto"/>
        </w:rPr>
      </w:pPr>
    </w:p>
    <w:p>
      <w:pPr>
        <w:ind w:left="600" w:right="24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and amount of expenditures that we may incur to develop, commercialize or acquire additional products and technologies or for other purposes, such as the expansion of our facilities;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governmental funding of life sciences research and development or changes that impact budgets and budget cycles;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seasonal spending patterns of our customers;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timing of when we recognize any revenues;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outcome of any future litigation or governmental investigations involving us, our industry or both;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higher than anticipated service, replacement and warranty costs;</w:t>
      </w:r>
    </w:p>
    <w:p>
      <w:pPr>
        <w:spacing w:after="0" w:line="157" w:lineRule="exact"/>
        <w:rPr>
          <w:rFonts w:ascii="Arial" w:cs="Arial" w:eastAsia="Arial" w:hAnsi="Arial"/>
          <w:sz w:val="17"/>
          <w:szCs w:val="17"/>
          <w:color w:val="auto"/>
        </w:rPr>
      </w:pPr>
    </w:p>
    <w:p>
      <w:pPr>
        <w:ind w:left="600" w:right="46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invest ment in life sciences and research industries, our business operations, and resources and operations of our customers, suppliers and supply chain, and distributors; and</w:t>
      </w:r>
    </w:p>
    <w:p>
      <w:pPr>
        <w:spacing w:after="0" w:line="114" w:lineRule="exact"/>
        <w:rPr>
          <w:rFonts w:ascii="Arial" w:cs="Arial" w:eastAsia="Arial" w:hAnsi="Arial"/>
          <w:sz w:val="17"/>
          <w:szCs w:val="17"/>
          <w:color w:val="auto"/>
        </w:rPr>
      </w:pPr>
    </w:p>
    <w:p>
      <w:pPr>
        <w:ind w:left="600" w:right="20" w:hanging="297"/>
        <w:spacing w:after="0" w:line="270" w:lineRule="auto"/>
        <w:tabs>
          <w:tab w:leader="none" w:pos="5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general industry, economic and market conditions and other factors, including factors unrelated to our operating performance or the operating performance of our competitors.</w:t>
      </w:r>
    </w:p>
    <w:p>
      <w:pPr>
        <w:spacing w:after="0" w:line="115" w:lineRule="exact"/>
        <w:rPr>
          <w:sz w:val="20"/>
          <w:szCs w:val="20"/>
          <w:color w:val="auto"/>
        </w:rPr>
      </w:pPr>
    </w:p>
    <w:p>
      <w:pPr>
        <w:ind w:right="160" w:firstLine="303"/>
        <w:spacing w:after="0" w:line="258" w:lineRule="auto"/>
        <w:rPr>
          <w:sz w:val="20"/>
          <w:szCs w:val="20"/>
          <w:color w:val="auto"/>
        </w:rPr>
      </w:pPr>
      <w:r>
        <w:rPr>
          <w:rFonts w:ascii="Arial" w:cs="Arial" w:eastAsia="Arial" w:hAnsi="Arial"/>
          <w:sz w:val="17"/>
          <w:szCs w:val="17"/>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26" w:lineRule="exact"/>
        <w:rPr>
          <w:sz w:val="20"/>
          <w:szCs w:val="20"/>
          <w:color w:val="auto"/>
        </w:rPr>
      </w:pPr>
    </w:p>
    <w:p>
      <w:pPr>
        <w:ind w:right="80" w:firstLine="303"/>
        <w:spacing w:after="0" w:line="258"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we are unable to commercialize products or generate revenue, or if our operating results fall below the expectations of analysts or investors or below any guidance we may provide,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if the guidance we provide is below the expectations of analysts or investors, it could cause the market price of our Class A common stock to decline.</w:t>
      </w:r>
    </w:p>
    <w:p>
      <w:pPr>
        <w:spacing w:after="0" w:line="15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The size of the markets for our Proteograph Product Suite may be smaller than estimated, and new market opportunities may not develop as quickly as we expect, or at all, limiting our ability to successfully sell our products.</w:t>
      </w:r>
    </w:p>
    <w:p>
      <w:pPr>
        <w:spacing w:after="0" w:line="115" w:lineRule="exact"/>
        <w:rPr>
          <w:sz w:val="20"/>
          <w:szCs w:val="20"/>
          <w:color w:val="auto"/>
        </w:rPr>
      </w:pPr>
    </w:p>
    <w:p>
      <w:pPr>
        <w:ind w:right="40" w:firstLine="303"/>
        <w:spacing w:after="0" w:line="284" w:lineRule="auto"/>
        <w:rPr>
          <w:sz w:val="20"/>
          <w:szCs w:val="20"/>
          <w:color w:val="auto"/>
        </w:rPr>
      </w:pPr>
      <w:r>
        <w:rPr>
          <w:rFonts w:ascii="Arial" w:cs="Arial" w:eastAsia="Arial" w:hAnsi="Arial"/>
          <w:sz w:val="15"/>
          <w:szCs w:val="15"/>
          <w:color w:val="auto"/>
        </w:rPr>
        <w:t>The market for proteomics and genomics technologies and products is evolving, making it difficult to predict with any accuracy the size of the markets for our current and future products, including our Proteograph Product Suite. Our estimates of the total addressable market for our current and future products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and proteomics markets, the proteomics market may develop more slowly or differently. In addition, our Proteograph Product Suite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1"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12"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We have not yet commenced the Broad Release phase of our commercial launch plan for our Proteograph Product Suite, and we may not be able to commence this phase as planned.</w:t>
      </w:r>
    </w:p>
    <w:p>
      <w:pPr>
        <w:spacing w:after="0" w:line="115" w:lineRule="exact"/>
        <w:rPr>
          <w:sz w:val="20"/>
          <w:szCs w:val="20"/>
          <w:color w:val="auto"/>
        </w:rPr>
      </w:pPr>
    </w:p>
    <w:p>
      <w:pPr>
        <w:ind w:right="60" w:firstLine="303"/>
        <w:spacing w:after="0" w:line="282" w:lineRule="auto"/>
        <w:rPr>
          <w:sz w:val="20"/>
          <w:szCs w:val="20"/>
          <w:color w:val="auto"/>
        </w:rPr>
      </w:pPr>
      <w:r>
        <w:rPr>
          <w:rFonts w:ascii="Arial" w:cs="Arial" w:eastAsia="Arial" w:hAnsi="Arial"/>
          <w:sz w:val="16"/>
          <w:szCs w:val="16"/>
          <w:color w:val="auto"/>
        </w:rPr>
        <w:t>We have not yet initiated a broad commercial launch of our Proteograph Product Suite. We are following a three phase launch plan to commercialize our Proteograph, which includes a Collaboration phase, a Limited Release phase and a Broad Release phase. We have moved into the second phase of commercialization, the Limited Release phase of our commercial launch plan. Our commercialization plan may not progress as planned due to:</w:t>
      </w:r>
    </w:p>
    <w:p>
      <w:pPr>
        <w:spacing w:after="0" w:line="108" w:lineRule="exact"/>
        <w:rPr>
          <w:sz w:val="20"/>
          <w:szCs w:val="20"/>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inability to establish the capabilities and value proposition of our Proteograph Product Suite with key opinion leaders in a timely fashion;</w:t>
      </w:r>
    </w:p>
    <w:p>
      <w:pPr>
        <w:spacing w:after="0" w:line="157" w:lineRule="exact"/>
        <w:rPr>
          <w:rFonts w:ascii="Arial" w:cs="Arial" w:eastAsia="Arial" w:hAnsi="Arial"/>
          <w:sz w:val="17"/>
          <w:szCs w:val="17"/>
          <w:color w:val="auto"/>
        </w:rPr>
      </w:pPr>
    </w:p>
    <w:p>
      <w:pPr>
        <w:ind w:left="600" w:right="540" w:hanging="297"/>
        <w:spacing w:after="0" w:line="270" w:lineRule="auto"/>
        <w:tabs>
          <w:tab w:leader="none" w:pos="596"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need or desire to modify aspects of our Proteograph Product Suite during the second phase or prior to entering into the third phase of our commercial launch plan;</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changing industry or market conditions, customer requirements or competitor offerings over the span of our commercialization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49" w:lineRule="exact"/>
        <w:rPr>
          <w:sz w:val="20"/>
          <w:szCs w:val="20"/>
          <w:color w:val="auto"/>
        </w:rPr>
      </w:pPr>
    </w:p>
    <w:p>
      <w:pPr>
        <w:ind w:left="600" w:hanging="297"/>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delays in building out our sales, customer support and marketing organization as needed for the Broad Release phase of our commercialization plan;</w:t>
      </w:r>
    </w:p>
    <w:p>
      <w:pPr>
        <w:spacing w:after="0" w:line="169" w:lineRule="exact"/>
        <w:rPr>
          <w:rFonts w:ascii="Arial" w:cs="Arial" w:eastAsia="Arial" w:hAnsi="Arial"/>
          <w:sz w:val="16"/>
          <w:szCs w:val="16"/>
          <w:color w:val="auto"/>
        </w:rPr>
      </w:pPr>
    </w:p>
    <w:p>
      <w:pPr>
        <w:ind w:left="600" w:right="1000" w:hanging="297"/>
        <w:spacing w:after="0" w:line="270"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delays in ramping up manufacturing, either internally or through our suppliers to meet the expected demand for the Broad Release phase of our commercialization plan; and,</w:t>
      </w:r>
    </w:p>
    <w:p>
      <w:pPr>
        <w:spacing w:after="0" w:line="114" w:lineRule="exact"/>
        <w:rPr>
          <w:rFonts w:ascii="Arial" w:cs="Arial" w:eastAsia="Arial" w:hAnsi="Arial"/>
          <w:sz w:val="17"/>
          <w:szCs w:val="17"/>
          <w:color w:val="auto"/>
        </w:rPr>
      </w:pPr>
    </w:p>
    <w:p>
      <w:pPr>
        <w:ind w:left="600" w:right="140" w:hanging="297"/>
        <w:spacing w:after="0" w:line="270" w:lineRule="auto"/>
        <w:tabs>
          <w:tab w:leader="none" w:pos="59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COVID-19 pandemic on the economy and research industries, our business operations, and resources and the operations of our customers, suppliers and supply chain, and distributors.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To the extent our commercial launch plan is delayed or unsuccessful, our financial results will be adversely impacted.</w:t>
      </w:r>
    </w:p>
    <w:p>
      <w:pPr>
        <w:spacing w:after="0" w:line="158" w:lineRule="exact"/>
        <w:rPr>
          <w:sz w:val="20"/>
          <w:szCs w:val="20"/>
          <w:color w:val="auto"/>
        </w:rPr>
      </w:pPr>
    </w:p>
    <w:p>
      <w:pPr>
        <w:ind w:right="60" w:firstLine="303"/>
        <w:spacing w:after="0" w:line="270" w:lineRule="auto"/>
        <w:rPr>
          <w:sz w:val="20"/>
          <w:szCs w:val="20"/>
          <w:color w:val="auto"/>
        </w:rPr>
      </w:pPr>
      <w:r>
        <w:rPr>
          <w:rFonts w:ascii="Arial" w:cs="Arial" w:eastAsia="Arial" w:hAnsi="Arial"/>
          <w:sz w:val="17"/>
          <w:szCs w:val="17"/>
          <w:b w:val="1"/>
          <w:bCs w:val="1"/>
          <w:i w:val="1"/>
          <w:iCs w:val="1"/>
          <w:color w:val="auto"/>
        </w:rPr>
        <w:t>Even if we are able to commence the Broad Release phase of our commercial launch plan, our success depends on broad scientific and market acceptance of our Proteograph, which we may fail to achieve.</w:t>
      </w:r>
    </w:p>
    <w:p>
      <w:pPr>
        <w:spacing w:after="0" w:line="115" w:lineRule="exact"/>
        <w:rPr>
          <w:sz w:val="20"/>
          <w:szCs w:val="20"/>
          <w:color w:val="auto"/>
        </w:rPr>
      </w:pPr>
    </w:p>
    <w:p>
      <w:pPr>
        <w:ind w:firstLine="303"/>
        <w:spacing w:after="0" w:line="255" w:lineRule="auto"/>
        <w:rPr>
          <w:sz w:val="20"/>
          <w:szCs w:val="20"/>
          <w:color w:val="auto"/>
        </w:rPr>
      </w:pPr>
      <w:r>
        <w:rPr>
          <w:rFonts w:ascii="Arial" w:cs="Arial" w:eastAsia="Arial" w:hAnsi="Arial"/>
          <w:sz w:val="17"/>
          <w:szCs w:val="17"/>
          <w:color w:val="auto"/>
        </w:rPr>
        <w:t>Our ability to achieve and maintain scientific and commercial market acceptance of our Proteograph Product Suite will depend on a number of factors. We expect that our Proteograph will be subject to the market forces and adoption curves common to other new technologies. The market for proteomics and genomics technologies and products is in its early stages of development. If widespread adoption of our Proteograph takes longer than anticipated, or broad scientific and market acceptance does not occur, we will continue to experience operating losses.</w:t>
      </w:r>
    </w:p>
    <w:p>
      <w:pPr>
        <w:spacing w:after="0" w:line="127" w:lineRule="exact"/>
        <w:rPr>
          <w:sz w:val="20"/>
          <w:szCs w:val="20"/>
          <w:color w:val="auto"/>
        </w:rPr>
      </w:pPr>
    </w:p>
    <w:p>
      <w:pPr>
        <w:ind w:firstLine="303"/>
        <w:spacing w:after="0" w:line="286" w:lineRule="auto"/>
        <w:rPr>
          <w:sz w:val="20"/>
          <w:szCs w:val="20"/>
          <w:color w:val="auto"/>
        </w:rPr>
      </w:pPr>
      <w:r>
        <w:rPr>
          <w:rFonts w:ascii="Arial" w:cs="Arial" w:eastAsia="Arial" w:hAnsi="Arial"/>
          <w:sz w:val="15"/>
          <w:szCs w:val="15"/>
          <w:color w:val="auto"/>
        </w:rPr>
        <w:t>The success of life sciences products is due, in large part, to acceptance by the scientific community and their adoption of certain products in the applicable field of research. The life sciences scientific community is often led by a small number of early adopters and key opinion leaders who significantly influence the rest of the community through publications, including peer-reviewed journals. In such journal publications, the researchers will describe not only their discoveries, but also the methods, and typically the products used, to fuel such discoveries. Mentions in publications, including peer-reviewed journal publications, are a driver for the general acceptance of life sciences products, such as our Proteograph Product Suite. During the Collaboration and Limited Release phases of our commercialization plan, we intend to collaborate with a small number of key opinion leaders who are highly skilled at evaluating novel technologies and whose feedback can help us solidify our commercialization plans and processes. Ensuring that early adopters and key opinion leaders publish research involving the use of our products is critical to ensuring our products gain widespread scientific acceptance. In addition, continuing collaborative relationships with key opinion leaders will be vital to maintaining any market acceptance we achieve. If too few researchers describe the use of our products, too many researchers utilize or shift to a competing product and publish research outlining their use of that product or too many researchers negatively describe the use of our products in publications, it may drive customers away from our products and it may delay our progression towards the broad release phase of our commercialization plan.</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Other factors in achieving commercial market acceptance, include:</w:t>
      </w:r>
    </w:p>
    <w:p>
      <w:pPr>
        <w:spacing w:after="0" w:line="158" w:lineRule="exact"/>
        <w:rPr>
          <w:sz w:val="20"/>
          <w:szCs w:val="20"/>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market and increase awareness of the capabilities of our Proteograph Product Suite;</w:t>
      </w:r>
    </w:p>
    <w:p>
      <w:pPr>
        <w:spacing w:after="0" w:line="157" w:lineRule="exact"/>
        <w:rPr>
          <w:rFonts w:ascii="Arial" w:cs="Arial" w:eastAsia="Arial" w:hAnsi="Arial"/>
          <w:sz w:val="17"/>
          <w:szCs w:val="17"/>
          <w:color w:val="auto"/>
        </w:rPr>
      </w:pPr>
    </w:p>
    <w:p>
      <w:pPr>
        <w:ind w:left="600" w:right="520" w:hanging="297"/>
        <w:spacing w:after="0" w:line="270" w:lineRule="auto"/>
        <w:tabs>
          <w:tab w:leader="none" w:pos="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Proteograph Product Suite to demonstrate comparable performance in intended use applications broadly in the hands of customers as achieved in the Collaboration and Limited Release phases of our commercialization plan;</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customers’ willingness to adopt new products and workflows;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Proteograph’s ease of use and whether it reliably provides advantages over other alternative technologies;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rate of adoption of our Proteograph Product Suite by academic institutions, laboratories, biopharmaceutical companies and others;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prices we charge for our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49" w:lineRule="exact"/>
        <w:rPr>
          <w:sz w:val="20"/>
          <w:szCs w:val="20"/>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develop new products and workflows and solutions for customers;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competitors develop and commercialize products that perform similar functions as our Proteograph;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our investments in product innovation and commercial growth.</w:t>
      </w:r>
    </w:p>
    <w:p>
      <w:pPr>
        <w:spacing w:after="0" w:line="158" w:lineRule="exact"/>
        <w:rPr>
          <w:sz w:val="20"/>
          <w:szCs w:val="20"/>
          <w:color w:val="auto"/>
        </w:rPr>
      </w:pPr>
    </w:p>
    <w:p>
      <w:pPr>
        <w:jc w:val="both"/>
        <w:ind w:right="180" w:firstLine="303"/>
        <w:spacing w:after="0" w:line="258" w:lineRule="auto"/>
        <w:rPr>
          <w:sz w:val="20"/>
          <w:szCs w:val="20"/>
          <w:color w:val="auto"/>
        </w:rPr>
      </w:pPr>
      <w:r>
        <w:rPr>
          <w:rFonts w:ascii="Arial" w:cs="Arial" w:eastAsia="Arial" w:hAnsi="Arial"/>
          <w:sz w:val="17"/>
          <w:szCs w:val="17"/>
          <w:color w:val="auto"/>
        </w:rPr>
        <w:t>We cannot assure you that we will be successful in addressing each of these criteria or other criteria that might affect the market acceptance of any products we commercialize, particularly our Proteograph Product Suite. If we are unsuccessful in achieving and maintaining market acceptance of our Proteograph, our business, financial condition and results of operations would be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establish sales and marketing capabilities, we may not be successful in commercializing our Proteograph Product Suite.</w:t>
      </w:r>
    </w:p>
    <w:p>
      <w:pPr>
        <w:spacing w:after="0" w:line="169" w:lineRule="exact"/>
        <w:rPr>
          <w:sz w:val="20"/>
          <w:szCs w:val="20"/>
          <w:color w:val="auto"/>
        </w:rPr>
      </w:pPr>
    </w:p>
    <w:p>
      <w:pPr>
        <w:ind w:right="80" w:firstLine="303"/>
        <w:spacing w:after="0" w:line="299" w:lineRule="auto"/>
        <w:rPr>
          <w:sz w:val="20"/>
          <w:szCs w:val="20"/>
          <w:color w:val="auto"/>
        </w:rPr>
      </w:pPr>
      <w:r>
        <w:rPr>
          <w:rFonts w:ascii="Arial" w:cs="Arial" w:eastAsia="Arial" w:hAnsi="Arial"/>
          <w:sz w:val="15"/>
          <w:szCs w:val="15"/>
          <w:color w:val="auto"/>
        </w:rPr>
        <w:t>We have limited experience as a company in sales and marketing and our ability to successfully commercialize depends on our being able to attract customers for our Proteograph Product Suite. Although members of our management team have considerable industry experience, we need to expand our sales, marketing, distribution and customer service and support capabilities with the appropriate technical expertise prior to the broad release of our Proteograph Product Suite. To perform sales, marketing, distribution, and customer service and support successfully, we will face a number of risks, including:</w:t>
      </w:r>
    </w:p>
    <w:p>
      <w:pPr>
        <w:spacing w:after="0" w:line="99" w:lineRule="exact"/>
        <w:rPr>
          <w:sz w:val="20"/>
          <w:szCs w:val="20"/>
          <w:color w:val="auto"/>
        </w:rPr>
      </w:pPr>
    </w:p>
    <w:p>
      <w:pPr>
        <w:ind w:left="600" w:right="140" w:hanging="297"/>
        <w:spacing w:after="0" w:line="270" w:lineRule="auto"/>
        <w:tabs>
          <w:tab w:leader="none" w:pos="5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retain and manage the sales, marketing and customer service and support force necessary to commercialize and gain market acceptance for our technology;</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time and cost of establishing a specialized sales, marketing and customer service and support force;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sales, marketing and customer service and support force may be unable to initiate and execute successful commercialization activities.</w:t>
      </w:r>
    </w:p>
    <w:p>
      <w:pPr>
        <w:spacing w:after="0" w:line="158"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We may seek to enlist one or more third parties to assist with sales, distribution and customer service and support globally or in certain regions of the world. There is no guarantee, if we do seek to enter into such arrangements, that we will be successful in attracting desirable or experienced sales or distribution partners or that we will be able to enter into such arrangements on favorable terms. If our sales and marketing efforts, or those of any third-party sales and distribution partners, are not successful, our Proteograph may not gain market acceptance, which could materially impact our business operations.</w:t>
      </w:r>
    </w:p>
    <w:p>
      <w:pPr>
        <w:spacing w:after="0" w:line="112" w:lineRule="exact"/>
        <w:rPr>
          <w:sz w:val="20"/>
          <w:szCs w:val="20"/>
          <w:color w:val="auto"/>
        </w:rPr>
      </w:pPr>
    </w:p>
    <w:p>
      <w:pPr>
        <w:ind w:right="540"/>
        <w:spacing w:after="0" w:line="270" w:lineRule="auto"/>
        <w:rPr>
          <w:sz w:val="20"/>
          <w:szCs w:val="20"/>
          <w:color w:val="auto"/>
        </w:rPr>
      </w:pPr>
      <w:r>
        <w:rPr>
          <w:rFonts w:ascii="Arial" w:cs="Arial" w:eastAsia="Arial" w:hAnsi="Arial"/>
          <w:sz w:val="17"/>
          <w:szCs w:val="17"/>
          <w:b w:val="1"/>
          <w:bCs w:val="1"/>
          <w:i w:val="1"/>
          <w:iCs w:val="1"/>
          <w:color w:val="auto"/>
        </w:rPr>
        <w:t>Even if our Proteograph Product Suite is broadly commercialized and achieves broad scientific and market acceptance, if we fail to improve it or introduce compelling new products, our revenues and our prospects could be harmed.</w:t>
      </w:r>
    </w:p>
    <w:p>
      <w:pPr>
        <w:spacing w:after="0" w:line="115" w:lineRule="exact"/>
        <w:rPr>
          <w:sz w:val="20"/>
          <w:szCs w:val="20"/>
          <w:color w:val="auto"/>
        </w:rPr>
      </w:pPr>
    </w:p>
    <w:p>
      <w:pPr>
        <w:ind w:right="140" w:firstLine="303"/>
        <w:spacing w:after="0" w:line="292" w:lineRule="auto"/>
        <w:rPr>
          <w:sz w:val="20"/>
          <w:szCs w:val="20"/>
          <w:color w:val="auto"/>
        </w:rPr>
      </w:pPr>
      <w:r>
        <w:rPr>
          <w:rFonts w:ascii="Arial" w:cs="Arial" w:eastAsia="Arial" w:hAnsi="Arial"/>
          <w:sz w:val="15"/>
          <w:szCs w:val="15"/>
          <w:color w:val="auto"/>
        </w:rPr>
        <w:t>Even if we are able to broadly commercialize our Proteograph Product Suite and achieve broad scientific and market acceptance, our ability to attract new customers and increase revenue from existing customers will depend in large part on our ability to enhance and improve our Proteograph solution and to introduce compelling new products. The success of any enhancement to our Proteograph Product Suite or introduction of new products depends on several factors, including timely completion and delivery, competitive pricing, adequate quality testing, integration with existing technologies, appropriately timed and staged introduction and overall market acceptance. Any new product or enhancement to our Proteograph that we develop may not be introduced in a timely or cost-effective manner, may contain defects, errors, vulnerabilities or bugs, or may not achieve the market acceptance necessary to generate significant revenue.</w:t>
      </w:r>
    </w:p>
    <w:p>
      <w:pPr>
        <w:spacing w:after="0" w:line="103" w:lineRule="exact"/>
        <w:rPr>
          <w:sz w:val="20"/>
          <w:szCs w:val="20"/>
          <w:color w:val="auto"/>
        </w:rPr>
      </w:pPr>
    </w:p>
    <w:p>
      <w:pPr>
        <w:ind w:firstLine="303"/>
        <w:spacing w:after="0" w:line="295" w:lineRule="auto"/>
        <w:rPr>
          <w:sz w:val="20"/>
          <w:szCs w:val="20"/>
          <w:color w:val="auto"/>
        </w:rPr>
      </w:pPr>
      <w:r>
        <w:rPr>
          <w:rFonts w:ascii="Arial" w:cs="Arial" w:eastAsia="Arial" w:hAnsi="Arial"/>
          <w:sz w:val="15"/>
          <w:szCs w:val="15"/>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49"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we are unable to successfully develop new products, enhance our Proteograph Product Suite to meet customer requirements, compete with alternative products, or otherwise gain and maintain market acceptance, our business, results of operations and financial condition could be harmed.</w:t>
      </w:r>
    </w:p>
    <w:p>
      <w:pPr>
        <w:spacing w:after="0" w:line="9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The COVID-19 pandemic and efforts to reduce its spread have adversely impacted, and are expected to continue to materially and adversely impact, our business and operations.</w:t>
      </w:r>
    </w:p>
    <w:p>
      <w:pPr>
        <w:spacing w:after="0" w:line="115"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third-party manufacturing facilities in the United States and other countries, and the availability or cost of materials, which would disrupt or delay our receipt of instruments, components and supplies from the third parties we rely on to, among other things, produce our SP100 automation instrument and NPs. For instance, “stay-at-home” orders in California, and specifically San Mateo County where our headquarters is located, that require businesses to implement certain social distancing protocols and other written health and safety plans and measures and which could affect productivity and morale, could be reinstated. We have continued to operate within the rules applicable to our business; however, an extended implementation of these governmental mandates could further impact our ability to operate effectively and conduct ongoing research and development or other activities. For onsite work in our Redwood City and San Diego offices, we require employees to show proof of vaccination and be tested weekly. The COVID-19 pandemic and a skilled labor shortage in general have also had an effect on our ability to attract, recruit and interview candidates at the pace we would typically expect to support our rapidly expanding operations. To the extent that any governmental authority imposes additional regulatory requirements or changes existing laws, regulations, and policies that apply to our business and operations, such as additional workplace safety measures, our product development plans may be delayed, and we may incur further costs in bringing our business and operations into compliance with changing or new laws, regulations, and policies.</w:t>
      </w:r>
    </w:p>
    <w:p>
      <w:pPr>
        <w:spacing w:after="0" w:line="111" w:lineRule="exact"/>
        <w:rPr>
          <w:sz w:val="20"/>
          <w:szCs w:val="20"/>
          <w:color w:val="auto"/>
        </w:rPr>
      </w:pPr>
    </w:p>
    <w:p>
      <w:pPr>
        <w:ind w:firstLine="303"/>
        <w:spacing w:after="0" w:line="250" w:lineRule="auto"/>
        <w:rPr>
          <w:sz w:val="20"/>
          <w:szCs w:val="20"/>
          <w:color w:val="auto"/>
        </w:rPr>
      </w:pPr>
      <w:r>
        <w:rPr>
          <w:rFonts w:ascii="Arial" w:cs="Arial" w:eastAsia="Arial" w:hAnsi="Arial"/>
          <w:sz w:val="17"/>
          <w:szCs w:val="17"/>
          <w:color w:val="auto"/>
        </w:rPr>
        <w:t>In the near term, we expect that substantially all of our revenue will be derived from sales of our Proteograph Product Suite, including our instruments and associated consumables, to academic, research and commercial institutions. We have moved into the Limited Release phase of our commercialization plan and, as a result, in the near term, our ability to drive the adoption of our Proteograph solution will depend on our ability to visit customer sites, the ability of our customers to access laboratories, and the ability to install and train on our Proteograph Product Suite and conduct research in light of the COVID-19 pandemic. Additionally, since we have moved into the Limited Release phase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has become increasingly important to the adoption of our Proteograph. All of these considerations are impacted by factors beyond our control, such as:</w:t>
      </w:r>
    </w:p>
    <w:p>
      <w:pPr>
        <w:spacing w:after="0" w:line="136" w:lineRule="exact"/>
        <w:rPr>
          <w:sz w:val="20"/>
          <w:szCs w:val="20"/>
          <w:color w:val="auto"/>
        </w:rPr>
      </w:pPr>
    </w:p>
    <w:p>
      <w:pPr>
        <w:jc w:val="both"/>
        <w:ind w:left="600" w:right="140" w:hanging="297"/>
        <w:spacing w:after="0" w:line="258" w:lineRule="auto"/>
        <w:tabs>
          <w:tab w:leader="none" w:pos="5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26" w:lineRule="exact"/>
        <w:rPr>
          <w:rFonts w:ascii="Arial" w:cs="Arial" w:eastAsia="Arial" w:hAnsi="Arial"/>
          <w:sz w:val="17"/>
          <w:szCs w:val="17"/>
          <w:color w:val="auto"/>
        </w:rPr>
      </w:pPr>
    </w:p>
    <w:p>
      <w:pPr>
        <w:ind w:left="600" w:hanging="2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 and</w:t>
      </w:r>
    </w:p>
    <w:p>
      <w:pPr>
        <w:spacing w:after="0" w:line="157" w:lineRule="exact"/>
        <w:rPr>
          <w:rFonts w:ascii="Arial" w:cs="Arial" w:eastAsia="Arial" w:hAnsi="Arial"/>
          <w:sz w:val="17"/>
          <w:szCs w:val="17"/>
          <w:color w:val="auto"/>
        </w:rPr>
      </w:pPr>
    </w:p>
    <w:p>
      <w:pPr>
        <w:ind w:left="600" w:hanging="297"/>
        <w:spacing w:after="0" w:line="258" w:lineRule="auto"/>
        <w:tabs>
          <w:tab w:leader="none" w:pos="5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26" w:lineRule="exact"/>
        <w:rPr>
          <w:sz w:val="20"/>
          <w:szCs w:val="20"/>
          <w:color w:val="auto"/>
        </w:rPr>
      </w:pPr>
    </w:p>
    <w:p>
      <w:pPr>
        <w:ind w:right="60" w:firstLine="303"/>
        <w:spacing w:after="0" w:line="282" w:lineRule="auto"/>
        <w:rPr>
          <w:sz w:val="20"/>
          <w:szCs w:val="20"/>
          <w:color w:val="auto"/>
        </w:rPr>
      </w:pPr>
      <w:r>
        <w:rPr>
          <w:rFonts w:ascii="Arial" w:cs="Arial" w:eastAsia="Arial" w:hAnsi="Arial"/>
          <w:sz w:val="16"/>
          <w:szCs w:val="16"/>
          <w:color w:val="auto"/>
        </w:rPr>
        <w:t>Additionally, our suppliers have also been impacted by the COVID-19 pandemic. For example, our SP100 automation instrument manufacturer, Hamilton Company, has experienced a surge in demand for equipment and associated consumables used for COVID-19 diagnostics, and as a result, we have experienced longer lead times for our instruments. We have also experienced supply delays for critical hardware, instrumentation, medical and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49"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supplies that we use for product development and certain components of our consumable kits, as these other components and supplies are otherwise diverted to COVID-19-related testing and other uses.</w:t>
      </w:r>
    </w:p>
    <w:p>
      <w:pPr>
        <w:spacing w:after="0" w:line="115" w:lineRule="exact"/>
        <w:rPr>
          <w:sz w:val="20"/>
          <w:szCs w:val="20"/>
          <w:color w:val="auto"/>
        </w:rPr>
      </w:pPr>
    </w:p>
    <w:p>
      <w:pPr>
        <w:ind w:firstLine="303"/>
        <w:spacing w:after="0" w:line="295" w:lineRule="auto"/>
        <w:rPr>
          <w:sz w:val="20"/>
          <w:szCs w:val="20"/>
          <w:color w:val="auto"/>
        </w:rPr>
      </w:pPr>
      <w:r>
        <w:rPr>
          <w:rFonts w:ascii="Arial" w:cs="Arial" w:eastAsia="Arial" w:hAnsi="Arial"/>
          <w:sz w:val="15"/>
          <w:szCs w:val="15"/>
          <w:color w:val="auto"/>
        </w:rPr>
        <w:t>The ultimate impact of the COVID-19 pandemic is highly uncertain and subject to sudden change. This impact could have a material, adverse impact on our liquidity, capital resources, operations and business and those of the 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00"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5" w:lineRule="exact"/>
        <w:rPr>
          <w:sz w:val="20"/>
          <w:szCs w:val="20"/>
          <w:color w:val="auto"/>
        </w:rPr>
      </w:pPr>
    </w:p>
    <w:p>
      <w:pPr>
        <w:ind w:right="40" w:firstLine="303"/>
        <w:spacing w:after="0" w:line="288" w:lineRule="auto"/>
        <w:rPr>
          <w:sz w:val="20"/>
          <w:szCs w:val="20"/>
          <w:color w:val="auto"/>
        </w:rPr>
      </w:pPr>
      <w:r>
        <w:rPr>
          <w:rFonts w:ascii="Arial" w:cs="Arial" w:eastAsia="Arial" w:hAnsi="Arial"/>
          <w:sz w:val="15"/>
          <w:szCs w:val="15"/>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Proteograph Product Suite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sustain or successfully manage our anticipated growth, our business and prospects will be harmed.</w:t>
      </w:r>
    </w:p>
    <w:p>
      <w:pPr>
        <w:spacing w:after="0" w:line="158" w:lineRule="exact"/>
        <w:rPr>
          <w:sz w:val="20"/>
          <w:szCs w:val="20"/>
          <w:color w:val="auto"/>
        </w:rPr>
      </w:pPr>
    </w:p>
    <w:p>
      <w:pPr>
        <w:ind w:right="20" w:firstLine="303"/>
        <w:spacing w:after="0" w:line="286" w:lineRule="auto"/>
        <w:rPr>
          <w:sz w:val="20"/>
          <w:szCs w:val="20"/>
          <w:color w:val="auto"/>
        </w:rPr>
      </w:pPr>
      <w:r>
        <w:rPr>
          <w:rFonts w:ascii="Arial" w:cs="Arial" w:eastAsia="Arial" w:hAnsi="Arial"/>
          <w:sz w:val="15"/>
          <w:szCs w:val="15"/>
          <w:color w:val="auto"/>
        </w:rPr>
        <w:t>Our anticipated growth will place significant strains on our management, operational and manufacturing systems and processes, sales and marketing team, financial systems and internal controls and other aspects of our business. Developing and commercializing our Proteograph Product Suite will require us to hire and retain scientific, sales and marketing, software, manufacturing, customer service, distribution, quality assurance and other personnel. In addition, we will need to hire additional accounting, finance and other personnel in connection with our efforts to comply with the requirements of being a public company. As a newly public company, our management and other personnel will need to devote a substantial amount of time towards maintaining compliance with these requirements and effectively manage these activities. We may face challenges integrating, developing and motivating our rapidly growing employee base. To effectively manage our growth, we must continue to improve our operational and manufacturing systems and processes, our financial systems and internal controls and other aspects of our business and continue to effectively expand, train and manage our personnel. Our ability to successfully manage our expected growth is uncertain given the fact that we have been in operation only since 2017. As our organization continues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09"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We depend on our key personnel and other highly qualified personnel, and if we are unable to recruit, train and retain our personnel, we may not achieve our goals.</w:t>
      </w:r>
    </w:p>
    <w:p>
      <w:pPr>
        <w:spacing w:after="0" w:line="115" w:lineRule="exact"/>
        <w:rPr>
          <w:sz w:val="20"/>
          <w:szCs w:val="20"/>
          <w:color w:val="auto"/>
        </w:rPr>
      </w:pPr>
    </w:p>
    <w:p>
      <w:pPr>
        <w:ind w:firstLine="303"/>
        <w:spacing w:after="0" w:line="253" w:lineRule="auto"/>
        <w:rPr>
          <w:sz w:val="20"/>
          <w:szCs w:val="20"/>
          <w:color w:val="auto"/>
        </w:rPr>
      </w:pPr>
      <w:r>
        <w:rPr>
          <w:rFonts w:ascii="Arial" w:cs="Arial" w:eastAsia="Arial" w:hAnsi="Arial"/>
          <w:sz w:val="17"/>
          <w:szCs w:val="17"/>
          <w:color w:val="auto"/>
        </w:rPr>
        <w:t>Our future success depends upon our ability to recruit, train, retain and motivate key personnel. Our senior management team, including Omid Farokhzad, one of our founders and our Chief Executive Officer; Omead Ostadan, our President and Chief Operating Officer; and David Horn, our Chief Financial Officer, is critical to our vision, strategic direction, product development and commercialization efforts. On October 13, 2021, we announced that Mr. Ostadan will be taking a leave of absence as an officer of the Company for personal reasons, beginning on November 20, 2021, and lasting approximately three months. The departure of one or more of our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7" w:name="page48"/>
    <w:bookmarkEnd w:id="47"/>
    <w:p>
      <w:pPr>
        <w:spacing w:after="0" w:line="49"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officers, senior management team members, or other key employees could be disruptive to our business until we are able to hire qualified successors. We do not maintain “key man” life insurance on our senior management team.</w:t>
      </w:r>
    </w:p>
    <w:p>
      <w:pPr>
        <w:spacing w:after="0" w:line="115"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Our continued growth and ability to successfully transition from a company primarily focused on development to commercialization depends, in part, on attracting, retaining and motivating qualified personnel, including highly-trained sales personnel with the necessary scientific background and ability to understand our systems at a technical level to effectively identify and sell to potential new customers. New hires require significant training and, in most cases, take significant time before they achieve full productivity. Our failure to successfully integrate these key personnel into our business could adversely affect our business. In addition, competition for qualified personnel is intense, particularly in the San Francisco Bay Area. We compete for qualified scientific and information technology personnel with other life science and information technology companies as well as academic institutions and research institutions. Some of our scientific personnel are qualified foreign nationals whose ability to live and work in the United States is contingent upon the continued availability of appropriate visas. Due to the competition for qualified personnel in the San Francisco Bay Area, we expect to continue to utilize foreign nationals to fill part of our recruiting needs. As a result, changes to United States immigration policies could restrain the flow of technical and professional talent into the United States and may inhibit our ability to hire qualified personnel.</w:t>
      </w:r>
    </w:p>
    <w:p>
      <w:pPr>
        <w:spacing w:after="0" w:line="110" w:lineRule="exact"/>
        <w:rPr>
          <w:sz w:val="20"/>
          <w:szCs w:val="20"/>
          <w:color w:val="auto"/>
        </w:rPr>
      </w:pPr>
    </w:p>
    <w:p>
      <w:pPr>
        <w:ind w:firstLine="303"/>
        <w:spacing w:after="0" w:line="309" w:lineRule="auto"/>
        <w:rPr>
          <w:sz w:val="20"/>
          <w:szCs w:val="20"/>
          <w:color w:val="auto"/>
        </w:rPr>
      </w:pPr>
      <w:r>
        <w:rPr>
          <w:rFonts w:ascii="Arial" w:cs="Arial" w:eastAsia="Arial" w:hAnsi="Arial"/>
          <w:sz w:val="15"/>
          <w:szCs w:val="15"/>
          <w:color w:val="auto"/>
        </w:rPr>
        <w:t>We do not maintain fixed term employment contracts with any of our employees. As a result, our employees could leave our company with little or no prior notice and would be free to work for a competitor. Due to the complex and technical nature of our products and technology and the dynamic market in which we compete, any failure to attract, train, retain and motivate qualified personnel could materially harm our business, results of operations, financial condition and prospects.</w:t>
      </w:r>
    </w:p>
    <w:p>
      <w:pPr>
        <w:spacing w:after="0" w:line="90"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i w:val="1"/>
          <w:iCs w:val="1"/>
          <w:color w:val="auto"/>
        </w:rPr>
        <w:t>We expect to be dependent upon revenue generated from the sale of our Proteograph Product Suite from the time it is commercialized through the foreseeable future.</w:t>
      </w:r>
    </w:p>
    <w:p>
      <w:pPr>
        <w:spacing w:after="0" w:line="115"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While we have moved into the Limited Release phase, we do not expect to have broad release of our Proteograph Product Suite and associated consumables until early 2022. If we are able to successfully broadly commercialize our Proteograph, we expect that we will generate substantially all of our revenue from the sale of our Proteograph Product Suite and associated consumables. There can be no assurance that we will be able to successfully commercialize our Proteograph solution, design other products that will meet the expectations of our customers or that any of our future products will become commercially viable. As technologies change in the future for life sciences research tools, generally, and in proteomics and genomics technologies, specifically, we will be expected to upgrade or adapt our Proteograph solution to keep up with the latest technology. To date, we have limited experience simultaneously designing, testing, manufacturing and selling products and there can be no assurance we will be able to do so. Our sales expectations are based in part on the assumption that our Proteograph Product Suite will increase study sizes for our future customers and their associated purchases of our consumables. If sales of our instruments fail to materialize, or our assumptions about study sizes or customer purchases of our consumables, so will the related consumable sales and associated revenue.</w:t>
      </w:r>
    </w:p>
    <w:p>
      <w:pPr>
        <w:spacing w:after="0" w:line="110" w:lineRule="exact"/>
        <w:rPr>
          <w:sz w:val="20"/>
          <w:szCs w:val="20"/>
          <w:color w:val="auto"/>
        </w:rPr>
      </w:pPr>
    </w:p>
    <w:p>
      <w:pPr>
        <w:ind w:right="100" w:firstLine="303"/>
        <w:spacing w:after="0" w:line="276" w:lineRule="auto"/>
        <w:rPr>
          <w:sz w:val="20"/>
          <w:szCs w:val="20"/>
          <w:color w:val="auto"/>
        </w:rPr>
      </w:pPr>
      <w:r>
        <w:rPr>
          <w:rFonts w:ascii="Arial" w:cs="Arial" w:eastAsia="Arial" w:hAnsi="Arial"/>
          <w:sz w:val="16"/>
          <w:szCs w:val="16"/>
          <w:color w:val="auto"/>
        </w:rPr>
        <w:t>In our development and commercialization plans for our Proteograph Product Suite, we may forego other opportunities that may provide greater revenue or be more profitable. If our research and product development efforts do not result in commercially viable products within anticipated timelines, or at all, our business and results of operations will be adversely affected. Any delay or failure by us to develop and release our Proteograph Product Suite or new products or product enhancements would have a substantial adverse effect on our business and results of operations.</w:t>
      </w:r>
    </w:p>
    <w:p>
      <w:pPr>
        <w:spacing w:after="0" w:line="112"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b w:val="1"/>
          <w:bCs w:val="1"/>
          <w:i w:val="1"/>
          <w:iCs w:val="1"/>
          <w:color w:val="auto"/>
        </w:rPr>
        <w:t>Our business will depend significantly on research and development spending by academic and other research institutions, and other third parties, including commercial organizations, and any reduction in spending could limit demand for our products and adversely affect our business, results of operations, financial condition and prospects.</w:t>
      </w:r>
    </w:p>
    <w:p>
      <w:pPr>
        <w:spacing w:after="0" w:line="126" w:lineRule="exact"/>
        <w:rPr>
          <w:sz w:val="20"/>
          <w:szCs w:val="20"/>
          <w:color w:val="auto"/>
        </w:rPr>
      </w:pPr>
    </w:p>
    <w:p>
      <w:pPr>
        <w:ind w:right="100" w:firstLine="303"/>
        <w:spacing w:after="0" w:line="258" w:lineRule="auto"/>
        <w:rPr>
          <w:sz w:val="20"/>
          <w:szCs w:val="20"/>
          <w:color w:val="auto"/>
        </w:rPr>
      </w:pPr>
      <w:r>
        <w:rPr>
          <w:rFonts w:ascii="Arial" w:cs="Arial" w:eastAsia="Arial" w:hAnsi="Arial"/>
          <w:sz w:val="17"/>
          <w:szCs w:val="17"/>
          <w:color w:val="auto"/>
        </w:rPr>
        <w:t>We expect that substantially all of our sales revenue in the near term will be generated from sales to academic institutions, other research institutions and commercial companies. Certain of these customers’ funding will be, in turn, provided by various state, federal and international government agencies. As a result, the demand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Proteograph Product Suite will depend upon the research and development budgets of these customers, which are impacted by factors beyond our control, such as:</w:t>
      </w:r>
    </w:p>
    <w:p>
      <w:pPr>
        <w:spacing w:after="0" w:line="181" w:lineRule="exact"/>
        <w:rPr>
          <w:sz w:val="20"/>
          <w:szCs w:val="20"/>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decreases in government funding of research and development;</w:t>
      </w:r>
    </w:p>
    <w:p>
      <w:pPr>
        <w:spacing w:after="0" w:line="157" w:lineRule="exact"/>
        <w:rPr>
          <w:rFonts w:ascii="Arial" w:cs="Arial" w:eastAsia="Arial" w:hAnsi="Arial"/>
          <w:sz w:val="17"/>
          <w:szCs w:val="17"/>
          <w:color w:val="auto"/>
        </w:rPr>
      </w:pPr>
    </w:p>
    <w:p>
      <w:pPr>
        <w:ind w:left="600" w:right="280" w:hanging="297"/>
        <w:spacing w:after="0" w:line="270"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and institutions, including changes in the amount of funds allocated to different areas of research or changes that have the effect of increasing the length of the funding process;</w:t>
      </w:r>
    </w:p>
    <w:p>
      <w:pPr>
        <w:spacing w:after="0" w:line="114" w:lineRule="exact"/>
        <w:rPr>
          <w:rFonts w:ascii="Arial" w:cs="Arial" w:eastAsia="Arial" w:hAnsi="Arial"/>
          <w:sz w:val="17"/>
          <w:szCs w:val="17"/>
          <w:color w:val="auto"/>
        </w:rPr>
      </w:pPr>
    </w:p>
    <w:p>
      <w:pPr>
        <w:ind w:left="600" w:right="100" w:hanging="297"/>
        <w:spacing w:after="0" w:line="270" w:lineRule="auto"/>
        <w:tabs>
          <w:tab w:leader="none" w:pos="5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strategy and funding by commercial companies in their efforts around therapeutic and diagnostic product development and their adoption and use of our Proteograph Product Suite;</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macroeconomic conditions;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opinions in the scientific community, including researchers’ opinions of the utility of our Proteograph solution;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citation of our Proteograph Product Suite in published research;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potential changes in the regulatory environment;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differences in budgetary cycles, especially government- or grant-funded customers, whose cycles often coincide with government fiscal year ends;</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competitor product offerings or pricing;</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market-driven pressures to consolidate operations and reduce costs; and</w:t>
      </w:r>
    </w:p>
    <w:p>
      <w:pPr>
        <w:spacing w:after="0" w:line="144" w:lineRule="exact"/>
        <w:rPr>
          <w:rFonts w:ascii="Arial" w:cs="Arial" w:eastAsia="Arial" w:hAnsi="Arial"/>
          <w:sz w:val="17"/>
          <w:szCs w:val="17"/>
          <w:color w:val="auto"/>
        </w:rPr>
      </w:pPr>
    </w:p>
    <w:p>
      <w:pPr>
        <w:ind w:left="600" w:hanging="297"/>
        <w:spacing w:after="0"/>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market acceptance of relatively new technologies, such as our Proteograph Product Suite.</w:t>
      </w:r>
    </w:p>
    <w:p>
      <w:pPr>
        <w:spacing w:after="0" w:line="158"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In addition, various state, federal and international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products. For example, congressional appropriations to the National Institutes of Health (NIH) have generally increased year-over-year for the last 19 years, and reached a new high in 2020, but the NIH also experiences occasional year-over-year decreases in appropriations, including as recently as 2013. In addition, funding for life science research has increased more slowly during the past several years compared to previous years and has actually declined in some countries. There is no guarantee that NIH appropriations will not decrease in the future. A decrease in the amount of, or delay in the approval of, appropriations to NIH or other similar United States or international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products. Our operating results may fluctuate substantially due to any such reductions and delays. Any decrease in our customers’ budgets or expenditures, or in the size, scope or frequency of their capital or operating expenditures, could materially and adversely affect our business, results of operations, financial condition and prospects.</w:t>
      </w:r>
    </w:p>
    <w:p>
      <w:pPr>
        <w:spacing w:after="0" w:line="125"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b w:val="1"/>
          <w:bCs w:val="1"/>
          <w:i w:val="1"/>
          <w:iCs w:val="1"/>
          <w:color w:val="auto"/>
        </w:rPr>
        <w:t>We rely on single suppliers for some of the components of our Proteograph Product Suite, including a single contract manufacturer to manufacture and supply our instruments. If these supplier or manufacturers should fail or not perform satisfactorily, our ability to meet demand and supply our Proteograph Product Suite would be adversely affected.</w:t>
      </w:r>
    </w:p>
    <w:p>
      <w:pPr>
        <w:spacing w:after="0" w:line="126" w:lineRule="exact"/>
        <w:rPr>
          <w:sz w:val="20"/>
          <w:szCs w:val="20"/>
          <w:color w:val="auto"/>
        </w:rPr>
      </w:pPr>
    </w:p>
    <w:p>
      <w:pPr>
        <w:jc w:val="both"/>
        <w:ind w:right="240" w:firstLine="303"/>
        <w:spacing w:after="0" w:line="282" w:lineRule="auto"/>
        <w:rPr>
          <w:sz w:val="20"/>
          <w:szCs w:val="20"/>
          <w:color w:val="auto"/>
        </w:rPr>
      </w:pPr>
      <w:r>
        <w:rPr>
          <w:rFonts w:ascii="Arial" w:cs="Arial" w:eastAsia="Arial" w:hAnsi="Arial"/>
          <w:sz w:val="16"/>
          <w:szCs w:val="16"/>
          <w:color w:val="auto"/>
        </w:rPr>
        <w:t>We rely on a single contract manufacturer, Hamilton Company, a manufacturer of precision measurement devices, automated liquid handling workstations, and sample management systems located in Nevada and other locations, to manufacture and supply our instruments. Since our contract with Hamilton does not commit them to carry inventory or make available any particular quantities, Hamilton may give other customers' needs higher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49"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priority than ours, we may not be able to obtain adequate supplies in a timely manner or on commercially reasonable terms, and we may incur price increases from Hamilton Company. For example, due to the COVID-19 pandemic and increased demand for Hamilton’s products, we have seen the lead time for our instruments increase significantly. Further, if Hamilton is unable to obtain critical components used in our Proteograph solution or supply our instruments on the timelines we require, our business and commercialization efforts would be harmed.</w:t>
      </w:r>
    </w:p>
    <w:p>
      <w:pPr>
        <w:spacing w:after="0" w:line="127" w:lineRule="exact"/>
        <w:rPr>
          <w:sz w:val="20"/>
          <w:szCs w:val="20"/>
          <w:color w:val="auto"/>
        </w:rPr>
      </w:pPr>
    </w:p>
    <w:p>
      <w:pPr>
        <w:ind w:right="340" w:firstLine="303"/>
        <w:spacing w:after="0" w:line="276" w:lineRule="auto"/>
        <w:rPr>
          <w:sz w:val="20"/>
          <w:szCs w:val="20"/>
          <w:color w:val="auto"/>
        </w:rPr>
      </w:pPr>
      <w:r>
        <w:rPr>
          <w:rFonts w:ascii="Arial" w:cs="Arial" w:eastAsia="Arial" w:hAnsi="Arial"/>
          <w:sz w:val="16"/>
          <w:szCs w:val="16"/>
          <w:color w:val="auto"/>
        </w:rPr>
        <w:t>In the event it becomes necessary to utilize one or more different contract manufacturers for automated liquid handling workstations, products, or product components associated with our Proteograph Product Suite, we would experience additional costs, delays and difficulties in doing so as a result of identifying and entering into new agreements with new suppliers or manufacturers as well as preparing such new suppliers or manufacturers to meet the logistical requirements associated with supplying and manufacturing our Proteograph Product Suite , and our business would suffer.</w:t>
      </w:r>
    </w:p>
    <w:p>
      <w:pPr>
        <w:spacing w:after="0" w:line="112"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In addition, certain of the components used in our products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does not meet specifications, or if we cannot then obtain an acceptable substitute. Our suppliers have also been impacted by the COVID-19 pandemic, and we have also experienced supply delays for critical hardware, instrumentation, medical and testing supplies that we use for product development, and certain components of our consumable kits, as these other components and supplies are otherwise diverted to COVID-19-related testing and other uses. If any of these events occur, our business, results of operations, financial condition and prospects could be harmed.</w:t>
      </w:r>
    </w:p>
    <w:p>
      <w:pPr>
        <w:spacing w:after="0" w:line="12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We have limited experience producing and supplying our products, and we may be unable to consistently manufacture or source our SP100 automation instruments and consumables to the necessary specifications or in quantities necessary to meet demand on a timely basis and at acceptable performance and cost levels.</w:t>
      </w:r>
    </w:p>
    <w:p>
      <w:pPr>
        <w:spacing w:after="0" w:line="126" w:lineRule="exact"/>
        <w:rPr>
          <w:sz w:val="20"/>
          <w:szCs w:val="20"/>
          <w:color w:val="auto"/>
        </w:rPr>
      </w:pPr>
    </w:p>
    <w:p>
      <w:pPr>
        <w:ind w:right="160" w:firstLine="303"/>
        <w:spacing w:after="0" w:line="252" w:lineRule="auto"/>
        <w:rPr>
          <w:sz w:val="20"/>
          <w:szCs w:val="20"/>
          <w:color w:val="auto"/>
        </w:rPr>
      </w:pPr>
      <w:r>
        <w:rPr>
          <w:rFonts w:ascii="Arial" w:cs="Arial" w:eastAsia="Arial" w:hAnsi="Arial"/>
          <w:sz w:val="17"/>
          <w:szCs w:val="17"/>
          <w:color w:val="auto"/>
        </w:rPr>
        <w:t>Our Proteograph Product Suite is an integrated solution with many different components that work together. As such, a quality defect in a single component can compromise the performance of the entire solution. In order to successfully generate revenue from our Proteograph Product Suite, we need to supply our customers with products that meet their expectations for quality and functionality in accordance with established specifications on a timely basis. Our instruments are manufactured by Hamilton Company at their facility using complex processes, sophisticated equipment and strict adherence to specifications and quality systems procedures. Given the complexity of this automation instrumentation, individual units may occasionally require additional installation and service time prior to becoming available for customer use.</w:t>
      </w:r>
    </w:p>
    <w:p>
      <w:pPr>
        <w:spacing w:after="0" w:line="130" w:lineRule="exact"/>
        <w:rPr>
          <w:sz w:val="20"/>
          <w:szCs w:val="20"/>
          <w:color w:val="auto"/>
        </w:rPr>
      </w:pPr>
    </w:p>
    <w:p>
      <w:pPr>
        <w:ind w:right="80" w:firstLine="303"/>
        <w:spacing w:after="0" w:line="292" w:lineRule="auto"/>
        <w:rPr>
          <w:sz w:val="20"/>
          <w:szCs w:val="20"/>
          <w:color w:val="auto"/>
        </w:rPr>
      </w:pPr>
      <w:r>
        <w:rPr>
          <w:rFonts w:ascii="Arial" w:cs="Arial" w:eastAsia="Arial" w:hAnsi="Arial"/>
          <w:sz w:val="15"/>
          <w:szCs w:val="15"/>
          <w:color w:val="auto"/>
        </w:rPr>
        <w:t>We leverage well-established unit operations to formulate and manufacture our NPs at our facilities in Redwood City, California. We procure certain components of our consumables from third-party manufacturers, which includes the commonly-available raw materials needed for manufacturing our proprietary engineered NPs. These manufacturing processes are complex. As we move to towards commercial scale formulation and manufacturing of our NP panels, if we are not able to repeatably produce our NPs at commercial scale or source them from third-party suppliers, encounter unexpected difficulties in packaging our consumables, fail to comply with regulations relating to laboratory safety, the handling of human samples, the use of certain hazardous substances or chemicals, including in commercial products, or the collection, reuse, and recycling of waste from products we manufacture, our business will be adversely impacted.</w:t>
      </w:r>
    </w:p>
    <w:p>
      <w:pPr>
        <w:spacing w:after="0" w:line="103" w:lineRule="exact"/>
        <w:rPr>
          <w:sz w:val="20"/>
          <w:szCs w:val="20"/>
          <w:color w:val="auto"/>
        </w:rPr>
      </w:pPr>
    </w:p>
    <w:p>
      <w:pPr>
        <w:ind w:right="100" w:firstLine="303"/>
        <w:spacing w:after="0" w:line="270" w:lineRule="auto"/>
        <w:rPr>
          <w:sz w:val="20"/>
          <w:szCs w:val="20"/>
          <w:color w:val="auto"/>
        </w:rPr>
      </w:pPr>
      <w:r>
        <w:rPr>
          <w:rFonts w:ascii="Arial" w:cs="Arial" w:eastAsia="Arial" w:hAnsi="Arial"/>
          <w:sz w:val="16"/>
          <w:szCs w:val="16"/>
          <w:color w:val="auto"/>
        </w:rPr>
        <w:t>As we continue to scale commercially and develop new products, and as our products incorporate increasingly sophisticated technology, it will be increasingly difficult to ensure our products are produced in the necessary quantities without sacrificing quality. There is no assurance that we or our third-party manufacturer will be able to continue to manufacture our SP100 automation instrument so that it consistently achieves the product specifications and produces results with acceptable quality. Our NPs and other consumables have a limited shelf life, after which their performance is not ensured. While we have completed accelerated stability testing for our NPs, our real-time long-term liquid stability studies are underway, but have not been completed. Shipment of consumables that effectively expire early or shipment of defective instruments or consumables to customers may result in recalls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4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warranty replacements, which would increase our costs, and depending upon current inventory levels and the availability and lead time for additional inventory, could lead to availability issues. Any future design issues, unforeseen manufacturing problems, such as contamination of our or our manufacturers’ facilities, equipment malfunctions, aging components, quality issues with components and materials sourced from third-party suppliers, or failures to strictly follow procedures or meet specifications, may have a material adverse effect on our brand, business, results of operations and financial condition and could result in us or our third-party manufacturers losing International Organization for Standardization (ISO) quality management certifications. If our third-party manufacturers fail to maintain ISO quality management certifications, customers might choose not to purchase products from us.</w:t>
      </w:r>
    </w:p>
    <w:p>
      <w:pPr>
        <w:spacing w:after="0" w:line="120" w:lineRule="exact"/>
        <w:rPr>
          <w:sz w:val="20"/>
          <w:szCs w:val="20"/>
          <w:color w:val="auto"/>
        </w:rPr>
      </w:pPr>
    </w:p>
    <w:p>
      <w:pPr>
        <w:ind w:right="20" w:firstLine="303"/>
        <w:spacing w:after="0" w:line="299" w:lineRule="auto"/>
        <w:rPr>
          <w:sz w:val="20"/>
          <w:szCs w:val="20"/>
          <w:color w:val="auto"/>
        </w:rPr>
      </w:pPr>
      <w:r>
        <w:rPr>
          <w:rFonts w:ascii="Arial" w:cs="Arial" w:eastAsia="Arial" w:hAnsi="Arial"/>
          <w:sz w:val="15"/>
          <w:szCs w:val="15"/>
          <w:color w:val="auto"/>
        </w:rPr>
        <w:t>In addition, as we commercialize our Proteograph Product Suite, we will also need to make corresponding improvements to other operational functions, such as our customer support, service and billing systems, compliance programs and our internal quality assurance programs. We cannot assure you that any increases in scale, related improvements and quality assurance will be successfully implemented or that appropriate personnel will be available. As we develop additional products, we may need to bring new equipment online, implement new systems, technology, controls and procedures and hire personnel with different qualifications.</w:t>
      </w:r>
    </w:p>
    <w:p>
      <w:pPr>
        <w:spacing w:after="0" w:line="99" w:lineRule="exact"/>
        <w:rPr>
          <w:sz w:val="20"/>
          <w:szCs w:val="20"/>
          <w:color w:val="auto"/>
        </w:rPr>
      </w:pPr>
    </w:p>
    <w:p>
      <w:pPr>
        <w:ind w:right="100" w:firstLine="303"/>
        <w:spacing w:after="0" w:line="270" w:lineRule="auto"/>
        <w:rPr>
          <w:sz w:val="20"/>
          <w:szCs w:val="20"/>
          <w:color w:val="auto"/>
        </w:rPr>
      </w:pPr>
      <w:r>
        <w:rPr>
          <w:rFonts w:ascii="Arial" w:cs="Arial" w:eastAsia="Arial" w:hAnsi="Arial"/>
          <w:sz w:val="17"/>
          <w:szCs w:val="17"/>
          <w:color w:val="auto"/>
        </w:rPr>
        <w:t>An inability to manufacture products and components that consistently meet specifications, in necessary quantities, at commercially acceptable costs and without significant delays, may have a material adverse effect on our business, results of operations, financial condition and prospects.</w:t>
      </w:r>
    </w:p>
    <w:p>
      <w:pPr>
        <w:spacing w:after="0" w:line="115"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b w:val="1"/>
          <w:bCs w:val="1"/>
          <w:i w:val="1"/>
          <w:iCs w:val="1"/>
          <w:color w:val="auto"/>
        </w:rPr>
        <w:t>Our products could have defects or errors, which may give rise to claims against us, adversely affect market adoption of our Proteograph Product Suite, and adversely affect our business, financial condition, and results of operations.</w:t>
      </w:r>
    </w:p>
    <w:p>
      <w:pPr>
        <w:spacing w:after="0" w:line="115" w:lineRule="exact"/>
        <w:rPr>
          <w:sz w:val="20"/>
          <w:szCs w:val="20"/>
          <w:color w:val="auto"/>
        </w:rPr>
      </w:pPr>
    </w:p>
    <w:p>
      <w:pPr>
        <w:ind w:right="20" w:firstLine="303"/>
        <w:spacing w:after="0" w:line="255" w:lineRule="auto"/>
        <w:rPr>
          <w:sz w:val="20"/>
          <w:szCs w:val="20"/>
          <w:color w:val="auto"/>
        </w:rPr>
      </w:pPr>
      <w:r>
        <w:rPr>
          <w:rFonts w:ascii="Arial" w:cs="Arial" w:eastAsia="Arial" w:hAnsi="Arial"/>
          <w:sz w:val="17"/>
          <w:szCs w:val="17"/>
          <w:color w:val="auto"/>
        </w:rPr>
        <w:t>Our Proteograph Product Suite utilizes novel and complex technology and may develop or contain undetected defects or errors. We cannot assure you that material performance problems, defects, or errors will not arise, and as we commercialize our Proteograph, these risks may increase. We provide warranties that our products will meet performance expectations and will be free from material defects. The costs incurred in correcting any defects or errors may be substantial and could adversely affect our operating margins.</w:t>
      </w:r>
    </w:p>
    <w:p>
      <w:pPr>
        <w:spacing w:after="0" w:line="127"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In manufacturing our Proteograph Product Suite, we depend upon third parties for the supply of our instruments and various components, many of which require a significant degree of technical expertise to produce. If our suppliers fail to produce our SP100 automation instrument and components to specification or provide defective products to us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1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If our Proteograph Product Suite contains defects, we may experience:</w:t>
      </w:r>
    </w:p>
    <w:p>
      <w:pPr>
        <w:spacing w:after="0" w:line="158" w:lineRule="exact"/>
        <w:rPr>
          <w:sz w:val="20"/>
          <w:szCs w:val="20"/>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failure to achieve market acceptance for our Proteograph or expansion of our Proteograph Product Suite sales;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loss of customer orders and delay in order fulfillment;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damage to our brand reputation;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warranty and customer service and support costs due to product repair or replacement;</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product recalls or replacements;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inability to attract new customers;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of resources from our manufacturing and research and development departments to our service department;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49" w:lineRule="exact"/>
        <w:rPr>
          <w:sz w:val="20"/>
          <w:szCs w:val="20"/>
          <w:color w:val="auto"/>
        </w:rPr>
      </w:pPr>
    </w:p>
    <w:p>
      <w:pPr>
        <w:ind w:left="600" w:hanging="297"/>
        <w:spacing w:after="0"/>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legal claims against us, including product liability claims, which could be costly and time consuming to defend and result in substantial damages.</w:t>
      </w:r>
    </w:p>
    <w:p>
      <w:pPr>
        <w:spacing w:after="0" w:line="169" w:lineRule="exact"/>
        <w:rPr>
          <w:sz w:val="20"/>
          <w:szCs w:val="20"/>
          <w:color w:val="auto"/>
        </w:rPr>
      </w:pPr>
    </w:p>
    <w:p>
      <w:pPr>
        <w:ind w:right="180" w:firstLine="303"/>
        <w:spacing w:after="0" w:line="295" w:lineRule="auto"/>
        <w:rPr>
          <w:sz w:val="20"/>
          <w:szCs w:val="20"/>
          <w:color w:val="auto"/>
        </w:rPr>
      </w:pPr>
      <w:r>
        <w:rPr>
          <w:rFonts w:ascii="Arial" w:cs="Arial" w:eastAsia="Arial" w:hAnsi="Arial"/>
          <w:sz w:val="15"/>
          <w:szCs w:val="15"/>
          <w:color w:val="auto"/>
        </w:rPr>
        <w:t>In addition, we expect that our Proteograph Product Suite will be used with our potential customers’ own mass spectrometry (MS) instruments or the MS instrument of a third-party service provider and the performance of these MS instruments is outside of our control. If such third-party products are not produced to specification, are produced in accordance with modified specifications, are defective, or not used with recommended equipment, they may not be compatible or perform as intended with our Proteograph. In such case, the reliability, results and performance of our Proteograph may be compromised. The occurrence of any one or more of the foregoing may have a material adverse effect on our business, results of operations, financial condition and prospects.</w:t>
      </w:r>
    </w:p>
    <w:p>
      <w:pPr>
        <w:spacing w:after="0" w:line="10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If we do not successfully develop and deploy our Proteograph Analysis Suite, our commercialization efforts and therefore business and results of operations could suffer.</w:t>
      </w:r>
    </w:p>
    <w:p>
      <w:pPr>
        <w:spacing w:after="0" w:line="115" w:lineRule="exact"/>
        <w:rPr>
          <w:sz w:val="20"/>
          <w:szCs w:val="20"/>
          <w:color w:val="auto"/>
        </w:rPr>
      </w:pPr>
    </w:p>
    <w:p>
      <w:pPr>
        <w:ind w:right="160" w:firstLine="303"/>
        <w:spacing w:after="0" w:line="309" w:lineRule="auto"/>
        <w:rPr>
          <w:sz w:val="20"/>
          <w:szCs w:val="20"/>
          <w:color w:val="auto"/>
        </w:rPr>
      </w:pPr>
      <w:r>
        <w:rPr>
          <w:rFonts w:ascii="Arial" w:cs="Arial" w:eastAsia="Arial" w:hAnsi="Arial"/>
          <w:sz w:val="15"/>
          <w:szCs w:val="15"/>
          <w:color w:val="auto"/>
        </w:rPr>
        <w:t>The success of our Proteograph Product Suite depends, in part, on our ability to design and deploy our Proteograph Analysis Suite in a manner that enables the integration with our potential customers’ systems and accommodates our customers’ needs. Without our Proteograph Analysis Suite, quality control of the workflow and data analysis is less accessible and robust and can make it difficult for our customers to understand and evaluate the quality of their results.</w:t>
      </w:r>
    </w:p>
    <w:p>
      <w:pPr>
        <w:spacing w:after="0" w:line="90" w:lineRule="exact"/>
        <w:rPr>
          <w:sz w:val="20"/>
          <w:szCs w:val="20"/>
          <w:color w:val="auto"/>
        </w:rPr>
      </w:pPr>
    </w:p>
    <w:p>
      <w:pPr>
        <w:ind w:right="20" w:firstLine="303"/>
        <w:spacing w:after="0" w:line="269" w:lineRule="auto"/>
        <w:rPr>
          <w:sz w:val="20"/>
          <w:szCs w:val="20"/>
          <w:color w:val="auto"/>
        </w:rPr>
      </w:pPr>
      <w:r>
        <w:rPr>
          <w:rFonts w:ascii="Arial" w:cs="Arial" w:eastAsia="Arial" w:hAnsi="Arial"/>
          <w:sz w:val="16"/>
          <w:szCs w:val="16"/>
          <w:color w:val="auto"/>
        </w:rPr>
        <w:t>We have and will continue to spend significant amounts of effort developing our Proteograph Analysis Suite, and potential enhanced versions over time, to meet our customers’ and potential customers’ evolving needs. There is no assurance that the development or deployment of our Proteograph Analysis Suite, or any potential enhancements, will be compelling to our customers. In addition, we may experience delays in our release dates of our Proteograph Analysis Suite, and there can be no assurance that our Proteograph Analysis Suite will be released according to schedule. If our software development and deployment plan does not accurately anticipate customer demands or if we fail to develop our Proteograph Analysis Suite in a manner that satisfies customer preferences in a timely and cost-effective manner, our Proteograph Product Suite may fail to gain market acceptance. The occurrence of any one or more of the foregoing could negatively affect our business, financial condition, and results of operations.</w:t>
      </w:r>
    </w:p>
    <w:p>
      <w:pPr>
        <w:spacing w:after="0" w:line="120"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b w:val="1"/>
          <w:bCs w:val="1"/>
          <w:i w:val="1"/>
          <w:iCs w:val="1"/>
          <w:color w:val="auto"/>
        </w:rPr>
        <w:t>As we commercialize our Proteograph Product Suite outside of the United States, our international business could expose us to business, regulatory, political, operational, financial, and economic risks associated with doing business outside of the United States.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Engaging in international business inherently involves a number of difficulties and risks, including:</w:t>
      </w:r>
    </w:p>
    <w:p>
      <w:pPr>
        <w:spacing w:after="0" w:line="158" w:lineRule="exact"/>
        <w:rPr>
          <w:sz w:val="20"/>
          <w:szCs w:val="20"/>
          <w:color w:val="auto"/>
        </w:rPr>
      </w:pPr>
    </w:p>
    <w:p>
      <w:pPr>
        <w:ind w:left="600" w:right="80" w:hanging="297"/>
        <w:spacing w:after="0" w:line="276"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111" w:lineRule="exact"/>
        <w:rPr>
          <w:rFonts w:ascii="Arial" w:cs="Arial" w:eastAsia="Arial" w:hAnsi="Arial"/>
          <w:sz w:val="16"/>
          <w:szCs w:val="16"/>
          <w:color w:val="auto"/>
        </w:rPr>
      </w:pPr>
    </w:p>
    <w:p>
      <w:pPr>
        <w:ind w:left="600" w:right="540" w:hanging="297"/>
        <w:spacing w:after="0" w:line="270"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required compliance with U.S. laws such as the Foreign Corrupt Practices Act, and other U.S. federal laws and regulations established by the office of Foreign Asset Control;</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export requirements and import or trade restrictions, including, without limitation, trade retaliation laws;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laws and business practices favoring local companies;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foreign currency exchange, longer payment cycles and difficulties in enforcing agreements and collecting receivables through certain foreign legal systems;</w:t>
      </w:r>
    </w:p>
    <w:p>
      <w:pPr>
        <w:spacing w:after="0" w:line="180" w:lineRule="exact"/>
        <w:rPr>
          <w:rFonts w:ascii="Arial" w:cs="Arial" w:eastAsia="Arial" w:hAnsi="Arial"/>
          <w:sz w:val="15"/>
          <w:szCs w:val="15"/>
          <w:color w:val="auto"/>
        </w:rPr>
      </w:pPr>
    </w:p>
    <w:p>
      <w:pPr>
        <w:ind w:left="600" w:hanging="297"/>
        <w:spacing w:after="0" w:line="282" w:lineRule="auto"/>
        <w:tabs>
          <w:tab w:leader="none" w:pos="596"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social, economic, political and climate conditions or in laws, regulations and policies governing foreign trade, manufacturing, research and development, investment, and climate control both domestically as well as in the other countries and jurisdictions in which we operate and into which we may sell our products, including as a result of the separation of the United Kingdom from the European Union (Brexit);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49" w:lineRule="exact"/>
        <w:rPr>
          <w:sz w:val="20"/>
          <w:szCs w:val="20"/>
          <w:color w:val="auto"/>
        </w:rPr>
      </w:pPr>
    </w:p>
    <w:p>
      <w:pPr>
        <w:ind w:left="600" w:hanging="2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potentially adverse tax consequences, tariffs, customs charges, bureaucratic requirements, and other trade barriers;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and costs of staffing and managing foreign operations;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protecting, maintaining, enforcing or procuring intellectual property rights.</w:t>
      </w:r>
    </w:p>
    <w:p>
      <w:pPr>
        <w:spacing w:after="0" w:line="158" w:lineRule="exact"/>
        <w:rPr>
          <w:sz w:val="20"/>
          <w:szCs w:val="20"/>
          <w:color w:val="auto"/>
        </w:rPr>
      </w:pPr>
    </w:p>
    <w:p>
      <w:pPr>
        <w:ind w:firstLine="303"/>
        <w:spacing w:after="0" w:line="292" w:lineRule="auto"/>
        <w:rPr>
          <w:sz w:val="20"/>
          <w:szCs w:val="20"/>
          <w:color w:val="auto"/>
        </w:rPr>
      </w:pPr>
      <w:r>
        <w:rPr>
          <w:rFonts w:ascii="Arial" w:cs="Arial" w:eastAsia="Arial" w:hAnsi="Arial"/>
          <w:sz w:val="15"/>
          <w:szCs w:val="15"/>
          <w:color w:val="auto"/>
        </w:rPr>
        <w:t>The collection and transfer of personal data and human samples is subject to increasing regulatory authority around the world. For example, Europe and China have adopted or are in the process of adopting data protections laws, regulations, and practice standards covering personal data, medical samples and data, and their potential transfer across national borders. In some cases, consent from individuals and the opportunity for revocation of consent, handling by local entities, and approvals from regulatory bodies may be required, and enforcement may include suspension of the ability to conduct business in the regulated jurisdiction along with civil fines and criminal penalties. This could increase our compliance costs and subject us to significant risks of doing business in these jurisdictions, and any failure to comply with these laws, rules, and regulations could materially and adversely affect our revenue and business operations.</w:t>
      </w:r>
    </w:p>
    <w:p>
      <w:pPr>
        <w:spacing w:after="0" w:line="103" w:lineRule="exact"/>
        <w:rPr>
          <w:sz w:val="20"/>
          <w:szCs w:val="20"/>
          <w:color w:val="auto"/>
        </w:rPr>
      </w:pPr>
    </w:p>
    <w:p>
      <w:pPr>
        <w:ind w:right="540" w:firstLine="303"/>
        <w:spacing w:after="0" w:line="270" w:lineRule="auto"/>
        <w:rPr>
          <w:sz w:val="20"/>
          <w:szCs w:val="20"/>
          <w:color w:val="auto"/>
        </w:rPr>
      </w:pPr>
      <w:r>
        <w:rPr>
          <w:rFonts w:ascii="Arial" w:cs="Arial" w:eastAsia="Arial" w:hAnsi="Arial"/>
          <w:sz w:val="17"/>
          <w:szCs w:val="17"/>
          <w:color w:val="auto"/>
        </w:rPr>
        <w:t>If one or more of these risks occurs, it could require us to dedicate significant resources to remedy such occurrence, and if we are unsuccessful in finding a solution, our financial results will suffer.</w:t>
      </w:r>
    </w:p>
    <w:p>
      <w:pPr>
        <w:spacing w:after="0" w:line="115" w:lineRule="exact"/>
        <w:rPr>
          <w:sz w:val="20"/>
          <w:szCs w:val="20"/>
          <w:color w:val="auto"/>
        </w:rPr>
      </w:pPr>
    </w:p>
    <w:p>
      <w:pPr>
        <w:ind w:right="480"/>
        <w:spacing w:after="0" w:line="282" w:lineRule="auto"/>
        <w:rPr>
          <w:sz w:val="20"/>
          <w:szCs w:val="20"/>
          <w:color w:val="auto"/>
        </w:rPr>
      </w:pPr>
      <w:r>
        <w:rPr>
          <w:rFonts w:ascii="Arial" w:cs="Arial" w:eastAsia="Arial" w:hAnsi="Arial"/>
          <w:sz w:val="16"/>
          <w:szCs w:val="16"/>
          <w:b w:val="1"/>
          <w:bCs w:val="1"/>
          <w:i w:val="1"/>
          <w:iCs w:val="1"/>
          <w:color w:val="auto"/>
        </w:rPr>
        <w:t>A portion of our international sales will be conducted through third-party distributors, and we will not control their efforts to sell our products. If our relationships with these third-party distributors cannot be established or deteriorate, or if these third-party distributors fail to sell our products, or engage in activities that harm our reputation, our results of operation and business may be negatively affected.</w:t>
      </w:r>
    </w:p>
    <w:p>
      <w:pPr>
        <w:spacing w:after="0" w:line="108" w:lineRule="exact"/>
        <w:rPr>
          <w:sz w:val="20"/>
          <w:szCs w:val="20"/>
          <w:color w:val="auto"/>
        </w:rPr>
      </w:pPr>
    </w:p>
    <w:p>
      <w:pPr>
        <w:ind w:right="180" w:firstLine="303"/>
        <w:spacing w:after="0" w:line="258" w:lineRule="auto"/>
        <w:rPr>
          <w:sz w:val="20"/>
          <w:szCs w:val="20"/>
          <w:color w:val="auto"/>
        </w:rPr>
      </w:pPr>
      <w:r>
        <w:rPr>
          <w:rFonts w:ascii="Arial" w:cs="Arial" w:eastAsia="Arial" w:hAnsi="Arial"/>
          <w:sz w:val="17"/>
          <w:szCs w:val="17"/>
          <w:color w:val="auto"/>
        </w:rPr>
        <w:t>Our current commercial model includes direct sales in the United States, and we plan to potentially build relationships with third party distributors in various countries to enable us to enter additional markets more efficiently. If we are unable to enter or maintain such distribution arrangements on acceptable terms, or at all, we may not be able to successfully commercialize our products in certain countries.</w:t>
      </w:r>
    </w:p>
    <w:p>
      <w:pPr>
        <w:spacing w:after="0" w:line="126" w:lineRule="exact"/>
        <w:rPr>
          <w:sz w:val="20"/>
          <w:szCs w:val="20"/>
          <w:color w:val="auto"/>
        </w:rPr>
      </w:pPr>
    </w:p>
    <w:p>
      <w:pPr>
        <w:ind w:right="120" w:firstLine="303"/>
        <w:spacing w:after="0" w:line="268" w:lineRule="auto"/>
        <w:rPr>
          <w:sz w:val="20"/>
          <w:szCs w:val="20"/>
          <w:color w:val="auto"/>
        </w:rPr>
      </w:pPr>
      <w:r>
        <w:rPr>
          <w:rFonts w:ascii="Arial" w:cs="Arial" w:eastAsia="Arial" w:hAnsi="Arial"/>
          <w:sz w:val="16"/>
          <w:szCs w:val="16"/>
          <w:color w:val="auto"/>
        </w:rPr>
        <w:t>Furthermore, distributors can choose the level of effort that they apply to selling our products relative to others in their portfolio. The selection, training, and compensation of distributors’ sales personnel are within their control rather than our own and may vary significantly in quality from distributor to distributor. They may experience their own financial difficulties, or distribution relationships may be terminated or allowed to expire, which could increase the cost of or impede commercialization of our products in applicable countries. Disputes may also arise between us and our distributors that result in the delay or termination of commercialization or that result in costly litigation or arbitration that diverts management’s attention and resources. Distributors may not properly maintain or defend our intellectual property rights or may use our intellectual property, and our confidential or proprietary information in such a way as to invite litigation that could jeopardize or invalidate our intellectual property rights, and confidential or proprietary information, and expose us to potential litigation. Distributors could move forward with competing products developed either independently or in collaboration with others, including our competitors.</w:t>
      </w:r>
    </w:p>
    <w:p>
      <w:pPr>
        <w:spacing w:after="0" w:line="122" w:lineRule="exact"/>
        <w:rPr>
          <w:sz w:val="20"/>
          <w:szCs w:val="20"/>
          <w:color w:val="auto"/>
        </w:rPr>
      </w:pPr>
    </w:p>
    <w:p>
      <w:pPr>
        <w:ind w:right="80" w:firstLine="303"/>
        <w:spacing w:after="0" w:line="255" w:lineRule="auto"/>
        <w:rPr>
          <w:sz w:val="20"/>
          <w:szCs w:val="20"/>
          <w:color w:val="auto"/>
        </w:rPr>
      </w:pPr>
      <w:r>
        <w:rPr>
          <w:rFonts w:ascii="Arial" w:cs="Arial" w:eastAsia="Arial" w:hAnsi="Arial"/>
          <w:sz w:val="17"/>
          <w:szCs w:val="17"/>
          <w:color w:val="auto"/>
        </w:rPr>
        <w:t>In addition, although we intend to require contract terms obligating our distributors to comply with all applicable laws regarding the sale of our products, including regulatory labelling, protection of personal data, U.S. export regulations and the U.S. Foreign Corrupt Practices Act (FCPA), we may not be able to ensure proper compliance. If our distributors fail to effectively market and sell our products in full compliance with applicable laws and regulations, our results of operations and business may suffer.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69" w:lineRule="exact"/>
        <w:rPr>
          <w:sz w:val="20"/>
          <w:szCs w:val="20"/>
          <w:color w:val="auto"/>
        </w:rPr>
      </w:pPr>
    </w:p>
    <w:p>
      <w:pPr>
        <w:ind w:right="80" w:firstLine="303"/>
        <w:spacing w:after="0" w:line="282" w:lineRule="auto"/>
        <w:rPr>
          <w:sz w:val="20"/>
          <w:szCs w:val="20"/>
          <w:color w:val="auto"/>
        </w:rPr>
      </w:pPr>
      <w:r>
        <w:rPr>
          <w:rFonts w:ascii="Arial" w:cs="Arial" w:eastAsia="Arial" w:hAnsi="Arial"/>
          <w:sz w:val="16"/>
          <w:szCs w:val="16"/>
          <w:color w:val="auto"/>
        </w:rPr>
        <w:t>We face significant competition in the life sciences technology market. We currently compete with life sciences technology and the diagnostic companies that are supplying components, products and services that serve customers engaged in proteomics analysis. These companies include Agilent Technologies, Bruker Corporation, Danaher, DiaSorin, and Thermo Fisher Scientific. We also compete with a number of emerging growth companies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developed, or are developing, proteomic products and solutions, such as Nautilus Biotechnology, Olink Proteomics, Quanterix, Quantum-Si and SomaLogic.</w:t>
      </w:r>
    </w:p>
    <w:p>
      <w:pPr>
        <w:spacing w:after="0" w:line="169" w:lineRule="exact"/>
        <w:rPr>
          <w:sz w:val="20"/>
          <w:szCs w:val="20"/>
          <w:color w:val="auto"/>
        </w:rPr>
      </w:pPr>
    </w:p>
    <w:p>
      <w:pPr>
        <w:ind w:right="20" w:firstLine="303"/>
        <w:spacing w:after="0" w:line="270" w:lineRule="auto"/>
        <w:rPr>
          <w:sz w:val="20"/>
          <w:szCs w:val="20"/>
          <w:color w:val="auto"/>
        </w:rPr>
      </w:pPr>
      <w:r>
        <w:rPr>
          <w:rFonts w:ascii="Arial" w:cs="Arial" w:eastAsia="Arial" w:hAnsi="Arial"/>
          <w:sz w:val="17"/>
          <w:szCs w:val="17"/>
          <w:color w:val="auto"/>
        </w:rPr>
        <w:t>Some of our current competitors are large publicly-traded companies, or are divisions of large publicly-traded companies, and may enjoy a number of competitive advantages over us, including:</w:t>
      </w:r>
    </w:p>
    <w:p>
      <w:pPr>
        <w:spacing w:after="0" w:line="115" w:lineRule="exact"/>
        <w:rPr>
          <w:sz w:val="20"/>
          <w:szCs w:val="20"/>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name and brand recognition;</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greater financial and human resources;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broader product lines;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larger sales forces and more established distributor networks;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substantial intellectual property portfolios;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larger and more established customer bases and relationships;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better established, larger scale and lower cost manufacturing capabilities.</w:t>
      </w:r>
    </w:p>
    <w:p>
      <w:pPr>
        <w:spacing w:after="0" w:line="158" w:lineRule="exact"/>
        <w:rPr>
          <w:sz w:val="20"/>
          <w:szCs w:val="20"/>
          <w:color w:val="auto"/>
        </w:rPr>
      </w:pPr>
    </w:p>
    <w:p>
      <w:pPr>
        <w:ind w:firstLine="303"/>
        <w:spacing w:after="0" w:line="253" w:lineRule="auto"/>
        <w:rPr>
          <w:sz w:val="20"/>
          <w:szCs w:val="20"/>
          <w:color w:val="auto"/>
        </w:rPr>
      </w:pPr>
      <w:r>
        <w:rPr>
          <w:rFonts w:ascii="Arial" w:cs="Arial" w:eastAsia="Arial" w:hAnsi="Arial"/>
          <w:sz w:val="17"/>
          <w:szCs w:val="17"/>
          <w:color w:val="auto"/>
        </w:rPr>
        <w:t>We also face competition from researchers developing their own products. The area in which we compete involves rapid innovation and some of our customers have in the past, and more may in the future, elect to create their own assays rather than rely on a third-party supplier such as ourselves. This is particularly true for the largest research centers and laboratories who are continually testing and trying new technologies, whether from a third-party vendor or developed internally. We will also compete for the resources our customers allocate for purchasing a wide range of products used to analyze the proteome, some of which may be additive to or complementary with our own but not directly competitive.</w:t>
      </w:r>
    </w:p>
    <w:p>
      <w:pPr>
        <w:spacing w:after="0" w:line="130" w:lineRule="exact"/>
        <w:rPr>
          <w:sz w:val="20"/>
          <w:szCs w:val="20"/>
          <w:color w:val="auto"/>
        </w:rPr>
      </w:pPr>
    </w:p>
    <w:p>
      <w:pPr>
        <w:ind w:right="20" w:firstLine="303"/>
        <w:spacing w:after="0" w:line="272" w:lineRule="auto"/>
        <w:rPr>
          <w:sz w:val="20"/>
          <w:szCs w:val="20"/>
          <w:color w:val="auto"/>
        </w:rPr>
      </w:pPr>
      <w:r>
        <w:rPr>
          <w:rFonts w:ascii="Arial" w:cs="Arial" w:eastAsia="Arial" w:hAnsi="Arial"/>
          <w:sz w:val="16"/>
          <w:szCs w:val="16"/>
          <w:color w:val="auto"/>
        </w:rPr>
        <w:t>We cannot assure investors that our products will compete favorably or that we will be successful in the face of increasing competition from products and technologies introduced by our existing or future competitors, companies entering our markets or developed by our customers internally. In addition, we cannot assure investors that our competitors do not have or will not develop products or technologies that currently or in the future will enable them to produce competitive products with greater capabilities or at lower costs than ours or that are able to run comparable experiments at a lower total experiment cost. Any failure to compete effectively could materially and adversely affect our business, financial condition and operating results.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are required by Section 404 of the Sarbanes-Oxley Act to evaluate the effectiveness of our internal control over financial reporting. If we are unable to achieve and maintain effective internal controls, our operating results and financial condition could be harmed and the market price of our Class A common stock may be negatively affected.</w:t>
      </w:r>
    </w:p>
    <w:p>
      <w:pPr>
        <w:spacing w:after="0" w:line="126" w:lineRule="exact"/>
        <w:rPr>
          <w:sz w:val="20"/>
          <w:szCs w:val="20"/>
          <w:color w:val="auto"/>
        </w:rPr>
      </w:pPr>
    </w:p>
    <w:p>
      <w:pPr>
        <w:ind w:right="120" w:firstLine="303"/>
        <w:spacing w:after="0" w:line="295" w:lineRule="auto"/>
        <w:rPr>
          <w:sz w:val="20"/>
          <w:szCs w:val="20"/>
          <w:color w:val="auto"/>
        </w:rPr>
      </w:pPr>
      <w:r>
        <w:rPr>
          <w:rFonts w:ascii="Arial" w:cs="Arial" w:eastAsia="Arial" w:hAnsi="Arial"/>
          <w:sz w:val="15"/>
          <w:szCs w:val="15"/>
          <w:color w:val="auto"/>
        </w:rPr>
        <w:t>As a public company with SEC reporting obligations, we are required to document and test our internal control procedures to satisfy the requirements of Section 404(b) of the Sarbanes-Oxley Act (SOX), which requires annual assessments by management of the effectiveness of our internal control over financial reporting. Although we currently qualify as an emerging growth company, we anticipate becoming a large accelerated filer on December 31, 2021. As such, our auditor will be required to attest to the effectiveness of our internal control over financial reporting beginning with our 2021 annual report on Form 10-K. We must implement and maintain substantial internal control systems and procedures to satisfy the reporting requirements under the Securities Exchange Act of 1934.</w:t>
      </w:r>
    </w:p>
    <w:p>
      <w:pPr>
        <w:spacing w:after="0" w:line="100" w:lineRule="exact"/>
        <w:rPr>
          <w:sz w:val="20"/>
          <w:szCs w:val="20"/>
          <w:color w:val="auto"/>
        </w:rPr>
      </w:pPr>
    </w:p>
    <w:p>
      <w:pPr>
        <w:ind w:right="120" w:firstLine="303"/>
        <w:spacing w:after="0" w:line="295" w:lineRule="auto"/>
        <w:rPr>
          <w:sz w:val="20"/>
          <w:szCs w:val="20"/>
          <w:color w:val="auto"/>
        </w:rPr>
      </w:pPr>
      <w:r>
        <w:rPr>
          <w:rFonts w:ascii="Arial" w:cs="Arial" w:eastAsia="Arial" w:hAnsi="Arial"/>
          <w:sz w:val="15"/>
          <w:szCs w:val="15"/>
          <w:color w:val="auto"/>
        </w:rPr>
        <w:t>During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SOX. If we conclude that our internal control over financial reporting is not effective, the cost and scope of remediation actions and their effect on our operations may be significant. Moreover, any material weaknesses or other deficiencies in our internal control over financial reporting may impede our ability to file timely and accurate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49"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with the SEC. Any of the above could cause investors to lose confidence in our reported financial information or our Class A common stock listing on Nasdaq to be suspended or terminated, which could have a negative effect on the trading price of our common stock.</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ineffective, or if we experience additional material weaknesses in the future or otherwise fail to maintain an effective system of internal controls in the future, we may not be able to report our financial condition or results of operations accurately or on a timely basis, which may adversely affect investor confidence in us and, as a result, the value of our Class A common stock.</w:t>
      </w:r>
    </w:p>
    <w:p>
      <w:pPr>
        <w:spacing w:after="0" w:line="127" w:lineRule="exact"/>
        <w:rPr>
          <w:sz w:val="20"/>
          <w:szCs w:val="20"/>
          <w:color w:val="auto"/>
        </w:rPr>
      </w:pPr>
    </w:p>
    <w:p>
      <w:pPr>
        <w:jc w:val="both"/>
        <w:ind w:right="200" w:firstLine="303"/>
        <w:spacing w:after="0" w:line="255" w:lineRule="auto"/>
        <w:rPr>
          <w:sz w:val="20"/>
          <w:szCs w:val="20"/>
          <w:color w:val="auto"/>
        </w:rPr>
      </w:pPr>
      <w:r>
        <w:rPr>
          <w:rFonts w:ascii="Arial" w:cs="Arial" w:eastAsia="Arial" w:hAnsi="Arial"/>
          <w:sz w:val="17"/>
          <w:szCs w:val="17"/>
          <w:color w:val="auto"/>
        </w:rPr>
        <w:t>We are testing our internal controls for the purpose of providing the reports required by SOX. During our testing, we may identify deficiencies and be unable to remediate them before we must provide the required reports. In connection with the audit of our consolidated financial statements for the year ended December 31, 2019, we and our independent registered public accounting firm identified the following material weaknesses in our internal control over financial reporting, which remain unremediated:</w:t>
      </w:r>
    </w:p>
    <w:p>
      <w:pPr>
        <w:spacing w:after="0" w:line="127" w:lineRule="exact"/>
        <w:rPr>
          <w:sz w:val="20"/>
          <w:szCs w:val="20"/>
          <w:color w:val="auto"/>
        </w:rPr>
      </w:pPr>
    </w:p>
    <w:p>
      <w:pPr>
        <w:ind w:left="600" w:hanging="297"/>
        <w:spacing w:after="0"/>
        <w:tabs>
          <w:tab w:leader="none" w:pos="6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there is insufficient accounting personnel to enable segregation of duties relating to the general ledger, disbursement, and certain accounting functions;</w:t>
      </w:r>
    </w:p>
    <w:p>
      <w:pPr>
        <w:spacing w:after="0" w:line="180" w:lineRule="exact"/>
        <w:rPr>
          <w:rFonts w:ascii="Arial" w:cs="Arial" w:eastAsia="Arial" w:hAnsi="Arial"/>
          <w:sz w:val="15"/>
          <w:szCs w:val="15"/>
          <w:color w:val="auto"/>
        </w:rPr>
      </w:pPr>
    </w:p>
    <w:p>
      <w:pPr>
        <w:ind w:left="600" w:right="60" w:hanging="297"/>
        <w:spacing w:after="0" w:line="270" w:lineRule="auto"/>
        <w:tabs>
          <w:tab w:leader="none" w:pos="5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are not formalized processes or controls for account reconciliations, including independent review of such reconciliations, or related financial statement analysis prepared in conformity with generally accepted accounting principles in the United States (U.S. GAAP); and</w:t>
      </w:r>
    </w:p>
    <w:p>
      <w:pPr>
        <w:spacing w:after="0" w:line="114" w:lineRule="exact"/>
        <w:rPr>
          <w:rFonts w:ascii="Arial" w:cs="Arial" w:eastAsia="Arial" w:hAnsi="Arial"/>
          <w:sz w:val="17"/>
          <w:szCs w:val="17"/>
          <w:color w:val="auto"/>
        </w:rPr>
      </w:pPr>
    </w:p>
    <w:p>
      <w:pPr>
        <w:ind w:left="600" w:right="60" w:hanging="297"/>
        <w:spacing w:after="0" w:line="270" w:lineRule="auto"/>
        <w:tabs>
          <w:tab w:leader="none" w:pos="59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is not a sufficient complement of accounting personnel with the necessary U.S. GAAP technical expertise to timely identify and account for complex or non-routine transactions or to formalize accounting policies, memoranda, or controls for such transactions.</w:t>
      </w:r>
    </w:p>
    <w:p>
      <w:pPr>
        <w:spacing w:after="0" w:line="115" w:lineRule="exact"/>
        <w:rPr>
          <w:sz w:val="20"/>
          <w:szCs w:val="20"/>
          <w:color w:val="auto"/>
        </w:rPr>
      </w:pPr>
    </w:p>
    <w:p>
      <w:pPr>
        <w:ind w:right="160" w:firstLine="303"/>
        <w:spacing w:after="0" w:line="270"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our consolidated financial statements will not be prevented or detected on a timely basis.</w:t>
      </w:r>
    </w:p>
    <w:p>
      <w:pPr>
        <w:spacing w:after="0" w:line="115" w:lineRule="exact"/>
        <w:rPr>
          <w:sz w:val="20"/>
          <w:szCs w:val="20"/>
          <w:color w:val="auto"/>
        </w:rPr>
      </w:pPr>
    </w:p>
    <w:p>
      <w:pPr>
        <w:jc w:val="both"/>
        <w:ind w:right="40" w:firstLine="303"/>
        <w:spacing w:after="0" w:line="340" w:lineRule="auto"/>
        <w:rPr>
          <w:sz w:val="20"/>
          <w:szCs w:val="20"/>
          <w:color w:val="auto"/>
        </w:rPr>
      </w:pPr>
      <w:r>
        <w:rPr>
          <w:rFonts w:ascii="Arial" w:cs="Arial" w:eastAsia="Arial" w:hAnsi="Arial"/>
          <w:sz w:val="14"/>
          <w:szCs w:val="14"/>
          <w:color w:val="auto"/>
        </w:rPr>
        <w:t>We have commenced measures to remediate the identified material weaknesses. These measures include adding personnel as well as implementing new financial systems and processes. We intend to continue to take steps to remediate the material weaknesses described above and to further improve our accounting processes. We will not be able to fully remediate these material weaknesses until these steps have been completed and have been operating effectively for a sufficient period of time.</w:t>
      </w:r>
    </w:p>
    <w:p>
      <w:pPr>
        <w:spacing w:after="0" w:line="72" w:lineRule="exact"/>
        <w:rPr>
          <w:sz w:val="20"/>
          <w:szCs w:val="20"/>
          <w:color w:val="auto"/>
        </w:rPr>
      </w:pPr>
    </w:p>
    <w:p>
      <w:pPr>
        <w:ind w:right="380" w:firstLine="303"/>
        <w:spacing w:after="0" w:line="301" w:lineRule="auto"/>
        <w:rPr>
          <w:sz w:val="20"/>
          <w:szCs w:val="20"/>
          <w:color w:val="auto"/>
        </w:rPr>
      </w:pPr>
      <w:r>
        <w:rPr>
          <w:rFonts w:ascii="Arial" w:cs="Arial" w:eastAsia="Arial" w:hAnsi="Arial"/>
          <w:sz w:val="16"/>
          <w:szCs w:val="16"/>
          <w:color w:val="auto"/>
        </w:rPr>
        <w:t>While we believe that these efforts will improve our internal control over financial reporting, the implementation of our remediation plan is ongoing and will require validation and testing of the design and operating effectiveness of internal controls over a sustained period of financial reporting cycles.</w:t>
      </w:r>
    </w:p>
    <w:p>
      <w:pPr>
        <w:spacing w:after="0" w:line="93" w:lineRule="exact"/>
        <w:rPr>
          <w:sz w:val="20"/>
          <w:szCs w:val="20"/>
          <w:color w:val="auto"/>
        </w:rPr>
      </w:pPr>
    </w:p>
    <w:p>
      <w:pPr>
        <w:ind w:right="40" w:firstLine="303"/>
        <w:spacing w:after="0" w:line="253" w:lineRule="auto"/>
        <w:rPr>
          <w:sz w:val="20"/>
          <w:szCs w:val="20"/>
          <w:color w:val="auto"/>
        </w:rPr>
      </w:pPr>
      <w:r>
        <w:rPr>
          <w:rFonts w:ascii="Arial" w:cs="Arial" w:eastAsia="Arial" w:hAnsi="Arial"/>
          <w:sz w:val="17"/>
          <w:szCs w:val="17"/>
          <w:color w:val="auto"/>
        </w:rPr>
        <w:t>We are committed to continuing to improve our internal control processes and will continue to review and enhance our financial reporting controls and procedures. As we continue to evaluate and improve our internal control over financial reporting, we may take additional measures to address control deficiencies, or we may modify, or in appropriate circumstances not complete, certain of the remediation measures described above. These material weaknesses will not be considered remediated until the applicable controls operate for a sufficient period of time and management has concluded, through testing, that the enhanced control is operating effectively.</w:t>
      </w:r>
    </w:p>
    <w:p>
      <w:pPr>
        <w:spacing w:after="0" w:line="130" w:lineRule="exact"/>
        <w:rPr>
          <w:sz w:val="20"/>
          <w:szCs w:val="20"/>
          <w:color w:val="auto"/>
        </w:rPr>
      </w:pPr>
    </w:p>
    <w:p>
      <w:pPr>
        <w:ind w:right="20" w:firstLine="303"/>
        <w:spacing w:after="0" w:line="270" w:lineRule="auto"/>
        <w:rPr>
          <w:sz w:val="20"/>
          <w:szCs w:val="20"/>
          <w:color w:val="auto"/>
        </w:rPr>
      </w:pPr>
      <w:r>
        <w:rPr>
          <w:rFonts w:ascii="Arial" w:cs="Arial" w:eastAsia="Arial" w:hAnsi="Arial"/>
          <w:sz w:val="16"/>
          <w:szCs w:val="16"/>
          <w:color w:val="auto"/>
        </w:rPr>
        <w:t>While we have begun taking measures and plan to continue to take measures to design and implement an effective control environment, we cannot assure you that the measures we have taken to date and other remediation and internal control measures we implement in the future will be sufficient to remediate our current material weaknesses or prevent future material weaknesses. We may discover additional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of controls can provide absolute assurance that misstatements due to error or fraud will not occur or that all control issues and instances of fraud will be detected.</w:t>
      </w:r>
    </w:p>
    <w:p>
      <w:pPr>
        <w:spacing w:after="0" w:line="181" w:lineRule="exact"/>
        <w:rPr>
          <w:sz w:val="20"/>
          <w:szCs w:val="20"/>
          <w:color w:val="auto"/>
        </w:rPr>
      </w:pPr>
    </w:p>
    <w:p>
      <w:pPr>
        <w:ind w:right="40" w:firstLine="303"/>
        <w:spacing w:after="0" w:line="252" w:lineRule="auto"/>
        <w:rPr>
          <w:sz w:val="20"/>
          <w:szCs w:val="20"/>
          <w:color w:val="auto"/>
        </w:rPr>
      </w:pPr>
      <w:r>
        <w:rPr>
          <w:rFonts w:ascii="Arial" w:cs="Arial" w:eastAsia="Arial" w:hAnsi="Arial"/>
          <w:sz w:val="17"/>
          <w:szCs w:val="17"/>
          <w:color w:val="auto"/>
        </w:rPr>
        <w:t>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30"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5" w:lineRule="exact"/>
        <w:rPr>
          <w:sz w:val="20"/>
          <w:szCs w:val="20"/>
          <w:color w:val="auto"/>
        </w:rPr>
      </w:pPr>
    </w:p>
    <w:p>
      <w:pPr>
        <w:ind w:right="80" w:firstLine="303"/>
        <w:spacing w:after="0" w:line="287" w:lineRule="auto"/>
        <w:rPr>
          <w:sz w:val="20"/>
          <w:szCs w:val="20"/>
          <w:color w:val="auto"/>
        </w:rPr>
      </w:pPr>
      <w:r>
        <w:rPr>
          <w:rFonts w:ascii="Arial" w:cs="Arial" w:eastAsia="Arial" w:hAnsi="Arial"/>
          <w:sz w:val="15"/>
          <w:szCs w:val="15"/>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We will also be required to disclose material changes made in our internal controls over financing reporting and procedures on a quarterly basis and our management will be required to assess the effectiveness of these controls annually. As discussed above, we have identified material weaknesses in the past which we are in the process of remedying. However, our efforts to remediate previous material weaknesses may not be effective or prevent any future deficiency in our internal control over financial reporting. Ineffective internal controls could also cause investors to lose confidence in our reported financial information, which could have a negative effect on the trading price of our Class A common stock.</w:t>
      </w:r>
    </w:p>
    <w:p>
      <w:pPr>
        <w:spacing w:after="0" w:line="106" w:lineRule="exact"/>
        <w:rPr>
          <w:sz w:val="20"/>
          <w:szCs w:val="20"/>
          <w:color w:val="auto"/>
        </w:rPr>
      </w:pPr>
    </w:p>
    <w:p>
      <w:pPr>
        <w:ind w:right="40" w:firstLine="303"/>
        <w:spacing w:after="0" w:line="253"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0" w:lineRule="exact"/>
        <w:rPr>
          <w:sz w:val="20"/>
          <w:szCs w:val="20"/>
          <w:color w:val="auto"/>
        </w:rPr>
      </w:pPr>
    </w:p>
    <w:p>
      <w:pPr>
        <w:ind w:right="120" w:firstLine="303"/>
        <w:spacing w:after="0" w:line="301" w:lineRule="auto"/>
        <w:rPr>
          <w:sz w:val="20"/>
          <w:szCs w:val="20"/>
          <w:color w:val="auto"/>
        </w:rPr>
      </w:pPr>
      <w:r>
        <w:rPr>
          <w:rFonts w:ascii="Arial" w:cs="Arial" w:eastAsia="Arial" w:hAnsi="Arial"/>
          <w:sz w:val="16"/>
          <w:szCs w:val="16"/>
          <w:color w:val="auto"/>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spacing w:after="0" w:line="93"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Class A common stock.</w:t>
      </w:r>
    </w:p>
    <w:p>
      <w:pPr>
        <w:spacing w:after="0" w:line="126" w:lineRule="exact"/>
        <w:rPr>
          <w:sz w:val="20"/>
          <w:szCs w:val="20"/>
          <w:color w:val="auto"/>
        </w:rPr>
      </w:pPr>
    </w:p>
    <w:p>
      <w:pPr>
        <w:ind w:right="20" w:firstLine="303"/>
        <w:spacing w:after="0" w:line="270"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our consolidated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49" w:lineRule="exact"/>
        <w:rPr>
          <w:sz w:val="20"/>
          <w:szCs w:val="20"/>
          <w:color w:val="auto"/>
        </w:rPr>
      </w:pPr>
    </w:p>
    <w:p>
      <w:pPr>
        <w:ind w:right="360"/>
        <w:spacing w:after="0" w:line="276" w:lineRule="auto"/>
        <w:rPr>
          <w:sz w:val="20"/>
          <w:szCs w:val="20"/>
          <w:color w:val="auto"/>
        </w:rPr>
      </w:pPr>
      <w:r>
        <w:rPr>
          <w:rFonts w:ascii="Arial" w:cs="Arial" w:eastAsia="Arial" w:hAnsi="Arial"/>
          <w:sz w:val="16"/>
          <w:szCs w:val="16"/>
          <w:color w:val="auto"/>
        </w:rPr>
        <w:t>to company based on their unique circumstances. It is possible that interpretation, industry practice and guidance may evolve as we apply the new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12" w:lineRule="exact"/>
        <w:rPr>
          <w:sz w:val="20"/>
          <w:szCs w:val="20"/>
          <w:color w:val="auto"/>
        </w:rPr>
      </w:pPr>
    </w:p>
    <w:p>
      <w:pPr>
        <w:jc w:val="both"/>
        <w:ind w:right="80"/>
        <w:spacing w:after="0" w:line="258" w:lineRule="auto"/>
        <w:rPr>
          <w:sz w:val="20"/>
          <w:szCs w:val="20"/>
          <w:color w:val="auto"/>
        </w:rPr>
      </w:pPr>
      <w:r>
        <w:rPr>
          <w:rFonts w:ascii="Arial" w:cs="Arial" w:eastAsia="Arial" w:hAnsi="Arial"/>
          <w:sz w:val="17"/>
          <w:szCs w:val="17"/>
          <w:b w:val="1"/>
          <w:bCs w:val="1"/>
          <w:i w:val="1"/>
          <w:iCs w:val="1"/>
          <w:color w:val="auto"/>
        </w:rPr>
        <w:t>If we elect to label and promote any of our products as clinical diagnostics tests or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26" w:lineRule="exact"/>
        <w:rPr>
          <w:sz w:val="20"/>
          <w:szCs w:val="20"/>
          <w:color w:val="auto"/>
        </w:rPr>
      </w:pPr>
    </w:p>
    <w:p>
      <w:pPr>
        <w:ind w:firstLine="303"/>
        <w:spacing w:after="0" w:line="253" w:lineRule="auto"/>
        <w:rPr>
          <w:sz w:val="20"/>
          <w:szCs w:val="20"/>
          <w:color w:val="auto"/>
        </w:rPr>
      </w:pPr>
      <w:r>
        <w:rPr>
          <w:rFonts w:ascii="Arial" w:cs="Arial" w:eastAsia="Arial" w:hAnsi="Arial"/>
          <w:sz w:val="17"/>
          <w:szCs w:val="17"/>
          <w:color w:val="auto"/>
        </w:rPr>
        <w:t>Our products are currently labeled and promoted, and are, and in the near-future will be, sold as research use only (RUO) products, primarily to academic and research institutions and research companies, and are not currently designed, or intended to be used, for diagnostic procedures, clinical diagnostic tests or as medical devices. If we elect to label and market our products for use as, or in the performance of, clinical diagnostics in the United States, thereby subjecting them to U.S. Food and Drug Administration (FDA) regulation as medical devices, we would be required to obtain premarket 510(k) clearance or premarket approval from the FDA, unless an exception applies.</w:t>
      </w:r>
    </w:p>
    <w:p>
      <w:pPr>
        <w:spacing w:after="0" w:line="130" w:lineRule="exact"/>
        <w:rPr>
          <w:sz w:val="20"/>
          <w:szCs w:val="20"/>
          <w:color w:val="auto"/>
        </w:rPr>
      </w:pPr>
    </w:p>
    <w:p>
      <w:pPr>
        <w:ind w:right="180" w:firstLine="303"/>
        <w:spacing w:after="0" w:line="295" w:lineRule="auto"/>
        <w:rPr>
          <w:sz w:val="20"/>
          <w:szCs w:val="20"/>
          <w:color w:val="auto"/>
        </w:rPr>
      </w:pPr>
      <w:r>
        <w:rPr>
          <w:rFonts w:ascii="Arial" w:cs="Arial" w:eastAsia="Arial" w:hAnsi="Arial"/>
          <w:sz w:val="15"/>
          <w:szCs w:val="15"/>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00"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 xml:space="preserve">In addition, we may in the future submit 510(k) premarket notifications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1" w:lineRule="exact"/>
        <w:rPr>
          <w:sz w:val="20"/>
          <w:szCs w:val="20"/>
          <w:color w:val="auto"/>
        </w:rPr>
      </w:pPr>
    </w:p>
    <w:p>
      <w:pPr>
        <w:ind w:right="40" w:firstLine="303"/>
        <w:spacing w:after="0" w:line="295"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49"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93" w:lineRule="exact"/>
        <w:rPr>
          <w:sz w:val="20"/>
          <w:szCs w:val="20"/>
          <w:color w:val="auto"/>
        </w:rPr>
      </w:pPr>
    </w:p>
    <w:p>
      <w:pPr>
        <w:ind w:right="40" w:firstLine="303"/>
        <w:spacing w:after="0" w:line="25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36"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99" w:lineRule="exact"/>
        <w:rPr>
          <w:sz w:val="20"/>
          <w:szCs w:val="20"/>
          <w:color w:val="auto"/>
        </w:rPr>
      </w:pPr>
    </w:p>
    <w:p>
      <w:pPr>
        <w:ind w:right="100" w:firstLine="303"/>
        <w:spacing w:after="0" w:line="287" w:lineRule="auto"/>
        <w:rPr>
          <w:sz w:val="20"/>
          <w:szCs w:val="20"/>
          <w:color w:val="auto"/>
        </w:rPr>
      </w:pPr>
      <w:r>
        <w:rPr>
          <w:rFonts w:ascii="Arial" w:cs="Arial" w:eastAsia="Arial" w:hAnsi="Arial"/>
          <w:sz w:val="15"/>
          <w:szCs w:val="15"/>
          <w:color w:val="auto"/>
        </w:rPr>
        <w:t>We do not currently expect our Proteograph Product Suite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as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06"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25" w:lineRule="exact"/>
        <w:rPr>
          <w:sz w:val="20"/>
          <w:szCs w:val="20"/>
          <w:color w:val="auto"/>
        </w:rPr>
      </w:pPr>
    </w:p>
    <w:p>
      <w:pPr>
        <w:ind w:right="40" w:firstLine="303"/>
        <w:spacing w:after="0" w:line="258" w:lineRule="auto"/>
        <w:rPr>
          <w:sz w:val="20"/>
          <w:szCs w:val="20"/>
          <w:color w:val="auto"/>
        </w:rPr>
      </w:pPr>
      <w:r>
        <w:rPr>
          <w:rFonts w:ascii="Arial" w:cs="Arial" w:eastAsia="Arial" w:hAnsi="Arial"/>
          <w:sz w:val="17"/>
          <w:szCs w:val="17"/>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20" w:lineRule="exact"/>
        <w:rPr>
          <w:sz w:val="20"/>
          <w:szCs w:val="20"/>
          <w:color w:val="auto"/>
        </w:rPr>
      </w:pPr>
    </w:p>
    <w:p>
      <w:pPr>
        <w:ind w:right="160" w:firstLine="303"/>
        <w:spacing w:after="0" w:line="251"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32"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In August 2020,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The impact of this HHS rescission policy, including whether or how this policy will be implemented under the current administration, as well as other legislative, executive, and agency actions of the current administration remains unclear. The Biden administration has also issued a “regulatory freeze” memorandum that directs department and agency heads to review any new or pending rules of the prior administration. Any restrictions or heightened regulatory requirements on LDTs, IVDs, or RUO products by the FDA, HHS, Congress, or state regulatory authorities may decrease the demand for our products, increase our compliance costs, and negatively impact our business and profitability. We will continue to monitor and assess the impact of changing regulatory landscape on our business.</w:t>
      </w:r>
    </w:p>
    <w:p>
      <w:pPr>
        <w:spacing w:after="0" w:line="125" w:lineRule="exact"/>
        <w:rPr>
          <w:sz w:val="20"/>
          <w:szCs w:val="20"/>
          <w:color w:val="auto"/>
        </w:rPr>
      </w:pPr>
    </w:p>
    <w:p>
      <w:pPr>
        <w:ind w:right="500"/>
        <w:spacing w:after="0" w:line="301" w:lineRule="auto"/>
        <w:rPr>
          <w:sz w:val="20"/>
          <w:szCs w:val="20"/>
          <w:color w:val="auto"/>
        </w:rPr>
      </w:pPr>
      <w:r>
        <w:rPr>
          <w:rFonts w:ascii="Arial" w:cs="Arial" w:eastAsia="Arial" w:hAnsi="Arial"/>
          <w:sz w:val="16"/>
          <w:szCs w:val="16"/>
          <w:b w:val="1"/>
          <w:bCs w:val="1"/>
          <w:i w:val="1"/>
          <w:iCs w:val="1"/>
          <w:color w:val="auto"/>
        </w:rPr>
        <w:t>We may need to raise additional capital to fund commercialization plans for our Proteograph Product Suite, including manufacturing, sales and marketing activities, expand our investments in research, and develop and commercialize new products and applications.</w:t>
      </w:r>
    </w:p>
    <w:p>
      <w:pPr>
        <w:spacing w:after="0" w:line="93" w:lineRule="exact"/>
        <w:rPr>
          <w:sz w:val="20"/>
          <w:szCs w:val="20"/>
          <w:color w:val="auto"/>
        </w:rPr>
      </w:pPr>
    </w:p>
    <w:p>
      <w:pPr>
        <w:ind w:right="220" w:firstLine="303"/>
        <w:spacing w:after="0" w:line="253" w:lineRule="auto"/>
        <w:rPr>
          <w:sz w:val="20"/>
          <w:szCs w:val="20"/>
          <w:color w:val="auto"/>
        </w:rPr>
      </w:pPr>
      <w:r>
        <w:rPr>
          <w:rFonts w:ascii="Arial" w:cs="Arial" w:eastAsia="Arial" w:hAnsi="Arial"/>
          <w:sz w:val="17"/>
          <w:szCs w:val="17"/>
          <w:color w:val="auto"/>
        </w:rPr>
        <w:t>Based on our current plans, we believe that our current cash and cash equivalents and anticipated cash flow from operations will be sufficient to meet our anticipated cash requirements for at least twelve months from the date of this Quarterly Report. If our available cash resources and anticipated cash flow from operations are insufficient to satisfy our liquidity requirements including because of lower demand for our products or the realization of other risks described in this Quarterly Report, we may be required to raise additional capital prior to such time through issuances of equity or convertible debt securities, entrance into a credit facility or another form of third-party funding or seek other debt financing.</w:t>
      </w:r>
    </w:p>
    <w:p>
      <w:pPr>
        <w:spacing w:after="0" w:line="130" w:lineRule="exact"/>
        <w:rPr>
          <w:sz w:val="20"/>
          <w:szCs w:val="20"/>
          <w:color w:val="auto"/>
        </w:rPr>
      </w:pPr>
    </w:p>
    <w:p>
      <w:pPr>
        <w:ind w:right="40" w:firstLine="303"/>
        <w:spacing w:after="0" w:line="270" w:lineRule="auto"/>
        <w:rPr>
          <w:sz w:val="20"/>
          <w:szCs w:val="20"/>
          <w:color w:val="auto"/>
        </w:rPr>
      </w:pPr>
      <w:r>
        <w:rPr>
          <w:rFonts w:ascii="Arial" w:cs="Arial" w:eastAsia="Arial" w:hAnsi="Arial"/>
          <w:sz w:val="17"/>
          <w:szCs w:val="17"/>
          <w:color w:val="auto"/>
        </w:rPr>
        <w:t>We will consider raising additional capital in the future to expand our business, to pursue strategic investments, to take advantage of financing opportunities or for other reasons, including:</w:t>
      </w:r>
    </w:p>
    <w:p>
      <w:pPr>
        <w:spacing w:after="0" w:line="115" w:lineRule="exact"/>
        <w:rPr>
          <w:sz w:val="20"/>
          <w:szCs w:val="20"/>
          <w:color w:val="auto"/>
        </w:rPr>
      </w:pPr>
    </w:p>
    <w:p>
      <w:pPr>
        <w:ind w:left="600" w:hanging="297"/>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increasing our sales and marketing and other commercialization efforts to drive market adoption of our Proteograph Product Suite;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funding development and marketing efforts of our Proteograph Product Suite or any other future products;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expanding our technologies into additional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49" w:lineRule="exact"/>
        <w:rPr>
          <w:sz w:val="20"/>
          <w:szCs w:val="20"/>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acquiring, licensing or investing in technologies and other intellectual property rights;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acquiring or investing in complementary businesses or assets;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financing capital expenditures and general and administrative expenses.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present and future funding requirements will depend on many factors, including:</w:t>
      </w:r>
    </w:p>
    <w:p>
      <w:pPr>
        <w:spacing w:after="0" w:line="158" w:lineRule="exact"/>
        <w:rPr>
          <w:sz w:val="20"/>
          <w:szCs w:val="20"/>
          <w:color w:val="auto"/>
        </w:rPr>
      </w:pPr>
    </w:p>
    <w:p>
      <w:pPr>
        <w:ind w:left="600" w:right="220" w:hanging="297"/>
        <w:spacing w:after="0" w:line="270"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rate of progress in commercializing our Proteograph Product Suite and new products, and the cost of the sales and marketing activities associated with establishing adoption of our products;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rate of progress in, and cost of research and development activities associated with, products in research and development;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58" w:lineRule="exact"/>
        <w:rPr>
          <w:sz w:val="20"/>
          <w:szCs w:val="20"/>
          <w:color w:val="auto"/>
        </w:rPr>
      </w:pPr>
    </w:p>
    <w:p>
      <w:pPr>
        <w:ind w:right="80" w:firstLine="303"/>
        <w:spacing w:after="0" w:line="253"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could result. If we raise funds by issuing debt securities, those debt securities would have rights, preferences and privileges senior to those of holders of our Class A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6"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5" w:lineRule="exact"/>
        <w:rPr>
          <w:sz w:val="20"/>
          <w:szCs w:val="20"/>
          <w:color w:val="auto"/>
        </w:rPr>
      </w:pPr>
    </w:p>
    <w:p>
      <w:pPr>
        <w:jc w:val="both"/>
        <w:ind w:right="80" w:firstLine="303"/>
        <w:spacing w:after="0" w:line="253" w:lineRule="auto"/>
        <w:rPr>
          <w:sz w:val="20"/>
          <w:szCs w:val="20"/>
          <w:color w:val="auto"/>
        </w:rPr>
      </w:pPr>
      <w:r>
        <w:rPr>
          <w:rFonts w:ascii="Arial" w:cs="Arial" w:eastAsia="Arial" w:hAnsi="Arial"/>
          <w:sz w:val="17"/>
          <w:szCs w:val="17"/>
          <w:color w:val="auto"/>
        </w:rPr>
        <w:t>We may in the future seek to acquire or invest in businesses, applications or technologies that we believe could complement or expand our Proteograph Product Suite or future products, enhance our technical capabilities or otherwise offer growth opportunities.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30" w:lineRule="exact"/>
        <w:rPr>
          <w:sz w:val="20"/>
          <w:szCs w:val="20"/>
          <w:color w:val="auto"/>
        </w:rPr>
      </w:pPr>
    </w:p>
    <w:p>
      <w:pPr>
        <w:ind w:right="20" w:firstLine="303"/>
        <w:spacing w:after="0" w:line="276" w:lineRule="auto"/>
        <w:rPr>
          <w:sz w:val="20"/>
          <w:szCs w:val="20"/>
          <w:color w:val="auto"/>
        </w:rPr>
      </w:pPr>
      <w:r>
        <w:rPr>
          <w:rFonts w:ascii="Arial" w:cs="Arial" w:eastAsia="Arial" w:hAnsi="Arial"/>
          <w:sz w:val="16"/>
          <w:szCs w:val="16"/>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benefits of PrognomIQ as a separate healthcare company in the area of disease testing.</w:t>
      </w:r>
    </w:p>
    <w:p>
      <w:pPr>
        <w:spacing w:after="0" w:line="158" w:lineRule="exact"/>
        <w:rPr>
          <w:sz w:val="20"/>
          <w:szCs w:val="20"/>
          <w:color w:val="auto"/>
        </w:rPr>
      </w:pPr>
    </w:p>
    <w:p>
      <w:pPr>
        <w:jc w:val="both"/>
        <w:ind w:right="120" w:firstLine="303"/>
        <w:spacing w:after="0" w:line="282" w:lineRule="auto"/>
        <w:rPr>
          <w:sz w:val="20"/>
          <w:szCs w:val="20"/>
          <w:color w:val="auto"/>
        </w:rPr>
      </w:pPr>
      <w:r>
        <w:rPr>
          <w:rFonts w:ascii="Arial" w:cs="Arial" w:eastAsia="Arial" w:hAnsi="Arial"/>
          <w:sz w:val="16"/>
          <w:szCs w:val="16"/>
          <w:color w:val="auto"/>
        </w:rPr>
        <w:t>In August 2020, we transferred certain assets to PrognomIQ, as a separate healthcare company to help enable the growth of ecosystems around new applications that leverage our Proteograph solution for unbiased, deep and large-scale proteomic information. We continue to hold approximately 19% of the outstanding capital stock of PrognomIQ. We may not realize the potential benefits of forming PrognomIQ for a variety of reasons, including:</w:t>
      </w:r>
    </w:p>
    <w:p>
      <w:pPr>
        <w:spacing w:after="0" w:line="108" w:lineRule="exact"/>
        <w:rPr>
          <w:sz w:val="20"/>
          <w:szCs w:val="20"/>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PrognomIQ may be unable to successfully develop viable testing products;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PrognomIQ’s business may not help demonstrate the value of our Proteograph;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inability to reach agreement with PrognomIQ on future commercial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49" w:lineRule="exact"/>
        <w:rPr>
          <w:sz w:val="20"/>
          <w:szCs w:val="20"/>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PrognomIQ may not become a meaningful customer of ours;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PrognomIQ may need to raise additional funding in the future and be unable to do so; and</w:t>
      </w:r>
    </w:p>
    <w:p>
      <w:pPr>
        <w:spacing w:after="0" w:line="157" w:lineRule="exact"/>
        <w:rPr>
          <w:rFonts w:ascii="Arial" w:cs="Arial" w:eastAsia="Arial" w:hAnsi="Arial"/>
          <w:sz w:val="17"/>
          <w:szCs w:val="17"/>
          <w:color w:val="auto"/>
        </w:rPr>
      </w:pPr>
    </w:p>
    <w:p>
      <w:pPr>
        <w:ind w:left="600" w:right="400" w:hanging="297"/>
        <w:spacing w:after="0" w:line="270" w:lineRule="auto"/>
        <w:tabs>
          <w:tab w:leader="none" w:pos="596"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formation of PrognomIQ and our continuing equity position in PrognomIQ may add complexities to our business from a finance, tax and accounting perspective.</w:t>
      </w:r>
    </w:p>
    <w:p>
      <w:pPr>
        <w:spacing w:after="0" w:line="115" w:lineRule="exact"/>
        <w:rPr>
          <w:sz w:val="20"/>
          <w:szCs w:val="20"/>
          <w:color w:val="auto"/>
        </w:rPr>
      </w:pPr>
    </w:p>
    <w:p>
      <w:pPr>
        <w:ind w:right="300" w:firstLine="303"/>
        <w:spacing w:after="0" w:line="270" w:lineRule="auto"/>
        <w:rPr>
          <w:sz w:val="20"/>
          <w:szCs w:val="20"/>
          <w:color w:val="auto"/>
        </w:rPr>
      </w:pPr>
      <w:r>
        <w:rPr>
          <w:rFonts w:ascii="Arial" w:cs="Arial" w:eastAsia="Arial" w:hAnsi="Arial"/>
          <w:sz w:val="17"/>
          <w:szCs w:val="17"/>
          <w:color w:val="auto"/>
        </w:rPr>
        <w:t>Further, PrognomIQ is a separate entity, and as such, may decide over time to pursue a different business model, decide to do business with our competitors in addition to or instead of with us, be acquired by a competitor or take other actions that may not be beneficial to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6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If we are unable to obtain and maintain sufficient intellectual property protection for our products and technology,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26"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litigation costs in our attempts to recover or restrict use of our intellectual property.</w:t>
      </w:r>
    </w:p>
    <w:p>
      <w:pPr>
        <w:spacing w:after="0" w:line="112" w:lineRule="exact"/>
        <w:rPr>
          <w:sz w:val="20"/>
          <w:szCs w:val="20"/>
          <w:color w:val="auto"/>
        </w:rPr>
      </w:pPr>
    </w:p>
    <w:p>
      <w:pPr>
        <w:ind w:right="340" w:firstLine="303"/>
        <w:spacing w:after="0" w:line="255"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27" w:lineRule="exact"/>
        <w:rPr>
          <w:sz w:val="20"/>
          <w:szCs w:val="20"/>
          <w:color w:val="auto"/>
        </w:rPr>
      </w:pPr>
    </w:p>
    <w:p>
      <w:pPr>
        <w:ind w:right="80" w:firstLine="303"/>
        <w:spacing w:after="0" w:line="267" w:lineRule="auto"/>
        <w:rPr>
          <w:sz w:val="20"/>
          <w:szCs w:val="20"/>
          <w:color w:val="auto"/>
        </w:rPr>
      </w:pPr>
      <w:r>
        <w:rPr>
          <w:rFonts w:ascii="Arial" w:cs="Arial" w:eastAsia="Arial" w:hAnsi="Arial"/>
          <w:sz w:val="16"/>
          <w:szCs w:val="16"/>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122" w:lineRule="exact"/>
        <w:rPr>
          <w:sz w:val="20"/>
          <w:szCs w:val="20"/>
          <w:color w:val="auto"/>
        </w:rPr>
      </w:pPr>
    </w:p>
    <w:p>
      <w:pPr>
        <w:ind w:firstLine="303"/>
        <w:spacing w:after="0" w:line="290" w:lineRule="auto"/>
        <w:rPr>
          <w:sz w:val="20"/>
          <w:szCs w:val="20"/>
          <w:color w:val="auto"/>
        </w:rPr>
      </w:pPr>
      <w:r>
        <w:rPr>
          <w:rFonts w:ascii="Arial" w:cs="Arial" w:eastAsia="Arial" w:hAnsi="Arial"/>
          <w:sz w:val="15"/>
          <w:szCs w:val="15"/>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countries or regions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narrowed and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49" w:lineRule="exact"/>
        <w:rPr>
          <w:sz w:val="20"/>
          <w:szCs w:val="20"/>
          <w:color w:val="auto"/>
        </w:rPr>
      </w:pPr>
    </w:p>
    <w:p>
      <w:pPr>
        <w:ind w:right="100"/>
        <w:spacing w:after="0" w:line="292" w:lineRule="auto"/>
        <w:rPr>
          <w:sz w:val="20"/>
          <w:szCs w:val="20"/>
          <w:color w:val="auto"/>
        </w:rPr>
      </w:pPr>
      <w:r>
        <w:rPr>
          <w:rFonts w:ascii="Arial" w:cs="Arial" w:eastAsia="Arial" w:hAnsi="Arial"/>
          <w:sz w:val="15"/>
          <w:szCs w:val="15"/>
          <w:color w:val="auto"/>
        </w:rPr>
        <w:t>similar technologies and commercializing similar products to compete with us. Some of our owned or licensed patents or patent applications may be challenged at a future point in time and we may not be successful in defending any such challenges made against our patents or patent applications. Any successful third-party challenge to our patents could result in the narrowing, unenforceability or invalidity of such patents and increased competition to our business. The outcome of patent litigation or other proceeding can be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03"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5" w:lineRule="exact"/>
        <w:rPr>
          <w:sz w:val="20"/>
          <w:szCs w:val="20"/>
          <w:color w:val="auto"/>
        </w:rPr>
      </w:pPr>
    </w:p>
    <w:p>
      <w:pPr>
        <w:ind w:right="80" w:firstLine="303"/>
        <w:spacing w:after="0" w:line="267"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United States Patent and Trademark Office (USPTO) during patent prosecution and additional procedures to challenge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25" w:lineRule="exact"/>
        <w:rPr>
          <w:sz w:val="20"/>
          <w:szCs w:val="20"/>
          <w:color w:val="auto"/>
        </w:rPr>
      </w:pPr>
    </w:p>
    <w:p>
      <w:pPr>
        <w:ind w:firstLine="303"/>
        <w:spacing w:after="0" w:line="252" w:lineRule="auto"/>
        <w:rPr>
          <w:sz w:val="20"/>
          <w:szCs w:val="20"/>
          <w:color w:val="auto"/>
        </w:rPr>
      </w:pPr>
      <w:r>
        <w:rPr>
          <w:rFonts w:ascii="Arial" w:cs="Arial" w:eastAsia="Arial" w:hAnsi="Arial"/>
          <w:sz w:val="17"/>
          <w:szCs w:val="17"/>
          <w:color w:val="auto"/>
        </w:rPr>
        <w:t>Various courts, including the U.S. Supreme Court, have rendered decisions that impact the scope of patentability of certain inventions or discoveries relating to the life sciences technology.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Furthermore, in view of these decisions, since December 2014, the USPTO has published and continues to publish revised guidelines for patent examiners to apply when examining process claims for patent eligibility.</w:t>
      </w:r>
    </w:p>
    <w:p>
      <w:pPr>
        <w:spacing w:after="0" w:line="130" w:lineRule="exact"/>
        <w:rPr>
          <w:sz w:val="20"/>
          <w:szCs w:val="20"/>
          <w:color w:val="auto"/>
        </w:rPr>
      </w:pPr>
    </w:p>
    <w:p>
      <w:pPr>
        <w:ind w:right="40" w:firstLine="303"/>
        <w:spacing w:after="0" w:line="253" w:lineRule="auto"/>
        <w:rPr>
          <w:sz w:val="20"/>
          <w:szCs w:val="20"/>
          <w:color w:val="auto"/>
        </w:rPr>
      </w:pPr>
      <w:r>
        <w:rPr>
          <w:rFonts w:ascii="Arial" w:cs="Arial" w:eastAsia="Arial" w:hAnsi="Arial"/>
          <w:sz w:val="17"/>
          <w:szCs w:val="17"/>
          <w:color w:val="auto"/>
        </w:rPr>
        <w:t>In addition,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130" w:lineRule="exact"/>
        <w:rPr>
          <w:sz w:val="20"/>
          <w:szCs w:val="20"/>
          <w:color w:val="auto"/>
        </w:rPr>
      </w:pPr>
    </w:p>
    <w:p>
      <w:pPr>
        <w:ind w:right="40" w:firstLine="303"/>
        <w:spacing w:after="0" w:line="299" w:lineRule="auto"/>
        <w:rPr>
          <w:sz w:val="20"/>
          <w:szCs w:val="20"/>
          <w:color w:val="auto"/>
        </w:rPr>
      </w:pPr>
      <w:r>
        <w:rPr>
          <w:rFonts w:ascii="Arial" w:cs="Arial" w:eastAsia="Arial" w:hAnsi="Arial"/>
          <w:sz w:val="15"/>
          <w:szCs w:val="15"/>
          <w:color w:val="auto"/>
        </w:rPr>
        <w:t>We cannot assure you that our patent portfolio will not be negatively impacted by the current uncertain state of the law, new court rulings or changes in guidance or procedures issued by the USPTO or other similar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58" w:lineRule="exact"/>
        <w:rPr>
          <w:sz w:val="20"/>
          <w:szCs w:val="20"/>
          <w:color w:val="auto"/>
        </w:rPr>
      </w:pPr>
    </w:p>
    <w:p>
      <w:pPr>
        <w:ind w:right="480" w:firstLine="303"/>
        <w:spacing w:after="0" w:line="301" w:lineRule="auto"/>
        <w:rPr>
          <w:sz w:val="20"/>
          <w:szCs w:val="20"/>
          <w:color w:val="auto"/>
        </w:rPr>
      </w:pPr>
      <w:r>
        <w:rPr>
          <w:rFonts w:ascii="Arial" w:cs="Arial" w:eastAsia="Arial" w:hAnsi="Arial"/>
          <w:sz w:val="16"/>
          <w:szCs w:val="16"/>
          <w:color w:val="auto"/>
        </w:rPr>
        <w:t>Filing, prosecuting and defending patents on our Proteograph Product Suite in all countries throughout the world would be prohibitively expensive, and our intellectual property rights in some countries outside the United States can be less extensive than those in the United States.</w:t>
      </w:r>
    </w:p>
    <w:p>
      <w:pPr>
        <w:spacing w:after="0" w:line="93" w:lineRule="exact"/>
        <w:rPr>
          <w:sz w:val="20"/>
          <w:szCs w:val="20"/>
          <w:color w:val="auto"/>
        </w:rPr>
      </w:pPr>
    </w:p>
    <w:p>
      <w:pPr>
        <w:ind w:firstLine="303"/>
        <w:spacing w:after="0" w:line="287" w:lineRule="auto"/>
        <w:rPr>
          <w:sz w:val="20"/>
          <w:szCs w:val="20"/>
          <w:color w:val="auto"/>
        </w:rPr>
      </w:pPr>
      <w:r>
        <w:rPr>
          <w:rFonts w:ascii="Arial" w:cs="Arial" w:eastAsia="Arial" w:hAnsi="Arial"/>
          <w:sz w:val="15"/>
          <w:szCs w:val="15"/>
          <w:color w:val="auto"/>
        </w:rPr>
        <w:t>The laws of some foreign countries do not protect intellectual property rights to the same extent as the laws of the United States, and we and our licensor may encounter difficulties in protecting and defending such rights in foreign jurisdictions. Consequently, we and our licensor may not be able to prevent third parties from practicing our inventions in some or all countries outside the United States, or from selling or importing products made using our or our licensor’s inventions in and into the United States or other jurisdictions. Competitors and other third parties may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our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0" w:lineRule="exact"/>
        <w:rPr>
          <w:sz w:val="20"/>
          <w:szCs w:val="20"/>
          <w:color w:val="auto"/>
        </w:rPr>
      </w:pPr>
    </w:p>
    <w:p>
      <w:pPr>
        <w:ind w:right="100" w:firstLine="303"/>
        <w:spacing w:after="0" w:line="25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or companies headquartered in particular jurisdictions over our first-in-time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32" w:lineRule="exact"/>
        <w:rPr>
          <w:sz w:val="20"/>
          <w:szCs w:val="20"/>
          <w:color w:val="auto"/>
        </w:rPr>
      </w:pPr>
    </w:p>
    <w:p>
      <w:pPr>
        <w:ind w:right="140" w:firstLine="303"/>
        <w:spacing w:after="0" w:line="268" w:lineRule="auto"/>
        <w:rPr>
          <w:sz w:val="20"/>
          <w:szCs w:val="20"/>
          <w:color w:val="auto"/>
        </w:rPr>
      </w:pPr>
      <w:r>
        <w:rPr>
          <w:rFonts w:ascii="Arial" w:cs="Arial" w:eastAsia="Arial" w:hAnsi="Arial"/>
          <w:sz w:val="16"/>
          <w:szCs w:val="16"/>
          <w:color w:val="auto"/>
        </w:rPr>
        <w:t>Proceedings to enforce our or our licensor’s patent rights in foreign jurisdictions could result in substantial cost and divert our efforts and attention from other aspects of our business, could put our and our licensor’s patents at risk of being invalidated or interpreted narrowly and our and our licensor’s patent applications at risk of not issuing, and could provoke third parties to assert claims against us. We and our licensors may not prevail in any lawsuits that we or our licensor initiate, or that are initiated against us or our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products could be found invalid or unenforceable if challenged.</w:t>
      </w:r>
    </w:p>
    <w:p>
      <w:pPr>
        <w:spacing w:after="0" w:line="158" w:lineRule="exact"/>
        <w:rPr>
          <w:sz w:val="20"/>
          <w:szCs w:val="20"/>
          <w:color w:val="auto"/>
        </w:rPr>
      </w:pPr>
    </w:p>
    <w:p>
      <w:pPr>
        <w:ind w:right="60" w:firstLine="303"/>
        <w:spacing w:after="0" w:line="288" w:lineRule="auto"/>
        <w:rPr>
          <w:sz w:val="20"/>
          <w:szCs w:val="20"/>
          <w:color w:val="auto"/>
        </w:rPr>
      </w:pPr>
      <w:r>
        <w:rPr>
          <w:rFonts w:ascii="Arial" w:cs="Arial" w:eastAsia="Arial" w:hAnsi="Arial"/>
          <w:sz w:val="15"/>
          <w:szCs w:val="15"/>
          <w:color w:val="auto"/>
        </w:rPr>
        <w:t xml:space="preserve">Our owned and licensed patents and patent applications may be subject to validity, enforceability and priority disputes. The issuance of a patent is not conclusive as to its inventorship, scope, validity or enforceability. Some of our patents or patent applications (including licensed patents and patent applications) may be challenged at a future point in time in opposition, derivation, reexamination,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our licensor initiate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4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we, our licensor, our or its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on certain aspects of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5" w:lineRule="exact"/>
        <w:rPr>
          <w:sz w:val="20"/>
          <w:szCs w:val="20"/>
          <w:color w:val="auto"/>
        </w:rPr>
      </w:pPr>
    </w:p>
    <w:p>
      <w:pPr>
        <w:ind w:right="60" w:firstLine="303"/>
        <w:spacing w:after="0" w:line="267"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9"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the value of our technology could be materially adversely affected and our business could be harmed.</w:t>
      </w:r>
    </w:p>
    <w:p>
      <w:pPr>
        <w:spacing w:after="0" w:line="115" w:lineRule="exact"/>
        <w:rPr>
          <w:sz w:val="20"/>
          <w:szCs w:val="20"/>
          <w:color w:val="auto"/>
        </w:rPr>
      </w:pPr>
    </w:p>
    <w:p>
      <w:pPr>
        <w:ind w:right="240" w:firstLine="303"/>
        <w:spacing w:after="0" w:line="299" w:lineRule="auto"/>
        <w:rPr>
          <w:sz w:val="20"/>
          <w:szCs w:val="20"/>
          <w:color w:val="auto"/>
        </w:rPr>
      </w:pPr>
      <w:r>
        <w:rPr>
          <w:rFonts w:ascii="Arial" w:cs="Arial" w:eastAsia="Arial" w:hAnsi="Arial"/>
          <w:sz w:val="15"/>
          <w:szCs w:val="15"/>
          <w:color w:val="auto"/>
        </w:rPr>
        <w:t>We rely heavily on trade secrets and confidentiality agreements to protect our unpatented know-how, technology and other proprietary information, including parts of our Proteograph Product Suite,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academia and industry.</w:t>
      </w:r>
    </w:p>
    <w:p>
      <w:pPr>
        <w:spacing w:after="0" w:line="99" w:lineRule="exact"/>
        <w:rPr>
          <w:sz w:val="20"/>
          <w:szCs w:val="20"/>
          <w:color w:val="auto"/>
        </w:rPr>
      </w:pPr>
    </w:p>
    <w:p>
      <w:pPr>
        <w:ind w:right="40" w:firstLine="303"/>
        <w:spacing w:after="0" w:line="288" w:lineRule="auto"/>
        <w:rPr>
          <w:sz w:val="20"/>
          <w:szCs w:val="20"/>
          <w:color w:val="auto"/>
        </w:rPr>
      </w:pPr>
      <w:r>
        <w:rPr>
          <w:rFonts w:ascii="Arial" w:cs="Arial" w:eastAsia="Arial" w:hAnsi="Arial"/>
          <w:sz w:val="15"/>
          <w:szCs w:val="15"/>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4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disclosure, which could adversely impact our ability to establish or maintain a competitive advantage in the market, business, financial condition, results of operations and prospects.</w:t>
      </w:r>
    </w:p>
    <w:p>
      <w:pPr>
        <w:spacing w:after="0" w:line="115" w:lineRule="exact"/>
        <w:rPr>
          <w:sz w:val="20"/>
          <w:szCs w:val="20"/>
          <w:color w:val="auto"/>
        </w:rPr>
      </w:pPr>
    </w:p>
    <w:p>
      <w:pPr>
        <w:jc w:val="both"/>
        <w:ind w:right="260" w:firstLine="303"/>
        <w:spacing w:after="0" w:line="309" w:lineRule="auto"/>
        <w:rPr>
          <w:sz w:val="20"/>
          <w:szCs w:val="20"/>
          <w:color w:val="auto"/>
        </w:rPr>
      </w:pPr>
      <w:r>
        <w:rPr>
          <w:rFonts w:ascii="Arial" w:cs="Arial" w:eastAsia="Arial" w:hAnsi="Arial"/>
          <w:sz w:val="15"/>
          <w:szCs w:val="15"/>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90" w:lineRule="exact"/>
        <w:rPr>
          <w:sz w:val="20"/>
          <w:szCs w:val="20"/>
          <w:color w:val="auto"/>
        </w:rPr>
      </w:pPr>
    </w:p>
    <w:p>
      <w:pPr>
        <w:ind w:firstLine="303"/>
        <w:spacing w:after="0" w:line="268" w:lineRule="auto"/>
        <w:rPr>
          <w:sz w:val="20"/>
          <w:szCs w:val="20"/>
          <w:color w:val="auto"/>
        </w:rPr>
      </w:pPr>
      <w:r>
        <w:rPr>
          <w:rFonts w:ascii="Arial" w:cs="Arial" w:eastAsia="Arial" w:hAnsi="Arial"/>
          <w:sz w:val="16"/>
          <w:szCs w:val="16"/>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of our patents and other intellectual property.</w:t>
      </w:r>
    </w:p>
    <w:p>
      <w:pPr>
        <w:spacing w:after="0" w:line="158" w:lineRule="exact"/>
        <w:rPr>
          <w:sz w:val="20"/>
          <w:szCs w:val="20"/>
          <w:color w:val="auto"/>
        </w:rPr>
      </w:pPr>
    </w:p>
    <w:p>
      <w:pPr>
        <w:ind w:right="20" w:firstLine="303"/>
        <w:spacing w:after="0" w:line="267" w:lineRule="auto"/>
        <w:rPr>
          <w:sz w:val="20"/>
          <w:szCs w:val="20"/>
          <w:color w:val="auto"/>
        </w:rPr>
      </w:pPr>
      <w:r>
        <w:rPr>
          <w:rFonts w:ascii="Arial" w:cs="Arial" w:eastAsia="Arial" w:hAnsi="Arial"/>
          <w:sz w:val="16"/>
          <w:szCs w:val="16"/>
          <w:color w:val="auto"/>
        </w:rPr>
        <w:t>We or our licensor may be subject to claims that former employees, collaborators or other third parties have an interest in our owned or in-licensed patents, trade secrets or other intellectual property as an inventor or co-inventor. For example, we or our licensor may have inventorship disputes arise from conflicting obligations of employees, consultants or others who are involved in developing our products. In addition, counterparties to our consulting, sponsored research, software development and other agreements may assert that they have an ownership interest in intellectual property developed under such arrangements. In particular, certain software development agreements pursuant to which certain third parties have developed parts of our proprietary software may not include provisions that expressly assign to us ownership of all intellectual property developed for us by such third parties. Furthermore, certain of our sponsored research agreements pursuant to which we provide certain research services for third parties do not assign to us all intellectual property developed under such agreements. As such, we may not have the right to use all such developed intellectual property under such agreements, we may be required to obtain licenses from third parties and such licenses may not be available on commercially reasonable terms or at all, or may be non-exclusive. If we are unable to obtain such licenses and such licenses are necessary for the development, manufacture and commercialization of our products and technologies, we may need to cease the development, manufacture and commercialization of our products and technologies.</w:t>
      </w:r>
    </w:p>
    <w:p>
      <w:pPr>
        <w:spacing w:after="0" w:line="119" w:lineRule="exact"/>
        <w:rPr>
          <w:sz w:val="20"/>
          <w:szCs w:val="20"/>
          <w:color w:val="auto"/>
        </w:rPr>
      </w:pPr>
    </w:p>
    <w:p>
      <w:pPr>
        <w:ind w:right="100" w:firstLine="303"/>
        <w:spacing w:after="0" w:line="288" w:lineRule="auto"/>
        <w:rPr>
          <w:sz w:val="20"/>
          <w:szCs w:val="20"/>
          <w:color w:val="auto"/>
        </w:rPr>
      </w:pPr>
      <w:r>
        <w:rPr>
          <w:rFonts w:ascii="Arial" w:cs="Arial" w:eastAsia="Arial" w:hAnsi="Arial"/>
          <w:sz w:val="15"/>
          <w:szCs w:val="15"/>
          <w:color w:val="auto"/>
        </w:rPr>
        <w:t>Litigation may be necessary to defend against these and other claims challenging inventorship of our or our licensor’s ownership of our owned or in-licensed patents, trade secrets or other intellectual property. If we or our licensor fail in defending any such claims, in addition to paying monetary damages, we may lose valuable intellectual property rights, such as exclusive ownership of, or right to use, intellectual property that is important to our Proteograph solution,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and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We may not be able to protect and enforce our trademarks and trade names, or build name recognition in our markets of interest thereby harming our competitive position.</w:t>
      </w:r>
    </w:p>
    <w:p>
      <w:pPr>
        <w:spacing w:after="0" w:line="115" w:lineRule="exact"/>
        <w:rPr>
          <w:sz w:val="20"/>
          <w:szCs w:val="20"/>
          <w:color w:val="auto"/>
        </w:rPr>
      </w:pPr>
    </w:p>
    <w:p>
      <w:pPr>
        <w:ind w:right="20" w:firstLine="303"/>
        <w:spacing w:after="0" w:line="267"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impacting our ability to build brand identity and possibly leading to market confusion. In addition, there could be potential trade name or trademark infringement claims, or other challenges to our trademarks, brought by owners of trademarks that incorporate variations of our registered or unregistered trademarks or trade names. Further, we may in the future enter into agreements with owners of such third party trade names or trademarks to avoid potential trademark litigation which may impact our ability to use our trade names or trademarks in certain fields of business. Over the long term, if we are unable to establish name recognition based on our trademarks and trade names, then we may suffer a competitive disadvantage, and our business, financial condition, results of operations and prospects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Proteograph Product Suite for an adequate amount of time.</w:t>
      </w:r>
    </w:p>
    <w:p>
      <w:pPr>
        <w:spacing w:after="0" w:line="158" w:lineRule="exact"/>
        <w:rPr>
          <w:sz w:val="20"/>
          <w:szCs w:val="20"/>
          <w:color w:val="auto"/>
        </w:rPr>
      </w:pPr>
    </w:p>
    <w:p>
      <w:pPr>
        <w:ind w:right="20" w:firstLine="303"/>
        <w:spacing w:after="0" w:line="288"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26" w:lineRule="exact"/>
        <w:rPr>
          <w:sz w:val="20"/>
          <w:szCs w:val="20"/>
          <w:color w:val="auto"/>
        </w:rPr>
      </w:pPr>
    </w:p>
    <w:p>
      <w:pPr>
        <w:ind w:right="40" w:firstLine="303"/>
        <w:spacing w:after="0" w:line="287" w:lineRule="auto"/>
        <w:rPr>
          <w:sz w:val="20"/>
          <w:szCs w:val="20"/>
          <w:color w:val="auto"/>
        </w:rPr>
      </w:pPr>
      <w:r>
        <w:rPr>
          <w:rFonts w:ascii="Arial" w:cs="Arial" w:eastAsia="Arial" w:hAnsi="Arial"/>
          <w:sz w:val="15"/>
          <w:szCs w:val="15"/>
          <w:color w:val="auto"/>
        </w:rPr>
        <w:t xml:space="preserve">Our commercial success depends in part on our ability and the ability of future collaborators to develop, manufacture, market and sell our product and use our products and technologies without infringing, misappropriating or otherwise violating the intellectual property rights of third parties. There is a substantial amount of litigation involving patents and other intellectual property rights in the life sciences technology sector, as well as administrative proceedings for challenging patents, including interference, derivation,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products, manufacturing methods, software and/or technologies infringe, misappropriate or otherwise violate their intellectual property rights. Numerous issued patents and pending patent applications that are owned by third parties exist in the fields in which we are developing our products and technologies. It is not always clear to industry participants, including us, the claim scope that may issue from pending patent applications owned by third parties or which patents cover various types of products, technologies or their methods of use or manufacture. Thus, because of the large number of patents issued and patent applications filed in our fields, there may be a risk that third parties, including our competitors, may allege they have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rights encompassing our products, technologies or methods and that we are employing their proprietary technology without authorization.</w:t>
      </w:r>
    </w:p>
    <w:p>
      <w:pPr>
        <w:spacing w:after="0" w:line="158" w:lineRule="exact"/>
        <w:rPr>
          <w:sz w:val="20"/>
          <w:szCs w:val="20"/>
          <w:color w:val="auto"/>
        </w:rPr>
      </w:pPr>
    </w:p>
    <w:p>
      <w:pPr>
        <w:ind w:firstLine="303"/>
        <w:spacing w:after="0" w:line="265" w:lineRule="auto"/>
        <w:rPr>
          <w:sz w:val="20"/>
          <w:szCs w:val="20"/>
          <w:color w:val="auto"/>
        </w:rPr>
      </w:pPr>
      <w:r>
        <w:rPr>
          <w:rFonts w:ascii="Arial" w:cs="Arial" w:eastAsia="Arial" w:hAnsi="Arial"/>
          <w:sz w:val="16"/>
          <w:szCs w:val="16"/>
          <w:color w:val="auto"/>
        </w:rPr>
        <w:t>If third parties, including our competitors, believe that our products or technologies infringe, misappropriate or otherwise violate their intellectual property, such third parties may seek to enforce their intellectual property, including patents against us by filing an intellectual property-related lawsuit, including patent infringement lawsuit, against us. Even if we believe third-party intellectual property claims are without merit, there is no assurance that a court would find in our favor on questions of infringement, validity, enforceability, or priority. For example, we are aware of a U.S. issued patent owned by a third party that is directed to a method for diagnosing a biological condition by analyzing certain types of proteins, including through the use of nanoparticles. Such patent is expected to expire in 2026, without taking into account any possible patent term adjustments or extensions. We are also aware of pending patent applications in Europe and in the United States owned by a third party that are directed to a method of identifying biomarkers in biofluids using nanoparticles and, if issued, is projected to expire in 2037, without taking into account any possible patent term adjustments or extensions. Such patent and patent applications could be construed to cover certain aspects of our products or technologies, including our Proteograph Product Suite. If any of these third parties, or any other third parties, were to assert these or any other patents against us and we are unable to successfully defend against any such assertion, we may be required, including by court order, to cease the development and commercialization of the infringing products or technologies and we may be required to redesign such products or technologies so they do not infringe such patents, which may not be possible or may require substantial monetary expenditures and time. We could also be required to pay damages, which could be significant, including treble damages and attorneys’ fees if we are found to have willfully infringed such patents. We could also be required to obtain a license to such patents in order to continue the development and commercialization of the infringing product or technology, however such a license may not be available on commercially reasonable terms or at all, including because certain of these patents are held by or may be licensed to our competitors. Even if such license were available, it may require substantial payments or cross-licenses under our intellectual property rights, and it may only be available on a nonexclusive basis, in which case third parties, including our competitors, could use the same licensed intellectual property to compete with us. Any of the foregoing could have a material adverse effect on our business, financial condition, results of operation or prospects.</w:t>
      </w:r>
    </w:p>
    <w:p>
      <w:pPr>
        <w:spacing w:after="0" w:line="126"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 xml:space="preserve">We may choose to challenge, including in connection with any allegation of patent infringement by a third party, the patentability, validity or enforceability of any third-party patent that we believe may have applicability in our field, and any other third-party patent that may be asserted against us. Such challenges may be brought either in court or by requesting that the USPTO, European Patent Office (EPO), or other foreign patent offices review the patent claims, such as in an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proceeding or opposition proceeding. However, there can be no assurance that any such challenge by us or any third party will be successful. Even if such proceedings are successful, these proceedings are expensive and may consume our time or other resources, distract our management and technical personnel, and the costs of these opposition proceedings could be substantial. There can be no assurance that our defenses of non-infringement, invalidity or unenforceability will succeed.</w:t>
      </w:r>
    </w:p>
    <w:p>
      <w:pPr>
        <w:spacing w:after="0" w:line="120" w:lineRule="exact"/>
        <w:rPr>
          <w:sz w:val="20"/>
          <w:szCs w:val="20"/>
          <w:color w:val="auto"/>
        </w:rPr>
      </w:pPr>
    </w:p>
    <w:p>
      <w:pPr>
        <w:ind w:right="80" w:firstLine="303"/>
        <w:spacing w:after="0" w:line="270" w:lineRule="auto"/>
        <w:rPr>
          <w:sz w:val="20"/>
          <w:szCs w:val="20"/>
          <w:color w:val="auto"/>
        </w:rPr>
      </w:pPr>
      <w:r>
        <w:rPr>
          <w:rFonts w:ascii="Arial" w:cs="Arial" w:eastAsia="Arial" w:hAnsi="Arial"/>
          <w:sz w:val="16"/>
          <w:szCs w:val="16"/>
          <w:color w:val="auto"/>
        </w:rPr>
        <w:t>Third parties, including our competitors, could be infringing, misappropriating or otherwise violating our owned and in-licensed intellectual property rights. Monitoring unauthorized use of our intellectual property is difficult and costly. We may not be able to detect unauthorized use of, or take appropriate steps to enforce, our intellectual property rights. From time to time, we seek to analyze our competitors’ products and services, and may in the future seek to enforce our rights against potential infringement, misappropriation or violation of our intellectual property. However, the steps we have taken to protect our intellectual property rights may not be adequate to enforce our rights as against such infringement, misappropriation or violation of our intellectual property. Any inability to meaningfully enforce our intellectual property rights could harm our ability to compete and reduce demand for our products and technologies.</w:t>
      </w:r>
    </w:p>
    <w:p>
      <w:pPr>
        <w:spacing w:after="0" w:line="120" w:lineRule="exact"/>
        <w:rPr>
          <w:sz w:val="20"/>
          <w:szCs w:val="20"/>
          <w:color w:val="auto"/>
        </w:rPr>
      </w:pPr>
    </w:p>
    <w:p>
      <w:pPr>
        <w:ind w:right="20" w:firstLine="303"/>
        <w:spacing w:after="0" w:line="255" w:lineRule="auto"/>
        <w:rPr>
          <w:sz w:val="20"/>
          <w:szCs w:val="20"/>
          <w:color w:val="auto"/>
        </w:rPr>
      </w:pPr>
      <w:r>
        <w:rPr>
          <w:rFonts w:ascii="Arial" w:cs="Arial" w:eastAsia="Arial" w:hAnsi="Arial"/>
          <w:sz w:val="17"/>
          <w:szCs w:val="17"/>
          <w:color w:val="auto"/>
        </w:rPr>
        <w:t>Litigation proceedings may be necessary for us to enforce our patent and other intellectual property rights. In any such proceedings, a court may refuse to stop the other party from using the technology at issue on the grounds that our owned and in-licensed patents do not cover the technology in question. Further, in such proceedings, the defendant could counterclaim that our intellectual property is invalid or unenforceable and the court may agree, in which case we could lose valuable intellectual property rights, which could allow third parties to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technology or products similar to ours and compete directly with us, without payment to us, or could require us to obtain license rights from the prevailing party in order to be able to manufacture or commercialize our products without infringing such party’s intellectual property rights, and if we unable to obtain such a license, we may be required to cease commercialization of our products and technologies, any of which could have a material adverse effect on our business, financial condition, results of operations and prospects. The outcome in any such proceedings are unpredictable.</w:t>
      </w:r>
    </w:p>
    <w:p>
      <w:pPr>
        <w:spacing w:after="0" w:line="127" w:lineRule="exact"/>
        <w:rPr>
          <w:sz w:val="20"/>
          <w:szCs w:val="20"/>
          <w:color w:val="auto"/>
        </w:rPr>
      </w:pPr>
    </w:p>
    <w:p>
      <w:pPr>
        <w:ind w:firstLine="303"/>
        <w:spacing w:after="0" w:line="266" w:lineRule="auto"/>
        <w:rPr>
          <w:sz w:val="20"/>
          <w:szCs w:val="20"/>
          <w:color w:val="auto"/>
        </w:rPr>
      </w:pPr>
      <w:r>
        <w:rPr>
          <w:rFonts w:ascii="Arial" w:cs="Arial" w:eastAsia="Arial" w:hAnsi="Arial"/>
          <w:sz w:val="16"/>
          <w:szCs w:val="16"/>
          <w:color w:val="auto"/>
        </w:rPr>
        <w:t>Regardless of whether we are defending against or asserting any intellectual property-related proceeding, any such intellectual property-related proceeding that may be necessary in the future, regardless of outcome, could result in substantial costs and diversion of resources and could have a material adverse effect on our business, financial condition, results of operations and prospects.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Some of our competitors and other third parties may be able to sustain the costs of such litigation or proceedings more effectively than we can because of their greater financial resources and more mature and developed intellectual property portfolios. We may not have sufficient financial or other resources to adequately conduct these types of litigation or proceedings. Any of the foregoing, or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 Claims that we have misappropriated the confidential information or trade secrets of third parties could have a similar adverse effect on our business, financial condition, results of operations and prospects.</w:t>
      </w:r>
    </w:p>
    <w:p>
      <w:pPr>
        <w:spacing w:after="0" w:line="125" w:lineRule="exact"/>
        <w:rPr>
          <w:sz w:val="20"/>
          <w:szCs w:val="20"/>
          <w:color w:val="auto"/>
        </w:rPr>
      </w:pPr>
    </w:p>
    <w:p>
      <w:pPr>
        <w:ind w:right="240"/>
        <w:spacing w:after="0" w:line="37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46" w:lineRule="exact"/>
        <w:rPr>
          <w:sz w:val="20"/>
          <w:szCs w:val="20"/>
          <w:color w:val="auto"/>
        </w:rPr>
      </w:pPr>
    </w:p>
    <w:p>
      <w:pPr>
        <w:ind w:right="20" w:firstLine="303"/>
        <w:spacing w:after="0" w:line="288"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rely on our licensor to pay these fees due to the U.S. and non-U.S. patent agencies and to take the necessary action to comply with these requirements with respect to our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09"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93" w:lineRule="exact"/>
        <w:rPr>
          <w:sz w:val="20"/>
          <w:szCs w:val="20"/>
          <w:color w:val="auto"/>
        </w:rPr>
      </w:pPr>
    </w:p>
    <w:p>
      <w:pPr>
        <w:ind w:right="80" w:firstLine="303"/>
        <w:spacing w:after="0" w:line="251" w:lineRule="auto"/>
        <w:rPr>
          <w:sz w:val="20"/>
          <w:szCs w:val="20"/>
          <w:color w:val="auto"/>
        </w:rPr>
      </w:pPr>
      <w:r>
        <w:rPr>
          <w:rFonts w:ascii="Arial" w:cs="Arial" w:eastAsia="Arial" w:hAnsi="Arial"/>
          <w:sz w:val="17"/>
          <w:szCs w:val="17"/>
          <w:color w:val="auto"/>
        </w:rPr>
        <w:t>We have employed and expect to employ individuals, and engaged consultants and expect to engage consultants, who were previously employed, or consulted, at universities or other companies, including our competitors or potential competitors. Although we try to ensure that our employees, consultants, advisors and independent contractors do not use the confidential or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49"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color w:val="auto"/>
        </w:rPr>
        <w:t>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00" w:lineRule="exact"/>
        <w:rPr>
          <w:sz w:val="20"/>
          <w:szCs w:val="20"/>
          <w:color w:val="auto"/>
        </w:rPr>
      </w:pPr>
    </w:p>
    <w:p>
      <w:pPr>
        <w:ind w:firstLine="303"/>
        <w:spacing w:after="0" w:line="26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20" w:lineRule="exact"/>
        <w:rPr>
          <w:sz w:val="20"/>
          <w:szCs w:val="20"/>
          <w:color w:val="auto"/>
        </w:rPr>
      </w:pPr>
    </w:p>
    <w:p>
      <w:pPr>
        <w:ind w:right="100" w:firstLine="303"/>
        <w:spacing w:after="0" w:line="252" w:lineRule="auto"/>
        <w:rPr>
          <w:sz w:val="20"/>
          <w:szCs w:val="20"/>
          <w:color w:val="auto"/>
        </w:rPr>
      </w:pPr>
      <w:r>
        <w:rPr>
          <w:rFonts w:ascii="Arial" w:cs="Arial" w:eastAsia="Arial" w:hAnsi="Arial"/>
          <w:sz w:val="17"/>
          <w:szCs w:val="17"/>
          <w:color w:val="auto"/>
        </w:rPr>
        <w:t>Furthermore, we or our licensor may in the future be subject to claims by former employees, consultants or other third parties asserting an ownership right in our owned or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3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We currently rely on a license from a third party, and in the future may rely on additional licenses from other third parties, in relation to our Proteograph Product Suite and if we lose any of these licenses, then we may be subjected to future litigation.</w:t>
      </w:r>
    </w:p>
    <w:p>
      <w:pPr>
        <w:spacing w:after="0" w:line="115" w:lineRule="exact"/>
        <w:rPr>
          <w:sz w:val="20"/>
          <w:szCs w:val="20"/>
          <w:color w:val="auto"/>
        </w:rPr>
      </w:pPr>
    </w:p>
    <w:p>
      <w:pPr>
        <w:ind w:right="60" w:firstLine="303"/>
        <w:spacing w:after="0" w:line="286" w:lineRule="auto"/>
        <w:rPr>
          <w:sz w:val="20"/>
          <w:szCs w:val="20"/>
          <w:color w:val="auto"/>
        </w:rPr>
      </w:pPr>
      <w:r>
        <w:rPr>
          <w:rFonts w:ascii="Arial" w:cs="Arial" w:eastAsia="Arial" w:hAnsi="Arial"/>
          <w:sz w:val="15"/>
          <w:szCs w:val="15"/>
          <w:color w:val="auto"/>
        </w:rPr>
        <w:t>We are, and may in the future become, a party to license agreements that grant us rights to use certain intellectual property, including patents and patent applications, typically in certain specified fields of use. Currently, we rely on an in-license from The Brigham and Women’s Hospital, Inc. (BWH), for patents relating to methods of using nanoparticles to measure the proteome, including the methods used in our Proteograph Product Suite and may in the future rely on licenses from other third parties with respect to our Proteograph Product Suite or other technology. Our rights to use licensed technology in our business are subject to the continuation of and compliance with the terms of this license and any licenses we may enter into in the future. Some of these licensed rights provide us with freedom to operate for aspects of our products and technologies. As a result, any termination of this license could result in the loss of significant rights and could harm our ability to develop, manufacture and commercialize our Proteograph Product Suite. We may need to obtain additional licenses from others to advance our research, development and commercialization activities. For instance, under our license agreement with BWH, we currently in-license two patent families, one of which includes the methods used in our Proteograph Product Suite, and to the extent any additional intellectual property developed by BWH that are not included in such licensed patent families are necessary or useful for our Proteograph Product Suite, we would need to negotiate for additional licenses to such additional intellectual property. Such licenses may not be available on commercially reasonable terms or at all, or may be non-exclusive.</w:t>
      </w:r>
    </w:p>
    <w:p>
      <w:pPr>
        <w:spacing w:after="0" w:line="109" w:lineRule="exact"/>
        <w:rPr>
          <w:sz w:val="20"/>
          <w:szCs w:val="20"/>
          <w:color w:val="auto"/>
        </w:rPr>
      </w:pPr>
    </w:p>
    <w:p>
      <w:pPr>
        <w:ind w:firstLine="303"/>
        <w:spacing w:after="0" w:line="253" w:lineRule="auto"/>
        <w:rPr>
          <w:sz w:val="20"/>
          <w:szCs w:val="20"/>
          <w:color w:val="auto"/>
        </w:rPr>
      </w:pPr>
      <w:r>
        <w:rPr>
          <w:rFonts w:ascii="Arial" w:cs="Arial" w:eastAsia="Arial" w:hAnsi="Arial"/>
          <w:sz w:val="17"/>
          <w:szCs w:val="17"/>
          <w:color w:val="auto"/>
        </w:rPr>
        <w:t>Our success may depend in part on the ability of our licensor and any future licensors to obtain, maintain and enforce patent protection for our licensed intellectual property. Under our license agreement with BWH and under any licenses we may enter into in the future, BWH controls, and future licensors may control, the prosecution, maintenance and enforcement of patents and patent applications that are licensed to us. BWH or any future licensors may not successfully prosecute the patent applications we license or prosecute such patent applications in our best interest. Even if patents issue in respect of these patent applications, BWH and any future licensors may fail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49" w:lineRule="exact"/>
        <w:rPr>
          <w:sz w:val="20"/>
          <w:szCs w:val="20"/>
          <w:color w:val="auto"/>
        </w:rPr>
      </w:pPr>
    </w:p>
    <w:p>
      <w:pPr>
        <w:jc w:val="both"/>
        <w:ind w:right="40"/>
        <w:spacing w:after="0" w:line="309" w:lineRule="auto"/>
        <w:rPr>
          <w:sz w:val="20"/>
          <w:szCs w:val="20"/>
          <w:color w:val="auto"/>
        </w:rPr>
      </w:pPr>
      <w:r>
        <w:rPr>
          <w:rFonts w:ascii="Arial" w:cs="Arial" w:eastAsia="Arial" w:hAnsi="Arial"/>
          <w:sz w:val="15"/>
          <w:szCs w:val="15"/>
          <w:color w:val="auto"/>
        </w:rPr>
        <w:t>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and technologies for sale, which could materially adversely affect our competitive business position and harm our business prospects, financial condition or results of operations.</w:t>
      </w:r>
    </w:p>
    <w:p>
      <w:pPr>
        <w:spacing w:after="0" w:line="90" w:lineRule="exact"/>
        <w:rPr>
          <w:sz w:val="20"/>
          <w:szCs w:val="20"/>
          <w:color w:val="auto"/>
        </w:rPr>
      </w:pPr>
    </w:p>
    <w:p>
      <w:pPr>
        <w:ind w:firstLine="303"/>
        <w:spacing w:after="0" w:line="272" w:lineRule="auto"/>
        <w:rPr>
          <w:sz w:val="20"/>
          <w:szCs w:val="20"/>
          <w:color w:val="auto"/>
        </w:rPr>
      </w:pPr>
      <w:r>
        <w:rPr>
          <w:rFonts w:ascii="Arial" w:cs="Arial" w:eastAsia="Arial" w:hAnsi="Arial"/>
          <w:sz w:val="16"/>
          <w:szCs w:val="16"/>
          <w:color w:val="auto"/>
        </w:rPr>
        <w:t>Our current license agreement imposes, and future agreements may impose, various diligence, commercialization, milestone payment, royalty, insurance and other obligations on us and require us to meet development timelines, or to exercise commercially reasonable efforts to develop and commercialize licensed products, in order to maintain the licenses. If we fail to comply with these obligations, our licensor(s) may have the right to terminate our license, in which event we would not be able to develop or market products or technology covered by the licensed intellectual property. Any of the foregoing could have a material adverse effect on our competitive position, business, financial conditions, results of operations and prospects.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Moreover, disputes may also arise between us and our licensor regarding intellectual property subject to a license agreement, including:</w:t>
      </w:r>
    </w:p>
    <w:p>
      <w:pPr>
        <w:spacing w:after="0" w:line="158" w:lineRule="exact"/>
        <w:rPr>
          <w:sz w:val="20"/>
          <w:szCs w:val="20"/>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financial or other obligations under the license agreement;</w:t>
      </w:r>
    </w:p>
    <w:p>
      <w:pPr>
        <w:spacing w:after="0" w:line="157" w:lineRule="exact"/>
        <w:rPr>
          <w:rFonts w:ascii="Arial" w:cs="Arial" w:eastAsia="Arial" w:hAnsi="Arial"/>
          <w:sz w:val="17"/>
          <w:szCs w:val="17"/>
          <w:color w:val="auto"/>
        </w:rPr>
      </w:pPr>
    </w:p>
    <w:p>
      <w:pPr>
        <w:ind w:left="600" w:right="240" w:hanging="297"/>
        <w:spacing w:after="0" w:line="270" w:lineRule="auto"/>
        <w:tabs>
          <w:tab w:leader="none" w:pos="5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and the extent to which, our products, technology and processes infringe on intellectual property of the licensor that is not subject to the licensing agreement;</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158" w:lineRule="exact"/>
        <w:rPr>
          <w:sz w:val="20"/>
          <w:szCs w:val="20"/>
          <w:color w:val="auto"/>
        </w:rPr>
      </w:pPr>
    </w:p>
    <w:p>
      <w:pPr>
        <w:ind w:right="40" w:firstLine="303"/>
        <w:spacing w:after="0" w:line="295" w:lineRule="auto"/>
        <w:rPr>
          <w:sz w:val="20"/>
          <w:szCs w:val="20"/>
          <w:color w:val="auto"/>
        </w:rPr>
      </w:pPr>
      <w:r>
        <w:rPr>
          <w:rFonts w:ascii="Arial" w:cs="Arial" w:eastAsia="Arial" w:hAnsi="Arial"/>
          <w:sz w:val="15"/>
          <w:szCs w:val="15"/>
          <w:color w:val="auto"/>
        </w:rPr>
        <w:t>If we do not prevail in such disputes, we may lose any or all of our rights under such license agreements, experience significant delays in the development and commercialization of our products and technologies, or incur liability for damages, any of which could have a material adverse effect on our business, financial condition, results of operations, and prospects.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w:t>
      </w:r>
    </w:p>
    <w:p>
      <w:pPr>
        <w:spacing w:after="0" w:line="100" w:lineRule="exact"/>
        <w:rPr>
          <w:sz w:val="20"/>
          <w:szCs w:val="20"/>
          <w:color w:val="auto"/>
        </w:rPr>
      </w:pPr>
    </w:p>
    <w:p>
      <w:pPr>
        <w:ind w:right="100" w:firstLine="303"/>
        <w:spacing w:after="0" w:line="269" w:lineRule="auto"/>
        <w:rPr>
          <w:sz w:val="20"/>
          <w:szCs w:val="20"/>
          <w:color w:val="auto"/>
        </w:rPr>
      </w:pPr>
      <w:r>
        <w:rPr>
          <w:rFonts w:ascii="Arial" w:cs="Arial" w:eastAsia="Arial" w:hAnsi="Arial"/>
          <w:sz w:val="16"/>
          <w:szCs w:val="16"/>
          <w:color w:val="auto"/>
        </w:rPr>
        <w:t>In addition, the agreements under which we currently and in the future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any affected products or services, which could have a material adverse effect on our business, financial condition, results of operations and prospects.</w:t>
      </w:r>
    </w:p>
    <w:p>
      <w:pPr>
        <w:spacing w:after="0" w:line="120" w:lineRule="exact"/>
        <w:rPr>
          <w:sz w:val="20"/>
          <w:szCs w:val="20"/>
          <w:color w:val="auto"/>
        </w:rPr>
      </w:pPr>
    </w:p>
    <w:p>
      <w:pPr>
        <w:ind w:right="100" w:firstLine="303"/>
        <w:spacing w:after="0" w:line="282" w:lineRule="auto"/>
        <w:rPr>
          <w:sz w:val="20"/>
          <w:szCs w:val="20"/>
          <w:color w:val="auto"/>
        </w:rPr>
      </w:pPr>
      <w:r>
        <w:rPr>
          <w:rFonts w:ascii="Arial" w:cs="Arial" w:eastAsia="Arial" w:hAnsi="Arial"/>
          <w:sz w:val="16"/>
          <w:szCs w:val="16"/>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Proteograph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49"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Suite, which could adversely affect our ability to offer products or services, our ability to continue operations and our business, financial condition, results of operations and prospects.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58" w:lineRule="exact"/>
        <w:rPr>
          <w:sz w:val="20"/>
          <w:szCs w:val="20"/>
          <w:color w:val="auto"/>
        </w:rPr>
      </w:pPr>
    </w:p>
    <w:p>
      <w:pPr>
        <w:ind w:firstLine="303"/>
        <w:spacing w:after="0" w:line="295" w:lineRule="auto"/>
        <w:rPr>
          <w:sz w:val="20"/>
          <w:szCs w:val="20"/>
          <w:color w:val="auto"/>
        </w:rPr>
      </w:pPr>
      <w:r>
        <w:rPr>
          <w:rFonts w:ascii="Arial" w:cs="Arial" w:eastAsia="Arial" w:hAnsi="Arial"/>
          <w:sz w:val="15"/>
          <w:szCs w:val="15"/>
          <w:color w:val="auto"/>
        </w:rPr>
        <w:t>We may identify third-party technology that we may need to license or acquire in order to develop or commercialize our products or technologies, including our Proteograph Product Suite.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100" w:lineRule="exact"/>
        <w:rPr>
          <w:sz w:val="20"/>
          <w:szCs w:val="20"/>
          <w:color w:val="auto"/>
        </w:rPr>
      </w:pPr>
    </w:p>
    <w:p>
      <w:pPr>
        <w:ind w:right="40" w:firstLine="303"/>
        <w:spacing w:after="0" w:line="292" w:lineRule="auto"/>
        <w:rPr>
          <w:sz w:val="20"/>
          <w:szCs w:val="20"/>
          <w:color w:val="auto"/>
        </w:rPr>
      </w:pPr>
      <w:r>
        <w:rPr>
          <w:rFonts w:ascii="Arial" w:cs="Arial" w:eastAsia="Arial" w:hAnsi="Arial"/>
          <w:sz w:val="15"/>
          <w:szCs w:val="15"/>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03" w:lineRule="exact"/>
        <w:rPr>
          <w:sz w:val="20"/>
          <w:szCs w:val="20"/>
          <w:color w:val="auto"/>
        </w:rPr>
      </w:pPr>
    </w:p>
    <w:p>
      <w:pPr>
        <w:ind w:right="560"/>
        <w:spacing w:after="0" w:line="379" w:lineRule="auto"/>
        <w:rPr>
          <w:sz w:val="20"/>
          <w:szCs w:val="20"/>
          <w:color w:val="auto"/>
        </w:rPr>
      </w:pPr>
      <w:r>
        <w:rPr>
          <w:rFonts w:ascii="Arial" w:cs="Arial" w:eastAsia="Arial" w:hAnsi="Arial"/>
          <w:sz w:val="14"/>
          <w:szCs w:val="14"/>
          <w:b w:val="1"/>
          <w:bCs w:val="1"/>
          <w:i w:val="1"/>
          <w:iCs w:val="1"/>
          <w:color w:val="auto"/>
        </w:rPr>
        <w:t>Certain of our in-licensed patents are, and our future owned and in-licensed patents may be, subject to a reservation of rights by one or more third parties, including government march-in rights, that may limit our ability to exclude third parties from commercializing products similar or identical to ours.</w:t>
      </w:r>
    </w:p>
    <w:p>
      <w:pPr>
        <w:spacing w:after="0" w:line="46"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In addition, our owned and in-licensed patents may be subject to a reservation of rights by one or more third parties. For example, the U.S. government has certain rights, including march-in rights, to patent rights and technology funded by the U.S. government and licensed to us from BWH.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Any failure to timely elect title to such inventions may provide the U.S. government to, at any time, take title such inventions. Additionally, the U.S. government generally obtains certain rights in any resulting patents, including a non-exclusive license authorizing the government to use the invention or to have others use the invention on its behalf. If the government decides to exercise these rights, it is not required to engage us as its contractor in connection with doing so. These rights may permit the U.S. government to disclose our confidential information to third parties and to exercise march-in rights to use or allow third parties to use our licensed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any of the foregoing rights could have a material adverse effect on our business, financial condition, results of operations and prospects.</w:t>
      </w:r>
    </w:p>
    <w:p>
      <w:pPr>
        <w:spacing w:after="0" w:line="114"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and provide third parties access to our proprietary software.</w:t>
      </w:r>
    </w:p>
    <w:p>
      <w:pPr>
        <w:spacing w:after="0" w:line="115" w:lineRule="exact"/>
        <w:rPr>
          <w:sz w:val="20"/>
          <w:szCs w:val="20"/>
          <w:color w:val="auto"/>
        </w:rPr>
      </w:pPr>
    </w:p>
    <w:p>
      <w:pPr>
        <w:ind w:right="60" w:firstLine="303"/>
        <w:spacing w:after="0" w:line="338" w:lineRule="auto"/>
        <w:rPr>
          <w:sz w:val="20"/>
          <w:szCs w:val="20"/>
          <w:color w:val="auto"/>
        </w:rPr>
      </w:pPr>
      <w:r>
        <w:rPr>
          <w:rFonts w:ascii="Arial" w:cs="Arial" w:eastAsia="Arial" w:hAnsi="Arial"/>
          <w:sz w:val="15"/>
          <w:szCs w:val="15"/>
          <w:color w:val="auto"/>
        </w:rPr>
        <w:t>Our products contain software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4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22" w:lineRule="exact"/>
        <w:rPr>
          <w:sz w:val="20"/>
          <w:szCs w:val="20"/>
          <w:color w:val="auto"/>
        </w:rPr>
      </w:pPr>
    </w:p>
    <w:p>
      <w:pPr>
        <w:ind w:right="100" w:firstLine="303"/>
        <w:spacing w:after="0" w:line="290" w:lineRule="auto"/>
        <w:rPr>
          <w:sz w:val="20"/>
          <w:szCs w:val="20"/>
          <w:color w:val="auto"/>
        </w:rPr>
      </w:pPr>
      <w:r>
        <w:rPr>
          <w:rFonts w:ascii="Arial" w:cs="Arial" w:eastAsia="Arial" w:hAnsi="Arial"/>
          <w:sz w:val="15"/>
          <w:szCs w:val="15"/>
          <w:color w:val="auto"/>
        </w:rPr>
        <w:t>Although we review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58" w:lineRule="exact"/>
        <w:rPr>
          <w:sz w:val="20"/>
          <w:szCs w:val="20"/>
          <w:color w:val="auto"/>
        </w:rPr>
      </w:pPr>
    </w:p>
    <w:p>
      <w:pPr>
        <w:ind w:right="680" w:firstLine="303"/>
        <w:spacing w:after="0" w:line="270"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5" w:lineRule="exact"/>
        <w:rPr>
          <w:sz w:val="20"/>
          <w:szCs w:val="20"/>
          <w:color w:val="auto"/>
        </w:rPr>
      </w:pPr>
    </w:p>
    <w:p>
      <w:pPr>
        <w:ind w:left="600" w:right="240" w:hanging="297"/>
        <w:spacing w:after="0" w:line="270"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we may develop or utilize similar technology that are not covered by the claims of the patents that we own or license now or in the future;</w:t>
      </w:r>
    </w:p>
    <w:p>
      <w:pPr>
        <w:spacing w:after="0" w:line="114" w:lineRule="exact"/>
        <w:rPr>
          <w:rFonts w:ascii="Arial" w:cs="Arial" w:eastAsia="Arial" w:hAnsi="Arial"/>
          <w:sz w:val="17"/>
          <w:szCs w:val="17"/>
          <w:color w:val="auto"/>
        </w:rPr>
      </w:pPr>
    </w:p>
    <w:p>
      <w:pPr>
        <w:ind w:left="600" w:right="120" w:hanging="297"/>
        <w:spacing w:after="0" w:line="270"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make the inventions covered by the issued patent or pending patent application that we license or may own in the future;</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our licensor(s), might not have been the first to file patent applications covering certain of our or their inventions;</w:t>
      </w:r>
    </w:p>
    <w:p>
      <w:pPr>
        <w:spacing w:after="0" w:line="157" w:lineRule="exact"/>
        <w:rPr>
          <w:rFonts w:ascii="Arial" w:cs="Arial" w:eastAsia="Arial" w:hAnsi="Arial"/>
          <w:sz w:val="17"/>
          <w:szCs w:val="17"/>
          <w:color w:val="auto"/>
        </w:rPr>
      </w:pPr>
    </w:p>
    <w:p>
      <w:pPr>
        <w:ind w:left="600" w:right="160" w:hanging="297"/>
        <w:spacing w:after="0" w:line="270"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misappropriating or otherwise violating our owned or licensed intellectual property rights;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in the future will not lead to issued patents;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7" w:lineRule="exact"/>
        <w:rPr>
          <w:rFonts w:ascii="Arial" w:cs="Arial" w:eastAsia="Arial" w:hAnsi="Arial"/>
          <w:sz w:val="17"/>
          <w:szCs w:val="17"/>
          <w:color w:val="auto"/>
        </w:rPr>
      </w:pPr>
    </w:p>
    <w:p>
      <w:pPr>
        <w:ind w:left="600" w:right="40" w:hanging="297"/>
        <w:spacing w:after="0" w:line="270" w:lineRule="auto"/>
        <w:tabs>
          <w:tab w:leader="none" w:pos="5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49" w:lineRule="exact"/>
        <w:rPr>
          <w:sz w:val="20"/>
          <w:szCs w:val="20"/>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57" w:lineRule="exact"/>
        <w:rPr>
          <w:rFonts w:ascii="Arial" w:cs="Arial" w:eastAsia="Arial" w:hAnsi="Arial"/>
          <w:sz w:val="17"/>
          <w:szCs w:val="17"/>
          <w:color w:val="auto"/>
        </w:rPr>
      </w:pPr>
    </w:p>
    <w:p>
      <w:pPr>
        <w:ind w:left="300" w:right="80" w:firstLine="3"/>
        <w:spacing w:after="0" w:line="457" w:lineRule="auto"/>
        <w:tabs>
          <w:tab w:leader="none" w:pos="59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choose not to file a patent for certain trade secrets or know-how, and a third party may subsequently file a patent covering such intellectual property. Should any of these events occur, they could materially adversely affect our business, financial condition, results of operations and prospects.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Class A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Class A common stock may not be sustained.</w:t>
      </w:r>
    </w:p>
    <w:p>
      <w:pPr>
        <w:spacing w:after="0" w:line="158" w:lineRule="exact"/>
        <w:rPr>
          <w:sz w:val="20"/>
          <w:szCs w:val="20"/>
          <w:color w:val="auto"/>
        </w:rPr>
      </w:pPr>
    </w:p>
    <w:p>
      <w:pPr>
        <w:ind w:firstLine="303"/>
        <w:spacing w:after="0" w:line="276" w:lineRule="auto"/>
        <w:rPr>
          <w:sz w:val="20"/>
          <w:szCs w:val="20"/>
          <w:color w:val="auto"/>
        </w:rPr>
      </w:pPr>
      <w:r>
        <w:rPr>
          <w:rFonts w:ascii="Arial" w:cs="Arial" w:eastAsia="Arial" w:hAnsi="Arial"/>
          <w:sz w:val="16"/>
          <w:szCs w:val="16"/>
          <w:color w:val="auto"/>
        </w:rPr>
        <w:t>Although our Class A common stock is traded on the Nasdaq Global Select Market under the symbol “SEER,” there is a limited trading history and an active trading market for our Class A common stock may not be sustained. Accordingly, we cannot assure you of your ability to sell your shares of Class A common stock when desired or the prices that you may obtain for your shares. If an active market for our Class A common stock with meaningful trading volume is not sustained, the market price of our Class A common stock may decline materially and you may not be able to sell your shares.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Class A common stock may be volatile.</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Some of the factors that may cause the market price of our Class A common stock to fluctuate include, but are not limited to:</w:t>
      </w:r>
    </w:p>
    <w:p>
      <w:pPr>
        <w:spacing w:after="0" w:line="158" w:lineRule="exact"/>
        <w:rPr>
          <w:sz w:val="20"/>
          <w:szCs w:val="20"/>
          <w:color w:val="auto"/>
        </w:rPr>
      </w:pPr>
    </w:p>
    <w:p>
      <w:pPr>
        <w:ind w:left="600" w:right="100" w:hanging="297"/>
        <w:spacing w:after="0" w:line="270" w:lineRule="auto"/>
        <w:tabs>
          <w:tab w:leader="none" w:pos="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timing of our launch and commercialization of our products and degree to which such launch and commercialization meets the expectations of securities analysts and investors;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fluctuations in our operating results, including fluctuations in our quarterly and annual results;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revenue being less than anticipated or operating expenses being more than anticipated;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failure or discontinuation of any of our product development and research programs;</w:t>
      </w:r>
    </w:p>
    <w:p>
      <w:pPr>
        <w:spacing w:after="0" w:line="157" w:lineRule="exact"/>
        <w:rPr>
          <w:rFonts w:ascii="Arial" w:cs="Arial" w:eastAsia="Arial" w:hAnsi="Arial"/>
          <w:sz w:val="17"/>
          <w:szCs w:val="17"/>
          <w:color w:val="auto"/>
        </w:rPr>
      </w:pPr>
    </w:p>
    <w:p>
      <w:pPr>
        <w:ind w:left="600" w:right="380" w:hanging="297"/>
        <w:spacing w:after="0" w:line="270" w:lineRule="auto"/>
        <w:tabs>
          <w:tab w:leader="none" w:pos="5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changes in the structure or funding of research at academic and research laboratories and institutions, including changes that would affect their ability to purchase our instruments or consumables;</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success of existing or new competitive businesses or technologies;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announcements about new research programs or products of our competitors;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litigation and governmental investigations involving us, our industry or both;</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investor perceptions of us or our industry;</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level of expenses related to any of our research and development programs 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49" w:lineRule="exact"/>
        <w:rPr>
          <w:sz w:val="20"/>
          <w:szCs w:val="20"/>
          <w:color w:val="auto"/>
        </w:rPr>
      </w:pPr>
    </w:p>
    <w:p>
      <w:pPr>
        <w:ind w:left="600" w:right="280" w:hanging="297"/>
        <w:spacing w:after="0" w:line="258" w:lineRule="auto"/>
        <w:tabs>
          <w:tab w:leader="none" w:pos="596"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Class A common stock or companies that are perceived to be similar to us;</w:t>
      </w:r>
    </w:p>
    <w:p>
      <w:pPr>
        <w:spacing w:after="0" w:line="126" w:lineRule="exact"/>
        <w:rPr>
          <w:rFonts w:ascii="Arial" w:cs="Arial" w:eastAsia="Arial" w:hAnsi="Arial"/>
          <w:sz w:val="17"/>
          <w:szCs w:val="17"/>
          <w:color w:val="auto"/>
        </w:rPr>
      </w:pPr>
    </w:p>
    <w:p>
      <w:pPr>
        <w:ind w:left="600" w:hanging="297"/>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whether our financial results meet the expectations of securities analysts or investors;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announcement or expectation of additional financing efforts;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of our Class A common stock by us or sales of our Class A common stock or Class B common stock by our insiders or other stockholders;</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expiration of market standoff or lock-up agreements;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COVID-19 pandemic, natural disasters or major catastrophic events.</w:t>
      </w:r>
    </w:p>
    <w:p>
      <w:pPr>
        <w:spacing w:after="0" w:line="158" w:lineRule="exact"/>
        <w:rPr>
          <w:sz w:val="20"/>
          <w:szCs w:val="20"/>
          <w:color w:val="auto"/>
        </w:rPr>
      </w:pPr>
    </w:p>
    <w:p>
      <w:pPr>
        <w:ind w:right="40" w:firstLine="303"/>
        <w:spacing w:after="0" w:line="292" w:lineRule="auto"/>
        <w:rPr>
          <w:sz w:val="20"/>
          <w:szCs w:val="20"/>
          <w:color w:val="auto"/>
        </w:rPr>
      </w:pPr>
      <w:r>
        <w:rPr>
          <w:rFonts w:ascii="Arial" w:cs="Arial" w:eastAsia="Arial" w:hAnsi="Arial"/>
          <w:sz w:val="15"/>
          <w:szCs w:val="15"/>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Class A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03"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b w:val="1"/>
          <w:bCs w:val="1"/>
          <w:i w:val="1"/>
          <w:iCs w:val="1"/>
          <w:color w:val="auto"/>
        </w:rPr>
        <w:t>The multi-class structure of our common stock will have the effect of concentrating voting control with certain stockholders and it may depress the trading price of our Class A common stock.</w:t>
      </w:r>
    </w:p>
    <w:p>
      <w:pPr>
        <w:spacing w:after="0" w:line="115" w:lineRule="exact"/>
        <w:rPr>
          <w:sz w:val="20"/>
          <w:szCs w:val="20"/>
          <w:color w:val="auto"/>
        </w:rPr>
      </w:pPr>
    </w:p>
    <w:p>
      <w:pPr>
        <w:ind w:right="120" w:firstLine="303"/>
        <w:spacing w:after="0" w:line="258" w:lineRule="auto"/>
        <w:rPr>
          <w:sz w:val="20"/>
          <w:szCs w:val="20"/>
          <w:color w:val="auto"/>
        </w:rPr>
      </w:pPr>
      <w:r>
        <w:rPr>
          <w:rFonts w:ascii="Arial" w:cs="Arial" w:eastAsia="Arial" w:hAnsi="Arial"/>
          <w:sz w:val="17"/>
          <w:szCs w:val="17"/>
          <w:color w:val="auto"/>
        </w:rPr>
        <w:t>Our Class A common stock, which is our publicly-traded class of stock, has one vote per share, and our Class B common stock has ten votes per share, except as otherwise required by law. Our Class B common stock is held by our founders and early investors. Following our February 2021 public offering, the holders of our Class B common stock hold in the aggregate 45.7% of the voting power of our capital stock.</w:t>
      </w:r>
    </w:p>
    <w:p>
      <w:pPr>
        <w:spacing w:after="0" w:line="126"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As a result, the holders of our Class B common stock collectively will continue to control a significant amount of the combined voting power of our common stock and therefore may be able to control matters submitted to our stockholders for approval. This control will limit to the stockholders’ influence over corporate matters for approximately five years following our initial public offering, including the election of directors, amendments of our organizational documents and any sale of the company or other major corporate transaction requiring stockholder approval. This may prevent or discourage unsolicited proposals to acquire the company. Future transfers by holders of Class B common stock will generally result in those shares converting to Class A common stock, subject to limited exceptions, such as certain transfers effected for estate planning purposes where sole dispositive power and exclusive voting control with respect to the shares of Class B common stock is retained by the transferring holder. The Class B common stock will also automatically convert into Class A common stock on December 8, 2025. The conversion of Class B common stock to Class A common stock will have the effect, over time, of increasing the relative voting power of those individual holders of Class B common stock who retain their shares over the long term.</w:t>
      </w:r>
    </w:p>
    <w:p>
      <w:pPr>
        <w:spacing w:after="0" w:line="125" w:lineRule="exact"/>
        <w:rPr>
          <w:sz w:val="20"/>
          <w:szCs w:val="20"/>
          <w:color w:val="auto"/>
        </w:rPr>
      </w:pPr>
    </w:p>
    <w:p>
      <w:pPr>
        <w:ind w:right="200" w:firstLine="303"/>
        <w:spacing w:after="0" w:line="253" w:lineRule="auto"/>
        <w:rPr>
          <w:sz w:val="20"/>
          <w:szCs w:val="20"/>
          <w:color w:val="auto"/>
        </w:rPr>
      </w:pPr>
      <w:r>
        <w:rPr>
          <w:rFonts w:ascii="Arial" w:cs="Arial" w:eastAsia="Arial" w:hAnsi="Arial"/>
          <w:sz w:val="17"/>
          <w:szCs w:val="17"/>
          <w:color w:val="auto"/>
        </w:rPr>
        <w:t>In July 2017, S&amp;P Dow Jones announced that it would no longer admit companies with multiple-class share structures to certain of its indices. Affected indices include the S&amp;P 500, S&amp;P MidCap 400, and S&amp;P SmallCap 600, which together make up the S&amp;P Composite 1500. Our multi-class capital structure may make us ineligible for inclusion in certain indices, and as a result, mutual funds, exchange-traded funds and other investment vehicles that attempt to passively track these indices may not be investing in our stock. It is unclear what effect, if any, exclusion from any indices has had on the valuations of the affected publicly traded companies. It is possible that such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could depress the valuations of public companies excluded from such indices compared to those of other companies that are included.</w:t>
      </w:r>
    </w:p>
    <w:p>
      <w:pPr>
        <w:spacing w:after="0" w:line="15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publish negative evaluations of our Class A common stock, the price of our Class A common stock could decline.</w:t>
      </w:r>
    </w:p>
    <w:p>
      <w:pPr>
        <w:spacing w:after="0" w:line="115" w:lineRule="exact"/>
        <w:rPr>
          <w:sz w:val="20"/>
          <w:szCs w:val="20"/>
          <w:color w:val="auto"/>
        </w:rPr>
      </w:pPr>
    </w:p>
    <w:p>
      <w:pPr>
        <w:ind w:right="80" w:firstLine="303"/>
        <w:spacing w:after="0" w:line="253" w:lineRule="auto"/>
        <w:rPr>
          <w:sz w:val="20"/>
          <w:szCs w:val="20"/>
          <w:color w:val="auto"/>
        </w:rPr>
      </w:pPr>
      <w:r>
        <w:rPr>
          <w:rFonts w:ascii="Arial" w:cs="Arial" w:eastAsia="Arial" w:hAnsi="Arial"/>
          <w:sz w:val="17"/>
          <w:szCs w:val="17"/>
          <w:color w:val="auto"/>
        </w:rPr>
        <w:t>The trading market for our Class A common stock relies in part on the research and reports that industry or securities analysts publish about us or our business. If no or few analysts commence or continue coverage of us, the trading price of our Class A common stock could decrease. If one or more of the analysts covering our business downgrade their evaluations of our Class A common stock, the price of our Class A common stock could decline. If one or more of these analysts cease to cover our Class A common stock, we could lose visibility in the market for our Class A common stock, which in turn could cause the price of our Class A common stock to decline.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Class A common stock by our existing stockholders could cause the price of our Class A common stock to decline.</w:t>
      </w:r>
    </w:p>
    <w:p>
      <w:pPr>
        <w:spacing w:after="0" w:line="192" w:lineRule="exact"/>
        <w:rPr>
          <w:sz w:val="20"/>
          <w:szCs w:val="20"/>
          <w:color w:val="auto"/>
        </w:rPr>
      </w:pPr>
    </w:p>
    <w:p>
      <w:pPr>
        <w:jc w:val="both"/>
        <w:ind w:right="80" w:firstLine="303"/>
        <w:spacing w:after="0" w:line="258"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following the expiration of the market standoff and lock-up agreements or the early release of these agreements or the perception in the market that the holders of a large number of shares of Class A common stock intend to sell shares and could reduce the market price of our Class A common stock.</w:t>
      </w:r>
    </w:p>
    <w:p>
      <w:pPr>
        <w:spacing w:after="0" w:line="126" w:lineRule="exact"/>
        <w:rPr>
          <w:sz w:val="20"/>
          <w:szCs w:val="20"/>
          <w:color w:val="auto"/>
        </w:rPr>
      </w:pPr>
    </w:p>
    <w:p>
      <w:pPr>
        <w:ind w:firstLine="303"/>
        <w:spacing w:after="0" w:line="268" w:lineRule="auto"/>
        <w:rPr>
          <w:sz w:val="20"/>
          <w:szCs w:val="20"/>
          <w:color w:val="auto"/>
        </w:rPr>
      </w:pPr>
      <w:r>
        <w:rPr>
          <w:rFonts w:ascii="Arial" w:cs="Arial" w:eastAsia="Arial" w:hAnsi="Arial"/>
          <w:sz w:val="16"/>
          <w:szCs w:val="16"/>
          <w:color w:val="auto"/>
        </w:rPr>
        <w:t>The selling stockholders who sold greater than 5% and up to 20.8% of their existing holdings in our February 2021 public offering have entered into lock-up agreements which expire January 27, 2022. Additionally stockholders were given the opportunity to have a portion of their stockholdings released from the lock-up agreements entered into in connection with our initial public offering if they agreed to the same additional terms as the selling stockholders in our February 2021 public offering. As a result, following our February 2021 public offering, 3,028,622 shares of Class A common stock and 3,565,416 shares of our Class B common stock (and any share of Class A common stock into which they are converted) are currently prohibited or otherwise restricted from being sold in the public market under securities laws, lock-up agreements entered into with the underwriters in connection our February 2021 public offering, market standoff agreements entered into by our stockholders with us, or lock-up agreements entered into by our stockholders. The representatives may, in their sole discretion, release all or some portion of the shares subject to lock-up agreements at any time and for any reason.</w:t>
      </w:r>
    </w:p>
    <w:p>
      <w:pPr>
        <w:spacing w:after="0" w:line="122" w:lineRule="exact"/>
        <w:rPr>
          <w:sz w:val="20"/>
          <w:szCs w:val="20"/>
          <w:color w:val="auto"/>
        </w:rPr>
      </w:pPr>
    </w:p>
    <w:p>
      <w:pPr>
        <w:ind w:right="100" w:firstLine="303"/>
        <w:spacing w:after="0" w:line="258" w:lineRule="auto"/>
        <w:rPr>
          <w:sz w:val="20"/>
          <w:szCs w:val="20"/>
          <w:color w:val="auto"/>
        </w:rPr>
      </w:pPr>
      <w:r>
        <w:rPr>
          <w:rFonts w:ascii="Arial" w:cs="Arial" w:eastAsia="Arial" w:hAnsi="Arial"/>
          <w:sz w:val="17"/>
          <w:szCs w:val="17"/>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w:t>
      </w:r>
    </w:p>
    <w:p>
      <w:pPr>
        <w:spacing w:after="0" w:line="126"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We have not paid dividends in the past and do not expect to pay dividends in the future, and, as a result, any return on investment may be limited to the value of our stock.</w:t>
      </w:r>
    </w:p>
    <w:p>
      <w:pPr>
        <w:spacing w:after="0" w:line="115" w:lineRule="exact"/>
        <w:rPr>
          <w:sz w:val="20"/>
          <w:szCs w:val="20"/>
          <w:color w:val="auto"/>
        </w:rPr>
      </w:pPr>
    </w:p>
    <w:p>
      <w:pPr>
        <w:ind w:right="40" w:firstLine="303"/>
        <w:spacing w:after="0" w:line="252" w:lineRule="auto"/>
        <w:rPr>
          <w:sz w:val="20"/>
          <w:szCs w:val="20"/>
          <w:color w:val="auto"/>
        </w:rPr>
      </w:pPr>
      <w:r>
        <w:rPr>
          <w:rFonts w:ascii="Arial" w:cs="Arial" w:eastAsia="Arial" w:hAnsi="Arial"/>
          <w:sz w:val="17"/>
          <w:szCs w:val="17"/>
          <w:color w:val="auto"/>
        </w:rPr>
        <w:t>You should not rely on an investment in our Class A common stock to provide dividend income. We do not anticipate that we will pay any dividends to holders of our Class A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Class A common stock. Accordingly, investors must rely on sales of their Class A common stock after price appreciation, which may never occur, as the only way to realize any return on their investment. As a result, investors seeking cash dividends should not purchase our Class A common stock.</w:t>
      </w:r>
    </w:p>
    <w:p>
      <w:pPr>
        <w:spacing w:after="0" w:line="130" w:lineRule="exact"/>
        <w:rPr>
          <w:sz w:val="20"/>
          <w:szCs w:val="20"/>
          <w:color w:val="auto"/>
        </w:rPr>
      </w:pPr>
    </w:p>
    <w:p>
      <w:pPr>
        <w:jc w:val="both"/>
        <w:ind w:right="400"/>
        <w:spacing w:after="0" w:line="258" w:lineRule="auto"/>
        <w:rPr>
          <w:sz w:val="20"/>
          <w:szCs w:val="20"/>
          <w:color w:val="auto"/>
        </w:rPr>
      </w:pPr>
      <w:r>
        <w:rPr>
          <w:rFonts w:ascii="Arial" w:cs="Arial" w:eastAsia="Arial" w:hAnsi="Arial"/>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49"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b w:val="1"/>
          <w:bCs w:val="1"/>
          <w:i w:val="1"/>
          <w:iCs w:val="1"/>
          <w:color w:val="auto"/>
        </w:rPr>
        <w:t>the Securities Act of 1933, as amended, each of which could limit our stockholders’ ability to choose the judicial forum for disputes with us or our directors, officers, stockholders, or employees.</w:t>
      </w:r>
    </w:p>
    <w:p>
      <w:pPr>
        <w:spacing w:after="0" w:line="115" w:lineRule="exact"/>
        <w:rPr>
          <w:sz w:val="20"/>
          <w:szCs w:val="20"/>
          <w:color w:val="auto"/>
        </w:rPr>
      </w:pPr>
    </w:p>
    <w:p>
      <w:pPr>
        <w:ind w:right="80" w:firstLine="303"/>
        <w:spacing w:after="0" w:line="287" w:lineRule="auto"/>
        <w:rPr>
          <w:sz w:val="20"/>
          <w:szCs w:val="20"/>
          <w:color w:val="auto"/>
        </w:rPr>
      </w:pPr>
      <w:r>
        <w:rPr>
          <w:rFonts w:ascii="Arial" w:cs="Arial" w:eastAsia="Arial" w:hAnsi="Arial"/>
          <w:sz w:val="15"/>
          <w:szCs w:val="15"/>
          <w:color w:val="auto"/>
        </w:rPr>
        <w:t>Our amended and restated certificate of incorporation specifies that, unless we consent in writing to the selection of an alternative forum, the sole and exclusive forum for (a) any derivative action or proceeding brought on our behalf, (b) any action asserting a claim of breach of a fiduciary duty owed by any of our current or former directors, stockholders, officers, or other employees to us or our stockholders, (c) any action or proceeding asserting a claim arising pursuant to, or seeking to enforce any right, obligation or remedy under, any provision of the Delaware General Corporation Law, our amended and restated certificate of incorporation, or our amended and restated bylaws, (d) any action or proceeding as to which the Delaware General Corporation Law confers jurisdiction on the Court of Chancery of the State of Delaware, or (e) any action or proceeding asserting a claim that is governed by the internal affairs doctrine shall be the Court of Chancery of the State of Delaware (or, if the Court of Chancery does not have jurisdiction, another state court in Delaware or, if no state court in Delaware has jurisdiction, the federal district court for the District of Delaware) and any appellate court therefrom,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110" w:lineRule="exact"/>
        <w:rPr>
          <w:sz w:val="20"/>
          <w:szCs w:val="20"/>
          <w:color w:val="auto"/>
        </w:rPr>
      </w:pPr>
    </w:p>
    <w:p>
      <w:pPr>
        <w:ind w:firstLine="303"/>
        <w:spacing w:after="0" w:line="299" w:lineRule="auto"/>
        <w:rPr>
          <w:sz w:val="20"/>
          <w:szCs w:val="20"/>
          <w:color w:val="auto"/>
        </w:rPr>
      </w:pPr>
      <w:r>
        <w:rPr>
          <w:rFonts w:ascii="Arial" w:cs="Arial" w:eastAsia="Arial" w:hAnsi="Arial"/>
          <w:sz w:val="15"/>
          <w:szCs w:val="15"/>
          <w:color w:val="auto"/>
        </w:rPr>
        <w:t>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w:t>
      </w:r>
    </w:p>
    <w:p>
      <w:pPr>
        <w:spacing w:after="0" w:line="99" w:lineRule="exact"/>
        <w:rPr>
          <w:sz w:val="20"/>
          <w:szCs w:val="20"/>
          <w:color w:val="auto"/>
        </w:rPr>
      </w:pPr>
    </w:p>
    <w:p>
      <w:pPr>
        <w:ind w:right="100" w:firstLine="303"/>
        <w:spacing w:after="0" w:line="288" w:lineRule="auto"/>
        <w:rPr>
          <w:sz w:val="20"/>
          <w:szCs w:val="20"/>
          <w:color w:val="auto"/>
        </w:rPr>
      </w:pPr>
      <w:r>
        <w:rPr>
          <w:rFonts w:ascii="Arial" w:cs="Arial" w:eastAsia="Arial" w:hAnsi="Arial"/>
          <w:sz w:val="15"/>
          <w:szCs w:val="15"/>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 Further, in the event a court finds either exclusive forum provision contained in our amended and restated bylaws to be unenforceable or inapplicable in an action, we may incur additional costs associated with resolving such action in other jurisdictions, which could harm our results of operations.</w:t>
      </w:r>
    </w:p>
    <w:p>
      <w:pPr>
        <w:spacing w:after="0" w:line="109" w:lineRule="exact"/>
        <w:rPr>
          <w:sz w:val="20"/>
          <w:szCs w:val="20"/>
          <w:color w:val="auto"/>
        </w:rPr>
      </w:pPr>
    </w:p>
    <w:p>
      <w:pPr>
        <w:ind w:right="380"/>
        <w:spacing w:after="0" w:line="338"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might discourage, delay or prevent a change in control of our company or changes in our management and, therefore, depress the trading price of our Class A common stock.</w:t>
      </w:r>
    </w:p>
    <w:p>
      <w:pPr>
        <w:spacing w:after="0" w:line="69" w:lineRule="exact"/>
        <w:rPr>
          <w:sz w:val="20"/>
          <w:szCs w:val="20"/>
          <w:color w:val="auto"/>
        </w:rPr>
      </w:pPr>
    </w:p>
    <w:p>
      <w:pPr>
        <w:ind w:right="280" w:firstLine="303"/>
        <w:spacing w:after="0" w:line="276" w:lineRule="auto"/>
        <w:rPr>
          <w:sz w:val="20"/>
          <w:szCs w:val="20"/>
          <w:color w:val="auto"/>
        </w:rPr>
      </w:pPr>
      <w:r>
        <w:rPr>
          <w:rFonts w:ascii="Arial" w:cs="Arial" w:eastAsia="Arial" w:hAnsi="Arial"/>
          <w:sz w:val="16"/>
          <w:szCs w:val="16"/>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12" w:lineRule="exact"/>
        <w:rPr>
          <w:sz w:val="20"/>
          <w:szCs w:val="20"/>
          <w:color w:val="auto"/>
        </w:rPr>
      </w:pPr>
    </w:p>
    <w:p>
      <w:pPr>
        <w:ind w:left="600" w:right="140" w:hanging="297"/>
        <w:spacing w:after="0" w:line="270" w:lineRule="auto"/>
        <w:tabs>
          <w:tab w:leader="none" w:pos="5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transaction that would result in a change in control of our company requires the approval of a majority of our outstanding Class B common stock voting as a separate class;</w:t>
      </w:r>
    </w:p>
    <w:p>
      <w:pPr>
        <w:spacing w:after="0" w:line="114" w:lineRule="exact"/>
        <w:rPr>
          <w:rFonts w:ascii="Arial" w:cs="Arial" w:eastAsia="Arial" w:hAnsi="Arial"/>
          <w:sz w:val="17"/>
          <w:szCs w:val="17"/>
          <w:color w:val="auto"/>
        </w:rPr>
      </w:pPr>
    </w:p>
    <w:p>
      <w:pPr>
        <w:ind w:left="600" w:right="420" w:hanging="297"/>
        <w:spacing w:after="0" w:line="270" w:lineRule="auto"/>
        <w:tabs>
          <w:tab w:leader="none" w:pos="5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multi-class common stock structure provides our holders of Class B common stock with the ability to significantly influence the outcome of matters requiring stockholder approval, even if they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significantly less than a majority of the shares of our outstanding Class A common stock and Class B common stock;</w:t>
      </w:r>
    </w:p>
    <w:p>
      <w:pPr>
        <w:spacing w:after="0" w:line="158" w:lineRule="exact"/>
        <w:rPr>
          <w:sz w:val="20"/>
          <w:szCs w:val="20"/>
          <w:color w:val="auto"/>
        </w:rPr>
      </w:pPr>
    </w:p>
    <w:p>
      <w:pPr>
        <w:ind w:left="600" w:hanging="297"/>
        <w:spacing w:after="0" w:line="301" w:lineRule="auto"/>
        <w:tabs>
          <w:tab w:leader="none" w:pos="5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will only be able to be removed from office for cause by the affirmative vote of holders of at least two-thirds of the voting power of our then outstanding capital stock;</w:t>
      </w:r>
    </w:p>
    <w:p>
      <w:pPr>
        <w:spacing w:after="0" w:line="93" w:lineRule="exact"/>
        <w:rPr>
          <w:rFonts w:ascii="Arial" w:cs="Arial" w:eastAsia="Arial" w:hAnsi="Arial"/>
          <w:sz w:val="16"/>
          <w:szCs w:val="16"/>
          <w:color w:val="auto"/>
        </w:rPr>
      </w:pPr>
    </w:p>
    <w:p>
      <w:pPr>
        <w:ind w:left="600" w:right="140" w:hanging="297"/>
        <w:spacing w:after="0" w:line="270" w:lineRule="auto"/>
        <w:tabs>
          <w:tab w:leader="none" w:pos="5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amendments to our amended and restated certificate of incorporation require the approval of stockholders holding two-thirds of the voting power of our then outstanding capital stock;</w:t>
      </w:r>
    </w:p>
    <w:p>
      <w:pPr>
        <w:spacing w:after="0" w:line="114" w:lineRule="exact"/>
        <w:rPr>
          <w:rFonts w:ascii="Arial" w:cs="Arial" w:eastAsia="Arial" w:hAnsi="Arial"/>
          <w:sz w:val="17"/>
          <w:szCs w:val="17"/>
          <w:color w:val="auto"/>
        </w:rPr>
      </w:pPr>
    </w:p>
    <w:p>
      <w:pPr>
        <w:ind w:left="600" w:hanging="297"/>
        <w:spacing w:after="0" w:line="270" w:lineRule="auto"/>
        <w:tabs>
          <w:tab w:leader="none" w:pos="5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stockholder-proposed amendment to our amended and restated bylaws require the approval of stockholders holding two-thirds of the voting power of our then outstanding capital stock;</w:t>
      </w:r>
    </w:p>
    <w:p>
      <w:pPr>
        <w:spacing w:after="0" w:line="114" w:lineRule="exact"/>
        <w:rPr>
          <w:rFonts w:ascii="Arial" w:cs="Arial" w:eastAsia="Arial" w:hAnsi="Arial"/>
          <w:sz w:val="17"/>
          <w:szCs w:val="17"/>
          <w:color w:val="auto"/>
        </w:rPr>
      </w:pPr>
    </w:p>
    <w:p>
      <w:pPr>
        <w:ind w:left="600" w:hanging="297"/>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stockholders may only be able to take action at a meeting of stockholders and may not be able to take action by written consent for any matter;</w:t>
      </w:r>
    </w:p>
    <w:p>
      <w:pPr>
        <w:spacing w:after="0" w:line="169" w:lineRule="exact"/>
        <w:rPr>
          <w:rFonts w:ascii="Arial" w:cs="Arial" w:eastAsia="Arial" w:hAnsi="Arial"/>
          <w:sz w:val="16"/>
          <w:szCs w:val="16"/>
          <w:color w:val="auto"/>
        </w:rPr>
      </w:pPr>
    </w:p>
    <w:p>
      <w:pPr>
        <w:ind w:left="600" w:hanging="297"/>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stockholders are be able to act by written consent only if the action is first recommended or approved by the board of directors;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vacancies on our board of directors may be filled only by our board of directors and not by stockholders;</w:t>
      </w:r>
    </w:p>
    <w:p>
      <w:pPr>
        <w:spacing w:after="0" w:line="157" w:lineRule="exact"/>
        <w:rPr>
          <w:rFonts w:ascii="Arial" w:cs="Arial" w:eastAsia="Arial" w:hAnsi="Arial"/>
          <w:sz w:val="17"/>
          <w:szCs w:val="17"/>
          <w:color w:val="auto"/>
        </w:rPr>
      </w:pPr>
    </w:p>
    <w:p>
      <w:pPr>
        <w:ind w:left="600" w:hanging="297"/>
        <w:spacing w:after="0"/>
        <w:tabs>
          <w:tab w:leader="none" w:pos="6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only the chair of the board of directors, chief executive officer or a majority of the board of directors are authorized to call a special meeting of stockholders;</w:t>
      </w:r>
    </w:p>
    <w:p>
      <w:pPr>
        <w:spacing w:after="0" w:line="180" w:lineRule="exact"/>
        <w:rPr>
          <w:rFonts w:ascii="Arial" w:cs="Arial" w:eastAsia="Arial" w:hAnsi="Arial"/>
          <w:sz w:val="15"/>
          <w:szCs w:val="15"/>
          <w:color w:val="auto"/>
        </w:rPr>
      </w:pPr>
    </w:p>
    <w:p>
      <w:pPr>
        <w:ind w:left="600" w:hanging="297"/>
        <w:spacing w:after="0"/>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57" w:lineRule="exact"/>
        <w:rPr>
          <w:rFonts w:ascii="Arial" w:cs="Arial" w:eastAsia="Arial" w:hAnsi="Arial"/>
          <w:sz w:val="17"/>
          <w:szCs w:val="17"/>
          <w:color w:val="auto"/>
        </w:rPr>
      </w:pPr>
    </w:p>
    <w:p>
      <w:pPr>
        <w:ind w:left="600" w:right="160" w:hanging="297"/>
        <w:spacing w:after="0" w:line="270" w:lineRule="auto"/>
        <w:tabs>
          <w:tab w:leader="none" w:pos="5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restated certificate of incorporation authorizes undesignated preferred stock, the terms of which may be established and shares of which may be issued, without the approval of the holders of our capital stock; and</w:t>
      </w:r>
    </w:p>
    <w:p>
      <w:pPr>
        <w:spacing w:after="0" w:line="114" w:lineRule="exact"/>
        <w:rPr>
          <w:rFonts w:ascii="Arial" w:cs="Arial" w:eastAsia="Arial" w:hAnsi="Arial"/>
          <w:sz w:val="17"/>
          <w:szCs w:val="17"/>
          <w:color w:val="auto"/>
        </w:rPr>
      </w:pPr>
    </w:p>
    <w:p>
      <w:pPr>
        <w:ind w:left="600" w:right="820" w:hanging="297"/>
        <w:spacing w:after="0" w:line="270" w:lineRule="auto"/>
        <w:tabs>
          <w:tab w:leader="none" w:pos="5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15" w:lineRule="exact"/>
        <w:rPr>
          <w:sz w:val="20"/>
          <w:szCs w:val="20"/>
          <w:color w:val="auto"/>
        </w:rPr>
      </w:pPr>
    </w:p>
    <w:p>
      <w:pPr>
        <w:ind w:right="200" w:firstLine="303"/>
        <w:spacing w:after="0" w:line="255"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158" w:lineRule="exact"/>
        <w:rPr>
          <w:sz w:val="20"/>
          <w:szCs w:val="20"/>
          <w:color w:val="auto"/>
        </w:rPr>
      </w:pPr>
    </w:p>
    <w:p>
      <w:pPr>
        <w:ind w:right="60" w:firstLine="303"/>
        <w:spacing w:after="0" w:line="285" w:lineRule="auto"/>
        <w:rPr>
          <w:sz w:val="20"/>
          <w:szCs w:val="20"/>
          <w:color w:val="auto"/>
        </w:rPr>
      </w:pPr>
      <w:r>
        <w:rPr>
          <w:rFonts w:ascii="Arial" w:cs="Arial" w:eastAsia="Arial" w:hAnsi="Arial"/>
          <w:sz w:val="15"/>
          <w:szCs w:val="15"/>
          <w:color w:val="auto"/>
        </w:rPr>
        <w:t>As of December 31, 2020 we had U.S. federal and state net operating loss carryforwards (NOLs) of $36.2 million and $33.0 million, respectively, which if not utilized will expire in 2031 for state purposes.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ownership of our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multiple “ownership changes.”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7" w:name="page78"/>
    <w:bookmarkEnd w:id="77"/>
    <w:p>
      <w:pPr>
        <w:spacing w:after="0" w:line="49"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retain if such NOLs were available as an offset against such income for U.S. federal and state income tax reporting purposes, which could adversely impact our operating results.</w:t>
      </w:r>
    </w:p>
    <w:p>
      <w:pPr>
        <w:spacing w:after="0" w:line="115"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companies may make our Class A common stock less attractive to investors.</w:t>
      </w:r>
    </w:p>
    <w:p>
      <w:pPr>
        <w:spacing w:after="0" w:line="115" w:lineRule="exact"/>
        <w:rPr>
          <w:sz w:val="20"/>
          <w:szCs w:val="20"/>
          <w:color w:val="auto"/>
        </w:rPr>
      </w:pPr>
    </w:p>
    <w:p>
      <w:pPr>
        <w:ind w:right="100" w:firstLine="303"/>
        <w:spacing w:after="0" w:line="267" w:lineRule="auto"/>
        <w:rPr>
          <w:sz w:val="20"/>
          <w:szCs w:val="20"/>
          <w:color w:val="auto"/>
        </w:rPr>
      </w:pPr>
      <w:r>
        <w:rPr>
          <w:rFonts w:ascii="Arial" w:cs="Arial" w:eastAsia="Arial" w:hAnsi="Arial"/>
          <w:sz w:val="16"/>
          <w:szCs w:val="16"/>
          <w:color w:val="auto"/>
        </w:rPr>
        <w:t>We are an “emerging growth company,” as defined in the JOBS Act a “smaller reporting company,” as such term is defined in Rule 12b-2 under the Securities Exchange Act of 1934 and are currently relying on exemptions from certain disclosure requirements that are applicable to other SEC registered public companies that are not emerging growth companies or smaller reporting companies. These exemptions include not being required to comply with the auditor attestation requirements of Section 404 of the SOX, not being required to comply with any requirement that may be adopted by the Public Company Accounting Oversight Board regarding mandatory audit firm rotation or a supplement to the auditor’s report providing additional information about the audit and the consolidated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We will cease to be an emerging growth company and smaller reporting company on December 31, 2021.</w:t>
      </w:r>
    </w:p>
    <w:p>
      <w:pPr>
        <w:spacing w:after="0" w:line="125" w:lineRule="exact"/>
        <w:rPr>
          <w:sz w:val="20"/>
          <w:szCs w:val="20"/>
          <w:color w:val="auto"/>
        </w:rPr>
      </w:pPr>
    </w:p>
    <w:p>
      <w:pPr>
        <w:ind w:firstLine="303"/>
        <w:spacing w:after="0" w:line="258" w:lineRule="auto"/>
        <w:rPr>
          <w:sz w:val="20"/>
          <w:szCs w:val="20"/>
          <w:color w:val="auto"/>
        </w:rPr>
      </w:pPr>
      <w:r>
        <w:rPr>
          <w:rFonts w:ascii="Arial" w:cs="Arial" w:eastAsia="Arial" w:hAnsi="Arial"/>
          <w:sz w:val="17"/>
          <w:szCs w:val="17"/>
          <w:color w:val="auto"/>
        </w:rPr>
        <w:t>We cannot predict whether investors will find our Class A common stock less attractive if we rely on these exemptions while we are an emerging growth company and smaller reporting company. If some investors find our Class A common stock less attractive as a result, there may be a less active trading market for our Class A common stock and our stock price may be more volatile.</w:t>
      </w:r>
    </w:p>
    <w:p>
      <w:pPr>
        <w:spacing w:after="0" w:line="126" w:lineRule="exact"/>
        <w:rPr>
          <w:sz w:val="20"/>
          <w:szCs w:val="20"/>
          <w:color w:val="auto"/>
        </w:rPr>
      </w:pPr>
    </w:p>
    <w:p>
      <w:pPr>
        <w:ind w:right="80" w:firstLine="303"/>
        <w:spacing w:after="0" w:line="295"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continue to incur significant increased costs and management resources as a result of operating as a public company.</w:t>
      </w:r>
    </w:p>
    <w:p>
      <w:pPr>
        <w:spacing w:after="0" w:line="158" w:lineRule="exact"/>
        <w:rPr>
          <w:sz w:val="20"/>
          <w:szCs w:val="20"/>
          <w:color w:val="auto"/>
        </w:rPr>
      </w:pPr>
    </w:p>
    <w:p>
      <w:pPr>
        <w:ind w:right="20" w:firstLine="303"/>
        <w:spacing w:after="0" w:line="276" w:lineRule="auto"/>
        <w:rPr>
          <w:sz w:val="20"/>
          <w:szCs w:val="20"/>
          <w:color w:val="auto"/>
        </w:rPr>
      </w:pPr>
      <w:r>
        <w:rPr>
          <w:rFonts w:ascii="Arial" w:cs="Arial" w:eastAsia="Arial" w:hAnsi="Arial"/>
          <w:sz w:val="16"/>
          <w:szCs w:val="16"/>
          <w:color w:val="auto"/>
        </w:rPr>
        <w:t>As a public company, we continue to incur significant legal, accounting, compliance and other expenses that we did not incur as a private company and these expenses may increase even more after we are no longer an “emerging growth company.” Our management and other personnel need to devote a substantial amount of time and incur significant expense in connection with compliance initiatives. As a public company, we continue to bear all of the internal and external costs of preparing and distributing periodic public reports in compliance with our obligations under the securities laws.</w:t>
      </w:r>
    </w:p>
    <w:p>
      <w:pPr>
        <w:spacing w:after="0" w:line="112" w:lineRule="exact"/>
        <w:rPr>
          <w:sz w:val="20"/>
          <w:szCs w:val="20"/>
          <w:color w:val="auto"/>
        </w:rPr>
      </w:pPr>
    </w:p>
    <w:p>
      <w:pPr>
        <w:ind w:right="180" w:firstLine="303"/>
        <w:spacing w:after="0" w:line="25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SOX, and the related rules and regulations implemented by the SEC and the Nasdaq Stock Market, LLC (Nasdaq) have increased legal and financial compliance costs and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62"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b w:val="1"/>
          <w:bCs w:val="1"/>
          <w:i w:val="1"/>
          <w:iCs w:val="1"/>
          <w:color w:val="auto"/>
        </w:rPr>
        <w:t>If our facilities or our third-party manufacturers’ facilities become unavailable or inoperable, our research and development program and commercialization launch plan could be adversely impacted and manufacturing of our instruments and consumables could be interrupted.</w:t>
      </w:r>
    </w:p>
    <w:p>
      <w:pPr>
        <w:spacing w:after="0" w:line="93" w:lineRule="exact"/>
        <w:rPr>
          <w:sz w:val="20"/>
          <w:szCs w:val="20"/>
          <w:color w:val="auto"/>
        </w:rPr>
      </w:pPr>
    </w:p>
    <w:p>
      <w:pPr>
        <w:ind w:right="340" w:firstLine="303"/>
        <w:spacing w:after="0" w:line="258" w:lineRule="auto"/>
        <w:rPr>
          <w:sz w:val="20"/>
          <w:szCs w:val="20"/>
          <w:color w:val="auto"/>
        </w:rPr>
      </w:pPr>
      <w:r>
        <w:rPr>
          <w:rFonts w:ascii="Arial" w:cs="Arial" w:eastAsia="Arial" w:hAnsi="Arial"/>
          <w:sz w:val="17"/>
          <w:szCs w:val="17"/>
          <w:color w:val="auto"/>
        </w:rPr>
        <w:t>Our Redwood City, California, facilities house our corporate, research and development, NP manufacturing and quality assurance teams. Our instruments are manufactured at our third-party manufacturer’s facilities in Nevada, and our consumables are manufactured at various locations in the United States and internationally.</w:t>
      </w:r>
    </w:p>
    <w:p>
      <w:pPr>
        <w:spacing w:after="0" w:line="126" w:lineRule="exact"/>
        <w:rPr>
          <w:sz w:val="20"/>
          <w:szCs w:val="20"/>
          <w:color w:val="auto"/>
        </w:rPr>
      </w:pPr>
    </w:p>
    <w:p>
      <w:pPr>
        <w:ind w:right="40" w:firstLine="303"/>
        <w:spacing w:after="0" w:line="286" w:lineRule="auto"/>
        <w:rPr>
          <w:sz w:val="20"/>
          <w:szCs w:val="20"/>
          <w:color w:val="auto"/>
        </w:rPr>
      </w:pPr>
      <w:r>
        <w:rPr>
          <w:rFonts w:ascii="Arial" w:cs="Arial" w:eastAsia="Arial" w:hAnsi="Arial"/>
          <w:sz w:val="15"/>
          <w:szCs w:val="15"/>
          <w:color w:val="auto"/>
        </w:rPr>
        <w:t>Our facilities in Redwood City and those of our third-party manufacturers are vulnerable to natural disasters, public health crises, including the impact of the COVID-19 pandemic, climate change and catastrophic events. For example, our Redwood City facilities are located near earthquake fault zones and are vulnerable to damage from earthquakes as well as other types of disasters, including fires, wildfires, floods, power loss, communications failures and similar events. If any disaster, public health crisis or catastrophic event were to occur, our ability to operate our business would be seriously, or potentially completely, impaired. If our facilities or our third-party manufacturer’s facilities become unavailable for any reason, we cannot provide assurances that we will be able to secure alternative manufacturing facilities with the necessary capabilities and equipment on acceptable terms, if at all. We may encounter particular difficulties in replacing our Redwood City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 Because our NPs are perishable and must be kept in temperature controlled storage, the loss of power to our facilities, mechanical or other issues with our storage facilities or other events that impact our temperature controlled storage could result in the loss of some or all of such NPs, and we may not be able to replace them without disruption to our customers or at all.</w:t>
      </w:r>
    </w:p>
    <w:p>
      <w:pPr>
        <w:spacing w:after="0" w:line="109" w:lineRule="exact"/>
        <w:rPr>
          <w:sz w:val="20"/>
          <w:szCs w:val="20"/>
          <w:color w:val="auto"/>
        </w:rPr>
      </w:pPr>
    </w:p>
    <w:p>
      <w:pPr>
        <w:ind w:right="20" w:firstLine="303"/>
        <w:spacing w:after="0" w:line="295" w:lineRule="auto"/>
        <w:rPr>
          <w:sz w:val="20"/>
          <w:szCs w:val="20"/>
          <w:color w:val="auto"/>
        </w:rPr>
      </w:pPr>
      <w:r>
        <w:rPr>
          <w:rFonts w:ascii="Arial" w:cs="Arial" w:eastAsia="Arial" w:hAnsi="Arial"/>
          <w:sz w:val="15"/>
          <w:szCs w:val="15"/>
          <w:color w:val="auto"/>
        </w:rPr>
        <w:t>If our research and development program or commercialization program were disrupted by a disaster or catastrophe, the launch of new products, including our Proteograph Product Suite, and the timing of improvements to our products could be significantly delayed and could adversely impact our ability to compete with other available products and solutions. If our or our third-party manufacturer’s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181" w:lineRule="exact"/>
        <w:rPr>
          <w:sz w:val="20"/>
          <w:szCs w:val="20"/>
          <w:color w:val="auto"/>
        </w:rPr>
      </w:pPr>
    </w:p>
    <w:p>
      <w:pPr>
        <w:ind w:firstLine="303"/>
        <w:spacing w:after="0" w:line="285" w:lineRule="auto"/>
        <w:rPr>
          <w:sz w:val="20"/>
          <w:szCs w:val="20"/>
          <w:color w:val="auto"/>
        </w:rPr>
      </w:pPr>
      <w:r>
        <w:rPr>
          <w:rFonts w:ascii="Arial" w:cs="Arial" w:eastAsia="Arial" w:hAnsi="Arial"/>
          <w:sz w:val="15"/>
          <w:szCs w:val="15"/>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(including denial of service, ransomware, and other 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49"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Moreover, it is possible that we may not be able to anticipate, detect, appropriately react and respond to, or implement effective preventative measures against, all cybersecurity incidents.</w:t>
      </w:r>
    </w:p>
    <w:p>
      <w:pPr>
        <w:spacing w:after="0" w:line="115"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19" w:lineRule="exact"/>
        <w:rPr>
          <w:sz w:val="20"/>
          <w:szCs w:val="20"/>
          <w:color w:val="auto"/>
        </w:rPr>
      </w:pPr>
    </w:p>
    <w:p>
      <w:pPr>
        <w:ind w:firstLine="303"/>
        <w:spacing w:after="0" w:line="283" w:lineRule="auto"/>
        <w:rPr>
          <w:sz w:val="20"/>
          <w:szCs w:val="20"/>
          <w:color w:val="auto"/>
        </w:rPr>
      </w:pPr>
      <w:r>
        <w:rPr>
          <w:rFonts w:ascii="Arial" w:cs="Arial" w:eastAsia="Arial" w:hAnsi="Arial"/>
          <w:sz w:val="15"/>
          <w:szCs w:val="15"/>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The CPRA will restrict use of certain categories of sensitive personal information that we may handle,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Similar laws have been proposed in other states and at the federal level, reflecting a trend toward more stringent data privacy and security legislation in the United States. For example, on March 2, 2021, Virginia enacted the Virginia Consumer Data Protection Act, or CDPA, which becomes effective on January 1, 2023, and on June 8, 2021, Colorado enacted the Colorado Privacy Act, or CPA, which takes effect on July 1, 2023. The CPA and CDPA share similarities with the CCPA, CPRA, and legislation proposed in other states. Aspects of these state privacy statutes remain unclear, resulting in further uncertainty and potentially requiring us to modify our data practices and policies and to incur substantial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Class A common stock.</w:t>
      </w:r>
    </w:p>
    <w:p>
      <w:pPr>
        <w:spacing w:after="0" w:line="321" w:lineRule="exact"/>
        <w:rPr>
          <w:sz w:val="20"/>
          <w:szCs w:val="20"/>
          <w:color w:val="auto"/>
        </w:rPr>
      </w:pPr>
    </w:p>
    <w:p>
      <w:pPr>
        <w:ind w:right="60" w:firstLine="303"/>
        <w:spacing w:after="0" w:line="253"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0" w:name="page81"/>
    <w:bookmarkEnd w:id="80"/>
    <w:p>
      <w:pPr>
        <w:spacing w:after="0" w:line="4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operations and prospects. Our insurance policies may not be adequate to compensate us for the potential costs and other losses arising from such disruptions, failures or security breaches. In addition, such insurance may not be available to us in the future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results of operations and prospects.</w:t>
      </w:r>
    </w:p>
    <w:p>
      <w:pPr>
        <w:spacing w:after="0" w:line="117" w:lineRule="exact"/>
        <w:rPr>
          <w:sz w:val="20"/>
          <w:szCs w:val="20"/>
          <w:color w:val="auto"/>
        </w:rPr>
      </w:pPr>
    </w:p>
    <w:p>
      <w:pPr>
        <w:ind w:right="200"/>
        <w:spacing w:after="0" w:line="309"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90" w:lineRule="exact"/>
        <w:rPr>
          <w:sz w:val="20"/>
          <w:szCs w:val="20"/>
          <w:color w:val="auto"/>
        </w:rPr>
      </w:pPr>
    </w:p>
    <w:p>
      <w:pPr>
        <w:ind w:right="180" w:firstLine="303"/>
        <w:spacing w:after="0" w:line="288" w:lineRule="auto"/>
        <w:rPr>
          <w:sz w:val="20"/>
          <w:szCs w:val="20"/>
          <w:color w:val="auto"/>
        </w:rPr>
      </w:pPr>
      <w:r>
        <w:rPr>
          <w:rFonts w:ascii="Arial" w:cs="Arial" w:eastAsia="Arial" w:hAnsi="Arial"/>
          <w:sz w:val="15"/>
          <w:szCs w:val="15"/>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 relating to data privacy and security in the jurisdictions in which we operate. We also may be subject to contractual obligations and may be, or may be asserted to be, subject to industry standards relating to privacy and data security.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09"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19" w:lineRule="exact"/>
        <w:rPr>
          <w:sz w:val="20"/>
          <w:szCs w:val="20"/>
          <w:color w:val="auto"/>
        </w:rPr>
      </w:pPr>
    </w:p>
    <w:p>
      <w:pPr>
        <w:ind w:right="60" w:firstLine="303"/>
        <w:spacing w:after="0" w:line="287" w:lineRule="auto"/>
        <w:rPr>
          <w:sz w:val="20"/>
          <w:szCs w:val="20"/>
          <w:color w:val="auto"/>
        </w:rPr>
      </w:pPr>
      <w:r>
        <w:rPr>
          <w:rFonts w:ascii="Arial" w:cs="Arial" w:eastAsia="Arial" w:hAnsi="Arial"/>
          <w:sz w:val="15"/>
          <w:szCs w:val="15"/>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49"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90" w:lineRule="exact"/>
        <w:rPr>
          <w:sz w:val="20"/>
          <w:szCs w:val="20"/>
          <w:color w:val="auto"/>
        </w:rPr>
      </w:pPr>
    </w:p>
    <w:p>
      <w:pPr>
        <w:ind w:firstLine="303"/>
        <w:spacing w:after="0" w:line="267" w:lineRule="auto"/>
        <w:rPr>
          <w:sz w:val="20"/>
          <w:szCs w:val="20"/>
          <w:color w:val="auto"/>
        </w:rPr>
      </w:pPr>
      <w:r>
        <w:rPr>
          <w:rFonts w:ascii="Arial" w:cs="Arial" w:eastAsia="Arial" w:hAnsi="Arial"/>
          <w:sz w:val="16"/>
          <w:szCs w:val="16"/>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 from Registered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 during the nine months ended September 30, 2021.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 from Public Offering of Common Stock</w:t>
      </w:r>
    </w:p>
    <w:p>
      <w:pPr>
        <w:spacing w:after="0" w:line="162" w:lineRule="exact"/>
        <w:rPr>
          <w:sz w:val="20"/>
          <w:szCs w:val="20"/>
          <w:color w:val="auto"/>
        </w:rPr>
      </w:pPr>
    </w:p>
    <w:p>
      <w:pPr>
        <w:ind w:right="40" w:firstLine="303"/>
        <w:spacing w:after="0" w:line="295" w:lineRule="auto"/>
        <w:rPr>
          <w:sz w:val="20"/>
          <w:szCs w:val="20"/>
          <w:color w:val="auto"/>
        </w:rPr>
      </w:pPr>
      <w:r>
        <w:rPr>
          <w:rFonts w:ascii="Arial" w:cs="Arial" w:eastAsia="Arial" w:hAnsi="Arial"/>
          <w:sz w:val="15"/>
          <w:szCs w:val="15"/>
          <w:color w:val="auto"/>
        </w:rPr>
        <w:t>On December 8, 2020, we closed our initial public offering, or IPO, of 10,592,106 shares of common stock (inclusive of 1,381,579 shares of common stock from the full exercise of the overallotment option of shares granted to the underwriters). The offer and sale of all of the shares in the initial public offering were registered under the Securities Act pursuant to a registration statement on Form S-1 (File Nos. 333-250035 and 333-251116), which was declared effective by the SEC on December 3, 2020. J.P. Morgan Securities LLC, Morgan Stanley &amp; Co. LLC, BofA Securities, Inc. and Cowen and Company, LLC acted as the underwriters. The public offering price of the shares sold in the offering was $19.00 per share. The total gross proceeds from the offering were $201.3 million.</w:t>
      </w:r>
    </w:p>
    <w:p>
      <w:pPr>
        <w:spacing w:after="0" w:line="100" w:lineRule="exact"/>
        <w:rPr>
          <w:sz w:val="20"/>
          <w:szCs w:val="20"/>
          <w:color w:val="auto"/>
        </w:rPr>
      </w:pPr>
    </w:p>
    <w:p>
      <w:pPr>
        <w:ind w:right="320" w:firstLine="303"/>
        <w:spacing w:after="0" w:line="270" w:lineRule="auto"/>
        <w:rPr>
          <w:sz w:val="20"/>
          <w:szCs w:val="20"/>
          <w:color w:val="auto"/>
        </w:rPr>
      </w:pPr>
      <w:r>
        <w:rPr>
          <w:rFonts w:ascii="Arial" w:cs="Arial" w:eastAsia="Arial" w:hAnsi="Arial"/>
          <w:sz w:val="17"/>
          <w:szCs w:val="17"/>
          <w:color w:val="auto"/>
        </w:rPr>
        <w:t>After deducting underwriting discounts and commissions of $14.1 million and offering expenses paid or payable by us of approximately $3.3 million, the net proceeds from the offering were approximately $183.9 million.</w:t>
      </w:r>
    </w:p>
    <w:p>
      <w:pPr>
        <w:spacing w:after="0" w:line="115"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There has been no material change in the planned use of proceeds from our IPO as described in our final IPO prospectus filed with the SEC on December 4, 2020 pursuant to rule 424(b) of the Securities Act. We invested the funds received in short-term and long-term, interest-bearing investment-grade securities and government securities.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2" w:name="page83"/>
    <w:bookmarkEnd w:id="82"/>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Exhibit Number</w:t>
            </w:r>
          </w:p>
        </w:tc>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80" w:type="dxa"/>
            <w:vAlign w:val="bottom"/>
            <w:gridSpan w:val="8"/>
          </w:tcPr>
          <w:p>
            <w:pPr>
              <w:ind w:left="440"/>
              <w:spacing w:after="0"/>
              <w:rPr>
                <w:sz w:val="20"/>
                <w:szCs w:val="20"/>
                <w:color w:val="auto"/>
              </w:rPr>
            </w:pPr>
            <w:r>
              <w:rPr>
                <w:rFonts w:ascii="Arial" w:cs="Arial" w:eastAsia="Arial" w:hAnsi="Arial"/>
                <w:sz w:val="13"/>
                <w:szCs w:val="13"/>
                <w:b w:val="1"/>
                <w:bCs w:val="1"/>
                <w:color w:val="auto"/>
              </w:rPr>
              <w:t>Description</w:t>
            </w:r>
          </w:p>
        </w:tc>
        <w:tc>
          <w:tcPr>
            <w:tcW w:w="1420" w:type="dxa"/>
            <w:vAlign w:val="bottom"/>
            <w:gridSpan w:val="2"/>
          </w:tcPr>
          <w:p>
            <w:pPr>
              <w:ind w:left="340"/>
              <w:spacing w:after="0"/>
              <w:rPr>
                <w:sz w:val="20"/>
                <w:szCs w:val="20"/>
                <w:color w:val="auto"/>
              </w:rPr>
            </w:pPr>
            <w:r>
              <w:rPr>
                <w:rFonts w:ascii="Arial" w:cs="Arial" w:eastAsia="Arial" w:hAnsi="Arial"/>
                <w:sz w:val="13"/>
                <w:szCs w:val="13"/>
                <w:b w:val="1"/>
                <w:bCs w:val="1"/>
                <w:color w:val="auto"/>
              </w:rPr>
              <w:t>Form</w:t>
            </w:r>
          </w:p>
        </w:tc>
        <w:tc>
          <w:tcPr>
            <w:tcW w:w="1740" w:type="dxa"/>
            <w:vAlign w:val="bottom"/>
            <w:gridSpan w:val="2"/>
          </w:tcPr>
          <w:p>
            <w:pPr>
              <w:ind w:left="580"/>
              <w:spacing w:after="0"/>
              <w:rPr>
                <w:sz w:val="20"/>
                <w:szCs w:val="20"/>
                <w:color w:val="auto"/>
              </w:rPr>
            </w:pPr>
            <w:r>
              <w:rPr>
                <w:rFonts w:ascii="Arial" w:cs="Arial" w:eastAsia="Arial" w:hAnsi="Arial"/>
                <w:sz w:val="13"/>
                <w:szCs w:val="13"/>
                <w:b w:val="1"/>
                <w:bCs w:val="1"/>
                <w:color w:val="auto"/>
              </w:rPr>
              <w:t>File No.</w:t>
            </w: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Exhibit</w:t>
            </w:r>
          </w:p>
        </w:tc>
        <w:tc>
          <w:tcPr>
            <w:tcW w:w="1640" w:type="dxa"/>
            <w:vAlign w:val="bottom"/>
          </w:tcPr>
          <w:p>
            <w:pPr>
              <w:ind w:left="500"/>
              <w:spacing w:after="0"/>
              <w:rPr>
                <w:sz w:val="20"/>
                <w:szCs w:val="20"/>
                <w:color w:val="auto"/>
              </w:rPr>
            </w:pPr>
            <w:r>
              <w:rPr>
                <w:rFonts w:ascii="Arial" w:cs="Arial" w:eastAsia="Arial" w:hAnsi="Arial"/>
                <w:sz w:val="13"/>
                <w:szCs w:val="13"/>
                <w:b w:val="1"/>
                <w:bCs w:val="1"/>
                <w:color w:val="auto"/>
              </w:rPr>
              <w:t>Filing Date</w:t>
            </w:r>
          </w:p>
        </w:tc>
      </w:tr>
      <w:tr>
        <w:trPr>
          <w:trHeight w:val="23"/>
        </w:trPr>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69"/>
        </w:trPr>
        <w:tc>
          <w:tcPr>
            <w:tcW w:w="1200" w:type="dxa"/>
            <w:vAlign w:val="bottom"/>
            <w:gridSpan w:val="2"/>
          </w:tcPr>
          <w:p>
            <w:pPr>
              <w:jc w:val="center"/>
              <w:ind w:right="80"/>
              <w:spacing w:after="0" w:line="169" w:lineRule="exact"/>
              <w:rPr>
                <w:sz w:val="20"/>
                <w:szCs w:val="20"/>
                <w:color w:val="auto"/>
              </w:rPr>
            </w:pPr>
            <w:r>
              <w:rPr>
                <w:rFonts w:ascii="Arial" w:cs="Arial" w:eastAsia="Arial" w:hAnsi="Arial"/>
                <w:sz w:val="16"/>
                <w:szCs w:val="16"/>
                <w:color w:val="auto"/>
                <w:w w:val="89"/>
              </w:rPr>
              <w:t>31.1†</w:t>
            </w:r>
          </w:p>
        </w:tc>
        <w:tc>
          <w:tcPr>
            <w:tcW w:w="20" w:type="dxa"/>
            <w:vAlign w:val="bottom"/>
          </w:tcPr>
          <w:p>
            <w:pPr>
              <w:spacing w:after="0"/>
              <w:rPr>
                <w:sz w:val="14"/>
                <w:szCs w:val="14"/>
                <w:color w:val="auto"/>
              </w:rPr>
            </w:pPr>
          </w:p>
        </w:tc>
        <w:tc>
          <w:tcPr>
            <w:tcW w:w="3940" w:type="dxa"/>
            <w:vAlign w:val="bottom"/>
            <w:tcBorders>
              <w:bottom w:val="single" w:sz="8" w:color="0000FF"/>
            </w:tcBorders>
            <w:gridSpan w:val="7"/>
          </w:tcPr>
          <w:p>
            <w:pPr>
              <w:spacing w:after="0" w:line="169" w:lineRule="exact"/>
              <w:rPr>
                <w:rFonts w:ascii="Arial" w:cs="Arial" w:eastAsia="Arial" w:hAnsi="Arial"/>
                <w:sz w:val="16"/>
                <w:szCs w:val="16"/>
                <w:color w:val="0000FF"/>
                <w:w w:val="92"/>
              </w:rPr>
            </w:pPr>
            <w:hyperlink w:anchor="page85">
              <w:r>
                <w:rPr>
                  <w:rFonts w:ascii="Arial" w:cs="Arial" w:eastAsia="Arial" w:hAnsi="Arial"/>
                  <w:sz w:val="16"/>
                  <w:szCs w:val="16"/>
                  <w:color w:val="0000FF"/>
                  <w:w w:val="92"/>
                </w:rPr>
                <w:t>Certification of Principal Executive Officer Pursuant to Rules</w:t>
              </w:r>
            </w:hyperlink>
          </w:p>
        </w:tc>
        <w:tc>
          <w:tcPr>
            <w:tcW w:w="360" w:type="dxa"/>
            <w:vAlign w:val="bottom"/>
            <w:gridSpan w:val="2"/>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bottom w:val="single" w:sz="8" w:color="0000FF"/>
            </w:tcBorders>
            <w:gridSpan w:val="8"/>
          </w:tcPr>
          <w:p>
            <w:pPr>
              <w:spacing w:after="0" w:line="169" w:lineRule="exact"/>
              <w:rPr>
                <w:rFonts w:ascii="Arial" w:cs="Arial" w:eastAsia="Arial" w:hAnsi="Arial"/>
                <w:sz w:val="16"/>
                <w:szCs w:val="16"/>
                <w:color w:val="0000FF"/>
                <w:w w:val="89"/>
              </w:rPr>
            </w:pPr>
            <w:hyperlink w:anchor="page85">
              <w:r>
                <w:rPr>
                  <w:rFonts w:ascii="Arial" w:cs="Arial" w:eastAsia="Arial" w:hAnsi="Arial"/>
                  <w:sz w:val="16"/>
                  <w:szCs w:val="16"/>
                  <w:color w:val="0000FF"/>
                  <w:w w:val="89"/>
                </w:rPr>
                <w:t>13a-14(a) and 15d-14(a) under the Securities Exchange Act of</w:t>
              </w:r>
            </w:hyperlink>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bottom w:val="single" w:sz="8" w:color="0000FF"/>
            </w:tcBorders>
            <w:gridSpan w:val="5"/>
          </w:tcPr>
          <w:p>
            <w:pPr>
              <w:spacing w:after="0" w:line="169" w:lineRule="exact"/>
              <w:rPr>
                <w:rFonts w:ascii="Arial" w:cs="Arial" w:eastAsia="Arial" w:hAnsi="Arial"/>
                <w:sz w:val="16"/>
                <w:szCs w:val="16"/>
                <w:color w:val="0000FF"/>
                <w:w w:val="88"/>
              </w:rPr>
            </w:pPr>
            <w:hyperlink w:anchor="page85">
              <w:r>
                <w:rPr>
                  <w:rFonts w:ascii="Arial" w:cs="Arial" w:eastAsia="Arial" w:hAnsi="Arial"/>
                  <w:sz w:val="16"/>
                  <w:szCs w:val="16"/>
                  <w:color w:val="0000FF"/>
                  <w:w w:val="88"/>
                </w:rPr>
                <w:t>1934, as Adopted Pursuant to Section 302 of the Sarbanes-</w:t>
              </w:r>
            </w:hyperlink>
          </w:p>
        </w:tc>
        <w:tc>
          <w:tcPr>
            <w:tcW w:w="540" w:type="dxa"/>
            <w:vAlign w:val="bottom"/>
            <w:gridSpan w:val="4"/>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gridSpan w:val="9"/>
          </w:tcPr>
          <w:p>
            <w:pPr>
              <w:spacing w:after="0" w:line="169" w:lineRule="exact"/>
              <w:rPr>
                <w:rFonts w:ascii="Arial" w:cs="Arial" w:eastAsia="Arial" w:hAnsi="Arial"/>
                <w:sz w:val="16"/>
                <w:szCs w:val="16"/>
                <w:color w:val="0000FF"/>
              </w:rPr>
            </w:pPr>
            <w:hyperlink w:anchor="page85">
              <w:r>
                <w:rPr>
                  <w:rFonts w:ascii="Arial" w:cs="Arial" w:eastAsia="Arial" w:hAnsi="Arial"/>
                  <w:sz w:val="16"/>
                  <w:szCs w:val="16"/>
                  <w:color w:val="0000FF"/>
                </w:rPr>
                <w:t>Oxley Act of 2002.</w:t>
              </w:r>
            </w:hyperlink>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31.2†</w:t>
            </w:r>
          </w:p>
        </w:tc>
        <w:tc>
          <w:tcPr>
            <w:tcW w:w="20" w:type="dxa"/>
            <w:vAlign w:val="bottom"/>
          </w:tcPr>
          <w:p>
            <w:pPr>
              <w:spacing w:after="0"/>
              <w:rPr>
                <w:sz w:val="24"/>
                <w:szCs w:val="24"/>
                <w:color w:val="auto"/>
              </w:rPr>
            </w:pPr>
          </w:p>
        </w:tc>
        <w:tc>
          <w:tcPr>
            <w:tcW w:w="4300" w:type="dxa"/>
            <w:vAlign w:val="bottom"/>
            <w:gridSpan w:val="9"/>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Certification of Principal Financial Officer Pursuant to Rules</w:t>
              </w:r>
            </w:hyperlink>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80" w:type="dxa"/>
            <w:vAlign w:val="bottom"/>
            <w:tcBorders>
              <w:bottom w:val="single" w:sz="8" w:color="0000FF"/>
            </w:tcBorders>
            <w:gridSpan w:val="8"/>
          </w:tcPr>
          <w:p>
            <w:pPr>
              <w:spacing w:after="0" w:line="169" w:lineRule="exact"/>
              <w:rPr>
                <w:rFonts w:ascii="Arial" w:cs="Arial" w:eastAsia="Arial" w:hAnsi="Arial"/>
                <w:sz w:val="16"/>
                <w:szCs w:val="16"/>
                <w:color w:val="0000FF"/>
                <w:w w:val="89"/>
              </w:rPr>
            </w:pPr>
            <w:hyperlink w:anchor="page87">
              <w:r>
                <w:rPr>
                  <w:rFonts w:ascii="Arial" w:cs="Arial" w:eastAsia="Arial" w:hAnsi="Arial"/>
                  <w:sz w:val="16"/>
                  <w:szCs w:val="16"/>
                  <w:color w:val="0000FF"/>
                  <w:w w:val="89"/>
                </w:rPr>
                <w:t>13a-14(a) and 15d-14(a) under the Securities Exchange Act of</w:t>
              </w:r>
            </w:hyperlink>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tcBorders>
              <w:bottom w:val="single" w:sz="8" w:color="0000FF"/>
            </w:tcBorders>
            <w:gridSpan w:val="5"/>
          </w:tcPr>
          <w:p>
            <w:pPr>
              <w:spacing w:after="0" w:line="169" w:lineRule="exact"/>
              <w:rPr>
                <w:rFonts w:ascii="Arial" w:cs="Arial" w:eastAsia="Arial" w:hAnsi="Arial"/>
                <w:sz w:val="16"/>
                <w:szCs w:val="16"/>
                <w:color w:val="0000FF"/>
                <w:w w:val="88"/>
              </w:rPr>
            </w:pPr>
            <w:hyperlink w:anchor="page87">
              <w:r>
                <w:rPr>
                  <w:rFonts w:ascii="Arial" w:cs="Arial" w:eastAsia="Arial" w:hAnsi="Arial"/>
                  <w:sz w:val="16"/>
                  <w:szCs w:val="16"/>
                  <w:color w:val="0000FF"/>
                  <w:w w:val="88"/>
                </w:rPr>
                <w:t>1934, as Adopted Pursuant to Section 302 of the Sarbanes-</w:t>
              </w:r>
            </w:hyperlink>
          </w:p>
        </w:tc>
        <w:tc>
          <w:tcPr>
            <w:tcW w:w="540" w:type="dxa"/>
            <w:vAlign w:val="bottom"/>
            <w:gridSpan w:val="4"/>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gridSpan w:val="9"/>
          </w:tcPr>
          <w:p>
            <w:pPr>
              <w:spacing w:after="0" w:line="169" w:lineRule="exact"/>
              <w:rPr>
                <w:rFonts w:ascii="Arial" w:cs="Arial" w:eastAsia="Arial" w:hAnsi="Arial"/>
                <w:sz w:val="16"/>
                <w:szCs w:val="16"/>
                <w:color w:val="0000FF"/>
              </w:rPr>
            </w:pPr>
            <w:hyperlink w:anchor="page87">
              <w:r>
                <w:rPr>
                  <w:rFonts w:ascii="Arial" w:cs="Arial" w:eastAsia="Arial" w:hAnsi="Arial"/>
                  <w:sz w:val="16"/>
                  <w:szCs w:val="16"/>
                  <w:color w:val="0000FF"/>
                </w:rPr>
                <w:t>Oxley Act of 2002.</w:t>
              </w:r>
            </w:hyperlink>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32.1†</w:t>
            </w:r>
          </w:p>
        </w:tc>
        <w:tc>
          <w:tcPr>
            <w:tcW w:w="20" w:type="dxa"/>
            <w:vAlign w:val="bottom"/>
          </w:tcPr>
          <w:p>
            <w:pPr>
              <w:spacing w:after="0"/>
              <w:rPr>
                <w:sz w:val="24"/>
                <w:szCs w:val="24"/>
                <w:color w:val="auto"/>
              </w:rPr>
            </w:pPr>
          </w:p>
        </w:tc>
        <w:tc>
          <w:tcPr>
            <w:tcW w:w="4300" w:type="dxa"/>
            <w:vAlign w:val="bottom"/>
            <w:gridSpan w:val="9"/>
          </w:tcPr>
          <w:p>
            <w:pPr>
              <w:spacing w:after="0"/>
              <w:rPr>
                <w:rFonts w:ascii="Arial" w:cs="Arial" w:eastAsia="Arial" w:hAnsi="Arial"/>
                <w:sz w:val="16"/>
                <w:szCs w:val="16"/>
                <w:color w:val="0000FF"/>
              </w:rPr>
            </w:pPr>
            <w:hyperlink w:anchor="page89">
              <w:r>
                <w:rPr>
                  <w:rFonts w:ascii="Arial" w:cs="Arial" w:eastAsia="Arial" w:hAnsi="Arial"/>
                  <w:sz w:val="16"/>
                  <w:szCs w:val="16"/>
                  <w:color w:val="0000FF"/>
                </w:rPr>
                <w:t>Certification of Principal Executive Officer Pursuant to 18</w:t>
              </w:r>
            </w:hyperlink>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bottom w:val="single" w:sz="8" w:color="0000FF"/>
            </w:tcBorders>
            <w:gridSpan w:val="6"/>
          </w:tcPr>
          <w:p>
            <w:pPr>
              <w:spacing w:after="0" w:line="169" w:lineRule="exact"/>
              <w:rPr>
                <w:rFonts w:ascii="Arial" w:cs="Arial" w:eastAsia="Arial" w:hAnsi="Arial"/>
                <w:sz w:val="16"/>
                <w:szCs w:val="16"/>
                <w:color w:val="0000FF"/>
                <w:w w:val="89"/>
              </w:rPr>
            </w:pPr>
            <w:hyperlink w:anchor="page89">
              <w:r>
                <w:rPr>
                  <w:rFonts w:ascii="Arial" w:cs="Arial" w:eastAsia="Arial" w:hAnsi="Arial"/>
                  <w:sz w:val="16"/>
                  <w:szCs w:val="16"/>
                  <w:color w:val="0000FF"/>
                  <w:w w:val="89"/>
                </w:rPr>
                <w:t>U.S.C. Section 1350, as Adopted Pursuant to Section 906 of</w:t>
              </w:r>
            </w:hyperlink>
          </w:p>
        </w:tc>
        <w:tc>
          <w:tcPr>
            <w:tcW w:w="4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tcBorders>
              <w:bottom w:val="single" w:sz="8" w:color="0000FF"/>
            </w:tcBorders>
            <w:gridSpan w:val="3"/>
          </w:tcPr>
          <w:p>
            <w:pPr>
              <w:spacing w:after="0" w:line="169" w:lineRule="exact"/>
              <w:rPr>
                <w:rFonts w:ascii="Arial" w:cs="Arial" w:eastAsia="Arial" w:hAnsi="Arial"/>
                <w:sz w:val="16"/>
                <w:szCs w:val="16"/>
                <w:color w:val="0000FF"/>
                <w:w w:val="90"/>
              </w:rPr>
            </w:pPr>
            <w:hyperlink w:anchor="page89">
              <w:r>
                <w:rPr>
                  <w:rFonts w:ascii="Arial" w:cs="Arial" w:eastAsia="Arial" w:hAnsi="Arial"/>
                  <w:sz w:val="16"/>
                  <w:szCs w:val="16"/>
                  <w:color w:val="0000FF"/>
                  <w:w w:val="90"/>
                </w:rPr>
                <w:t>the Sarbanes-Oxley Act of 2002.</w:t>
              </w:r>
            </w:hyperlink>
          </w:p>
        </w:tc>
        <w:tc>
          <w:tcPr>
            <w:tcW w:w="2180" w:type="dxa"/>
            <w:vAlign w:val="bottom"/>
            <w:gridSpan w:val="6"/>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21"/>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32.2†</w:t>
            </w:r>
          </w:p>
        </w:tc>
        <w:tc>
          <w:tcPr>
            <w:tcW w:w="20" w:type="dxa"/>
            <w:vAlign w:val="bottom"/>
          </w:tcPr>
          <w:p>
            <w:pPr>
              <w:spacing w:after="0"/>
              <w:rPr>
                <w:sz w:val="24"/>
                <w:szCs w:val="24"/>
                <w:color w:val="auto"/>
              </w:rPr>
            </w:pPr>
          </w:p>
        </w:tc>
        <w:tc>
          <w:tcPr>
            <w:tcW w:w="4300" w:type="dxa"/>
            <w:vAlign w:val="bottom"/>
            <w:gridSpan w:val="9"/>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Certification of Principal Financial Officer Pursuant to 18</w:t>
              </w:r>
            </w:hyperlink>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bottom w:val="single" w:sz="8" w:color="0000FF"/>
            </w:tcBorders>
            <w:gridSpan w:val="6"/>
          </w:tcPr>
          <w:p>
            <w:pPr>
              <w:spacing w:after="0" w:line="169" w:lineRule="exact"/>
              <w:rPr>
                <w:rFonts w:ascii="Arial" w:cs="Arial" w:eastAsia="Arial" w:hAnsi="Arial"/>
                <w:sz w:val="16"/>
                <w:szCs w:val="16"/>
                <w:color w:val="0000FF"/>
                <w:w w:val="89"/>
              </w:rPr>
            </w:pPr>
            <w:hyperlink w:anchor="page90">
              <w:r>
                <w:rPr>
                  <w:rFonts w:ascii="Arial" w:cs="Arial" w:eastAsia="Arial" w:hAnsi="Arial"/>
                  <w:sz w:val="16"/>
                  <w:szCs w:val="16"/>
                  <w:color w:val="0000FF"/>
                  <w:w w:val="89"/>
                </w:rPr>
                <w:t>U.S.C. Section 1350, as Adopted Pursuant to Section 906 of</w:t>
              </w:r>
            </w:hyperlink>
          </w:p>
        </w:tc>
        <w:tc>
          <w:tcPr>
            <w:tcW w:w="420" w:type="dxa"/>
            <w:vAlign w:val="bottom"/>
            <w:gridSpan w:val="3"/>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9"/>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Borders>
              <w:bottom w:val="single" w:sz="8" w:color="0000FF"/>
            </w:tcBorders>
            <w:gridSpan w:val="2"/>
          </w:tcPr>
          <w:p>
            <w:pPr>
              <w:spacing w:after="0" w:line="169" w:lineRule="exact"/>
              <w:rPr>
                <w:rFonts w:ascii="Arial" w:cs="Arial" w:eastAsia="Arial" w:hAnsi="Arial"/>
                <w:sz w:val="16"/>
                <w:szCs w:val="16"/>
                <w:color w:val="0000FF"/>
                <w:w w:val="89"/>
              </w:rPr>
            </w:pPr>
            <w:hyperlink w:anchor="page90">
              <w:r>
                <w:rPr>
                  <w:rFonts w:ascii="Arial" w:cs="Arial" w:eastAsia="Arial" w:hAnsi="Arial"/>
                  <w:sz w:val="16"/>
                  <w:szCs w:val="16"/>
                  <w:color w:val="0000FF"/>
                  <w:w w:val="89"/>
                </w:rPr>
                <w:t>the Sarbanes-Oxley Act of 2002.</w:t>
              </w:r>
            </w:hyperlink>
          </w:p>
        </w:tc>
        <w:tc>
          <w:tcPr>
            <w:tcW w:w="2200" w:type="dxa"/>
            <w:vAlign w:val="bottom"/>
            <w:gridSpan w:val="7"/>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457"/>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24"/>
                <w:szCs w:val="24"/>
                <w:color w:val="auto"/>
              </w:rPr>
            </w:pPr>
          </w:p>
        </w:tc>
        <w:tc>
          <w:tcPr>
            <w:tcW w:w="4300" w:type="dxa"/>
            <w:vAlign w:val="bottom"/>
            <w:gridSpan w:val="9"/>
          </w:tcPr>
          <w:p>
            <w:pPr>
              <w:spacing w:after="0"/>
              <w:rPr>
                <w:sz w:val="20"/>
                <w:szCs w:val="20"/>
                <w:color w:val="auto"/>
              </w:rPr>
            </w:pPr>
            <w:r>
              <w:rPr>
                <w:rFonts w:ascii="Arial" w:cs="Arial" w:eastAsia="Arial" w:hAnsi="Arial"/>
                <w:sz w:val="16"/>
                <w:szCs w:val="16"/>
                <w:color w:val="auto"/>
              </w:rPr>
              <w:t>XBRL Instance Document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30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24"/>
                <w:szCs w:val="24"/>
                <w:color w:val="auto"/>
              </w:rPr>
            </w:pPr>
          </w:p>
        </w:tc>
        <w:tc>
          <w:tcPr>
            <w:tcW w:w="430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0"/>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101.DEF</w:t>
            </w:r>
          </w:p>
        </w:tc>
        <w:tc>
          <w:tcPr>
            <w:tcW w:w="20" w:type="dxa"/>
            <w:vAlign w:val="bottom"/>
          </w:tcPr>
          <w:p>
            <w:pPr>
              <w:spacing w:after="0"/>
              <w:rPr>
                <w:sz w:val="24"/>
                <w:szCs w:val="24"/>
                <w:color w:val="auto"/>
              </w:rPr>
            </w:pPr>
          </w:p>
        </w:tc>
        <w:tc>
          <w:tcPr>
            <w:tcW w:w="430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0"/>
        </w:trPr>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101.LAB</w:t>
            </w:r>
          </w:p>
        </w:tc>
        <w:tc>
          <w:tcPr>
            <w:tcW w:w="20" w:type="dxa"/>
            <w:vAlign w:val="bottom"/>
          </w:tcPr>
          <w:p>
            <w:pPr>
              <w:spacing w:after="0"/>
              <w:rPr>
                <w:sz w:val="24"/>
                <w:szCs w:val="24"/>
                <w:color w:val="auto"/>
              </w:rPr>
            </w:pPr>
          </w:p>
        </w:tc>
        <w:tc>
          <w:tcPr>
            <w:tcW w:w="430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0"/>
        </w:trPr>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4300" w:type="dxa"/>
            <w:vAlign w:val="bottom"/>
            <w:gridSpan w:val="9"/>
          </w:tcPr>
          <w:p>
            <w:pPr>
              <w:spacing w:after="0"/>
              <w:rPr>
                <w:sz w:val="20"/>
                <w:szCs w:val="20"/>
                <w:color w:val="auto"/>
              </w:rPr>
            </w:pPr>
            <w:r>
              <w:rPr>
                <w:rFonts w:ascii="Arial" w:cs="Arial" w:eastAsia="Arial" w:hAnsi="Arial"/>
                <w:sz w:val="16"/>
                <w:szCs w:val="16"/>
                <w:color w:val="auto"/>
                <w:w w:val="98"/>
              </w:rPr>
              <w:t>XBRL Taxonomy Extension Presentation Linkbase Document</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12" w:lineRule="exact"/>
        <w:rPr>
          <w:sz w:val="20"/>
          <w:szCs w:val="20"/>
          <w:color w:val="auto"/>
        </w:rPr>
      </w:pPr>
    </w:p>
    <w:p>
      <w:pPr>
        <w:ind w:left="300" w:right="20" w:hanging="299"/>
        <w:spacing w:after="0" w:line="251" w:lineRule="auto"/>
        <w:tabs>
          <w:tab w:leader="none" w:pos="98"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certifications attached as Exhibit 31.1, 31.2,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159385</wp:posOffset>
            </wp:positionV>
            <wp:extent cx="716661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6610" cy="412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45"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SIGNATURES</w:t>
      </w:r>
    </w:p>
    <w:p>
      <w:pPr>
        <w:spacing w:after="0" w:line="162" w:lineRule="exact"/>
        <w:rPr>
          <w:sz w:val="20"/>
          <w:szCs w:val="20"/>
          <w:color w:val="auto"/>
        </w:rPr>
      </w:pPr>
    </w:p>
    <w:p>
      <w:pPr>
        <w:ind w:firstLine="303"/>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SEER, INC.</w:t>
      </w:r>
    </w:p>
    <w:p>
      <w:pPr>
        <w:spacing w:after="0" w:line="313" w:lineRule="exact"/>
        <w:rPr>
          <w:sz w:val="20"/>
          <w:szCs w:val="20"/>
          <w:color w:val="auto"/>
        </w:rPr>
      </w:pPr>
    </w:p>
    <w:p>
      <w:pPr>
        <w:ind w:left="20"/>
        <w:spacing w:after="0"/>
        <w:tabs>
          <w:tab w:leader="none" w:pos="5820" w:val="left"/>
          <w:tab w:leader="none" w:pos="6420" w:val="left"/>
        </w:tabs>
        <w:rPr>
          <w:sz w:val="20"/>
          <w:szCs w:val="20"/>
          <w:color w:val="auto"/>
        </w:rPr>
      </w:pPr>
      <w:r>
        <w:rPr>
          <w:rFonts w:ascii="Arial" w:cs="Arial" w:eastAsia="Arial" w:hAnsi="Arial"/>
          <w:sz w:val="17"/>
          <w:szCs w:val="17"/>
          <w:color w:val="auto"/>
        </w:rPr>
        <w:t>Date: November 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27940</wp:posOffset>
            </wp:positionV>
            <wp:extent cx="30664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49"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Omid Farokhzad, M.D.</w:t>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Executive Officer and</w:t>
      </w:r>
    </w:p>
    <w:p>
      <w:pPr>
        <w:spacing w:after="0" w:line="18"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Chair of the Board of Directors</w:t>
      </w:r>
    </w:p>
    <w:p>
      <w:pPr>
        <w:spacing w:after="0" w:line="45"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820" w:val="left"/>
          <w:tab w:leader="none" w:pos="6420" w:val="left"/>
        </w:tabs>
        <w:rPr>
          <w:sz w:val="20"/>
          <w:szCs w:val="20"/>
          <w:color w:val="auto"/>
        </w:rPr>
      </w:pPr>
      <w:r>
        <w:rPr>
          <w:rFonts w:ascii="Arial" w:cs="Arial" w:eastAsia="Arial" w:hAnsi="Arial"/>
          <w:sz w:val="17"/>
          <w:szCs w:val="17"/>
          <w:color w:val="auto"/>
        </w:rPr>
        <w:t>Date: November 9,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4075430</wp:posOffset>
            </wp:positionH>
            <wp:positionV relativeFrom="paragraph">
              <wp:posOffset>27940</wp:posOffset>
            </wp:positionV>
            <wp:extent cx="30664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49"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David R. Horn</w:t>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 Officer</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760"/>
          </w:cols>
          <w:pgMar w:left="320" w:top="1440" w:right="81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 Omid Farokhzad, certify that:</w:t>
      </w:r>
    </w:p>
    <w:p>
      <w:pPr>
        <w:spacing w:after="0" w:line="233" w:lineRule="exact"/>
        <w:rPr>
          <w:sz w:val="20"/>
          <w:szCs w:val="20"/>
          <w:color w:val="auto"/>
        </w:rPr>
      </w:pPr>
    </w:p>
    <w:p>
      <w:pPr>
        <w:ind w:left="600" w:hanging="297"/>
        <w:spacing w:after="0"/>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33" w:lineRule="exact"/>
        <w:rPr>
          <w:rFonts w:ascii="Arial" w:cs="Arial" w:eastAsia="Arial" w:hAnsi="Arial"/>
          <w:sz w:val="17"/>
          <w:szCs w:val="17"/>
          <w:color w:val="auto"/>
        </w:rPr>
      </w:pPr>
    </w:p>
    <w:p>
      <w:pPr>
        <w:ind w:left="600" w:right="100" w:hanging="297"/>
        <w:spacing w:after="0" w:line="338" w:lineRule="auto"/>
        <w:tabs>
          <w:tab w:leader="none" w:pos="6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5"/>
          <w:szCs w:val="15"/>
          <w:color w:val="auto"/>
        </w:rPr>
      </w:pPr>
    </w:p>
    <w:p>
      <w:pPr>
        <w:ind w:left="600" w:right="200" w:hanging="297"/>
        <w:spacing w:after="0" w:line="270" w:lineRule="auto"/>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900" w:right="20" w:hanging="294"/>
        <w:spacing w:after="0" w:line="258" w:lineRule="auto"/>
        <w:tabs>
          <w:tab w:leader="none" w:pos="897"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900" w:right="140" w:hanging="294"/>
        <w:spacing w:after="0" w:line="258" w:lineRule="auto"/>
        <w:tabs>
          <w:tab w:leader="none" w:pos="894"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900" w:right="180" w:hanging="294"/>
        <w:spacing w:after="0" w:line="301" w:lineRule="auto"/>
        <w:tabs>
          <w:tab w:leader="none" w:pos="897"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900" w:right="220" w:hanging="294"/>
        <w:spacing w:after="0" w:line="258" w:lineRule="auto"/>
        <w:tabs>
          <w:tab w:leader="none" w:pos="894"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600" w:right="760" w:hanging="297"/>
        <w:spacing w:after="0" w:line="301"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900" w:right="120" w:hanging="294"/>
        <w:spacing w:after="0" w:line="270" w:lineRule="auto"/>
        <w:tabs>
          <w:tab w:leader="none" w:pos="897"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Arial" w:cs="Arial" w:eastAsia="Arial" w:hAnsi="Arial"/>
          <w:sz w:val="17"/>
          <w:szCs w:val="17"/>
          <w:color w:val="auto"/>
        </w:rPr>
      </w:pPr>
    </w:p>
    <w:p>
      <w:pPr>
        <w:ind w:left="900" w:right="340" w:hanging="294"/>
        <w:spacing w:after="0" w:line="270" w:lineRule="auto"/>
        <w:tabs>
          <w:tab w:leader="none" w:pos="894"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57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Ex. 31.1</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4554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Omid Farokhzad</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Chief Executive Officer and Chair of the Board of Directors</w:t>
      </w:r>
    </w:p>
    <w:p>
      <w:pPr>
        <w:spacing w:after="0" w:line="29"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139"/>
          </w:cols>
          <w:pgMar w:left="320" w:top="577" w:right="1440"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7"/>
          <w:szCs w:val="17"/>
          <w:b w:val="1"/>
          <w:bCs w:val="1"/>
          <w:color w:val="auto"/>
        </w:rPr>
        <w:t>CERTIFICATION PURSUANT TO RULES 13a-14(a) AND 15d-14(a) UNDER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I, David Horn, certify that:</w:t>
      </w:r>
    </w:p>
    <w:p>
      <w:pPr>
        <w:spacing w:after="0" w:line="233" w:lineRule="exact"/>
        <w:rPr>
          <w:sz w:val="20"/>
          <w:szCs w:val="20"/>
          <w:color w:val="auto"/>
        </w:rPr>
      </w:pPr>
    </w:p>
    <w:p>
      <w:pPr>
        <w:ind w:left="600" w:hanging="297"/>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Seer, Inc.;</w:t>
      </w:r>
    </w:p>
    <w:p>
      <w:pPr>
        <w:spacing w:after="0" w:line="233" w:lineRule="exact"/>
        <w:rPr>
          <w:rFonts w:ascii="Arial" w:cs="Arial" w:eastAsia="Arial" w:hAnsi="Arial"/>
          <w:sz w:val="17"/>
          <w:szCs w:val="17"/>
          <w:color w:val="auto"/>
        </w:rPr>
      </w:pPr>
    </w:p>
    <w:p>
      <w:pPr>
        <w:ind w:left="600" w:right="100" w:hanging="297"/>
        <w:spacing w:after="0" w:line="338" w:lineRule="auto"/>
        <w:tabs>
          <w:tab w:leader="none" w:pos="6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5"/>
          <w:szCs w:val="15"/>
          <w:color w:val="auto"/>
        </w:rPr>
      </w:pPr>
    </w:p>
    <w:p>
      <w:pPr>
        <w:ind w:left="600" w:right="200" w:hanging="297"/>
        <w:spacing w:after="0" w:line="270"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jc w:val="both"/>
        <w:ind w:left="600" w:hanging="297"/>
        <w:spacing w:after="0" w:line="258" w:lineRule="auto"/>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900" w:right="20" w:hanging="294"/>
        <w:spacing w:after="0" w:line="258" w:lineRule="auto"/>
        <w:tabs>
          <w:tab w:leader="none" w:pos="897"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900" w:right="140" w:hanging="294"/>
        <w:spacing w:after="0" w:line="258" w:lineRule="auto"/>
        <w:tabs>
          <w:tab w:leader="none" w:pos="89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900" w:right="180" w:hanging="294"/>
        <w:spacing w:after="0" w:line="301" w:lineRule="auto"/>
        <w:tabs>
          <w:tab w:leader="none" w:pos="8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900" w:right="220" w:hanging="294"/>
        <w:spacing w:after="0" w:line="258" w:lineRule="auto"/>
        <w:tabs>
          <w:tab w:leader="none" w:pos="894"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600" w:right="760" w:hanging="297"/>
        <w:spacing w:after="0" w:line="270"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120" w:hanging="294"/>
        <w:spacing w:after="0" w:line="255" w:lineRule="auto"/>
        <w:tabs>
          <w:tab w:leader="none" w:pos="897"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7"/>
          <w:szCs w:val="17"/>
          <w:color w:val="auto"/>
        </w:rPr>
      </w:pPr>
    </w:p>
    <w:p>
      <w:pPr>
        <w:ind w:left="900" w:right="340" w:hanging="294"/>
        <w:spacing w:after="0" w:line="270" w:lineRule="auto"/>
        <w:tabs>
          <w:tab w:leader="none" w:pos="894"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57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Ex. 31.2</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2420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David Horn</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(Principal Financial and Accounting Officer)</w:t>
      </w:r>
    </w:p>
    <w:p>
      <w:pPr>
        <w:sectPr>
          <w:pgSz w:w="11900" w:h="16838" w:orient="portrait"/>
          <w:cols w:equalWidth="0" w:num="1">
            <w:col w:w="10139"/>
          </w:cols>
          <w:pgMar w:left="320" w:top="577" w:right="1440"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Ex. 32.1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CERTIFICATION OF PRINCIPAL EXECUTIVE OFFICER PURSUANT TO 18 U.S.C. SECTION 1350, AS ADOPTED PURSUANT TO SECTION 906 OF THE SARBANES-OXLEY ACT OF 2002</w:t>
      </w:r>
    </w:p>
    <w:p>
      <w:pPr>
        <w:spacing w:after="0" w:line="186" w:lineRule="exact"/>
        <w:rPr>
          <w:sz w:val="20"/>
          <w:szCs w:val="20"/>
          <w:color w:val="auto"/>
        </w:rPr>
      </w:pPr>
    </w:p>
    <w:p>
      <w:pPr>
        <w:jc w:val="both"/>
        <w:ind w:right="400"/>
        <w:spacing w:after="0" w:line="258" w:lineRule="auto"/>
        <w:rPr>
          <w:sz w:val="20"/>
          <w:szCs w:val="20"/>
          <w:color w:val="auto"/>
        </w:rPr>
      </w:pPr>
      <w:r>
        <w:rPr>
          <w:rFonts w:ascii="Arial" w:cs="Arial" w:eastAsia="Arial" w:hAnsi="Arial"/>
          <w:sz w:val="17"/>
          <w:szCs w:val="17"/>
          <w:color w:val="auto"/>
        </w:rPr>
        <w:t>In connection with the Quarterly Report of Seer, Inc. (the “Company”) on Form 10-Q for the period ended September 30, 2021 as filed with the Securities and Exchange Commission on the date hereof (the “Report”), I, Omid Farokhzad, hereby certify, pursuant to 18 U.S.C. § 1350, as adopted pursuant to § 906 of the Sarbanes-Oxley Act of 2002, that:</w:t>
      </w:r>
    </w:p>
    <w:p>
      <w:pPr>
        <w:spacing w:after="0" w:line="202" w:lineRule="exact"/>
        <w:rPr>
          <w:sz w:val="20"/>
          <w:szCs w:val="20"/>
          <w:color w:val="auto"/>
        </w:rPr>
      </w:pPr>
    </w:p>
    <w:p>
      <w:pPr>
        <w:ind w:left="600" w:hanging="297"/>
        <w:spacing w:after="0"/>
        <w:tabs>
          <w:tab w:leader="none" w:pos="6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3" w:lineRule="exact"/>
        <w:rPr>
          <w:rFonts w:ascii="Arial" w:cs="Arial" w:eastAsia="Arial" w:hAnsi="Arial"/>
          <w:sz w:val="17"/>
          <w:szCs w:val="17"/>
          <w:color w:val="auto"/>
        </w:rPr>
      </w:pPr>
    </w:p>
    <w:p>
      <w:pPr>
        <w:ind w:left="600" w:hanging="297"/>
        <w:spacing w:after="0"/>
        <w:tabs>
          <w:tab w:leader="none" w:pos="6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4554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5542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Omid Farokhzad</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Executive Officer and Chair of the Board of Directors</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060"/>
          </w:cols>
          <w:pgMar w:left="320" w:top="350" w:right="51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Ex. 32.2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color w:val="auto"/>
        </w:rPr>
        <w:t>CERTIFICATION OF PRINCIPAL FINANCIAL OFFICER PURSUANT TO 18 U.S.C. SECTION 1350, AS ADOPTED PURSUANT TO SECTION 906 OF THE SARBANES-OXLEY ACT OF 2002</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connection with the Quarterly Report of Seer, Inc. (the “Company”) on Form 10-Q for the period ended September 30, 2021 as filed with the Securities and Exchange Commission on the date hereof (the “Report”), I, David Horn, hereby certify, pursuant to 18 U.S.C. § 1350, as adopted pursuant to § 906 of the Sarbanes-Oxley Act of 2002, that:</w:t>
      </w:r>
    </w:p>
    <w:p>
      <w:pPr>
        <w:spacing w:after="0" w:line="202" w:lineRule="exact"/>
        <w:rPr>
          <w:sz w:val="20"/>
          <w:szCs w:val="20"/>
          <w:color w:val="auto"/>
        </w:rPr>
      </w:pPr>
    </w:p>
    <w:p>
      <w:pPr>
        <w:ind w:left="600" w:hanging="297"/>
        <w:spacing w:after="0"/>
        <w:tabs>
          <w:tab w:leader="none" w:pos="6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3" w:lineRule="exact"/>
        <w:rPr>
          <w:rFonts w:ascii="Arial" w:cs="Arial" w:eastAsia="Arial" w:hAnsi="Arial"/>
          <w:sz w:val="17"/>
          <w:szCs w:val="17"/>
          <w:color w:val="auto"/>
        </w:rPr>
      </w:pPr>
    </w:p>
    <w:p>
      <w:pPr>
        <w:ind w:left="600" w:hanging="297"/>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Date: November 9, 2021</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By: /s/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2786380</wp:posOffset>
            </wp:positionH>
            <wp:positionV relativeFrom="paragraph">
              <wp:posOffset>-19050</wp:posOffset>
            </wp:positionV>
            <wp:extent cx="12420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7"/>
          <w:szCs w:val="17"/>
          <w:color w:val="auto"/>
        </w:rPr>
        <w:t>David Horn</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(Principal Financial Officer and Accounting Officer)</w:t>
      </w:r>
    </w:p>
    <w:sectPr>
      <w:pgSz w:w="11900" w:h="16838" w:orient="portrait"/>
      <w:cols w:equalWidth="0" w:num="1">
        <w:col w:w="11040"/>
      </w:cols>
      <w:pgMar w:left="320" w:top="35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2"/>
    </w:lvl>
  </w:abstractNum>
  <w:abstractNum w:abstractNumId="3">
    <w:nsid w:val="79838CB2"/>
    <w:multiLevelType w:val="hybridMultilevel"/>
    <w:lvl w:ilvl="0">
      <w:lvlJc w:val="left"/>
      <w:lvlText w:val="%1."/>
      <w:numFmt w:val="decimal"/>
      <w:start w:val="3"/>
    </w:lvl>
  </w:abstractNum>
  <w:abstractNum w:abstractNumId="4">
    <w:nsid w:val="4353D0CD"/>
    <w:multiLevelType w:val="hybridMultilevel"/>
    <w:lvl w:ilvl="0">
      <w:lvlJc w:val="left"/>
      <w:lvlText w:val="%1."/>
      <w:numFmt w:val="decimal"/>
      <w:start w:val="5"/>
    </w:lvl>
  </w:abstractNum>
  <w:abstractNum w:abstractNumId="5">
    <w:nsid w:val="B03E0C6"/>
    <w:multiLevelType w:val="hybridMultilevel"/>
    <w:lvl w:ilvl="0">
      <w:lvlJc w:val="left"/>
      <w:lvlText w:val="%1."/>
      <w:numFmt w:val="decimal"/>
      <w:start w:val="6"/>
    </w:lvl>
  </w:abstractNum>
  <w:abstractNum w:abstractNumId="6">
    <w:nsid w:val="189A769B"/>
    <w:multiLevelType w:val="hybridMultilevel"/>
    <w:lvl w:ilvl="0">
      <w:lvlJc w:val="left"/>
      <w:lvlText w:val="%1."/>
      <w:numFmt w:val="decimal"/>
      <w:start w:val="7"/>
    </w:lvl>
  </w:abstractNum>
  <w:abstractNum w:abstractNumId="7">
    <w:nsid w:val="54E49EB4"/>
    <w:multiLevelType w:val="hybridMultilevel"/>
    <w:lvl w:ilvl="0">
      <w:lvlJc w:val="left"/>
      <w:lvlText w:val="%1."/>
      <w:numFmt w:val="decimal"/>
      <w:start w:val="8"/>
    </w:lvl>
  </w:abstractNum>
  <w:abstractNum w:abstractNumId="8">
    <w:nsid w:val="71F32454"/>
    <w:multiLevelType w:val="hybridMultilevel"/>
    <w:lvl w:ilvl="0">
      <w:lvlJc w:val="left"/>
      <w:lvlText w:val="%1."/>
      <w:numFmt w:val="decimal"/>
      <w:start w:val="9"/>
    </w:lvl>
  </w:abstractNum>
  <w:abstractNum w:abstractNumId="9">
    <w:nsid w:val="2CA88611"/>
    <w:multiLevelType w:val="hybridMultilevel"/>
    <w:lvl w:ilvl="0">
      <w:lvlJc w:val="left"/>
      <w:lvlText w:val="%1."/>
      <w:numFmt w:val="decimal"/>
      <w:start w:val="10"/>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2021-11-09T16:46:13Z</dcterms:created>
  <dcterms:modified xsi:type="dcterms:W3CDTF">2021-11-09T16:46:13Z</dcterms:modified>
</cp:coreProperties>
</file>