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er_2024_proxy_notice.htm"/>
      <w:bookmarkStart w:id="1" w:name="ksseer_2024_proxy_notice"/>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color w:val="000000"/>
          <w:sz w:val="24"/>
        </w:rPr>
      </w:pPr>
      <w:r>
        <w:rPr>
          <w:rFonts w:ascii="Arial" w:hAnsi="Arial"/>
          <w:color w:val="000000"/>
          <w:sz w:val="24"/>
        </w:rPr>
        <w:t>_____________________________</w:t>
      </w:r>
    </w:p>
    <w:p>
      <w:pPr>
        <w:pStyle w:val="TextBody"/>
        <w:bidi w:val="0"/>
        <w:jc w:val="center"/>
        <w:rPr>
          <w:rFonts w:ascii="Arial" w:hAnsi="Arial"/>
          <w:b/>
          <w:color w:val="000000"/>
          <w:sz w:val="40"/>
        </w:rPr>
      </w:pPr>
      <w:r>
        <w:rPr>
          <w:rFonts w:ascii="Arial" w:hAnsi="Arial"/>
          <w:b/>
          <w:color w:val="000000"/>
          <w:sz w:val="40"/>
        </w:rPr>
        <w:t>SCHEDULE 14A</w:t>
      </w:r>
    </w:p>
    <w:p>
      <w:pPr>
        <w:pStyle w:val="TextBody"/>
        <w:bidi w:val="0"/>
        <w:jc w:val="center"/>
        <w:rPr>
          <w:rFonts w:ascii="Arial" w:hAnsi="Arial"/>
          <w:b/>
          <w:color w:val="000000"/>
          <w:sz w:val="22"/>
        </w:rPr>
      </w:pPr>
      <w:r>
        <w:rPr>
          <w:rFonts w:ascii="Arial" w:hAnsi="Arial"/>
          <w:b/>
          <w:color w:val="000000"/>
          <w:sz w:val="22"/>
        </w:rPr>
        <w:t>PROXY STATEMENT PURSUANT TO SECTION 14(a) OF THE</w:t>
      </w:r>
    </w:p>
    <w:p>
      <w:pPr>
        <w:pStyle w:val="TextBody"/>
        <w:bidi w:val="0"/>
        <w:jc w:val="center"/>
        <w:rPr>
          <w:rFonts w:ascii="Arial" w:hAnsi="Arial"/>
          <w:b/>
          <w:color w:val="000000"/>
          <w:sz w:val="22"/>
        </w:rPr>
      </w:pPr>
      <w:r>
        <w:rPr>
          <w:rFonts w:ascii="Arial" w:hAnsi="Arial"/>
          <w:b/>
          <w:color w:val="000000"/>
          <w:sz w:val="22"/>
        </w:rPr>
        <w:t>SECURITIES EXCHANGE ACT OF 1934</w:t>
      </w:r>
    </w:p>
    <w:p>
      <w:pPr>
        <w:pStyle w:val="TextBody"/>
        <w:bidi w:val="0"/>
        <w:jc w:val="center"/>
        <w:rPr>
          <w:rFonts w:ascii="Arial" w:hAnsi="Arial"/>
          <w:color w:val="000000"/>
          <w:sz w:val="24"/>
        </w:rPr>
      </w:pPr>
      <w:r>
        <w:rPr>
          <w:rFonts w:ascii="Arial" w:hAnsi="Arial"/>
          <w:color w:val="000000"/>
          <w:sz w:val="24"/>
        </w:rPr>
        <w:t>_____________________________</w:t>
      </w:r>
    </w:p>
    <w:p>
      <w:pPr>
        <w:pStyle w:val="TextBody"/>
        <w:bidi w:val="0"/>
        <w:jc w:val="left"/>
        <w:rPr>
          <w:rFonts w:ascii="Times New Roman" w:hAnsi="Times New Roman"/>
          <w:sz w:val="20"/>
        </w:rPr>
      </w:pPr>
      <w:r>
        <w:rPr>
          <w:rFonts w:ascii="Arial" w:hAnsi="Arial"/>
          <w:color w:val="000000"/>
          <w:sz w:val="18"/>
        </w:rPr>
        <w:t xml:space="preserve">Filed by the Registrant </w:t>
      </w:r>
      <w:r>
        <w:rPr>
          <w:rFonts w:ascii="Wingdings;serif" w:hAnsi="Wingdings;serif"/>
          <w:color w:val="000000"/>
          <w:sz w:val="18"/>
        </w:rPr>
        <w:t>x</w:t>
      </w:r>
    </w:p>
    <w:p>
      <w:pPr>
        <w:pStyle w:val="TextBody"/>
        <w:bidi w:val="0"/>
        <w:jc w:val="left"/>
        <w:rPr>
          <w:rFonts w:ascii="Times New Roman" w:hAnsi="Times New Roman"/>
          <w:sz w:val="20"/>
        </w:rPr>
      </w:pPr>
      <w:r>
        <w:rPr>
          <w:rFonts w:ascii="Arial" w:hAnsi="Arial"/>
          <w:color w:val="000000"/>
          <w:sz w:val="18"/>
        </w:rPr>
        <w:t xml:space="preserve">Filed by a Party other than the Registrant </w:t>
      </w:r>
      <w:r>
        <w:rPr>
          <w:rFonts w:ascii="Wingdings;serif" w:hAnsi="Wingdings;serif"/>
          <w:color w:val="000000"/>
          <w:sz w:val="18"/>
        </w:rPr>
        <w:t>o</w:t>
      </w:r>
    </w:p>
    <w:p>
      <w:pPr>
        <w:pStyle w:val="TextBody"/>
        <w:bidi w:val="0"/>
        <w:spacing w:before="120" w:after="283"/>
        <w:jc w:val="left"/>
        <w:rPr>
          <w:rFonts w:ascii="Arial" w:hAnsi="Arial"/>
          <w:color w:val="000000"/>
          <w:sz w:val="18"/>
        </w:rPr>
      </w:pPr>
      <w:r>
        <w:rPr>
          <w:rFonts w:ascii="Arial" w:hAnsi="Arial"/>
          <w:color w:val="000000"/>
          <w:sz w:val="18"/>
        </w:rPr>
        <w:t>Check the appropriate box:</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Preliminary Proxy Statement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Confidential, for Use of the Commission Only (as permitted by Rule 14a-6(e)(2))</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Definitive Proxy Statement</w:t>
      </w:r>
    </w:p>
    <w:p>
      <w:pPr>
        <w:pStyle w:val="TextBody"/>
        <w:bidi w:val="0"/>
        <w:jc w:val="left"/>
        <w:rPr>
          <w:rFonts w:ascii="Times New Roman" w:hAnsi="Times New Roman"/>
          <w:sz w:val="20"/>
        </w:rPr>
      </w:pPr>
      <w:r>
        <w:rPr>
          <w:rFonts w:ascii="Wingdings;serif" w:hAnsi="Wingdings;serif"/>
          <w:color w:val="000000"/>
          <w:sz w:val="18"/>
        </w:rPr>
        <w:t xml:space="preserve">x </w:t>
      </w:r>
      <w:r>
        <w:rPr>
          <w:rFonts w:ascii="Arial" w:hAnsi="Arial"/>
          <w:color w:val="000000"/>
          <w:sz w:val="18"/>
        </w:rPr>
        <w:t>Definitive Additional Materials</w:t>
      </w:r>
    </w:p>
    <w:p>
      <w:pPr>
        <w:pStyle w:val="TextBody"/>
        <w:bidi w:val="0"/>
        <w:spacing w:before="0" w:after="24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Soliciting Material Pursuant to §240.14a-11(c) or §240.14a-2</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44"/>
              </w:rPr>
            </w:pPr>
            <w:r>
              <w:rPr>
                <w:rFonts w:ascii="Arial" w:hAnsi="Arial"/>
                <w:b/>
                <w:color w:val="000000"/>
                <w:sz w:val="44"/>
              </w:rPr>
              <w:t>Seer, Inc.</w:t>
            </w:r>
          </w:p>
        </w:tc>
      </w:tr>
      <w:tr>
        <w:trPr/>
        <w:tc>
          <w:tcPr>
            <w:tcW w:w="4201" w:type="dxa"/>
            <w:tcBorders/>
            <w:tcMar>
              <w:top w:w="0" w:type="dxa"/>
              <w:left w:w="0" w:type="dxa"/>
              <w:bottom w:w="0" w:type="dxa"/>
              <w:right w:w="0" w:type="dxa"/>
            </w:tcMar>
            <w:vAlign w:val="center"/>
          </w:tcPr>
          <w:p>
            <w:pPr>
              <w:pStyle w:val="TableContents"/>
              <w:bidi w:val="0"/>
              <w:spacing w:before="33" w:after="30"/>
              <w:jc w:val="center"/>
              <w:rPr>
                <w:rFonts w:ascii="Arial" w:hAnsi="Arial"/>
                <w:b/>
                <w:color w:val="000000"/>
                <w:sz w:val="18"/>
              </w:rPr>
            </w:pPr>
            <w:r>
              <w:rPr>
                <w:rFonts w:ascii="Arial" w:hAnsi="Arial"/>
                <w:b/>
                <w:color w:val="000000"/>
                <w:sz w:val="18"/>
              </w:rPr>
              <w:t>(Name of Registrant as Specified In Its Charter)</w:t>
            </w:r>
          </w:p>
        </w:tc>
      </w:tr>
    </w:tbl>
    <w:p>
      <w:pPr>
        <w:pStyle w:val="TextBody"/>
        <w:bidi w:val="0"/>
        <w:spacing w:before="160" w:after="240"/>
        <w:jc w:val="left"/>
        <w:rPr>
          <w:rFonts w:ascii="Arial" w:hAnsi="Arial"/>
          <w:color w:val="000000"/>
          <w:sz w:val="18"/>
        </w:rPr>
      </w:pPr>
      <w:r>
        <w:rPr>
          <w:rFonts w:ascii="Arial" w:hAnsi="Arial"/>
          <w:color w:val="000000"/>
          <w:sz w:val="18"/>
        </w:rPr>
        <w:t>Payment of Filing Fee (Check the appropriate box):</w:t>
      </w:r>
    </w:p>
    <w:tbl>
      <w:tblPr>
        <w:tblW w:w="8672" w:type="dxa"/>
        <w:jc w:val="left"/>
        <w:tblInd w:w="0" w:type="dxa"/>
        <w:tblLayout w:type="fixed"/>
        <w:tblCellMar>
          <w:top w:w="28" w:type="dxa"/>
          <w:left w:w="28" w:type="dxa"/>
          <w:bottom w:w="28" w:type="dxa"/>
          <w:right w:w="28" w:type="dxa"/>
        </w:tblCellMar>
      </w:tblPr>
      <w:tblGrid>
        <w:gridCol w:w="316"/>
        <w:gridCol w:w="8356"/>
      </w:tblGrid>
      <w:tr>
        <w:trPr/>
        <w:tc>
          <w:tcPr>
            <w:tcW w:w="316"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18"/>
              </w:rPr>
            </w:pPr>
            <w:r>
              <w:rPr>
                <w:rFonts w:ascii="Wingdings;serif" w:hAnsi="Wingdings;serif"/>
                <w:color w:val="000000"/>
                <w:sz w:val="18"/>
              </w:rPr>
              <w:t>x</w:t>
            </w:r>
          </w:p>
        </w:tc>
        <w:tc>
          <w:tcPr>
            <w:tcW w:w="8356"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No fee required</w:t>
            </w:r>
          </w:p>
        </w:tc>
      </w:tr>
      <w:tr>
        <w:trPr/>
        <w:tc>
          <w:tcPr>
            <w:tcW w:w="316" w:type="dxa"/>
            <w:tcBorders/>
            <w:tcMar>
              <w:top w:w="0" w:type="dxa"/>
              <w:left w:w="0" w:type="dxa"/>
              <w:bottom w:w="0" w:type="dxa"/>
              <w:right w:w="0" w:type="dxa"/>
            </w:tcMar>
            <w:vAlign w:val="center"/>
          </w:tcPr>
          <w:p>
            <w:pPr>
              <w:pStyle w:val="TableContents"/>
              <w:bidi w:val="0"/>
              <w:spacing w:before="33" w:after="30"/>
              <w:jc w:val="left"/>
              <w:rPr>
                <w:rFonts w:ascii="Wingdings;serif" w:hAnsi="Wingdings;serif"/>
                <w:color w:val="000000"/>
                <w:sz w:val="18"/>
              </w:rPr>
            </w:pPr>
            <w:r>
              <w:rPr>
                <w:rFonts w:ascii="Wingdings;serif" w:hAnsi="Wingdings;serif"/>
                <w:color w:val="000000"/>
                <w:sz w:val="18"/>
              </w:rPr>
              <w:t>o</w:t>
            </w:r>
          </w:p>
        </w:tc>
        <w:tc>
          <w:tcPr>
            <w:tcW w:w="835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Fee paid previously with preliminary materials</w:t>
            </w:r>
          </w:p>
        </w:tc>
      </w:tr>
      <w:tr>
        <w:trPr/>
        <w:tc>
          <w:tcPr>
            <w:tcW w:w="316" w:type="dxa"/>
            <w:tcBorders/>
            <w:tcMar>
              <w:top w:w="0" w:type="dxa"/>
              <w:left w:w="0" w:type="dxa"/>
              <w:bottom w:w="0" w:type="dxa"/>
              <w:right w:w="0" w:type="dxa"/>
            </w:tcMar>
            <w:vAlign w:val="center"/>
          </w:tcPr>
          <w:p>
            <w:pPr>
              <w:pStyle w:val="TableContents"/>
              <w:bidi w:val="0"/>
              <w:spacing w:before="33" w:after="30"/>
              <w:jc w:val="left"/>
              <w:rPr>
                <w:rFonts w:ascii="Wingdings;serif" w:hAnsi="Wingdings;serif"/>
                <w:color w:val="000000"/>
                <w:sz w:val="18"/>
              </w:rPr>
            </w:pPr>
            <w:r>
              <w:rPr>
                <w:rFonts w:ascii="Wingdings;serif" w:hAnsi="Wingdings;serif"/>
                <w:color w:val="000000"/>
                <w:sz w:val="18"/>
              </w:rPr>
              <w:t>o</w:t>
            </w:r>
          </w:p>
        </w:tc>
        <w:tc>
          <w:tcPr>
            <w:tcW w:w="835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Fee computed on table in exhibit required by Item 25(b) per Exchange Act Rules 14a-6(i)(1) and 0-11</w:t>
            </w:r>
          </w:p>
        </w:tc>
      </w:tr>
    </w:tbl>
    <w:p>
      <w:pPr>
        <w:pStyle w:val="TextBody"/>
        <w:bidi w:val="0"/>
        <w:spacing w:before="120" w:after="283"/>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left"/>
        <w:rPr>
          <w:rFonts w:ascii="Arial" w:hAnsi="Arial"/>
          <w:color w:val="000000"/>
          <w:sz w:val="20"/>
        </w:rPr>
      </w:pPr>
      <w:r>
        <w:rPr>
          <w:rFonts w:ascii="Arial" w:hAnsi="Arial"/>
          <w:color w:val="000000"/>
          <w:sz w:val="20"/>
        </w:rPr>
        <w:t>May 28,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 w:name="section2"/>
      <w:bookmarkEnd w:id="2"/>
      <w:r>
        <w:rPr/>
        <w:t> </w:t>
      </w:r>
    </w:p>
    <w:p>
      <w:pPr>
        <w:pStyle w:val="TextBody"/>
        <w:bidi w:val="0"/>
        <w:jc w:val="center"/>
        <w:rPr/>
      </w:pPr>
      <w:r>
        <w:rPr/>
        <w:t> </w:t>
      </w:r>
    </w:p>
    <w:p>
      <w:pPr>
        <w:pStyle w:val="TextBody"/>
        <w:bidi w:val="0"/>
        <w:jc w:val="left"/>
        <w:rPr/>
      </w:pPr>
      <w:r>
        <w:rPr/>
        <w:t> </w:t>
      </w:r>
    </w:p>
    <w:p>
      <w:pPr>
        <w:pStyle w:val="TextBody"/>
        <w:bidi w:val="0"/>
        <w:jc w:val="center"/>
        <w:rPr>
          <w:rFonts w:ascii="Arial" w:hAnsi="Arial"/>
          <w:color w:val="FFFFFF"/>
          <w:sz w:val="2"/>
        </w:rPr>
      </w:pPr>
      <w:r>
        <w:rPr>
          <w:rFonts w:ascii="Arial" w:hAnsi="Arial"/>
          <w:color w:val="FFFFFF"/>
          <w:sz w:val="2"/>
        </w:rPr>
        <w:t>Your Vote Counts! SEER, INC. 2024 Annual Meeting Vote by June 11, 2024 11:59 PM ET SEER, INC. 3800 BRIDGE PARKWAY, SUITE 102 REDWOOD CITY, CALIFORNIA 94065 V35568-P07175 You invested in SEER, INC. and it’s time to vote! You have the right to vote on proposals being presented at the Annual Meeting. This is an important notice regarding the availability of proxy material for the stockholder meeting to be held on June 12, 2024. Get informed before you vote View the Notice &amp; Proxy Statement and Form 10-K online OR you can receive a free paper or email copy of the material(s) by requesting prior to May 29,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12, 2024 1:00 PM PDT Virtually at: www.virtualshareholdermeeting.com/SEER2024 *Please check the meeting materials for any special requirements for meeting attendance.</w:t>
      </w:r>
    </w:p>
    <w:p>
      <w:pPr>
        <w:pStyle w:val="TextBody"/>
        <w:bidi w:val="0"/>
        <w:jc w:val="center"/>
        <w:rPr/>
      </w:pPr>
      <w:r>
        <w:rPr/>
        <w:drawing>
          <wp:inline distT="0" distB="0" distL="0" distR="0">
            <wp:extent cx="6038850" cy="7667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38850" cy="76676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086475" cy="7439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86475" cy="7439025"/>
                    </a:xfrm>
                    <a:prstGeom prst="rect">
                      <a:avLst/>
                    </a:prstGeom>
                  </pic:spPr>
                </pic:pic>
              </a:graphicData>
            </a:graphic>
          </wp:inline>
        </w:drawing>
      </w:r>
    </w:p>
    <w:p>
      <w:pPr>
        <w:pStyle w:val="TextBody"/>
        <w:bidi w:val="0"/>
        <w:jc w:val="left"/>
        <w:rPr>
          <w:rFonts w:ascii="Arial" w:hAnsi="Arial"/>
          <w:color w:val="FFFFFF"/>
          <w:sz w:val="2"/>
        </w:rPr>
      </w:pPr>
      <w:r>
        <w:rPr>
          <w:rFonts w:ascii="Arial" w:hAnsi="Arial"/>
          <w:color w:val="FFFFFF"/>
          <w:sz w:val="2"/>
        </w:rPr>
        <w:t>Ratification of the appointment of Deloitte &amp; Touche LLP as our independent registered public accounting firm for our fiscal year ending December 31, 2024. NOTE: The proxy holders will vote in their discretion on any other business as may properly come before the Annual Meeting or any adjournment or postponement thereof. For For Prefer to receive an email instead? While voting on www.ProxyVote.com, be sure to click “Delivery Settings”. V35569-P0717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altName w:val="serif"/>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414</Words>
  <Characters>2247</Characters>
  <CharactersWithSpaces>2648</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