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2"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57"/>
        </w:trPr>
        <w:tc>
          <w:tcPr>
            <w:tcW w:w="306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57"/>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347"/>
        </w:trPr>
        <w:tc>
          <w:tcPr>
            <w:tcW w:w="4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0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6"/>
        </w:trPr>
        <w:tc>
          <w:tcPr>
            <w:tcW w:w="44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On May 8, 2024, Seer, Inc. issued a press release (the “Press Release”) announcing results for the quarter ended March 31, 2024. A copy of the Press Release is attached as Exhibit 99.1 to this current report on Form 8-K and is incorporated by reference herein.</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18" w:lineRule="exact"/>
        <w:rPr>
          <w:sz w:val="20"/>
          <w:szCs w:val="20"/>
          <w:color w:val="auto"/>
        </w:rPr>
      </w:pPr>
    </w:p>
    <w:p>
      <w:pPr>
        <w:ind w:left="260"/>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-127635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-7620</wp:posOffset>
            </wp:positionV>
            <wp:extent cx="200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7"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1046480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27" w:right="1440"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3" w:lineRule="exact"/>
        <w:rPr>
          <w:sz w:val="20"/>
          <w:szCs w:val="20"/>
          <w:color w:val="auto"/>
        </w:rPr>
      </w:pPr>
    </w:p>
    <w:p>
      <w:pPr>
        <w:ind w:left="3520"/>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13" w:right="71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22"/>
          <w:szCs w:val="22"/>
          <w:b w:val="1"/>
          <w:bCs w:val="1"/>
          <w:color w:val="auto"/>
        </w:rPr>
        <w:t>Seer Reports First Quarter 2024 Financial Results</w:t>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Demonstrated the power of the Proteograph Product Suite with a growing number of customer presentations and publications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May 8, 2024 – Seer, Inc. (Nasdaq: SEER), a leading life sciences company commercializing a disruptive new</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for proteomics, today reported financial results for the first quarter ended March 31, 2024.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04"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Achieved revenue of $3.1 million for the first quarter of 2024</w:t>
      </w:r>
    </w:p>
    <w:p>
      <w:pPr>
        <w:spacing w:after="0" w:line="26" w:lineRule="exact"/>
        <w:rPr>
          <w:rFonts w:ascii="Times New Roman" w:cs="Times New Roman" w:eastAsia="Times New Roman" w:hAnsi="Times New Roman"/>
          <w:sz w:val="18"/>
          <w:szCs w:val="18"/>
          <w:color w:val="auto"/>
        </w:rPr>
      </w:pPr>
    </w:p>
    <w:p>
      <w:pPr>
        <w:ind w:left="760" w:right="28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the expansion of the Seer Technology Access Center (STAC) program to Europe, providing researchers with end-to-end services from sample to data</w:t>
      </w:r>
    </w:p>
    <w:p>
      <w:pPr>
        <w:ind w:left="760" w:right="34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Further validated the power of the Proteograph Product Suite with three peer-reviewed publications in leading journals since the beginning of the year, with additional manuscripts available on pre-print servers</w:t>
      </w:r>
    </w:p>
    <w:p>
      <w:pPr>
        <w:ind w:left="760" w:right="24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Launched the 2024 Seer Insights Grant Program to enable interesting studies and applications of the Proteograph Product Suite, further increasing the accessibility of deep, unbiased proteomic data at scale</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Authorized an open-market share repurchase program of up to $25 million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Ended the quarter with $359.2 million of cash, cash equivalents and investments</w:t>
      </w:r>
    </w:p>
    <w:p>
      <w:pPr>
        <w:spacing w:after="0" w:line="206" w:lineRule="exact"/>
        <w:rPr>
          <w:sz w:val="20"/>
          <w:szCs w:val="20"/>
          <w:color w:val="auto"/>
        </w:rPr>
      </w:pPr>
    </w:p>
    <w:p>
      <w:pPr>
        <w:ind w:right="820"/>
        <w:spacing w:after="0" w:line="273" w:lineRule="auto"/>
        <w:rPr>
          <w:sz w:val="20"/>
          <w:szCs w:val="20"/>
          <w:color w:val="auto"/>
        </w:rPr>
      </w:pPr>
      <w:r>
        <w:rPr>
          <w:rFonts w:ascii="Arial" w:cs="Arial" w:eastAsia="Arial" w:hAnsi="Arial"/>
          <w:sz w:val="17"/>
          <w:szCs w:val="17"/>
          <w:color w:val="auto"/>
        </w:rPr>
        <w:t>“We are committed to reducing barriers to the commercial adoption of our differentiated technology, despite experiencing continued headwinds in the quarter. We are taking every action to increase accessibility to the Proteograph by focusing our resources on our</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commercial reach while preserving our balance sheet,” said Omid Farokhzad, Chair and CEO of Seer. “Following the successful launch of STAC in the US, we are excited to announce we are expanding into Europe providing end-to-end services from sample to data for researchers across the region. We remain incredibly bullish on the potential of our technology to transform our understanding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proteome.”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2024 Financial Results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Revenue was $3.1 million for the first quarter of 2024, a 24% decrease from $4.1 million for the corresponding prior year period, primarily due to a decrease in product and related party revenue. Product revenue for the first quarter of 2024 was $2.5 million, including $828 thousand of related party revenue, and consisted of sales of SP100 instruments and consumable kits. Service revenue was $534 thousand for the first quarter of 2024, including $126 thousand of related party revenue, and primarily consisted of revenue related to the STAC program. Grant and other revenue was $36 thousand for the first quarter of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inclusive of grant and other revenue, was $1.4 million and gross margin was 44% for the first quarter of 2024.</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Operating expenses were $26.6 million for the first quarter of 2024, including $7.6 million of stock-based compensation, a decrease of 10% compared to $29.5 million for the corresponding prior year period, including $8.7 million of stock-based compensation. The decrease in operating expenses was primarily driven by a decrease in employee and stock-based compensation expenses and a decrease in laboratory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Net loss was $20.7 million for the first quarter of 2024, as compared to $24.0 million for the corresponding prior year period.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Cash, cash equivalents and investments were $359.2 million as of March 31, 2024.</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Seer announced today that its board of directors authorized an open-market share repurchase program of up to $25 million, which we expect will be effective upon the opening of Seer’s trading window. Under the repurchase program, shares may be repurchased from time to time in open market transactions at prevailing market prices.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Guidance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Seer now expects full year 2024 revenue to be in the range of $16 million to $18 million, which is in line with full year 2023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Seer will host a conference call to discuss the first quarter 2024 financial results on Wednesday, May 8, 2024 at 1:30 pm Pacific Time / 4:30 pm Eastern Time. A webcast of the conference call can be accessed at </w:t>
      </w:r>
      <w:r>
        <w:rPr>
          <w:rFonts w:ascii="Arial" w:cs="Arial" w:eastAsia="Arial" w:hAnsi="Arial"/>
          <w:sz w:val="18"/>
          <w:szCs w:val="18"/>
          <w:color w:val="0000FF"/>
        </w:rPr>
        <w:t>https://investor.seer.bio.</w:t>
      </w:r>
      <w:r>
        <w:rPr>
          <w:rFonts w:ascii="Arial" w:cs="Arial" w:eastAsia="Arial" w:hAnsi="Arial"/>
          <w:sz w:val="18"/>
          <w:szCs w:val="18"/>
          <w:color w:val="auto"/>
        </w:rPr>
        <w:t xml:space="preserve"> The webcast will be archived and available for replay for at least 90 days after the event.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 w:cs="Arial" w:eastAsia="Arial" w:hAnsi="Arial"/>
          <w:sz w:val="18"/>
          <w:szCs w:val="18"/>
          <w:color w:val="467886"/>
        </w:rPr>
        <w:t>www.seer.bio</w:t>
      </w:r>
      <w:r>
        <w:rPr>
          <w:rFonts w:ascii="Arial" w:cs="Arial" w:eastAsia="Arial" w:hAnsi="Arial"/>
          <w:sz w:val="18"/>
          <w:szCs w:val="18"/>
          <w:color w:val="24282D"/>
        </w:rPr>
        <w: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expectations for future results of operations and its financial position, business strategy, customer publications and adoption and outlook for fiscal year 2024.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rPr>
          <w:sz w:val="20"/>
          <w:szCs w:val="20"/>
          <w:color w:val="auto"/>
        </w:rPr>
      </w:pPr>
      <w:r>
        <w:rPr>
          <w:rFonts w:ascii="Arial" w:cs="Arial" w:eastAsia="Arial" w:hAnsi="Arial"/>
          <w:sz w:val="18"/>
          <w:szCs w:val="18"/>
          <w:color w:val="467886"/>
        </w:rPr>
        <w:t>investor@seer.bio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Schmidt</w:t>
      </w:r>
    </w:p>
    <w:p>
      <w:pPr>
        <w:spacing w:after="0"/>
        <w:rPr>
          <w:sz w:val="20"/>
          <w:szCs w:val="20"/>
          <w:color w:val="auto"/>
        </w:rPr>
      </w:pPr>
      <w:r>
        <w:rPr>
          <w:rFonts w:ascii="Arial" w:cs="Arial" w:eastAsia="Arial" w:hAnsi="Arial"/>
          <w:sz w:val="18"/>
          <w:szCs w:val="18"/>
          <w:color w:val="467886"/>
        </w:rPr>
        <w:t>pr@seer.bio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1,668</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Service</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Related party</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Grant and other</w:t>
            </w: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Service</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Related party</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Grant and other</w:t>
            </w: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15,039</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26,553</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(25,192 )</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(27,445 )</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(73 )</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(231 )</w:t>
            </w:r>
          </w:p>
        </w:tc>
      </w:tr>
      <w:tr>
        <w:trPr>
          <w:trHeight w:val="223"/>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Borders>
              <w:top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(20,679 )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(23,959 )</w:t>
            </w:r>
          </w:p>
        </w:tc>
      </w:tr>
      <w:tr>
        <w:trPr>
          <w:trHeight w:val="223"/>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comprehensive gain (loss):</w:t>
            </w: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(329 )</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FF0FC"/>
          </w:tcPr>
          <w:p>
            <w:pPr>
              <w:spacing w:after="0"/>
              <w:rPr>
                <w:sz w:val="19"/>
                <w:szCs w:val="19"/>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(21,008 )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(22,801 )</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(0.32 )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(0.38 )</w:t>
            </w:r>
          </w:p>
        </w:tc>
      </w:tr>
      <w:tr>
        <w:trPr>
          <w:trHeight w:val="21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64,586,056</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63,543,094</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-3514090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-2630805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-2322195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-1722120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-1130935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-822325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-521970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-196215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-179070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7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(Unaudited)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32,499</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254,152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283,725</w:t>
            </w: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4,831</w:t>
            </w:r>
          </w:p>
        </w:tc>
        <w:tc>
          <w:tcPr>
            <w:tcW w:w="100" w:type="dxa"/>
            <w:vAlign w:val="bottom"/>
            <w:shd w:val="clear" w:color="auto" w:fill="CFF0FC"/>
          </w:tcPr>
          <w:p>
            <w:pPr>
              <w:spacing w:after="0"/>
              <w:rPr>
                <w:sz w:val="19"/>
                <w:szCs w:val="19"/>
                <w:color w:val="auto"/>
              </w:rPr>
            </w:pPr>
          </w:p>
        </w:tc>
      </w:tr>
      <w:tr>
        <w:trPr>
          <w:trHeight w:val="229"/>
        </w:trPr>
        <w:tc>
          <w:tcPr>
            <w:tcW w:w="7860" w:type="dxa"/>
            <w:vAlign w:val="bottom"/>
          </w:tcPr>
          <w:p>
            <w:pPr>
              <w:ind w:left="200"/>
              <w:spacing w:after="0"/>
              <w:rPr>
                <w:sz w:val="20"/>
                <w:szCs w:val="20"/>
                <w:color w:val="auto"/>
              </w:rPr>
            </w:pPr>
            <w:r>
              <w:rPr>
                <w:rFonts w:ascii="Arial" w:cs="Arial" w:eastAsia="Arial" w:hAnsi="Arial"/>
                <w:sz w:val="18"/>
                <w:szCs w:val="18"/>
                <w:color w:val="auto"/>
              </w:rPr>
              <w:t>Related party receivables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FF0FC"/>
          </w:tcPr>
          <w:p>
            <w:pPr>
              <w:spacing w:after="0"/>
              <w:rPr>
                <w:sz w:val="19"/>
                <w:szCs w:val="19"/>
                <w:color w:val="auto"/>
              </w:rPr>
            </w:pPr>
          </w:p>
        </w:tc>
      </w:tr>
      <w:tr>
        <w:trPr>
          <w:trHeight w:val="229"/>
        </w:trPr>
        <w:tc>
          <w:tcPr>
            <w:tcW w:w="786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19"/>
                <w:szCs w:val="19"/>
                <w:color w:val="auto"/>
              </w:rPr>
            </w:pPr>
          </w:p>
        </w:tc>
      </w:tr>
      <w:tr>
        <w:trPr>
          <w:trHeight w:val="229"/>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324,150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330,513</w:t>
            </w: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56,858</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25,177</w:t>
            </w: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22,193</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r>
      <w:tr>
        <w:trPr>
          <w:trHeight w:val="229"/>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421,962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436,269</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9,212</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r>
      <w:tr>
        <w:trPr>
          <w:trHeight w:val="230"/>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25,964</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7860" w:type="dxa"/>
            <w:vAlign w:val="bottom"/>
          </w:tcPr>
          <w:p>
            <w:pPr>
              <w:ind w:left="200"/>
              <w:spacing w:after="0" w:line="197" w:lineRule="exact"/>
              <w:rPr>
                <w:sz w:val="20"/>
                <w:szCs w:val="20"/>
                <w:color w:val="auto"/>
              </w:rPr>
            </w:pPr>
            <w:r>
              <w:rPr>
                <w:rFonts w:ascii="Arial" w:cs="Arial" w:eastAsia="Arial" w:hAnsi="Arial"/>
                <w:sz w:val="18"/>
                <w:szCs w:val="18"/>
                <w:color w:val="auto"/>
              </w:rPr>
              <w:t>Preferred stock, $0.00001 par value; 5,000,000 shares authorized as of</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tcPr>
          <w:p>
            <w:pPr>
              <w:ind w:left="400"/>
              <w:spacing w:after="0" w:line="202" w:lineRule="exact"/>
              <w:rPr>
                <w:sz w:val="20"/>
                <w:szCs w:val="20"/>
                <w:color w:val="auto"/>
              </w:rPr>
            </w:pPr>
            <w:r>
              <w:rPr>
                <w:rFonts w:ascii="Arial" w:cs="Arial" w:eastAsia="Arial" w:hAnsi="Arial"/>
                <w:sz w:val="18"/>
                <w:szCs w:val="18"/>
                <w:color w:val="auto"/>
              </w:rPr>
              <w:t>March 31, 2024 and December 31, 2023; zero shares issued and</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860" w:type="dxa"/>
            <w:vAlign w:val="bottom"/>
          </w:tcPr>
          <w:p>
            <w:pPr>
              <w:ind w:left="400"/>
              <w:spacing w:after="0"/>
              <w:rPr>
                <w:sz w:val="20"/>
                <w:szCs w:val="20"/>
                <w:color w:val="auto"/>
              </w:rPr>
            </w:pPr>
            <w:r>
              <w:rPr>
                <w:rFonts w:ascii="Arial" w:cs="Arial" w:eastAsia="Arial" w:hAnsi="Arial"/>
                <w:sz w:val="18"/>
                <w:szCs w:val="18"/>
                <w:color w:val="auto"/>
              </w:rPr>
              <w:t>outstanding as of March 31, 2024 and December 31, 2023</w:t>
            </w:r>
          </w:p>
        </w:tc>
        <w:tc>
          <w:tcPr>
            <w:tcW w:w="1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860" w:type="dxa"/>
            <w:vAlign w:val="bottom"/>
            <w:shd w:val="clear" w:color="auto" w:fill="CFF0FC"/>
          </w:tcPr>
          <w:p>
            <w:pPr>
              <w:ind w:left="200"/>
              <w:spacing w:after="0" w:line="197" w:lineRule="exact"/>
              <w:rPr>
                <w:sz w:val="20"/>
                <w:szCs w:val="20"/>
                <w:color w:val="auto"/>
              </w:rPr>
            </w:pPr>
            <w:r>
              <w:rPr>
                <w:rFonts w:ascii="Arial" w:cs="Arial" w:eastAsia="Arial" w:hAnsi="Arial"/>
                <w:sz w:val="18"/>
                <w:szCs w:val="18"/>
                <w:color w:val="auto"/>
              </w:rPr>
              <w:t>Class A common stock, $0.00001 par value; 94,000,000 shares authorized</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as of March 31, 2024 and December 31, 2023; 60,891,711 and</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60,253,707 shares issued and outstanding as of March 31, 2024 and</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2023, respectively</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r>
      <w:tr>
        <w:trPr>
          <w:trHeight w:val="197"/>
        </w:trPr>
        <w:tc>
          <w:tcPr>
            <w:tcW w:w="7860" w:type="dxa"/>
            <w:vAlign w:val="bottom"/>
          </w:tcPr>
          <w:p>
            <w:pPr>
              <w:ind w:left="200"/>
              <w:spacing w:after="0" w:line="197" w:lineRule="exact"/>
              <w:rPr>
                <w:sz w:val="20"/>
                <w:szCs w:val="20"/>
                <w:color w:val="auto"/>
              </w:rPr>
            </w:pPr>
            <w:r>
              <w:rPr>
                <w:rFonts w:ascii="Arial" w:cs="Arial" w:eastAsia="Arial" w:hAnsi="Arial"/>
                <w:sz w:val="18"/>
                <w:szCs w:val="18"/>
                <w:color w:val="auto"/>
              </w:rPr>
              <w:t>Class B common stock, $0.00001 par value; 6,000,000 shares authorized</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tcPr>
          <w:p>
            <w:pPr>
              <w:ind w:left="360"/>
              <w:spacing w:after="0" w:line="202" w:lineRule="exact"/>
              <w:rPr>
                <w:sz w:val="20"/>
                <w:szCs w:val="20"/>
                <w:color w:val="auto"/>
              </w:rPr>
            </w:pPr>
            <w:r>
              <w:rPr>
                <w:rFonts w:ascii="Arial" w:cs="Arial" w:eastAsia="Arial" w:hAnsi="Arial"/>
                <w:sz w:val="18"/>
                <w:szCs w:val="18"/>
                <w:color w:val="auto"/>
              </w:rPr>
              <w:t>as of March 31, 2024 and December 31, 2023; 4,044,969 shares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860" w:type="dxa"/>
            <w:vAlign w:val="bottom"/>
          </w:tcPr>
          <w:p>
            <w:pPr>
              <w:ind w:left="360"/>
              <w:spacing w:after="0"/>
              <w:rPr>
                <w:sz w:val="20"/>
                <w:szCs w:val="20"/>
                <w:color w:val="auto"/>
              </w:rPr>
            </w:pPr>
            <w:r>
              <w:rPr>
                <w:rFonts w:ascii="Arial" w:cs="Arial" w:eastAsia="Arial" w:hAnsi="Arial"/>
                <w:sz w:val="18"/>
                <w:szCs w:val="18"/>
                <w:color w:val="auto"/>
              </w:rPr>
              <w:t>issued and outstanding as of March 31, 2024 and December 31, 2023</w:t>
            </w:r>
          </w:p>
        </w:tc>
        <w:tc>
          <w:tcPr>
            <w:tcW w:w="1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710,527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702,868</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(521 )</w:t>
            </w:r>
          </w:p>
        </w:tc>
        <w:tc>
          <w:tcPr>
            <w:tcW w:w="1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(192 )</w:t>
            </w:r>
          </w:p>
        </w:tc>
      </w:tr>
      <w:tr>
        <w:trPr>
          <w:trHeight w:val="22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(326,452 )</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(305,773 )</w:t>
            </w:r>
          </w:p>
        </w:tc>
      </w:tr>
      <w:tr>
        <w:trPr>
          <w:trHeight w:val="223"/>
        </w:trPr>
        <w:tc>
          <w:tcPr>
            <w:tcW w:w="78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383,555</w:t>
            </w: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396,904</w:t>
            </w:r>
          </w:p>
        </w:tc>
        <w:tc>
          <w:tcPr>
            <w:tcW w:w="100" w:type="dxa"/>
            <w:vAlign w:val="bottom"/>
            <w:tcBorders>
              <w:top w:val="single" w:sz="8" w:color="CFF0FC"/>
            </w:tcBorders>
          </w:tcPr>
          <w:p>
            <w:pPr>
              <w:spacing w:after="0"/>
              <w:rPr>
                <w:sz w:val="19"/>
                <w:szCs w:val="19"/>
                <w:color w:val="auto"/>
              </w:rPr>
            </w:pPr>
          </w:p>
        </w:tc>
      </w:tr>
      <w:tr>
        <w:trPr>
          <w:trHeight w:val="263"/>
        </w:trPr>
        <w:tc>
          <w:tcPr>
            <w:tcW w:w="7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421,962</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436,269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15"/>
        </w:trPr>
        <w:tc>
          <w:tcPr>
            <w:tcW w:w="78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7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-5725795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-5725795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-4842510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-4842510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-3642360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-3042285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-967740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-659130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-642620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2024-05-08T15:51:16Z</dcterms:created>
  <dcterms:modified xsi:type="dcterms:W3CDTF">2024-05-08T15:51:16Z</dcterms:modified>
</cp:coreProperties>
</file>