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40" w:after="283"/>
        <w:jc w:val="center"/>
        <w:rPr>
          <w:rFonts w:ascii="Times New Roman;sans-serif" w:hAnsi="Times New Roman;sans-serif"/>
          <w:b/>
          <w:color w:val="000000"/>
          <w:sz w:val="22"/>
        </w:rPr>
      </w:pPr>
      <w:r>
        <w:rPr>
          <w:rFonts w:ascii="Times New Roman;sans-serif" w:hAnsi="Times New Roman;sans-serif"/>
          <w:b/>
          <w:color w:val="000000"/>
          <w:sz w:val="22"/>
        </w:rPr>
        <w:t>Washington, D.C. 20549</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Times New Roman;sans-serif" w:hAnsi="Times New Roman;sans-serif"/>
          <w:b/>
          <w:color w:val="000000"/>
          <w:sz w:val="32"/>
        </w:rPr>
      </w:pPr>
      <w:r>
        <w:rPr>
          <w:rFonts w:ascii="Times New Roman;sans-serif" w:hAnsi="Times New Roman;sans-serif"/>
          <w:b/>
          <w:color w:val="000000"/>
          <w:sz w:val="32"/>
        </w:rPr>
        <w:t>FORM 8-K</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Date of Report (Date of earliest event reported): </w:t>
      </w:r>
    </w:p>
    <w:p>
      <w:pPr>
        <w:pStyle w:val="TextBody"/>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February 28, 2022</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Times New Roman;sans-serif" w:hAnsi="Times New Roman;sans-serif"/>
          <w:b/>
          <w:color w:val="000000"/>
          <w:sz w:val="32"/>
        </w:rPr>
      </w:pPr>
      <w:r>
        <w:rPr>
          <w:rFonts w:ascii="Times New Roman;sans-serif" w:hAnsi="Times New Roman;sans-serif"/>
          <w:b/>
          <w:color w:val="000000"/>
          <w:sz w:val="32"/>
        </w:rPr>
        <w:t>Seer, Inc.</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5468" w:type="dxa"/>
        <w:jc w:val="center"/>
        <w:tblInd w:w="0" w:type="dxa"/>
        <w:tblCellMar>
          <w:top w:w="28" w:type="dxa"/>
          <w:left w:w="28" w:type="dxa"/>
          <w:bottom w:w="28" w:type="dxa"/>
          <w:right w:w="28" w:type="dxa"/>
        </w:tblCellMar>
      </w:tblPr>
      <w:tblGrid>
        <w:gridCol w:w="819"/>
        <w:gridCol w:w="718"/>
        <w:gridCol w:w="728"/>
        <w:gridCol w:w="109"/>
        <w:gridCol w:w="109"/>
        <w:gridCol w:w="109"/>
        <w:gridCol w:w="353"/>
        <w:gridCol w:w="353"/>
        <w:gridCol w:w="358"/>
        <w:gridCol w:w="109"/>
        <w:gridCol w:w="109"/>
        <w:gridCol w:w="109"/>
        <w:gridCol w:w="434"/>
        <w:gridCol w:w="434"/>
        <w:gridCol w:w="617"/>
      </w:tblGrid>
      <w:tr>
        <w:trPr/>
        <w:tc>
          <w:tcPr>
            <w:tcW w:w="819"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001-39747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82-1153150</w:t>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3800 Bridge Parkway, Suite 102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Redwood City, California 94065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including zip code)</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650-453-0000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reports)</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 below if the Form 8-K filing is intended to simultaneously satisfy the filing obligation of the registrant under any of the following provisions:</w:t>
      </w:r>
    </w:p>
    <w:p>
      <w:pPr>
        <w:pStyle w:val="TextBody"/>
        <w:spacing w:before="0" w:after="0"/>
        <w:jc w:val="center"/>
        <w:rPr/>
      </w:pPr>
      <w:r>
        <w:rPr/>
      </w:r>
    </w:p>
    <w:tbl>
      <w:tblPr>
        <w:tblW w:w="8442" w:type="dxa"/>
        <w:jc w:val="center"/>
        <w:tblInd w:w="0" w:type="dxa"/>
        <w:tblCellMar>
          <w:top w:w="28" w:type="dxa"/>
          <w:left w:w="28" w:type="dxa"/>
          <w:bottom w:w="28" w:type="dxa"/>
          <w:right w:w="28" w:type="dxa"/>
        </w:tblCellMar>
      </w:tblPr>
      <w:tblGrid>
        <w:gridCol w:w="124"/>
        <w:gridCol w:w="109"/>
        <w:gridCol w:w="109"/>
        <w:gridCol w:w="2369"/>
        <w:gridCol w:w="2369"/>
        <w:gridCol w:w="33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9" w:type="dxa"/>
            <w:tcBorders/>
            <w:shd w:fill="auto" w:val="clear"/>
            <w:vAlign w:val="center"/>
          </w:tcPr>
          <w:p>
            <w:pPr>
              <w:pStyle w:val="TableContents"/>
              <w:spacing w:before="0" w:after="283"/>
              <w:rPr>
                <w:sz w:val="4"/>
                <w:szCs w:val="4"/>
              </w:rPr>
            </w:pPr>
            <w:r>
              <w:rPr>
                <w:sz w:val="4"/>
                <w:szCs w:val="4"/>
              </w:rPr>
            </w:r>
          </w:p>
        </w:tc>
        <w:tc>
          <w:tcPr>
            <w:tcW w:w="2369" w:type="dxa"/>
            <w:tcBorders/>
            <w:shd w:fill="auto" w:val="clear"/>
            <w:vAlign w:val="center"/>
          </w:tcPr>
          <w:p>
            <w:pPr>
              <w:pStyle w:val="TableContents"/>
              <w:spacing w:before="0" w:after="283"/>
              <w:rPr>
                <w:sz w:val="4"/>
                <w:szCs w:val="4"/>
              </w:rPr>
            </w:pPr>
            <w:r>
              <w:rPr>
                <w:sz w:val="4"/>
                <w:szCs w:val="4"/>
              </w:rPr>
            </w:r>
          </w:p>
        </w:tc>
        <w:tc>
          <w:tcPr>
            <w:tcW w:w="33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Rule 14a-12 under the Exchange Act (17 CFR 240.14a-12)</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14d-2(b) under the Exchange Act (17 CFR 240.14d-2(b))</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13e-4(c) under the Exchange Act (17 CFR 240.13e-4(c))</w:t>
            </w:r>
          </w:p>
        </w:tc>
      </w:tr>
    </w:tbl>
    <w:tbl>
      <w:tblPr>
        <w:tblW w:w="8727" w:type="dxa"/>
        <w:jc w:val="center"/>
        <w:tblInd w:w="0" w:type="dxa"/>
        <w:tblCellMar>
          <w:top w:w="28" w:type="dxa"/>
          <w:left w:w="28" w:type="dxa"/>
          <w:bottom w:w="28" w:type="dxa"/>
          <w:right w:w="28" w:type="dxa"/>
        </w:tblCellMar>
      </w:tblPr>
      <w:tblGrid>
        <w:gridCol w:w="1404"/>
        <w:gridCol w:w="1236"/>
        <w:gridCol w:w="1244"/>
        <w:gridCol w:w="454"/>
        <w:gridCol w:w="454"/>
        <w:gridCol w:w="456"/>
        <w:gridCol w:w="1019"/>
        <w:gridCol w:w="1019"/>
        <w:gridCol w:w="1441"/>
      </w:tblGrid>
      <w:tr>
        <w:trPr/>
        <w:tc>
          <w:tcPr>
            <w:tcW w:w="1404"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36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347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88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par value $0.00001 per share</w:t>
            </w:r>
          </w:p>
        </w:tc>
        <w:tc>
          <w:tcPr>
            <w:tcW w:w="136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SEER</w:t>
            </w:r>
          </w:p>
        </w:tc>
        <w:tc>
          <w:tcPr>
            <w:tcW w:w="347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32" w:before="55" w:after="30"/>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p>
            <w:pPr>
              <w:pStyle w:val="TableContents"/>
              <w:spacing w:lineRule="auto" w:line="232" w:before="55" w:after="30"/>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Select Market)</w:t>
            </w:r>
          </w:p>
        </w:tc>
      </w:tr>
    </w:tbl>
    <w:p>
      <w:pPr>
        <w:pStyle w:val="TextBody"/>
        <w:spacing w:lineRule="auto" w:line="333" w:before="120" w:after="180"/>
        <w:rPr>
          <w:rFonts w:ascii="Times New Roman;sans-serif" w:hAnsi="Times New Roman;sans-serif"/>
          <w:b w:val="false"/>
          <w:color w:val="000000"/>
          <w:sz w:val="14"/>
        </w:rPr>
      </w:pPr>
      <w:r>
        <w:rPr>
          <w:rFonts w:ascii="Times New Roman;sans-serif" w:hAnsi="Times New Roman;sans-serif"/>
          <w:b w:val="false"/>
          <w:color w:val="000000"/>
          <w:sz w:val="14"/>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lineRule="auto" w:line="333" w:before="0" w:after="180"/>
        <w:rPr>
          <w:rFonts w:ascii="Times New Roman;sans-serif" w:hAnsi="Times New Roman;sans-serif"/>
          <w:b w:val="false"/>
          <w:color w:val="000000"/>
          <w:sz w:val="14"/>
        </w:rPr>
      </w:pPr>
      <w:r>
        <w:rPr>
          <w:rFonts w:ascii="Times New Roman;sans-serif" w:hAnsi="Times New Roman;sans-serif"/>
          <w:b w:val="false"/>
          <w:color w:val="000000"/>
          <w:sz w:val="14"/>
        </w:rPr>
        <w:t xml:space="preserve">Emerging growth company ☐ </w:t>
      </w:r>
    </w:p>
    <w:p>
      <w:pPr>
        <w:pStyle w:val="TextBody"/>
        <w:spacing w:lineRule="auto" w:line="333" w:before="0" w:after="0"/>
        <w:rPr>
          <w:rFonts w:ascii="Times New Roman;sans-serif" w:hAnsi="Times New Roman;sans-serif"/>
          <w:b w:val="false"/>
          <w:color w:val="000000"/>
          <w:sz w:val="14"/>
        </w:rPr>
      </w:pPr>
      <w:r>
        <w:rPr>
          <w:rFonts w:ascii="Times New Roman;sans-serif" w:hAnsi="Times New Roman;sans-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2.02 – Results of Operations and Financial Condition.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February 28, 2022, Seer, Inc. (the "Company") issued a press release (the “Press Release”) announcing results for the quarter and year ended December 31, 2021. A copy of the Press Release is attached as Exhibit 99.1 to this current report on Form 8-K and is incorporated by reference herein.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     Exhibits</w:t>
      </w:r>
    </w:p>
    <w:p>
      <w:pPr>
        <w:pStyle w:val="TextBody"/>
        <w:spacing w:before="0" w:after="0"/>
        <w:rPr/>
      </w:pPr>
      <w:r>
        <w:rPr/>
      </w:r>
    </w:p>
    <w:tbl>
      <w:tblPr>
        <w:tblW w:w="6430" w:type="dxa"/>
        <w:jc w:val="left"/>
        <w:tblInd w:w="0" w:type="dxa"/>
        <w:tblCellMar>
          <w:top w:w="28" w:type="dxa"/>
          <w:left w:w="28" w:type="dxa"/>
          <w:bottom w:w="28" w:type="dxa"/>
          <w:right w:w="28" w:type="dxa"/>
        </w:tblCellMar>
      </w:tblPr>
      <w:tblGrid>
        <w:gridCol w:w="391"/>
        <w:gridCol w:w="344"/>
        <w:gridCol w:w="345"/>
        <w:gridCol w:w="109"/>
        <w:gridCol w:w="109"/>
        <w:gridCol w:w="109"/>
        <w:gridCol w:w="1245"/>
        <w:gridCol w:w="1245"/>
        <w:gridCol w:w="1248"/>
        <w:gridCol w:w="376"/>
        <w:gridCol w:w="376"/>
        <w:gridCol w:w="533"/>
      </w:tblGrid>
      <w:tr>
        <w:trPr/>
        <w:tc>
          <w:tcPr>
            <w:tcW w:w="39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r>
      <w:tr>
        <w:trPr/>
        <w:tc>
          <w:tcPr>
            <w:tcW w:w="10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1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8k-12312021exhibit.htm">
              <w:r>
                <w:rPr>
                  <w:rStyle w:val="InternetLink"/>
                  <w:rFonts w:ascii="Times New Roman;sans-serif" w:hAnsi="Times New Roman;sans-serif"/>
                  <w:b w:val="false"/>
                  <w:color w:val="0000FF"/>
                  <w:sz w:val="20"/>
                  <w:u w:val="single"/>
                </w:rPr>
                <w:t>99.1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3" w:type="dxa"/>
            <w:gridSpan w:val="6"/>
            <w:tcBorders/>
            <w:shd w:fill="auto" w:val="clear"/>
            <w:tcMar>
              <w:top w:w="0" w:type="dxa"/>
              <w:left w:w="0" w:type="dxa"/>
              <w:bottom w:w="0" w:type="dxa"/>
              <w:right w:w="0" w:type="dxa"/>
            </w:tcMar>
            <w:vAlign w:val="center"/>
          </w:tcPr>
          <w:p>
            <w:pPr>
              <w:pStyle w:val="TableContents"/>
              <w:spacing w:lineRule="auto" w:line="288" w:before="75" w:after="30"/>
              <w:jc w:val="left"/>
              <w:rPr>
                <w:rFonts w:ascii="Times New Roman;sans-serif" w:hAnsi="Times New Roman;sans-serif"/>
                <w:b w:val="false"/>
                <w:color w:val="000000"/>
                <w:sz w:val="20"/>
              </w:rPr>
            </w:pPr>
            <w:r>
              <w:rPr>
                <w:rFonts w:ascii="Times New Roman;sans-serif" w:hAnsi="Times New Roman;sans-serif"/>
                <w:b w:val="false"/>
                <w:color w:val="000000"/>
                <w:sz w:val="20"/>
              </w:rPr>
              <w:t>Press Release dated February 28, 2022</w:t>
            </w:r>
          </w:p>
        </w:tc>
      </w:tr>
      <w:tr>
        <w:trPr/>
        <w:tc>
          <w:tcPr>
            <w:tcW w:w="10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3" w:type="dxa"/>
            <w:gridSpan w:val="6"/>
            <w:tcBorders/>
            <w:shd w:fill="auto" w:val="clear"/>
            <w:tcMar>
              <w:top w:w="0" w:type="dxa"/>
              <w:left w:w="0" w:type="dxa"/>
              <w:bottom w:w="0" w:type="dxa"/>
              <w:right w:w="0" w:type="dxa"/>
            </w:tcMar>
            <w:vAlign w:val="center"/>
          </w:tcPr>
          <w:p>
            <w:pPr>
              <w:pStyle w:val="TableContents"/>
              <w:spacing w:lineRule="auto" w:line="23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w:t>
            </w:r>
          </w:p>
        </w:tc>
      </w:tr>
      <w:tr>
        <w:trPr/>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38" w:type="dxa"/>
            <w:gridSpan w:val="3"/>
            <w:tcBorders/>
            <w:shd w:fill="auto" w:val="clear"/>
            <w:vAlign w:val="center"/>
          </w:tcPr>
          <w:p>
            <w:pPr>
              <w:pStyle w:val="TableContents"/>
              <w:spacing w:before="0" w:after="283"/>
              <w:rPr>
                <w:sz w:val="4"/>
                <w:szCs w:val="4"/>
              </w:rPr>
            </w:pPr>
            <w:r>
              <w:rPr>
                <w:sz w:val="4"/>
                <w:szCs w:val="4"/>
              </w:rPr>
            </w:r>
          </w:p>
        </w:tc>
        <w:tc>
          <w:tcPr>
            <w:tcW w:w="1285" w:type="dxa"/>
            <w:gridSpan w:val="3"/>
            <w:tcBorders/>
            <w:shd w:fill="auto" w:val="clear"/>
          </w:tcPr>
          <w:p>
            <w:pPr>
              <w:pStyle w:val="TableContents"/>
              <w:spacing w:before="0" w:after="283"/>
              <w:rPr>
                <w:sz w:val="4"/>
                <w:szCs w:val="4"/>
              </w:rPr>
            </w:pPr>
            <w:r>
              <w:rPr>
                <w:sz w:val="4"/>
                <w:szCs w:val="4"/>
              </w:rPr>
            </w:r>
          </w:p>
        </w:tc>
      </w:tr>
    </w:tbl>
    <w:p>
      <w:pPr>
        <w:pStyle w:val="TextBody"/>
        <w:spacing w:before="0" w:after="12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360" w:after="283"/>
        <w:jc w:val="center"/>
        <w:rPr/>
      </w:pPr>
      <w:r>
        <w:rPr/>
      </w: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spacing w:before="0" w:after="0"/>
        <w:ind w:left="0" w:right="0" w:firstLine="7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spacing w:before="0" w:after="0"/>
        <w:rPr/>
      </w:pPr>
      <w:r>
        <w:rPr/>
      </w:r>
    </w:p>
    <w:tbl>
      <w:tblPr>
        <w:tblW w:w="4472" w:type="dxa"/>
        <w:jc w:val="left"/>
        <w:tblInd w:w="0" w:type="dxa"/>
        <w:tblCellMar>
          <w:top w:w="28" w:type="dxa"/>
          <w:left w:w="28" w:type="dxa"/>
          <w:bottom w:w="28" w:type="dxa"/>
          <w:right w:w="28" w:type="dxa"/>
        </w:tblCellMar>
      </w:tblPr>
      <w:tblGrid>
        <w:gridCol w:w="124"/>
        <w:gridCol w:w="109"/>
        <w:gridCol w:w="109"/>
        <w:gridCol w:w="529"/>
        <w:gridCol w:w="529"/>
        <w:gridCol w:w="531"/>
        <w:gridCol w:w="177"/>
        <w:gridCol w:w="177"/>
        <w:gridCol w:w="177"/>
        <w:gridCol w:w="587"/>
        <w:gridCol w:w="587"/>
        <w:gridCol w:w="83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SEER,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Horn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Horn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33" w:before="0" w:after="160"/>
        <w:rPr>
          <w:rFonts w:ascii="Arial;sans-serif" w:hAnsi="Arial;sans-serif"/>
          <w:b/>
          <w:color w:val="000000"/>
          <w:sz w:val="20"/>
        </w:rPr>
      </w:pPr>
      <w:r>
        <w:rPr>
          <w:rFonts w:ascii="Arial;sans-serif" w:hAnsi="Arial;sans-serif"/>
          <w:b/>
          <w:color w:val="000000"/>
          <w:sz w:val="20"/>
        </w:rPr>
        <w:t xml:space="preserve">Ex 99.1 </w:t>
      </w:r>
    </w:p>
    <w:p>
      <w:pPr>
        <w:pStyle w:val="TextBody"/>
        <w:spacing w:lineRule="auto" w:line="240" w:before="0" w:after="0"/>
        <w:jc w:val="center"/>
        <w:rPr>
          <w:rFonts w:ascii="Arial;sans-serif" w:hAnsi="Arial;sans-serif"/>
          <w:b/>
          <w:color w:val="000000"/>
          <w:sz w:val="24"/>
        </w:rPr>
      </w:pPr>
      <w:r>
        <w:rPr>
          <w:rFonts w:ascii="Arial;sans-serif" w:hAnsi="Arial;sans-serif"/>
          <w:b/>
          <w:color w:val="000000"/>
          <w:sz w:val="24"/>
        </w:rPr>
        <w:t>Seer Reports Fourth Quarter and Full Year 2021 Financial Results and Provides Full Year 2022 Outlook</w:t>
      </w:r>
    </w:p>
    <w:p>
      <w:pPr>
        <w:pStyle w:val="TextBody"/>
        <w:spacing w:before="0" w:after="0"/>
        <w:jc w:val="center"/>
        <w:rPr/>
      </w:pPr>
      <w:r>
        <w:rPr/>
      </w:r>
    </w:p>
    <w:p>
      <w:pPr>
        <w:pStyle w:val="TextBody"/>
        <w:spacing w:lineRule="auto" w:line="333" w:before="0" w:after="0"/>
        <w:jc w:val="center"/>
        <w:rPr>
          <w:rFonts w:ascii="Arial;sans-serif" w:hAnsi="Arial;sans-serif"/>
          <w:b w:val="false"/>
          <w:i/>
          <w:color w:val="000000"/>
          <w:sz w:val="22"/>
        </w:rPr>
      </w:pPr>
      <w:r>
        <w:rPr>
          <w:rFonts w:ascii="Arial;sans-serif" w:hAnsi="Arial;sans-serif"/>
          <w:b w:val="false"/>
          <w:i/>
          <w:color w:val="000000"/>
          <w:sz w:val="22"/>
        </w:rPr>
        <w:t xml:space="preserve">Demonstrated tangible market progress and shipped 17 instruments through year end 2021 </w:t>
      </w:r>
    </w:p>
    <w:p>
      <w:pPr>
        <w:pStyle w:val="TextBody"/>
        <w:spacing w:lineRule="auto" w:line="319" w:before="0" w:after="0"/>
        <w:jc w:val="both"/>
        <w:rPr/>
      </w:pPr>
      <w:r>
        <w:rPr>
          <w:rFonts w:ascii="Arial;sans-serif" w:hAnsi="Arial;sans-serif"/>
          <w:b/>
          <w:color w:val="000000"/>
          <w:sz w:val="20"/>
        </w:rPr>
        <w:t xml:space="preserve">REDWOOD CITY, Calif. </w:t>
      </w:r>
      <w:r>
        <w:rPr>
          <w:rFonts w:ascii="Arial;sans-serif" w:hAnsi="Arial;sans-serif"/>
          <w:b w:val="false"/>
          <w:color w:val="000000"/>
          <w:sz w:val="20"/>
        </w:rPr>
        <w:t>Feb 28, 2022 – Seer, Inc. (Nasdaq: SEER), a life sciences company commercializing a disruptive new platform for proteomics, today reported financial results for the fourth quarter and full year ended December 31, 2021.</w:t>
      </w:r>
    </w:p>
    <w:p>
      <w:pPr>
        <w:pStyle w:val="TextBody"/>
        <w:spacing w:before="0" w:after="0"/>
        <w:jc w:val="both"/>
        <w:rPr/>
      </w:pPr>
      <w:r>
        <w:rPr/>
      </w:r>
    </w:p>
    <w:p>
      <w:pPr>
        <w:pStyle w:val="TextBody"/>
        <w:spacing w:lineRule="auto" w:line="240" w:before="0" w:after="0"/>
        <w:rPr>
          <w:color w:val="000000"/>
        </w:rPr>
      </w:pPr>
      <w:r>
        <w:rPr>
          <w:color w:val="000000"/>
        </w:rPr>
        <w:t>“</w:t>
      </w:r>
      <w:r>
        <w:rPr>
          <w:rFonts w:ascii="Arial;sans-serif" w:hAnsi="Arial;sans-serif"/>
          <w:b w:val="false"/>
          <w:color w:val="000000"/>
          <w:sz w:val="20"/>
        </w:rPr>
        <w:t xml:space="preserve">This has been a momentous year for Seer, one that paved the way for our technology in the hands of lighthouse collaborators and customers, demonstrated the unique benefits of our technology, and positioned Seer to open up new possibilities for researchers with an unbiased, scalable approach to proteomics,” said Omid Farokhzad, Chief Executive Officer and Chair, “As we enter 2022, we are excited about our market opportunity, confident in what the Proteograph Product Suite can deliver and ready to serve an expanding customer base as we move forward with broad commercial release of the Proteograph.” </w:t>
      </w:r>
    </w:p>
    <w:p>
      <w:pPr>
        <w:pStyle w:val="TextBody"/>
        <w:spacing w:before="0" w:after="0"/>
        <w:jc w:val="both"/>
        <w:rPr/>
      </w:pPr>
      <w:r>
        <w:rPr/>
      </w:r>
    </w:p>
    <w:p>
      <w:pPr>
        <w:pStyle w:val="TextBody"/>
        <w:spacing w:lineRule="auto" w:line="333" w:before="120" w:after="120"/>
        <w:jc w:val="both"/>
        <w:rPr>
          <w:rFonts w:ascii="Arial;sans-serif" w:hAnsi="Arial;sans-serif"/>
          <w:b/>
          <w:color w:val="000000"/>
          <w:sz w:val="20"/>
        </w:rPr>
      </w:pPr>
      <w:r>
        <w:rPr>
          <w:rFonts w:ascii="Arial;sans-serif" w:hAnsi="Arial;sans-serif"/>
          <w:b/>
          <w:color w:val="000000"/>
          <w:sz w:val="20"/>
        </w:rPr>
        <w:t xml:space="preserve">Recent Highlights </w:t>
      </w:r>
    </w:p>
    <w:p>
      <w:pPr>
        <w:pStyle w:val="TextBody"/>
        <w:spacing w:lineRule="auto" w:line="319" w:before="0" w:after="120"/>
        <w:ind w:left="0" w:right="0" w:hanging="360"/>
        <w:jc w:val="both"/>
        <w:rPr/>
      </w:pPr>
      <w:r>
        <w:rPr>
          <w:color w:val="000000"/>
        </w:rPr>
        <w:t>•</w:t>
      </w:r>
      <w:r>
        <w:rPr>
          <w:rFonts w:ascii="Arial;sans-serif" w:hAnsi="Arial;sans-serif"/>
          <w:b w:val="false"/>
          <w:color w:val="000000"/>
          <w:sz w:val="20"/>
        </w:rPr>
        <w:t xml:space="preserve">Revenue of $6.6 million for the full year 2021, inclusive of $3.1 million for the fourth quarter </w:t>
      </w:r>
    </w:p>
    <w:p>
      <w:pPr>
        <w:pStyle w:val="TextBody"/>
        <w:spacing w:lineRule="auto" w:line="319" w:before="0" w:after="120"/>
        <w:ind w:left="0" w:right="0" w:hanging="360"/>
        <w:jc w:val="both"/>
        <w:rPr/>
      </w:pPr>
      <w:r>
        <w:rPr>
          <w:color w:val="000000"/>
        </w:rPr>
        <w:t>•</w:t>
      </w:r>
      <w:r>
        <w:rPr>
          <w:rFonts w:ascii="Arial;sans-serif" w:hAnsi="Arial;sans-serif"/>
          <w:b w:val="false"/>
          <w:color w:val="000000"/>
          <w:sz w:val="20"/>
        </w:rPr>
        <w:t xml:space="preserve">Commenced broad commercial release of the Proteograph Product Suite, with multiple orders pre-booked </w:t>
      </w:r>
    </w:p>
    <w:p>
      <w:pPr>
        <w:pStyle w:val="TextBody"/>
        <w:spacing w:lineRule="auto" w:line="319" w:before="0" w:after="120"/>
        <w:ind w:left="0" w:right="0" w:hanging="360"/>
        <w:jc w:val="both"/>
        <w:rPr/>
      </w:pPr>
      <w:r>
        <w:rPr>
          <w:color w:val="000000"/>
        </w:rPr>
        <w:t>•</w:t>
      </w:r>
      <w:r>
        <w:rPr>
          <w:rFonts w:ascii="Arial;sans-serif" w:hAnsi="Arial;sans-serif"/>
          <w:b w:val="false"/>
          <w:color w:val="000000"/>
          <w:sz w:val="20"/>
        </w:rPr>
        <w:t xml:space="preserve">Created the Proteogenomics Consortium with Discovery Life Sciences and SCIEX in January 2022, a first-of-its-kind, multi-year collaboration for large-scale studies, to offer deep, unbiased proteomics with capacity ramping to over 100,000 samples per year </w:t>
      </w:r>
    </w:p>
    <w:p>
      <w:pPr>
        <w:pStyle w:val="TextBody"/>
        <w:spacing w:lineRule="auto" w:line="319" w:before="0" w:after="120"/>
        <w:ind w:left="0" w:right="0" w:hanging="360"/>
        <w:jc w:val="both"/>
        <w:rPr/>
      </w:pPr>
      <w:r>
        <w:rPr>
          <w:color w:val="000000"/>
        </w:rPr>
        <w:t>•</w:t>
      </w:r>
      <w:r>
        <w:rPr>
          <w:rFonts w:ascii="Arial;sans-serif" w:hAnsi="Arial;sans-serif"/>
          <w:b w:val="false"/>
          <w:color w:val="000000"/>
          <w:sz w:val="20"/>
        </w:rPr>
        <w:t>Launched the Centers of Excellence program with providers in North America, Europe, and Asia Pacific</w:t>
      </w:r>
    </w:p>
    <w:p>
      <w:pPr>
        <w:pStyle w:val="TextBody"/>
        <w:spacing w:lineRule="auto" w:line="319" w:before="0" w:after="120"/>
        <w:ind w:left="0" w:right="0" w:hanging="360"/>
        <w:jc w:val="both"/>
        <w:rPr/>
      </w:pPr>
      <w:r>
        <w:rPr>
          <w:color w:val="000000"/>
        </w:rPr>
        <w:t>•</w:t>
      </w:r>
      <w:r>
        <w:rPr>
          <w:rFonts w:ascii="Arial;sans-serif" w:hAnsi="Arial;sans-serif"/>
          <w:b w:val="false"/>
          <w:color w:val="000000"/>
          <w:sz w:val="20"/>
        </w:rPr>
        <w:t>Added Meeta Gulyani, Head of Strategy, Business Development and Transformation for the Life Science business of Merck KGaA, Darmstadt, Germany and Rachel Haurwitz, Ph.D, CEO of Caribou Biosciences, to the Board of Directors</w:t>
      </w:r>
    </w:p>
    <w:p>
      <w:pPr>
        <w:pStyle w:val="TextBody"/>
        <w:spacing w:lineRule="auto" w:line="333" w:before="120" w:after="120"/>
        <w:jc w:val="both"/>
        <w:rPr>
          <w:rFonts w:ascii="Arial;sans-serif" w:hAnsi="Arial;sans-serif"/>
          <w:b/>
          <w:color w:val="000000"/>
          <w:sz w:val="20"/>
        </w:rPr>
      </w:pPr>
      <w:r>
        <w:rPr>
          <w:rFonts w:ascii="Arial;sans-serif" w:hAnsi="Arial;sans-serif"/>
          <w:b/>
          <w:color w:val="000000"/>
          <w:sz w:val="20"/>
        </w:rPr>
        <w:t>Fourth Quarter 2021 Financial Results</w:t>
      </w:r>
    </w:p>
    <w:p>
      <w:pPr>
        <w:pStyle w:val="TextBody"/>
        <w:spacing w:lineRule="auto" w:line="319" w:before="0" w:after="0"/>
        <w:jc w:val="both"/>
        <w:rPr>
          <w:rFonts w:ascii="Arial;sans-serif" w:hAnsi="Arial;sans-serif"/>
          <w:b w:val="false"/>
          <w:color w:val="000000"/>
          <w:sz w:val="20"/>
        </w:rPr>
      </w:pPr>
      <w:r>
        <w:rPr>
          <w:rFonts w:ascii="Arial;sans-serif" w:hAnsi="Arial;sans-serif"/>
          <w:b w:val="false"/>
          <w:color w:val="000000"/>
          <w:sz w:val="20"/>
        </w:rPr>
        <w:t xml:space="preserve">Revenue was $3.1 million for the three months ended December 31, 2021, as compared to $336 thousand for the three months ended December 31, 2020. The increase was the result of increased sales of the Proteograph Product Suite, including SP100 instruments, consumable kits and product evaluations in the fourth of quarter of 2021. Product-related revenue was $3.0 million, including $1.2 million of related party revenue, and grant revenue was $34 thousand. </w:t>
      </w:r>
    </w:p>
    <w:p>
      <w:pPr>
        <w:pStyle w:val="TextBody"/>
        <w:spacing w:before="0" w:after="0"/>
        <w:jc w:val="both"/>
        <w:rPr/>
      </w:pPr>
      <w:r>
        <w:rPr/>
      </w:r>
    </w:p>
    <w:p>
      <w:pPr>
        <w:pStyle w:val="TextBody"/>
        <w:spacing w:lineRule="auto" w:line="319" w:before="0" w:after="0"/>
        <w:jc w:val="both"/>
        <w:rPr>
          <w:rFonts w:ascii="Arial;sans-serif" w:hAnsi="Arial;sans-serif"/>
          <w:b w:val="false"/>
          <w:color w:val="000000"/>
          <w:sz w:val="20"/>
        </w:rPr>
      </w:pPr>
      <w:r>
        <w:rPr>
          <w:rFonts w:ascii="Arial;sans-serif" w:hAnsi="Arial;sans-serif"/>
          <w:b w:val="false"/>
          <w:color w:val="000000"/>
          <w:sz w:val="20"/>
        </w:rPr>
        <w:t xml:space="preserve">Gross profit, inclusive of grant revenue, was $1.4 million and gross margin was 47% for the fourth quarter of 2021. </w:t>
      </w:r>
    </w:p>
    <w:p>
      <w:pPr>
        <w:pStyle w:val="TextBody"/>
        <w:spacing w:before="0" w:after="0"/>
        <w:jc w:val="both"/>
        <w:rPr/>
      </w:pPr>
      <w:r>
        <w:rPr/>
      </w:r>
    </w:p>
    <w:p>
      <w:pPr>
        <w:pStyle w:val="TextBody"/>
        <w:spacing w:lineRule="auto" w:line="319" w:before="0" w:after="0"/>
        <w:jc w:val="both"/>
        <w:rPr>
          <w:rFonts w:ascii="Arial;sans-serif" w:hAnsi="Arial;sans-serif"/>
          <w:b w:val="false"/>
          <w:color w:val="000000"/>
          <w:sz w:val="20"/>
        </w:rPr>
      </w:pPr>
      <w:r>
        <w:rPr>
          <w:rFonts w:ascii="Arial;sans-serif" w:hAnsi="Arial;sans-serif"/>
          <w:b w:val="false"/>
          <w:color w:val="000000"/>
          <w:sz w:val="20"/>
        </w:rPr>
        <w:t>Operating expenses were $21.3 million for the fourth quarter of 2021, as compared to $13.4 million for the corresponding prior year period. The increase in expenses was driven by increased employee compensation and other related expenses, including stock-based compensation and increased costs related to being a publicly traded company.</w:t>
      </w:r>
    </w:p>
    <w:p>
      <w:pPr>
        <w:pStyle w:val="TextBody"/>
        <w:spacing w:before="0" w:after="0"/>
        <w:jc w:val="both"/>
        <w:rPr/>
      </w:pPr>
      <w:r>
        <w:rPr/>
      </w:r>
    </w:p>
    <w:p>
      <w:pPr>
        <w:pStyle w:val="TextBody"/>
        <w:spacing w:lineRule="auto" w:line="319" w:before="0" w:after="0"/>
        <w:jc w:val="both"/>
        <w:rPr>
          <w:rFonts w:ascii="Arial;sans-serif" w:hAnsi="Arial;sans-serif"/>
          <w:b w:val="false"/>
          <w:color w:val="000000"/>
          <w:sz w:val="20"/>
        </w:rPr>
      </w:pPr>
      <w:r>
        <w:rPr>
          <w:rFonts w:ascii="Arial;sans-serif" w:hAnsi="Arial;sans-serif"/>
          <w:b w:val="false"/>
          <w:color w:val="000000"/>
          <w:sz w:val="20"/>
        </w:rPr>
        <w:t>Net loss was $19.7 million for the fourth quarter of 2021, as compared to $12.9 million for the corresponding prior year period.</w:t>
      </w:r>
    </w:p>
    <w:p>
      <w:pPr>
        <w:pStyle w:val="TextBody"/>
        <w:spacing w:before="0" w:after="0"/>
        <w:jc w:val="both"/>
        <w:rPr/>
      </w:pPr>
      <w:r>
        <w:rPr/>
      </w:r>
    </w:p>
    <w:p>
      <w:pPr>
        <w:pStyle w:val="TextBody"/>
        <w:spacing w:lineRule="auto" w:line="240" w:before="0" w:after="0"/>
        <w:jc w:val="both"/>
        <w:rPr>
          <w:rFonts w:ascii="Arial;sans-serif" w:hAnsi="Arial;sans-serif"/>
          <w:b/>
          <w:color w:val="000000"/>
          <w:sz w:val="20"/>
        </w:rPr>
      </w:pPr>
      <w:r>
        <w:rPr>
          <w:rFonts w:ascii="Arial;sans-serif" w:hAnsi="Arial;sans-serif"/>
          <w:b/>
          <w:color w:val="000000"/>
          <w:sz w:val="20"/>
        </w:rPr>
        <w:t>Full Year 2021 Financial Results</w:t>
      </w:r>
    </w:p>
    <w:p>
      <w:pPr>
        <w:pStyle w:val="TextBody"/>
        <w:spacing w:before="0" w:after="0"/>
        <w:jc w:val="both"/>
        <w:rPr/>
      </w:pPr>
      <w:r>
        <w:rPr/>
      </w:r>
    </w:p>
    <w:p>
      <w:pPr>
        <w:pStyle w:val="TextBody"/>
        <w:spacing w:lineRule="auto" w:line="319"/>
        <w:jc w:val="both"/>
        <w:rPr>
          <w:rFonts w:ascii="Arial;sans-serif" w:hAnsi="Arial;sans-serif"/>
          <w:b w:val="false"/>
          <w:color w:val="000000"/>
          <w:sz w:val="20"/>
        </w:rPr>
      </w:pPr>
      <w:r>
        <w:rPr>
          <w:rFonts w:ascii="Arial;sans-serif" w:hAnsi="Arial;sans-serif"/>
          <w:b w:val="false"/>
          <w:color w:val="000000"/>
          <w:sz w:val="20"/>
        </w:rPr>
        <w:t xml:space="preserve">Revenue was $6.6 million for the year ended December 31, 2021, as compared to $656 thousand for the year ended December 31, 2020. Product-related revenue was $5.9 million, including $2.3 million of related party revenue, service revenue was $500 thousand and grant and other revenue was $223 thousand. </w:t>
      </w:r>
      <w:r>
        <w:br w:type="page"/>
      </w:r>
    </w:p>
    <w:p>
      <w:pPr>
        <w:pStyle w:val="TextBody"/>
        <w:spacing w:before="0" w:after="0"/>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6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6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jc w:val="both"/>
        <w:rPr/>
      </w:pPr>
      <w:r>
        <w:rPr/>
      </w:r>
    </w:p>
    <w:p>
      <w:pPr>
        <w:pStyle w:val="TextBody"/>
        <w:spacing w:lineRule="auto" w:line="319" w:before="0" w:after="0"/>
        <w:jc w:val="both"/>
        <w:rPr>
          <w:rFonts w:ascii="Arial;sans-serif" w:hAnsi="Arial;sans-serif"/>
          <w:b w:val="false"/>
          <w:color w:val="000000"/>
          <w:sz w:val="20"/>
        </w:rPr>
      </w:pPr>
      <w:r>
        <w:rPr>
          <w:rFonts w:ascii="Arial;sans-serif" w:hAnsi="Arial;sans-serif"/>
          <w:b w:val="false"/>
          <w:color w:val="000000"/>
          <w:sz w:val="20"/>
        </w:rPr>
        <w:t xml:space="preserve">Gross profit, inclusive of grant revenue, was $3.4 million and gross margin was 52% for the full year 2021. </w:t>
      </w:r>
    </w:p>
    <w:p>
      <w:pPr>
        <w:pStyle w:val="TextBody"/>
        <w:spacing w:before="0" w:after="0"/>
        <w:jc w:val="both"/>
        <w:rPr/>
      </w:pPr>
      <w:r>
        <w:rPr/>
      </w:r>
    </w:p>
    <w:p>
      <w:pPr>
        <w:pStyle w:val="TextBody"/>
        <w:spacing w:lineRule="auto" w:line="319" w:before="0" w:after="0"/>
        <w:jc w:val="both"/>
        <w:rPr>
          <w:rFonts w:ascii="Arial;sans-serif" w:hAnsi="Arial;sans-serif"/>
          <w:b w:val="false"/>
          <w:color w:val="000000"/>
          <w:sz w:val="20"/>
        </w:rPr>
      </w:pPr>
      <w:r>
        <w:rPr>
          <w:rFonts w:ascii="Arial;sans-serif" w:hAnsi="Arial;sans-serif"/>
          <w:b w:val="false"/>
          <w:color w:val="000000"/>
          <w:sz w:val="20"/>
        </w:rPr>
        <w:t xml:space="preserve">Operating expenses were $74.9 million for the full year 2021, as compared to $34.3 million for the corresponding prior year period. </w:t>
      </w:r>
    </w:p>
    <w:p>
      <w:pPr>
        <w:pStyle w:val="TextBody"/>
        <w:spacing w:before="0" w:after="0"/>
        <w:jc w:val="both"/>
        <w:rPr/>
      </w:pPr>
      <w:r>
        <w:rPr/>
      </w:r>
    </w:p>
    <w:p>
      <w:pPr>
        <w:pStyle w:val="TextBody"/>
        <w:spacing w:lineRule="auto" w:line="319" w:before="0" w:after="0"/>
        <w:jc w:val="both"/>
        <w:rPr>
          <w:rFonts w:ascii="Arial;sans-serif" w:hAnsi="Arial;sans-serif"/>
          <w:b w:val="false"/>
          <w:color w:val="000000"/>
          <w:sz w:val="20"/>
        </w:rPr>
      </w:pPr>
      <w:r>
        <w:rPr>
          <w:rFonts w:ascii="Arial;sans-serif" w:hAnsi="Arial;sans-serif"/>
          <w:b w:val="false"/>
          <w:color w:val="000000"/>
          <w:sz w:val="20"/>
        </w:rPr>
        <w:t>Net loss was $71.2 million for the full year 2021, as compared to $32.8 million for the corresponding prior year period.</w:t>
      </w:r>
    </w:p>
    <w:p>
      <w:pPr>
        <w:pStyle w:val="TextBody"/>
        <w:spacing w:before="0" w:after="0"/>
        <w:jc w:val="both"/>
        <w:rPr/>
      </w:pPr>
      <w:r>
        <w:rPr/>
      </w:r>
    </w:p>
    <w:p>
      <w:pPr>
        <w:pStyle w:val="TextBody"/>
        <w:spacing w:lineRule="auto" w:line="319" w:before="0" w:after="0"/>
        <w:jc w:val="both"/>
        <w:rPr>
          <w:rFonts w:ascii="Arial;sans-serif" w:hAnsi="Arial;sans-serif"/>
          <w:b w:val="false"/>
          <w:color w:val="000000"/>
          <w:sz w:val="20"/>
        </w:rPr>
      </w:pPr>
      <w:r>
        <w:rPr>
          <w:rFonts w:ascii="Arial;sans-serif" w:hAnsi="Arial;sans-serif"/>
          <w:b w:val="false"/>
          <w:color w:val="000000"/>
          <w:sz w:val="20"/>
        </w:rPr>
        <w:t>Cash, cash equivalents and investments were $493.3 million as of December 31, 2021.</w:t>
      </w:r>
    </w:p>
    <w:p>
      <w:pPr>
        <w:pStyle w:val="TextBody"/>
        <w:spacing w:before="0" w:after="0"/>
        <w:jc w:val="both"/>
        <w:rPr/>
      </w:pPr>
      <w:r>
        <w:rPr/>
      </w:r>
    </w:p>
    <w:p>
      <w:pPr>
        <w:pStyle w:val="TextBody"/>
        <w:spacing w:lineRule="auto" w:line="333" w:before="120" w:after="120"/>
        <w:jc w:val="both"/>
        <w:rPr>
          <w:rFonts w:ascii="Arial;sans-serif" w:hAnsi="Arial;sans-serif"/>
          <w:b/>
          <w:color w:val="000000"/>
          <w:sz w:val="20"/>
        </w:rPr>
      </w:pPr>
      <w:r>
        <w:rPr>
          <w:rFonts w:ascii="Arial;sans-serif" w:hAnsi="Arial;sans-serif"/>
          <w:b/>
          <w:color w:val="000000"/>
          <w:sz w:val="20"/>
        </w:rPr>
        <w:t xml:space="preserve">2022 Guidance </w:t>
      </w:r>
    </w:p>
    <w:p>
      <w:pPr>
        <w:pStyle w:val="TextBody"/>
        <w:spacing w:lineRule="auto" w:line="319" w:before="0" w:after="0"/>
        <w:jc w:val="both"/>
        <w:rPr>
          <w:rFonts w:ascii="Arial;sans-serif" w:hAnsi="Arial;sans-serif"/>
          <w:b w:val="false"/>
          <w:color w:val="000000"/>
          <w:sz w:val="20"/>
        </w:rPr>
      </w:pPr>
      <w:r>
        <w:rPr>
          <w:rFonts w:ascii="Arial;sans-serif" w:hAnsi="Arial;sans-serif"/>
          <w:b w:val="false"/>
          <w:color w:val="000000"/>
          <w:sz w:val="20"/>
        </w:rPr>
        <w:t xml:space="preserve">Seer expects full year 2022 revenue to be in the range of $14.0 million to $16.0 million. In 2022, Seer also expects to continue to increase investments in its commercial, operations and research and development activities in order to drive long-term growth and value creation. </w:t>
      </w:r>
    </w:p>
    <w:p>
      <w:pPr>
        <w:pStyle w:val="TextBody"/>
        <w:spacing w:before="0" w:after="0"/>
        <w:jc w:val="both"/>
        <w:rPr/>
      </w:pPr>
      <w:r>
        <w:rPr/>
      </w:r>
    </w:p>
    <w:p>
      <w:pPr>
        <w:pStyle w:val="TextBody"/>
        <w:spacing w:lineRule="auto" w:line="333" w:before="120" w:after="120"/>
        <w:jc w:val="both"/>
        <w:rPr>
          <w:rFonts w:ascii="Arial;sans-serif" w:hAnsi="Arial;sans-serif"/>
          <w:b/>
          <w:color w:val="000000"/>
          <w:sz w:val="20"/>
        </w:rPr>
      </w:pPr>
      <w:r>
        <w:rPr>
          <w:rFonts w:ascii="Arial;sans-serif" w:hAnsi="Arial;sans-serif"/>
          <w:b/>
          <w:color w:val="000000"/>
          <w:sz w:val="20"/>
        </w:rPr>
        <w:t>Webcast Information</w:t>
      </w:r>
    </w:p>
    <w:p>
      <w:pPr>
        <w:pStyle w:val="TextBody"/>
        <w:spacing w:lineRule="auto" w:line="319" w:before="0" w:after="0"/>
        <w:jc w:val="both"/>
        <w:rPr/>
      </w:pPr>
      <w:r>
        <w:rPr>
          <w:rFonts w:ascii="Arial;sans-serif" w:hAnsi="Arial;sans-serif"/>
          <w:b w:val="false"/>
          <w:color w:val="000000"/>
          <w:sz w:val="20"/>
        </w:rPr>
        <w:t xml:space="preserve">Seer will host a conference call to discuss the fourth quarter and full year 2021 financial results on Monday, February 28, 2022 at 1:30 pm Pacific Time / 4:30 pm Eastern Time. A webcast of the conference call can be accessed at </w:t>
      </w:r>
      <w:r>
        <w:rPr>
          <w:rFonts w:ascii="Arial;sans-serif" w:hAnsi="Arial;sans-serif"/>
          <w:b w:val="false"/>
          <w:color w:val="0000FF"/>
          <w:sz w:val="20"/>
        </w:rPr>
        <w:t xml:space="preserve">http://investor.seer.bio. </w:t>
      </w:r>
      <w:r>
        <w:rPr>
          <w:rFonts w:ascii="Arial;sans-serif" w:hAnsi="Arial;sans-serif"/>
          <w:b w:val="false"/>
          <w:color w:val="000000"/>
          <w:sz w:val="20"/>
        </w:rPr>
        <w:t xml:space="preserve">The webcast will be archived and available for replay for at least 90 days after the event. </w:t>
      </w:r>
    </w:p>
    <w:p>
      <w:pPr>
        <w:pStyle w:val="TextBody"/>
        <w:spacing w:before="0" w:after="0"/>
        <w:jc w:val="both"/>
        <w:rPr/>
      </w:pPr>
      <w:r>
        <w:rPr/>
      </w:r>
    </w:p>
    <w:p>
      <w:pPr>
        <w:pStyle w:val="TextBody"/>
        <w:spacing w:lineRule="auto" w:line="333" w:before="120" w:after="120"/>
        <w:jc w:val="both"/>
        <w:rPr>
          <w:rFonts w:ascii="Arial;sans-serif" w:hAnsi="Arial;sans-serif"/>
          <w:b/>
          <w:color w:val="000000"/>
          <w:sz w:val="20"/>
        </w:rPr>
      </w:pPr>
      <w:r>
        <w:rPr>
          <w:rFonts w:ascii="Arial;sans-serif" w:hAnsi="Arial;sans-serif"/>
          <w:b/>
          <w:color w:val="000000"/>
          <w:sz w:val="20"/>
        </w:rPr>
        <w:t>About Seer</w:t>
      </w:r>
    </w:p>
    <w:p>
      <w:pPr>
        <w:pStyle w:val="TextBody"/>
        <w:spacing w:lineRule="auto" w:line="319" w:before="0" w:after="0"/>
        <w:jc w:val="both"/>
        <w:rPr/>
      </w:pPr>
      <w:r>
        <w:rPr>
          <w:rFonts w:ascii="Arial;sans-serif" w:hAnsi="Arial;sans-serif"/>
          <w:b w:val="false"/>
          <w:color w:val="000000"/>
          <w:sz w:val="20"/>
        </w:rPr>
        <w:t>Seer™ is a life sciences company developing transformative products that open a new gateway to the proteome. Seer’s Proteograph™ Product Suite is an integrated solution that includes proprietary engineered nanoparticles, consumables, automation instrumentation and software to perform deep, unbiased proteomic analysis at scale in a matter of hours. Seer designed the Proteograph workflow to be efficient and easy to use, leveraging widely adopted laboratory instrumentation to provide a decentralized solution that can be incorporated by nearly any lab. Seer’s Proteograph Product Suite is for research use only and is not intended for diagnostic procedures. For more information, please visit </w:t>
      </w:r>
      <w:r>
        <w:rPr>
          <w:rFonts w:ascii="Arial;sans-serif" w:hAnsi="Arial;sans-serif"/>
          <w:b w:val="false"/>
          <w:color w:val="0000FF"/>
          <w:sz w:val="20"/>
          <w:u w:val="single"/>
        </w:rPr>
        <w:t>www.seer.bio</w:t>
      </w:r>
      <w:r>
        <w:rPr>
          <w:rFonts w:ascii="Arial;sans-serif" w:hAnsi="Arial;sans-serif"/>
          <w:b w:val="false"/>
          <w:color w:val="000000"/>
          <w:sz w:val="20"/>
        </w:rPr>
        <w:t>.</w:t>
      </w:r>
    </w:p>
    <w:p>
      <w:pPr>
        <w:pStyle w:val="TextBody"/>
        <w:spacing w:before="0" w:after="0"/>
        <w:jc w:val="both"/>
        <w:rPr/>
      </w:pPr>
      <w:r>
        <w:rPr/>
      </w:r>
    </w:p>
    <w:p>
      <w:pPr>
        <w:pStyle w:val="TextBody"/>
        <w:spacing w:lineRule="auto" w:line="333" w:before="120" w:after="120"/>
        <w:jc w:val="both"/>
        <w:rPr>
          <w:rFonts w:ascii="Arial;sans-serif" w:hAnsi="Arial;sans-serif"/>
          <w:b/>
          <w:color w:val="000000"/>
          <w:sz w:val="20"/>
        </w:rPr>
      </w:pPr>
      <w:r>
        <w:rPr>
          <w:rFonts w:ascii="Arial;sans-serif" w:hAnsi="Arial;sans-serif"/>
          <w:b/>
          <w:color w:val="000000"/>
          <w:sz w:val="20"/>
        </w:rPr>
        <w:t>Forward Looking Statements</w:t>
      </w:r>
    </w:p>
    <w:p>
      <w:pPr>
        <w:pStyle w:val="TextBody"/>
        <w:spacing w:lineRule="auto" w:line="319" w:before="0" w:after="0"/>
        <w:rPr>
          <w:rFonts w:ascii="Arial;sans-serif" w:hAnsi="Arial;sans-serif"/>
          <w:b w:val="false"/>
          <w:color w:val="000000"/>
          <w:sz w:val="20"/>
        </w:rPr>
      </w:pPr>
      <w:r>
        <w:rPr>
          <w:rFonts w:ascii="Arial;sans-serif" w:hAnsi="Arial;sans-serif"/>
          <w:b w:val="false"/>
          <w:color w:val="000000"/>
          <w:sz w:val="20"/>
        </w:rPr>
        <w:t xml:space="preserve">This press release contains “forward-looking statements” within the meaning of the Private Securities Litigation Reform Act of 1995, as amended, that reflect the Company’s current views with respect to certain current and future events and financial performance. Words such as “expects,” “anticipates,” “projects,” “intends,” “plans,” “believes,” “estimates,” variations of such words, and similar expressions are also intended to identify such forward-looking statements. Such forward-looking statements are based on the Company’s beliefs and assumptions and on information currently available to it on the date of this press release. Forward-looking statements may involve known and unknown risks, uncertainties and other factors that may cause the Company’s actual results, performance or achievements to be materially different from those expressed or implied by the forward-looking statements, including but not limited to statements regarding the Company’s outlook for fiscal year 2022 and its ability to imagine and pioneer new ways to decode the secrets of the proteome to improve human health. These and other risks are described more fully in the Company’s filings with the Securities and Exchange Commission (“SEC”), including the Company’s Annual Report on Form 10-K, to be filed with the SEC on March 1, 2022, and other documents the Company subsequently files with the SEC from time to time. Except to the extent required by law, the Company undertakes no obligation to update such statements to reflect events that occur or circumstances that exist after the date on which they were made. </w:t>
      </w:r>
    </w:p>
    <w:p>
      <w:pPr>
        <w:pStyle w:val="TextBody"/>
        <w:spacing w:before="0" w:after="0"/>
        <w:rPr/>
      </w:pPr>
      <w:r>
        <w:rPr/>
      </w:r>
    </w:p>
    <w:p>
      <w:pPr>
        <w:pStyle w:val="TextBody"/>
        <w:spacing w:lineRule="auto" w:line="333" w:before="0" w:after="0"/>
        <w:jc w:val="both"/>
        <w:rPr>
          <w:rFonts w:ascii="Arial;sans-serif" w:hAnsi="Arial;sans-serif"/>
          <w:b w:val="false"/>
          <w:color w:val="000000"/>
          <w:sz w:val="20"/>
          <w:u w:val="single"/>
        </w:rPr>
      </w:pPr>
      <w:r>
        <w:rPr>
          <w:rFonts w:ascii="Arial;sans-serif" w:hAnsi="Arial;sans-serif"/>
          <w:b w:val="false"/>
          <w:color w:val="000000"/>
          <w:sz w:val="20"/>
          <w:u w:val="single"/>
        </w:rPr>
        <w:t>Investor Contact:</w:t>
      </w:r>
    </w:p>
    <w:p>
      <w:pPr>
        <w:pStyle w:val="TextBody"/>
        <w:spacing w:lineRule="auto" w:line="333" w:before="0" w:after="0"/>
        <w:rPr>
          <w:rFonts w:ascii="Arial;sans-serif" w:hAnsi="Arial;sans-serif"/>
          <w:b w:val="false"/>
          <w:color w:val="000000"/>
          <w:sz w:val="20"/>
        </w:rPr>
      </w:pPr>
      <w:r>
        <w:rPr>
          <w:rFonts w:ascii="Arial;sans-serif" w:hAnsi="Arial;sans-serif"/>
          <w:b w:val="false"/>
          <w:color w:val="000000"/>
          <w:sz w:val="20"/>
        </w:rPr>
        <w:t>Carrie Mendivil</w:t>
      </w:r>
    </w:p>
    <w:p>
      <w:pPr>
        <w:pStyle w:val="TextBody"/>
        <w:spacing w:lineRule="auto" w:line="333"/>
        <w:rPr>
          <w:rFonts w:ascii="Arial;sans-serif" w:hAnsi="Arial;sans-serif"/>
          <w:b w:val="false"/>
          <w:color w:val="0563C1"/>
          <w:sz w:val="20"/>
          <w:u w:val="single"/>
        </w:rPr>
      </w:pPr>
      <w:r>
        <w:rPr>
          <w:rFonts w:ascii="Arial;sans-serif" w:hAnsi="Arial;sans-serif"/>
          <w:b w:val="false"/>
          <w:color w:val="0563C1"/>
          <w:sz w:val="20"/>
          <w:u w:val="single"/>
        </w:rPr>
        <w:t>investor@seer.bio</w:t>
      </w:r>
      <w:r>
        <w:br w:type="page"/>
      </w:r>
    </w:p>
    <w:p>
      <w:pPr>
        <w:pStyle w:val="TextBody"/>
        <w:spacing w:before="0" w:after="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6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6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lineRule="auto" w:line="333" w:before="0" w:after="0"/>
        <w:rPr>
          <w:rFonts w:ascii="Arial;sans-serif" w:hAnsi="Arial;sans-serif"/>
          <w:b w:val="false"/>
          <w:color w:val="000000"/>
          <w:sz w:val="20"/>
          <w:u w:val="single"/>
        </w:rPr>
      </w:pPr>
      <w:r>
        <w:rPr>
          <w:rFonts w:ascii="Arial;sans-serif" w:hAnsi="Arial;sans-serif"/>
          <w:b w:val="false"/>
          <w:color w:val="000000"/>
          <w:sz w:val="20"/>
          <w:u w:val="single"/>
        </w:rPr>
        <w:t>Media Contact:</w:t>
      </w:r>
    </w:p>
    <w:p>
      <w:pPr>
        <w:pStyle w:val="TextBody"/>
        <w:spacing w:lineRule="auto" w:line="333" w:before="0" w:after="0"/>
        <w:rPr>
          <w:rFonts w:ascii="Arial;sans-serif" w:hAnsi="Arial;sans-serif"/>
          <w:b w:val="false"/>
          <w:color w:val="000000"/>
          <w:sz w:val="20"/>
        </w:rPr>
      </w:pPr>
      <w:r>
        <w:rPr>
          <w:rFonts w:ascii="Arial;sans-serif" w:hAnsi="Arial;sans-serif"/>
          <w:b w:val="false"/>
          <w:color w:val="000000"/>
          <w:sz w:val="20"/>
        </w:rPr>
        <w:t>Karen Possemato</w:t>
      </w:r>
    </w:p>
    <w:p>
      <w:pPr>
        <w:pStyle w:val="TextBody"/>
        <w:spacing w:lineRule="auto" w:line="333" w:before="0" w:after="0"/>
        <w:rPr>
          <w:rFonts w:ascii="Arial;sans-serif" w:hAnsi="Arial;sans-serif"/>
          <w:b w:val="false"/>
          <w:color w:val="0563C1"/>
          <w:sz w:val="20"/>
          <w:u w:val="single"/>
        </w:rPr>
      </w:pPr>
      <w:r>
        <w:rPr>
          <w:rFonts w:ascii="Arial;sans-serif" w:hAnsi="Arial;sans-serif"/>
          <w:b w:val="false"/>
          <w:color w:val="0563C1"/>
          <w:sz w:val="20"/>
          <w:u w:val="single"/>
        </w:rPr>
        <w:t>pr@seer.bio</w:t>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spacing w:before="0" w:after="0"/>
        <w:ind w:left="0" w:right="0" w:firstLine="720"/>
        <w:jc w:val="center"/>
        <w:rPr/>
      </w:pPr>
      <w:r>
        <w:rPr/>
      </w:r>
    </w:p>
    <w:p>
      <w:pPr>
        <w:pStyle w:val="TextBody"/>
        <w:ind w:left="0" w:right="0" w:firstLine="720"/>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6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6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ind w:left="0" w:right="0" w:firstLine="720"/>
        <w:jc w:val="center"/>
        <w:rPr/>
      </w:pPr>
      <w:r>
        <w:rPr/>
      </w:r>
    </w:p>
    <w:p>
      <w:pPr>
        <w:pStyle w:val="TextBody"/>
        <w:spacing w:before="0" w:after="0"/>
        <w:rPr/>
      </w:pPr>
      <w:r>
        <w:rPr/>
      </w:r>
    </w:p>
    <w:p>
      <w:pPr>
        <w:pStyle w:val="TextBody"/>
        <w:spacing w:lineRule="auto" w:line="319" w:before="0" w:after="0"/>
        <w:ind w:left="0" w:right="0" w:firstLine="720"/>
        <w:jc w:val="center"/>
        <w:rPr>
          <w:rFonts w:ascii="Arial;sans-serif" w:hAnsi="Arial;sans-serif"/>
          <w:b/>
          <w:color w:val="000000"/>
          <w:sz w:val="18"/>
        </w:rPr>
      </w:pPr>
      <w:r>
        <w:rPr>
          <w:rFonts w:ascii="Arial;sans-serif" w:hAnsi="Arial;sans-serif"/>
          <w:b/>
          <w:color w:val="000000"/>
          <w:sz w:val="18"/>
        </w:rPr>
        <w:t>Seer, Inc.</w:t>
      </w:r>
    </w:p>
    <w:p>
      <w:pPr>
        <w:pStyle w:val="TextBody"/>
        <w:spacing w:lineRule="auto" w:line="333" w:before="0" w:after="0"/>
        <w:jc w:val="center"/>
        <w:rPr>
          <w:rFonts w:ascii="Arial;sans-serif" w:hAnsi="Arial;sans-serif"/>
          <w:b/>
          <w:color w:val="000000"/>
          <w:sz w:val="18"/>
        </w:rPr>
      </w:pPr>
      <w:r>
        <w:rPr>
          <w:rFonts w:ascii="Arial;sans-serif" w:hAnsi="Arial;sans-serif"/>
          <w:b/>
          <w:color w:val="000000"/>
          <w:sz w:val="18"/>
        </w:rPr>
        <w:t>CONDENSED CONSOLIDATED STATEMENTS OF OPERATIONS</w:t>
      </w:r>
    </w:p>
    <w:p>
      <w:pPr>
        <w:pStyle w:val="TextBody"/>
        <w:spacing w:lineRule="auto" w:line="333" w:before="0" w:after="0"/>
        <w:jc w:val="center"/>
        <w:rPr>
          <w:rFonts w:ascii="Arial;sans-serif" w:hAnsi="Arial;sans-serif"/>
          <w:b/>
          <w:color w:val="000000"/>
          <w:sz w:val="18"/>
        </w:rPr>
      </w:pPr>
      <w:r>
        <w:rPr>
          <w:rFonts w:ascii="Arial;sans-serif" w:hAnsi="Arial;sans-serif"/>
          <w:b/>
          <w:color w:val="000000"/>
          <w:sz w:val="18"/>
        </w:rPr>
        <w:t>(In thousands, except share and per share amounts)</w:t>
      </w:r>
    </w:p>
    <w:p>
      <w:pPr>
        <w:pStyle w:val="TextBody"/>
        <w:spacing w:lineRule="auto" w:line="333"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left"/>
        <w:tblInd w:w="0" w:type="dxa"/>
        <w:tblCellMar>
          <w:top w:w="28" w:type="dxa"/>
          <w:left w:w="28" w:type="dxa"/>
          <w:bottom w:w="28" w:type="dxa"/>
          <w:right w:w="28" w:type="dxa"/>
        </w:tblCellMar>
      </w:tblPr>
      <w:tblGrid>
        <w:gridCol w:w="1662"/>
        <w:gridCol w:w="1244"/>
        <w:gridCol w:w="1250"/>
        <w:gridCol w:w="354"/>
        <w:gridCol w:w="354"/>
        <w:gridCol w:w="328"/>
        <w:gridCol w:w="213"/>
        <w:gridCol w:w="213"/>
        <w:gridCol w:w="213"/>
        <w:gridCol w:w="411"/>
        <w:gridCol w:w="411"/>
        <w:gridCol w:w="258"/>
        <w:gridCol w:w="109"/>
        <w:gridCol w:w="109"/>
        <w:gridCol w:w="109"/>
        <w:gridCol w:w="489"/>
        <w:gridCol w:w="300"/>
        <w:gridCol w:w="247"/>
        <w:gridCol w:w="172"/>
        <w:gridCol w:w="172"/>
        <w:gridCol w:w="172"/>
        <w:gridCol w:w="388"/>
        <w:gridCol w:w="388"/>
        <w:gridCol w:w="260"/>
        <w:gridCol w:w="109"/>
        <w:gridCol w:w="109"/>
        <w:gridCol w:w="161"/>
      </w:tblGrid>
      <w:tr>
        <w:trPr/>
        <w:tc>
          <w:tcPr>
            <w:tcW w:w="1662"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5" w:type="dxa"/>
            <w:gridSpan w:val="9"/>
            <w:tcBorders/>
            <w:shd w:fill="auto" w:val="clear"/>
            <w:tcMar>
              <w:top w:w="0" w:type="dxa"/>
              <w:left w:w="0" w:type="dxa"/>
              <w:bottom w:w="0" w:type="dxa"/>
              <w:right w:w="0" w:type="dxa"/>
            </w:tcMar>
            <w:vAlign w:val="center"/>
          </w:tcPr>
          <w:p>
            <w:pPr>
              <w:pStyle w:val="TableContents"/>
              <w:spacing w:lineRule="auto" w:line="240" w:before="53" w:after="30"/>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6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5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1,882</w:t>
            </w:r>
          </w:p>
        </w:tc>
        <w:tc>
          <w:tcPr>
            <w:tcW w:w="6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3,577</w:t>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w:t>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w:t>
            </w:r>
          </w:p>
        </w:tc>
        <w:tc>
          <w:tcPr>
            <w:tcW w:w="6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w:t>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and other</w:t>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6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w:t>
            </w:r>
          </w:p>
        </w:tc>
        <w:tc>
          <w:tcPr>
            <w:tcW w:w="6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6,617</w:t>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w:t>
            </w:r>
          </w:p>
        </w:tc>
        <w:tc>
          <w:tcPr>
            <w:tcW w:w="6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w:t>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w:t>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6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w:t>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w:t>
            </w:r>
          </w:p>
        </w:tc>
        <w:tc>
          <w:tcPr>
            <w:tcW w:w="6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w:t>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w:t>
            </w:r>
          </w:p>
        </w:tc>
        <w:tc>
          <w:tcPr>
            <w:tcW w:w="6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w:t>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8,215</w:t>
            </w:r>
          </w:p>
        </w:tc>
        <w:tc>
          <w:tcPr>
            <w:tcW w:w="6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29,121</w:t>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18,942</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13,092</w:t>
            </w:r>
          </w:p>
        </w:tc>
        <w:tc>
          <w:tcPr>
            <w:tcW w:w="6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45,764</w:t>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15,363</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21,307</w:t>
            </w:r>
          </w:p>
        </w:tc>
        <w:tc>
          <w:tcPr>
            <w:tcW w:w="6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74,885</w:t>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34,305</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(19,874)</w:t>
            </w:r>
          </w:p>
        </w:tc>
        <w:tc>
          <w:tcPr>
            <w:tcW w:w="6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(71,473)</w:t>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(33,649)</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6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w:t>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5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w:t>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5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(19,739)</w:t>
            </w:r>
          </w:p>
        </w:tc>
        <w:tc>
          <w:tcPr>
            <w:tcW w:w="6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(12,936)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(71,169)</w:t>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(32,775)</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double" w:sz="5"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double" w:sz="5"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double" w:sz="5"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double" w:sz="5"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spacing w:lineRule="auto" w:line="333" w:before="53" w:after="3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    </w:t>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(0.32)</w:t>
            </w:r>
          </w:p>
        </w:tc>
        <w:tc>
          <w:tcPr>
            <w:tcW w:w="6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(0.54)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(1.17)</w:t>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(2.48)</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6" w:type="dxa"/>
            <w:gridSpan w:val="3"/>
            <w:tcBorders/>
            <w:shd w:fill="auto" w:val="clear"/>
            <w:tcMar>
              <w:top w:w="0" w:type="dxa"/>
              <w:left w:w="0" w:type="dxa"/>
              <w:bottom w:w="0" w:type="dxa"/>
              <w:right w:w="0" w:type="dxa"/>
            </w:tcMar>
            <w:vAlign w:val="center"/>
          </w:tcPr>
          <w:p>
            <w:pPr>
              <w:pStyle w:val="TableContents"/>
              <w:spacing w:lineRule="auto" w:line="333" w:before="53" w:after="3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basic and diluted    </w:t>
            </w:r>
          </w:p>
        </w:tc>
        <w:tc>
          <w:tcPr>
            <w:tcW w:w="1036" w:type="dxa"/>
            <w:gridSpan w:val="3"/>
            <w:tcBorders>
              <w:top w:val="double" w:sz="5"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61,562,065</w:t>
            </w:r>
          </w:p>
        </w:tc>
        <w:tc>
          <w:tcPr>
            <w:tcW w:w="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double" w:sz="5"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23,893,201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double" w:sz="5"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60,863,950</w:t>
            </w:r>
          </w:p>
        </w:tc>
        <w:tc>
          <w:tcPr>
            <w:tcW w:w="5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double" w:sz="5"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13,216,657</w:t>
            </w:r>
          </w:p>
        </w:tc>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79" w:after="283"/>
        <w:jc w:val="center"/>
        <w:rPr/>
      </w:pPr>
      <w:r>
        <w:rPr/>
      </w:r>
    </w:p>
    <w:p>
      <w:pPr>
        <w:pStyle w:val="TextBody"/>
        <w:spacing w:before="179" w:after="283"/>
        <w:jc w:val="center"/>
        <w:rPr/>
      </w:pPr>
      <w:r>
        <w:rPr/>
      </w:r>
    </w:p>
    <w:p>
      <w:pPr>
        <w:pStyle w:val="TextBody"/>
        <w:spacing w:before="179" w:after="283"/>
        <w:jc w:val="center"/>
        <w:rPr/>
      </w:pPr>
      <w:r>
        <w:rPr/>
      </w:r>
    </w:p>
    <w:p>
      <w:pPr>
        <w:pStyle w:val="TextBody"/>
        <w:spacing w:before="179"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6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6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333" w:before="0" w:after="0"/>
        <w:jc w:val="center"/>
        <w:rPr>
          <w:rFonts w:ascii="Arial;sans-serif" w:hAnsi="Arial;sans-serif"/>
          <w:b/>
          <w:color w:val="000000"/>
          <w:sz w:val="18"/>
        </w:rPr>
      </w:pPr>
      <w:r>
        <w:rPr>
          <w:rFonts w:ascii="Arial;sans-serif" w:hAnsi="Arial;sans-serif"/>
          <w:b/>
          <w:color w:val="000000"/>
          <w:sz w:val="18"/>
        </w:rPr>
        <w:t>Seer, Inc.</w:t>
      </w:r>
    </w:p>
    <w:p>
      <w:pPr>
        <w:pStyle w:val="TextBody"/>
        <w:spacing w:lineRule="auto" w:line="333" w:before="0" w:after="0"/>
        <w:jc w:val="center"/>
        <w:rPr>
          <w:rFonts w:ascii="Arial;sans-serif" w:hAnsi="Arial;sans-serif"/>
          <w:b/>
          <w:color w:val="000000"/>
          <w:sz w:val="18"/>
        </w:rPr>
      </w:pPr>
      <w:r>
        <w:rPr>
          <w:rFonts w:ascii="Arial;sans-serif" w:hAnsi="Arial;sans-serif"/>
          <w:b/>
          <w:color w:val="000000"/>
          <w:sz w:val="18"/>
        </w:rPr>
        <w:t>CONDENSED CONSOLIDATED BALANCE SHEETS</w:t>
      </w:r>
    </w:p>
    <w:p>
      <w:pPr>
        <w:pStyle w:val="TextBody"/>
        <w:spacing w:lineRule="auto" w:line="333" w:before="0" w:after="0"/>
        <w:jc w:val="center"/>
        <w:rPr>
          <w:rFonts w:ascii="Arial;sans-serif" w:hAnsi="Arial;sans-serif"/>
          <w:b/>
          <w:color w:val="000000"/>
          <w:sz w:val="18"/>
        </w:rPr>
      </w:pPr>
      <w:r>
        <w:rPr>
          <w:rFonts w:ascii="Arial;sans-serif" w:hAnsi="Arial;sans-serif"/>
          <w:b/>
          <w:color w:val="000000"/>
          <w:sz w:val="18"/>
        </w:rPr>
        <w:t>(in thousands, except share and per share amounts)</w:t>
      </w:r>
    </w:p>
    <w:p>
      <w:pPr>
        <w:pStyle w:val="TextBody"/>
        <w:spacing w:lineRule="auto" w:line="333"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left"/>
        <w:tblInd w:w="0" w:type="dxa"/>
        <w:tblCellMar>
          <w:top w:w="28" w:type="dxa"/>
          <w:left w:w="28" w:type="dxa"/>
          <w:bottom w:w="28" w:type="dxa"/>
          <w:right w:w="28" w:type="dxa"/>
        </w:tblCellMar>
      </w:tblPr>
      <w:tblGrid>
        <w:gridCol w:w="2947"/>
        <w:gridCol w:w="2222"/>
        <w:gridCol w:w="2191"/>
        <w:gridCol w:w="354"/>
        <w:gridCol w:w="354"/>
        <w:gridCol w:w="358"/>
        <w:gridCol w:w="113"/>
        <w:gridCol w:w="113"/>
        <w:gridCol w:w="113"/>
        <w:gridCol w:w="353"/>
        <w:gridCol w:w="353"/>
        <w:gridCol w:w="360"/>
        <w:gridCol w:w="109"/>
        <w:gridCol w:w="109"/>
        <w:gridCol w:w="156"/>
      </w:tblGrid>
      <w:tr>
        <w:trPr/>
        <w:tc>
          <w:tcPr>
            <w:tcW w:w="2947" w:type="dxa"/>
            <w:tcBorders/>
            <w:shd w:fill="auto" w:val="clear"/>
            <w:vAlign w:val="center"/>
          </w:tcPr>
          <w:p>
            <w:pPr>
              <w:pStyle w:val="TableContents"/>
              <w:spacing w:before="0" w:after="283"/>
              <w:rPr>
                <w:sz w:val="4"/>
                <w:szCs w:val="4"/>
              </w:rPr>
            </w:pPr>
            <w:r>
              <w:rPr>
                <w:sz w:val="4"/>
                <w:szCs w:val="4"/>
              </w:rPr>
            </w:r>
          </w:p>
        </w:tc>
        <w:tc>
          <w:tcPr>
            <w:tcW w:w="2222" w:type="dxa"/>
            <w:tcBorders/>
            <w:shd w:fill="auto" w:val="clear"/>
            <w:vAlign w:val="center"/>
          </w:tcPr>
          <w:p>
            <w:pPr>
              <w:pStyle w:val="TableContents"/>
              <w:spacing w:before="0" w:after="283"/>
              <w:rPr>
                <w:sz w:val="4"/>
                <w:szCs w:val="4"/>
              </w:rPr>
            </w:pPr>
            <w:r>
              <w:rPr>
                <w:sz w:val="4"/>
                <w:szCs w:val="4"/>
              </w:rPr>
            </w:r>
          </w:p>
        </w:tc>
        <w:tc>
          <w:tcPr>
            <w:tcW w:w="2191"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232,813</w:t>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$ 333,585</w:t>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167,261</w:t>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98,278</w:t>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w:t>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receivables</w:t>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w:t>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w:t>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w:t>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w:t>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w:t>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411,699</w:t>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433,128</w:t>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93,186</w:t>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20,142</w:t>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13,087</w:t>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8,441</w:t>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w:t>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w:t>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539,139</w:t>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442,319</w:t>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spacing w:lineRule="auto" w:line="240" w:before="53" w:after="3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3,789</w:t>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2,115</w:t>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7,371</w:t>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5,147</w:t>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research and development</w:t>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w:t>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rent, current</w:t>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w:t>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13,423</w:t>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8,094</w:t>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rent, net of current portion</w:t>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w:t>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22,459</w:t>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w:t>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36,223</w:t>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10,710</w:t>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0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spacing w:lineRule="auto" w:line="240" w:before="53" w:after="3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$0.00001 par value; 5,000,000 shares authorized as of December 31, 2021 and 2020; zero shares issued and outstanding as of December 31, 2021 and 2020    </w:t>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spacing w:lineRule="auto" w:line="240" w:before="53" w:after="3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$0.00001 par value; 94,000,000 shares authorized as of December 31, 2021 and 2020; 57,493,005 and 53,395,319 shares issued and outstanding as of December 31, 2021 and 2020, respectively;     </w:t>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spacing w:lineRule="auto" w:line="240" w:before="53" w:after="3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$0.00001 par value; 6,000,000 shares authorized as of December 31, 2021 and 2020; 4,522,478 and 5,865,732 shares issued and outstanding as of December 31, 2021 and 2020, respectively;     </w:t>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629,981</w:t>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486,915</w:t>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w:t>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(126,530)</w:t>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(55,361)</w:t>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502,916</w:t>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431,609</w:t>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10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539,139</w:t>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$ 442,319</w:t>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6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6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2008</Words>
  <CharactersWithSpaces>13005</CharactersWithSpaces>
  <Paragraphs>334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