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Washington, D.C. 20549</w:t>
      </w:r>
    </w:p>
    <w:p>
      <w:pPr>
        <w:spacing w:after="0" w:line="194"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8-K</w:t>
      </w:r>
    </w:p>
    <w:p>
      <w:pPr>
        <w:spacing w:after="0" w:line="23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Pursuant to Section 13 or 15(d) of the Securities Exchange Act of 1934</w:t>
      </w:r>
    </w:p>
    <w:p>
      <w:pPr>
        <w:spacing w:after="0" w:line="24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June 16, 2021</w:t>
      </w:r>
    </w:p>
    <w:p>
      <w:pPr>
        <w:spacing w:after="0" w:line="220"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SEER, INC.</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260"/>
          </w:cols>
          <w:pgMar w:left="320" w:top="1197" w:right="319" w:bottom="1440" w:gutter="0" w:footer="0" w:header="0"/>
        </w:sectPr>
      </w:pPr>
    </w:p>
    <w:p>
      <w:pPr>
        <w:spacing w:after="0" w:line="273" w:lineRule="exact"/>
        <w:rPr>
          <w:sz w:val="24"/>
          <w:szCs w:val="24"/>
          <w:color w:val="auto"/>
        </w:rPr>
      </w:pPr>
    </w:p>
    <w:p>
      <w:pPr>
        <w:ind w:left="128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jc w:val="center"/>
        <w:ind w:right="2120"/>
        <w:spacing w:after="0"/>
        <w:rPr>
          <w:sz w:val="20"/>
          <w:szCs w:val="20"/>
          <w:color w:val="auto"/>
        </w:rPr>
      </w:pPr>
      <w:r>
        <w:rPr>
          <w:rFonts w:ascii="Arial" w:cs="Arial" w:eastAsia="Arial" w:hAnsi="Arial"/>
          <w:sz w:val="16"/>
          <w:szCs w:val="16"/>
          <w:b w:val="1"/>
          <w:bCs w:val="1"/>
          <w:color w:val="auto"/>
        </w:rPr>
        <w:t>001-39747</w:t>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82-1153150</w:t>
      </w:r>
    </w:p>
    <w:p>
      <w:pPr>
        <w:spacing w:after="0" w:line="90" w:lineRule="exact"/>
        <w:rPr>
          <w:sz w:val="24"/>
          <w:szCs w:val="24"/>
          <w:color w:val="auto"/>
        </w:rPr>
      </w:pPr>
    </w:p>
    <w:p>
      <w:pPr>
        <w:sectPr>
          <w:pgSz w:w="11900" w:h="16838" w:orient="portrait"/>
          <w:cols w:equalWidth="0" w:num="3">
            <w:col w:w="4300" w:space="720"/>
            <w:col w:w="2900" w:space="720"/>
            <w:col w:w="2620"/>
          </w:cols>
          <w:pgMar w:left="320" w:top="1197" w:right="319" w:bottom="1440" w:gutter="0" w:footer="0" w:header="0"/>
          <w:type w:val="continuous"/>
        </w:sectPr>
      </w:pPr>
    </w:p>
    <w:p>
      <w:pPr>
        <w:jc w:val="center"/>
        <w:ind w:right="560"/>
        <w:spacing w:after="0"/>
        <w:rPr>
          <w:sz w:val="20"/>
          <w:szCs w:val="20"/>
          <w:color w:val="auto"/>
        </w:rPr>
      </w:pPr>
      <w:r>
        <w:rPr>
          <w:rFonts w:ascii="Arial" w:cs="Arial" w:eastAsia="Arial" w:hAnsi="Arial"/>
          <w:sz w:val="16"/>
          <w:szCs w:val="16"/>
          <w:color w:val="auto"/>
        </w:rPr>
        <w:t>(State or other jurisdiction of</w:t>
      </w:r>
    </w:p>
    <w:p>
      <w:pPr>
        <w:spacing w:after="0" w:line="46" w:lineRule="exact"/>
        <w:rPr>
          <w:sz w:val="24"/>
          <w:szCs w:val="24"/>
          <w:color w:val="auto"/>
        </w:rPr>
      </w:pPr>
    </w:p>
    <w:p>
      <w:pPr>
        <w:jc w:val="center"/>
        <w:ind w:right="560"/>
        <w:spacing w:after="0"/>
        <w:rPr>
          <w:sz w:val="20"/>
          <w:szCs w:val="20"/>
          <w:color w:val="auto"/>
        </w:rPr>
      </w:pPr>
      <w:r>
        <w:rPr>
          <w:rFonts w:ascii="Arial" w:cs="Arial" w:eastAsia="Arial" w:hAnsi="Arial"/>
          <w:sz w:val="18"/>
          <w:szCs w:val="18"/>
          <w:color w:val="auto"/>
        </w:rPr>
        <w:t>incorporation)</w:t>
      </w:r>
    </w:p>
    <w:p>
      <w:pPr>
        <w:spacing w:after="0" w:line="20" w:lineRule="exact"/>
        <w:rPr>
          <w:sz w:val="24"/>
          <w:szCs w:val="24"/>
          <w:color w:val="auto"/>
        </w:rPr>
      </w:pPr>
      <w:r>
        <w:rPr>
          <w:sz w:val="24"/>
          <w:szCs w:val="24"/>
          <w:color w:val="auto"/>
        </w:rPr>
        <w:br w:type="column"/>
      </w:r>
    </w:p>
    <w:p>
      <w:pPr>
        <w:jc w:val="center"/>
        <w:ind w:right="1060"/>
        <w:spacing w:after="0"/>
        <w:rPr>
          <w:sz w:val="20"/>
          <w:szCs w:val="20"/>
          <w:color w:val="auto"/>
        </w:rPr>
      </w:pPr>
      <w:r>
        <w:rPr>
          <w:rFonts w:ascii="Arial" w:cs="Arial" w:eastAsia="Arial" w:hAnsi="Arial"/>
          <w:sz w:val="16"/>
          <w:szCs w:val="16"/>
          <w:color w:val="auto"/>
        </w:rPr>
        <w:t>(Commission File No.)</w:t>
      </w:r>
    </w:p>
    <w:p>
      <w:pPr>
        <w:spacing w:after="0" w:line="20" w:lineRule="exact"/>
        <w:rPr>
          <w:sz w:val="24"/>
          <w:szCs w:val="24"/>
          <w:color w:val="auto"/>
        </w:rPr>
      </w:pPr>
      <w:r>
        <w:rPr>
          <w:sz w:val="24"/>
          <w:szCs w:val="24"/>
          <w:color w:val="auto"/>
        </w:rPr>
        <w:br w:type="column"/>
      </w:r>
    </w:p>
    <w:p>
      <w:pPr>
        <w:jc w:val="center"/>
        <w:ind w:right="1140"/>
        <w:spacing w:after="0"/>
        <w:rPr>
          <w:sz w:val="20"/>
          <w:szCs w:val="20"/>
          <w:color w:val="auto"/>
        </w:rPr>
      </w:pPr>
      <w:r>
        <w:rPr>
          <w:rFonts w:ascii="Arial" w:cs="Arial" w:eastAsia="Arial" w:hAnsi="Arial"/>
          <w:sz w:val="16"/>
          <w:szCs w:val="16"/>
          <w:color w:val="auto"/>
        </w:rPr>
        <w:t>(IRS Employer Identification</w:t>
      </w:r>
    </w:p>
    <w:p>
      <w:pPr>
        <w:spacing w:after="0" w:line="46" w:lineRule="exact"/>
        <w:rPr>
          <w:sz w:val="24"/>
          <w:szCs w:val="24"/>
          <w:color w:val="auto"/>
        </w:rPr>
      </w:pPr>
    </w:p>
    <w:p>
      <w:pPr>
        <w:jc w:val="center"/>
        <w:ind w:right="1140"/>
        <w:spacing w:after="0"/>
        <w:rPr>
          <w:sz w:val="20"/>
          <w:szCs w:val="20"/>
          <w:color w:val="auto"/>
        </w:rPr>
      </w:pPr>
      <w:r>
        <w:rPr>
          <w:rFonts w:ascii="Arial" w:cs="Arial" w:eastAsia="Arial" w:hAnsi="Arial"/>
          <w:sz w:val="18"/>
          <w:szCs w:val="18"/>
          <w:color w:val="auto"/>
        </w:rPr>
        <w:t>Number)</w:t>
      </w:r>
    </w:p>
    <w:p>
      <w:pPr>
        <w:spacing w:after="0" w:line="200" w:lineRule="exact"/>
        <w:rPr>
          <w:sz w:val="24"/>
          <w:szCs w:val="24"/>
          <w:color w:val="auto"/>
        </w:rPr>
      </w:pPr>
    </w:p>
    <w:p>
      <w:pPr>
        <w:sectPr>
          <w:pgSz w:w="11900" w:h="16838" w:orient="portrait"/>
          <w:cols w:equalWidth="0" w:num="3">
            <w:col w:w="3860" w:space="720"/>
            <w:col w:w="2720" w:space="720"/>
            <w:col w:w="3240"/>
          </w:cols>
          <w:pgMar w:left="320" w:top="1197" w:right="319" w:bottom="1440" w:gutter="0" w:footer="0" w:header="0"/>
          <w:type w:val="continuous"/>
        </w:sectPr>
      </w:pPr>
    </w:p>
    <w:p>
      <w:pPr>
        <w:spacing w:after="0" w:line="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3800 Bridge Parkway, Suite 102</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Redwood City, CA 94065</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(Address of principal executive offices)</w:t>
      </w:r>
    </w:p>
    <w:p>
      <w:pPr>
        <w:sectPr>
          <w:pgSz w:w="11900" w:h="16838" w:orient="portrait"/>
          <w:cols w:equalWidth="0" w:num="1">
            <w:col w:w="11260"/>
          </w:cols>
          <w:pgMar w:left="320" w:top="1197" w:right="319" w:bottom="1440" w:gutter="0" w:footer="0" w:header="0"/>
          <w:type w:val="continuous"/>
        </w:sectPr>
      </w:pPr>
    </w:p>
    <w:p>
      <w:pPr>
        <w:spacing w:after="0" w:line="230"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(650) 453-0000</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(Registrant’s telephone number, including area code)</w:t>
      </w:r>
    </w:p>
    <w:p>
      <w:pPr>
        <w:spacing w:after="0" w:line="211" w:lineRule="exact"/>
        <w:rPr>
          <w:sz w:val="24"/>
          <w:szCs w:val="24"/>
          <w:color w:val="auto"/>
        </w:rPr>
      </w:pPr>
    </w:p>
    <w:p>
      <w:pPr>
        <w:ind w:right="70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[_] Written communications pursuant to Rule 425 under the Securities Act (17 CFR 230.425)</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[_] Soliciting material pursuant to Rule 14a-12 under the Exchange Act (17 CFR 240.14a-12)</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[_] Pre-commencement communications pursuant to Rule 14d-2(b) under the Exchange Act (17 CFR 240.14d-2(b))</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[_]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323215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7"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30" w:lineRule="exact"/>
        <w:rPr>
          <w:sz w:val="24"/>
          <w:szCs w:val="24"/>
          <w:color w:val="auto"/>
        </w:rPr>
      </w:pPr>
    </w:p>
    <w:tbl>
      <w:tblPr>
        <w:tblLayout w:type="fixed"/>
        <w:tblInd w:w="10" w:type="dxa"/>
        <w:tblCellMar>
          <w:top w:w="0" w:type="dxa"/>
          <w:left w:w="0" w:type="dxa"/>
          <w:bottom w:w="0" w:type="dxa"/>
          <w:right w:w="0" w:type="dxa"/>
        </w:tblCellMar>
      </w:tblPr>
      <w:tr>
        <w:trPr>
          <w:trHeight w:val="288"/>
        </w:trPr>
        <w:tc>
          <w:tcPr>
            <w:tcW w:w="384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8"/>
              </w:rPr>
              <w:t>Title of each class</w:t>
            </w:r>
          </w:p>
        </w:tc>
        <w:tc>
          <w:tcPr>
            <w:tcW w:w="25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9"/>
              </w:rPr>
              <w:t>Trading symbols</w:t>
            </w:r>
          </w:p>
        </w:tc>
        <w:tc>
          <w:tcPr>
            <w:tcW w:w="49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8"/>
              </w:rPr>
              <w:t>Name of each exchange on which registered</w:t>
            </w:r>
          </w:p>
        </w:tc>
        <w:tc>
          <w:tcPr>
            <w:tcW w:w="0" w:type="dxa"/>
            <w:vAlign w:val="bottom"/>
          </w:tcPr>
          <w:p>
            <w:pPr>
              <w:spacing w:after="0"/>
              <w:rPr>
                <w:sz w:val="1"/>
                <w:szCs w:val="1"/>
                <w:color w:val="auto"/>
              </w:rPr>
            </w:pPr>
          </w:p>
        </w:tc>
      </w:tr>
      <w:tr>
        <w:trPr>
          <w:trHeight w:val="37"/>
        </w:trPr>
        <w:tc>
          <w:tcPr>
            <w:tcW w:w="3840" w:type="dxa"/>
            <w:vAlign w:val="bottom"/>
            <w:tcBorders>
              <w:left w:val="single" w:sz="8" w:color="auto"/>
              <w:bottom w:val="single" w:sz="8" w:color="auto"/>
              <w:right w:val="single" w:sz="8" w:color="auto"/>
            </w:tcBorders>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49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67"/>
        </w:trPr>
        <w:tc>
          <w:tcPr>
            <w:tcW w:w="38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9"/>
              </w:rPr>
              <w:t>Class A Common Stock, par value $0.00001</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8"/>
              </w:rPr>
              <w:t>SEER</w:t>
            </w:r>
          </w:p>
        </w:tc>
        <w:tc>
          <w:tcPr>
            <w:tcW w:w="49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b w:val="1"/>
                <w:bCs w:val="1"/>
                <w:color w:val="auto"/>
                <w:w w:val="95"/>
              </w:rPr>
              <w:t>The NASDAQ Stock Market LLC</w:t>
            </w:r>
          </w:p>
        </w:tc>
        <w:tc>
          <w:tcPr>
            <w:tcW w:w="0" w:type="dxa"/>
            <w:vAlign w:val="bottom"/>
          </w:tcPr>
          <w:p>
            <w:pPr>
              <w:spacing w:after="0"/>
              <w:rPr>
                <w:sz w:val="1"/>
                <w:szCs w:val="1"/>
                <w:color w:val="auto"/>
              </w:rPr>
            </w:pPr>
          </w:p>
        </w:tc>
      </w:tr>
      <w:tr>
        <w:trPr>
          <w:trHeight w:val="203"/>
        </w:trPr>
        <w:tc>
          <w:tcPr>
            <w:tcW w:w="3840" w:type="dxa"/>
            <w:vAlign w:val="bottom"/>
            <w:tcBorders>
              <w:left w:val="single" w:sz="8" w:color="auto"/>
              <w:right w:val="single" w:sz="8" w:color="auto"/>
            </w:tcBorders>
          </w:tcPr>
          <w:p>
            <w:pPr>
              <w:spacing w:after="0"/>
              <w:rPr>
                <w:sz w:val="17"/>
                <w:szCs w:val="17"/>
                <w:color w:val="auto"/>
              </w:rPr>
            </w:pPr>
          </w:p>
        </w:tc>
        <w:tc>
          <w:tcPr>
            <w:tcW w:w="2500" w:type="dxa"/>
            <w:vAlign w:val="bottom"/>
            <w:tcBorders>
              <w:right w:val="single" w:sz="8" w:color="auto"/>
            </w:tcBorders>
          </w:tcPr>
          <w:p>
            <w:pPr>
              <w:spacing w:after="0"/>
              <w:rPr>
                <w:sz w:val="17"/>
                <w:szCs w:val="17"/>
                <w:color w:val="auto"/>
              </w:rPr>
            </w:pPr>
          </w:p>
        </w:tc>
        <w:tc>
          <w:tcPr>
            <w:tcW w:w="4920" w:type="dxa"/>
            <w:vAlign w:val="bottom"/>
            <w:tcBorders>
              <w:right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3840" w:type="dxa"/>
            <w:vAlign w:val="bottom"/>
            <w:tcBorders>
              <w:left w:val="single" w:sz="8" w:color="auto"/>
              <w:right w:val="single" w:sz="8" w:color="auto"/>
            </w:tcBorders>
          </w:tcPr>
          <w:p>
            <w:pPr>
              <w:spacing w:after="0"/>
              <w:rPr>
                <w:sz w:val="22"/>
                <w:szCs w:val="22"/>
                <w:color w:val="auto"/>
              </w:rPr>
            </w:pPr>
          </w:p>
        </w:tc>
        <w:tc>
          <w:tcPr>
            <w:tcW w:w="2500" w:type="dxa"/>
            <w:vAlign w:val="bottom"/>
            <w:tcBorders>
              <w:right w:val="single" w:sz="8" w:color="auto"/>
            </w:tcBorders>
          </w:tcPr>
          <w:p>
            <w:pPr>
              <w:spacing w:after="0"/>
              <w:rPr>
                <w:sz w:val="22"/>
                <w:szCs w:val="22"/>
                <w:color w:val="auto"/>
              </w:rPr>
            </w:pPr>
          </w:p>
        </w:tc>
        <w:tc>
          <w:tcPr>
            <w:tcW w:w="492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2"/>
              </w:rPr>
              <w:t>(The NASDAQ Global Select Market)</w:t>
            </w:r>
          </w:p>
        </w:tc>
        <w:tc>
          <w:tcPr>
            <w:tcW w:w="0" w:type="dxa"/>
            <w:vAlign w:val="bottom"/>
          </w:tcPr>
          <w:p>
            <w:pPr>
              <w:spacing w:after="0"/>
              <w:rPr>
                <w:sz w:val="1"/>
                <w:szCs w:val="1"/>
                <w:color w:val="auto"/>
              </w:rPr>
            </w:pPr>
          </w:p>
        </w:tc>
      </w:tr>
      <w:tr>
        <w:trPr>
          <w:trHeight w:val="23"/>
        </w:trPr>
        <w:tc>
          <w:tcPr>
            <w:tcW w:w="3840" w:type="dxa"/>
            <w:vAlign w:val="bottom"/>
            <w:tcBorders>
              <w:left w:val="single" w:sz="8" w:color="auto"/>
              <w:bottom w:val="single" w:sz="8" w:color="auto"/>
              <w:right w:val="single" w:sz="8" w:color="auto"/>
            </w:tcBorders>
          </w:tcPr>
          <w:p>
            <w:pPr>
              <w:spacing w:after="0"/>
              <w:rPr>
                <w:sz w:val="2"/>
                <w:szCs w:val="2"/>
                <w:color w:val="auto"/>
              </w:rPr>
            </w:pPr>
          </w:p>
        </w:tc>
        <w:tc>
          <w:tcPr>
            <w:tcW w:w="2500" w:type="dxa"/>
            <w:vAlign w:val="bottom"/>
            <w:tcBorders>
              <w:bottom w:val="single" w:sz="8" w:color="auto"/>
              <w:right w:val="single" w:sz="8" w:color="auto"/>
            </w:tcBorders>
          </w:tcPr>
          <w:p>
            <w:pPr>
              <w:spacing w:after="0"/>
              <w:rPr>
                <w:sz w:val="2"/>
                <w:szCs w:val="2"/>
                <w:color w:val="auto"/>
              </w:rPr>
            </w:pPr>
          </w:p>
        </w:tc>
        <w:tc>
          <w:tcPr>
            <w:tcW w:w="49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56" w:lineRule="exact"/>
        <w:rPr>
          <w:sz w:val="24"/>
          <w:szCs w:val="24"/>
          <w:color w:val="auto"/>
        </w:rPr>
      </w:pPr>
    </w:p>
    <w:p>
      <w:pPr>
        <w:ind w:right="48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3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2"/>
          <w:szCs w:val="12"/>
          <w:color w:val="auto"/>
        </w:rPr>
        <w:t>☒</w:t>
      </w:r>
    </w:p>
    <w:p>
      <w:pPr>
        <w:spacing w:after="0" w:line="185" w:lineRule="exact"/>
        <w:rPr>
          <w:sz w:val="24"/>
          <w:szCs w:val="24"/>
          <w:color w:val="auto"/>
        </w:rPr>
      </w:pPr>
    </w:p>
    <w:p>
      <w:pPr>
        <w:ind w:right="18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142240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60"/>
          </w:cols>
          <w:pgMar w:left="320" w:top="1197" w:right="319" w:bottom="1440" w:gutter="0" w:footer="0" w:header="0"/>
          <w:type w:val="continuous"/>
        </w:sectPr>
      </w:pPr>
    </w:p>
    <w:bookmarkStart w:id="1" w:name="page2"/>
    <w:bookmarkEnd w:id="1"/>
    <w:p>
      <w:pPr>
        <w:ind w:left="20"/>
        <w:spacing w:after="0"/>
        <w:tabs>
          <w:tab w:leader="none" w:pos="1440" w:val="left"/>
        </w:tabs>
        <w:rPr>
          <w:sz w:val="20"/>
          <w:szCs w:val="20"/>
          <w:color w:val="auto"/>
        </w:rPr>
      </w:pPr>
      <w:r>
        <w:rPr>
          <w:rFonts w:ascii="Arial" w:cs="Arial" w:eastAsia="Arial" w:hAnsi="Arial"/>
          <w:sz w:val="18"/>
          <w:szCs w:val="18"/>
          <w:b w:val="1"/>
          <w:bCs w:val="1"/>
          <w:color w:val="auto"/>
        </w:rPr>
        <w:t>ITEM 5.07</w:t>
      </w:r>
      <w:r>
        <w:rPr>
          <w:sz w:val="20"/>
          <w:szCs w:val="20"/>
          <w:color w:val="auto"/>
        </w:rPr>
        <w:tab/>
      </w:r>
      <w:r>
        <w:rPr>
          <w:rFonts w:ascii="Arial" w:cs="Arial" w:eastAsia="Arial" w:hAnsi="Arial"/>
          <w:sz w:val="16"/>
          <w:szCs w:val="16"/>
          <w:b w:val="1"/>
          <w:bCs w:val="1"/>
          <w:color w:val="auto"/>
        </w:rPr>
        <w:t>Submission of Matters to a Vote of Security Holders.</w:t>
      </w:r>
    </w:p>
    <w:p>
      <w:pPr>
        <w:spacing w:after="0" w:line="391" w:lineRule="exact"/>
        <w:rPr>
          <w:sz w:val="20"/>
          <w:szCs w:val="20"/>
          <w:color w:val="auto"/>
        </w:rPr>
      </w:pPr>
    </w:p>
    <w:p>
      <w:pPr>
        <w:ind w:right="220" w:firstLine="648"/>
        <w:spacing w:after="0" w:line="263" w:lineRule="auto"/>
        <w:rPr>
          <w:sz w:val="20"/>
          <w:szCs w:val="20"/>
          <w:color w:val="auto"/>
        </w:rPr>
      </w:pPr>
      <w:r>
        <w:rPr>
          <w:rFonts w:ascii="Arial" w:cs="Arial" w:eastAsia="Arial" w:hAnsi="Arial"/>
          <w:sz w:val="18"/>
          <w:szCs w:val="18"/>
          <w:color w:val="auto"/>
        </w:rPr>
        <w:t>On June 16, 2021, Seer, Inc. (the “Company”) held its 2021 Annual Meeting of Stockholders. Present at the meeting in person or by proxy were holders of the Company's Class A and Class B common stock, representing 87,581,179, or approximately 84.5%, of the 103,648,523 eligible votes, constituting a quorum for the transaction of business.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stockholders of the Company voted on the following items at the Meeting:</w:t>
      </w:r>
    </w:p>
    <w:p>
      <w:pPr>
        <w:spacing w:after="0" w:line="225" w:lineRule="exact"/>
        <w:rPr>
          <w:sz w:val="20"/>
          <w:szCs w:val="20"/>
          <w:color w:val="auto"/>
        </w:rPr>
      </w:pPr>
    </w:p>
    <w:p>
      <w:pPr>
        <w:ind w:left="660" w:right="360" w:hanging="328"/>
        <w:spacing w:after="0" w:line="258"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To elect three Class I directors to serve until the 2024 Annual Meeting of stockholders or until their respective successors are duly elected and qualified; and</w:t>
      </w:r>
    </w:p>
    <w:p>
      <w:pPr>
        <w:spacing w:after="0" w:line="1" w:lineRule="exact"/>
        <w:rPr>
          <w:rFonts w:ascii="Arial" w:cs="Arial" w:eastAsia="Arial" w:hAnsi="Arial"/>
          <w:sz w:val="18"/>
          <w:szCs w:val="18"/>
          <w:color w:val="auto"/>
        </w:rPr>
      </w:pPr>
    </w:p>
    <w:p>
      <w:pPr>
        <w:ind w:left="660" w:right="280" w:hanging="328"/>
        <w:spacing w:after="0" w:line="260"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To ratify the appointment of Deloitte &amp; Touche LLP as the Company’s independent registered public accounting firm for the fiscal year ending December 31, 2021.</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Proposal One – Election of Directors</w:t>
      </w:r>
    </w:p>
    <w:p>
      <w:pPr>
        <w:spacing w:after="0" w:line="252"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The table below presents the voting results of the election of the three Class I directors to the Company’s Board of Directors by the Company’s stockholders:</w:t>
      </w: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40" w:type="dxa"/>
            <w:vAlign w:val="bottom"/>
            <w:gridSpan w:val="2"/>
          </w:tcPr>
          <w:p>
            <w:pPr>
              <w:ind w:left="1980"/>
              <w:spacing w:after="0"/>
              <w:rPr>
                <w:sz w:val="20"/>
                <w:szCs w:val="20"/>
                <w:color w:val="auto"/>
              </w:rPr>
            </w:pPr>
            <w:r>
              <w:rPr>
                <w:rFonts w:ascii="Arial" w:cs="Arial" w:eastAsia="Arial" w:hAnsi="Arial"/>
                <w:sz w:val="18"/>
                <w:szCs w:val="18"/>
                <w:b w:val="1"/>
                <w:bCs w:val="1"/>
                <w:color w:val="auto"/>
              </w:rPr>
              <w:t>Nominee</w:t>
            </w:r>
          </w:p>
        </w:tc>
        <w:tc>
          <w:tcPr>
            <w:tcW w:w="15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Votes For</w:t>
            </w:r>
          </w:p>
        </w:tc>
        <w:tc>
          <w:tcPr>
            <w:tcW w:w="1460" w:type="dxa"/>
            <w:vAlign w:val="bottom"/>
            <w:gridSpan w:val="2"/>
          </w:tcPr>
          <w:p>
            <w:pPr>
              <w:ind w:left="40"/>
              <w:spacing w:after="0"/>
              <w:rPr>
                <w:sz w:val="20"/>
                <w:szCs w:val="20"/>
                <w:color w:val="auto"/>
              </w:rPr>
            </w:pPr>
            <w:r>
              <w:rPr>
                <w:rFonts w:ascii="Arial" w:cs="Arial" w:eastAsia="Arial" w:hAnsi="Arial"/>
                <w:sz w:val="18"/>
                <w:szCs w:val="18"/>
                <w:b w:val="1"/>
                <w:bCs w:val="1"/>
                <w:color w:val="auto"/>
              </w:rPr>
              <w:t>Votes Withheld</w:t>
            </w:r>
          </w:p>
        </w:tc>
        <w:tc>
          <w:tcPr>
            <w:tcW w:w="1820" w:type="dxa"/>
            <w:vAlign w:val="bottom"/>
          </w:tcPr>
          <w:p>
            <w:pPr>
              <w:jc w:val="right"/>
              <w:ind w:right="177"/>
              <w:spacing w:after="0"/>
              <w:rPr>
                <w:sz w:val="20"/>
                <w:szCs w:val="20"/>
                <w:color w:val="auto"/>
              </w:rPr>
            </w:pPr>
            <w:r>
              <w:rPr>
                <w:rFonts w:ascii="Arial" w:cs="Arial" w:eastAsia="Arial" w:hAnsi="Arial"/>
                <w:sz w:val="18"/>
                <w:szCs w:val="18"/>
                <w:b w:val="1"/>
                <w:bCs w:val="1"/>
                <w:color w:val="auto"/>
              </w:rPr>
              <w:t>Percent of Voted</w:t>
            </w:r>
          </w:p>
        </w:tc>
        <w:tc>
          <w:tcPr>
            <w:tcW w:w="1500" w:type="dxa"/>
            <w:vAlign w:val="bottom"/>
          </w:tcPr>
          <w:p>
            <w:pPr>
              <w:jc w:val="right"/>
              <w:spacing w:after="0"/>
              <w:rPr>
                <w:sz w:val="20"/>
                <w:szCs w:val="20"/>
                <w:color w:val="auto"/>
              </w:rPr>
            </w:pPr>
            <w:r>
              <w:rPr>
                <w:rFonts w:ascii="Arial" w:cs="Arial" w:eastAsia="Arial" w:hAnsi="Arial"/>
                <w:sz w:val="18"/>
                <w:szCs w:val="18"/>
                <w:b w:val="1"/>
                <w:bCs w:val="1"/>
                <w:color w:val="auto"/>
                <w:w w:val="95"/>
              </w:rPr>
              <w:t>Broker Non-Votes</w:t>
            </w:r>
          </w:p>
        </w:tc>
        <w:tc>
          <w:tcPr>
            <w:tcW w:w="80" w:type="dxa"/>
            <w:vAlign w:val="bottom"/>
          </w:tcPr>
          <w:p>
            <w:pPr>
              <w:spacing w:after="0"/>
              <w:rPr>
                <w:sz w:val="20"/>
                <w:szCs w:val="20"/>
                <w:color w:val="auto"/>
              </w:rPr>
            </w:pPr>
          </w:p>
        </w:tc>
      </w:tr>
      <w:tr>
        <w:trPr>
          <w:trHeight w:val="27"/>
        </w:trPr>
        <w:tc>
          <w:tcPr>
            <w:tcW w:w="4640" w:type="dxa"/>
            <w:vAlign w:val="bottom"/>
            <w:tcBorders>
              <w:bottom w:val="single" w:sz="8" w:color="auto"/>
            </w:tcBorders>
          </w:tcPr>
          <w:p>
            <w:pPr>
              <w:spacing w:after="0"/>
              <w:rPr>
                <w:sz w:val="2"/>
                <w:szCs w:val="2"/>
                <w:color w:val="auto"/>
              </w:rPr>
            </w:pPr>
          </w:p>
        </w:tc>
        <w:tc>
          <w:tcPr>
            <w:tcW w:w="100" w:type="dxa"/>
            <w:vAlign w:val="bottom"/>
            <w:tcBorders>
              <w:bottom w:val="single" w:sz="8" w:color="B6DDE8"/>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B6DDE8"/>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80" w:type="dxa"/>
            <w:vAlign w:val="bottom"/>
            <w:tcBorders>
              <w:bottom w:val="single" w:sz="8" w:color="B6DDE8"/>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r>
      <w:tr>
        <w:trPr>
          <w:trHeight w:val="257"/>
        </w:trPr>
        <w:tc>
          <w:tcPr>
            <w:tcW w:w="4740" w:type="dxa"/>
            <w:vAlign w:val="bottom"/>
            <w:tcBorders>
              <w:bottom w:val="single" w:sz="8" w:color="B6DDE8"/>
            </w:tcBorders>
            <w:gridSpan w:val="2"/>
            <w:shd w:val="clear" w:color="auto" w:fill="B6DDE8"/>
          </w:tcPr>
          <w:p>
            <w:pPr>
              <w:ind w:left="20"/>
              <w:spacing w:after="0"/>
              <w:rPr>
                <w:sz w:val="20"/>
                <w:szCs w:val="20"/>
                <w:color w:val="auto"/>
              </w:rPr>
            </w:pPr>
            <w:r>
              <w:rPr>
                <w:rFonts w:ascii="Arial" w:cs="Arial" w:eastAsia="Arial" w:hAnsi="Arial"/>
                <w:sz w:val="18"/>
                <w:szCs w:val="18"/>
                <w:color w:val="auto"/>
              </w:rPr>
              <w:t>Catherine Friedman</w:t>
            </w:r>
          </w:p>
        </w:tc>
        <w:tc>
          <w:tcPr>
            <w:tcW w:w="1480" w:type="dxa"/>
            <w:vAlign w:val="bottom"/>
            <w:tcBorders>
              <w:bottom w:val="single" w:sz="8" w:color="B6DDE8"/>
            </w:tcBorders>
            <w:shd w:val="clear" w:color="auto" w:fill="B6DDE8"/>
          </w:tcPr>
          <w:p>
            <w:pPr>
              <w:jc w:val="center"/>
              <w:spacing w:after="0"/>
              <w:rPr>
                <w:sz w:val="20"/>
                <w:szCs w:val="20"/>
                <w:color w:val="auto"/>
              </w:rPr>
            </w:pPr>
            <w:r>
              <w:rPr>
                <w:rFonts w:ascii="Arial" w:cs="Arial" w:eastAsia="Arial" w:hAnsi="Arial"/>
                <w:sz w:val="18"/>
                <w:szCs w:val="18"/>
                <w:color w:val="auto"/>
                <w:w w:val="88"/>
              </w:rPr>
              <w:t>85,949,642</w:t>
            </w:r>
          </w:p>
        </w:tc>
        <w:tc>
          <w:tcPr>
            <w:tcW w:w="100" w:type="dxa"/>
            <w:vAlign w:val="bottom"/>
            <w:tcBorders>
              <w:bottom w:val="single" w:sz="8" w:color="B6DDE8"/>
            </w:tcBorders>
            <w:shd w:val="clear" w:color="auto" w:fill="B6DDE8"/>
          </w:tcPr>
          <w:p>
            <w:pPr>
              <w:spacing w:after="0"/>
              <w:rPr>
                <w:sz w:val="22"/>
                <w:szCs w:val="22"/>
                <w:color w:val="auto"/>
              </w:rPr>
            </w:pPr>
          </w:p>
        </w:tc>
        <w:tc>
          <w:tcPr>
            <w:tcW w:w="1280" w:type="dxa"/>
            <w:vAlign w:val="bottom"/>
            <w:tcBorders>
              <w:bottom w:val="single" w:sz="8" w:color="B6DDE8"/>
            </w:tcBorders>
            <w:shd w:val="clear" w:color="auto" w:fill="B6DDE8"/>
          </w:tcPr>
          <w:p>
            <w:pPr>
              <w:jc w:val="center"/>
              <w:spacing w:after="0"/>
              <w:rPr>
                <w:sz w:val="20"/>
                <w:szCs w:val="20"/>
                <w:color w:val="auto"/>
              </w:rPr>
            </w:pPr>
            <w:r>
              <w:rPr>
                <w:rFonts w:ascii="Arial" w:cs="Arial" w:eastAsia="Arial" w:hAnsi="Arial"/>
                <w:sz w:val="18"/>
                <w:szCs w:val="18"/>
                <w:color w:val="auto"/>
                <w:w w:val="89"/>
              </w:rPr>
              <w:t>1,052,478</w:t>
            </w:r>
          </w:p>
        </w:tc>
        <w:tc>
          <w:tcPr>
            <w:tcW w:w="180" w:type="dxa"/>
            <w:vAlign w:val="bottom"/>
            <w:tcBorders>
              <w:bottom w:val="single" w:sz="8" w:color="B6DDE8"/>
            </w:tcBorders>
            <w:shd w:val="clear" w:color="auto" w:fill="B6DDE8"/>
          </w:tcPr>
          <w:p>
            <w:pPr>
              <w:spacing w:after="0"/>
              <w:rPr>
                <w:sz w:val="22"/>
                <w:szCs w:val="22"/>
                <w:color w:val="auto"/>
              </w:rPr>
            </w:pPr>
          </w:p>
        </w:tc>
        <w:tc>
          <w:tcPr>
            <w:tcW w:w="1820" w:type="dxa"/>
            <w:vAlign w:val="bottom"/>
            <w:tcBorders>
              <w:bottom w:val="single" w:sz="8" w:color="B6DDE8"/>
            </w:tcBorders>
            <w:shd w:val="clear" w:color="auto" w:fill="B6DDE8"/>
          </w:tcPr>
          <w:p>
            <w:pPr>
              <w:jc w:val="right"/>
              <w:ind w:right="537"/>
              <w:spacing w:after="0"/>
              <w:rPr>
                <w:sz w:val="20"/>
                <w:szCs w:val="20"/>
                <w:color w:val="auto"/>
              </w:rPr>
            </w:pPr>
            <w:r>
              <w:rPr>
                <w:rFonts w:ascii="Arial" w:cs="Arial" w:eastAsia="Arial" w:hAnsi="Arial"/>
                <w:sz w:val="16"/>
                <w:szCs w:val="16"/>
                <w:color w:val="auto"/>
              </w:rPr>
              <w:t>98.8%</w:t>
            </w:r>
          </w:p>
        </w:tc>
        <w:tc>
          <w:tcPr>
            <w:tcW w:w="1500" w:type="dxa"/>
            <w:vAlign w:val="bottom"/>
            <w:tcBorders>
              <w:bottom w:val="single" w:sz="8" w:color="B6DDE8"/>
            </w:tcBorders>
            <w:shd w:val="clear" w:color="auto" w:fill="B6DDE8"/>
          </w:tcPr>
          <w:p>
            <w:pPr>
              <w:jc w:val="right"/>
              <w:ind w:right="370"/>
              <w:spacing w:after="0"/>
              <w:rPr>
                <w:sz w:val="20"/>
                <w:szCs w:val="20"/>
                <w:color w:val="auto"/>
              </w:rPr>
            </w:pPr>
            <w:r>
              <w:rPr>
                <w:rFonts w:ascii="Arial" w:cs="Arial" w:eastAsia="Arial" w:hAnsi="Arial"/>
                <w:sz w:val="18"/>
                <w:szCs w:val="18"/>
                <w:color w:val="auto"/>
              </w:rPr>
              <w:t>579,059</w:t>
            </w:r>
          </w:p>
        </w:tc>
        <w:tc>
          <w:tcPr>
            <w:tcW w:w="80" w:type="dxa"/>
            <w:vAlign w:val="bottom"/>
            <w:tcBorders>
              <w:bottom w:val="single" w:sz="8" w:color="CCEEFF"/>
            </w:tcBorders>
            <w:shd w:val="clear" w:color="auto" w:fill="CCEEFF"/>
          </w:tcPr>
          <w:p>
            <w:pPr>
              <w:spacing w:after="0"/>
              <w:rPr>
                <w:sz w:val="22"/>
                <w:szCs w:val="22"/>
                <w:color w:val="auto"/>
              </w:rPr>
            </w:pPr>
          </w:p>
        </w:tc>
      </w:tr>
      <w:tr>
        <w:trPr>
          <w:trHeight w:val="257"/>
        </w:trPr>
        <w:tc>
          <w:tcPr>
            <w:tcW w:w="4740" w:type="dxa"/>
            <w:vAlign w:val="bottom"/>
            <w:gridSpan w:val="2"/>
          </w:tcPr>
          <w:p>
            <w:pPr>
              <w:ind w:left="20"/>
              <w:spacing w:after="0"/>
              <w:rPr>
                <w:sz w:val="20"/>
                <w:szCs w:val="20"/>
                <w:color w:val="auto"/>
              </w:rPr>
            </w:pPr>
            <w:r>
              <w:rPr>
                <w:rFonts w:ascii="Arial" w:cs="Arial" w:eastAsia="Arial" w:hAnsi="Arial"/>
                <w:sz w:val="18"/>
                <w:szCs w:val="18"/>
                <w:color w:val="auto"/>
              </w:rPr>
              <w:t>Omead Ostadan</w:t>
            </w:r>
          </w:p>
        </w:tc>
        <w:tc>
          <w:tcPr>
            <w:tcW w:w="1480" w:type="dxa"/>
            <w:vAlign w:val="bottom"/>
          </w:tcPr>
          <w:p>
            <w:pPr>
              <w:jc w:val="center"/>
              <w:spacing w:after="0"/>
              <w:rPr>
                <w:sz w:val="20"/>
                <w:szCs w:val="20"/>
                <w:color w:val="auto"/>
              </w:rPr>
            </w:pPr>
            <w:r>
              <w:rPr>
                <w:rFonts w:ascii="Arial" w:cs="Arial" w:eastAsia="Arial" w:hAnsi="Arial"/>
                <w:sz w:val="18"/>
                <w:szCs w:val="18"/>
                <w:color w:val="auto"/>
                <w:w w:val="88"/>
              </w:rPr>
              <w:t>85,860,636</w:t>
            </w:r>
          </w:p>
        </w:tc>
        <w:tc>
          <w:tcPr>
            <w:tcW w:w="100" w:type="dxa"/>
            <w:vAlign w:val="bottom"/>
          </w:tcPr>
          <w:p>
            <w:pPr>
              <w:spacing w:after="0"/>
              <w:rPr>
                <w:sz w:val="22"/>
                <w:szCs w:val="22"/>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w w:val="89"/>
              </w:rPr>
              <w:t>1,141,484</w:t>
            </w:r>
          </w:p>
        </w:tc>
        <w:tc>
          <w:tcPr>
            <w:tcW w:w="180" w:type="dxa"/>
            <w:vAlign w:val="bottom"/>
          </w:tcPr>
          <w:p>
            <w:pPr>
              <w:spacing w:after="0"/>
              <w:rPr>
                <w:sz w:val="22"/>
                <w:szCs w:val="22"/>
                <w:color w:val="auto"/>
              </w:rPr>
            </w:pPr>
          </w:p>
        </w:tc>
        <w:tc>
          <w:tcPr>
            <w:tcW w:w="1820" w:type="dxa"/>
            <w:vAlign w:val="bottom"/>
          </w:tcPr>
          <w:p>
            <w:pPr>
              <w:jc w:val="right"/>
              <w:ind w:right="537"/>
              <w:spacing w:after="0"/>
              <w:rPr>
                <w:sz w:val="20"/>
                <w:szCs w:val="20"/>
                <w:color w:val="auto"/>
              </w:rPr>
            </w:pPr>
            <w:r>
              <w:rPr>
                <w:rFonts w:ascii="Arial" w:cs="Arial" w:eastAsia="Arial" w:hAnsi="Arial"/>
                <w:sz w:val="16"/>
                <w:szCs w:val="16"/>
                <w:color w:val="auto"/>
              </w:rPr>
              <w:t>98.7%</w:t>
            </w:r>
          </w:p>
        </w:tc>
        <w:tc>
          <w:tcPr>
            <w:tcW w:w="1500" w:type="dxa"/>
            <w:vAlign w:val="bottom"/>
          </w:tcPr>
          <w:p>
            <w:pPr>
              <w:jc w:val="right"/>
              <w:ind w:right="370"/>
              <w:spacing w:after="0"/>
              <w:rPr>
                <w:sz w:val="20"/>
                <w:szCs w:val="20"/>
                <w:color w:val="auto"/>
              </w:rPr>
            </w:pPr>
            <w:r>
              <w:rPr>
                <w:rFonts w:ascii="Arial" w:cs="Arial" w:eastAsia="Arial" w:hAnsi="Arial"/>
                <w:sz w:val="18"/>
                <w:szCs w:val="18"/>
                <w:color w:val="auto"/>
              </w:rPr>
              <w:t>579,059</w:t>
            </w:r>
          </w:p>
        </w:tc>
        <w:tc>
          <w:tcPr>
            <w:tcW w:w="80" w:type="dxa"/>
            <w:vAlign w:val="bottom"/>
          </w:tcPr>
          <w:p>
            <w:pPr>
              <w:spacing w:after="0"/>
              <w:rPr>
                <w:sz w:val="22"/>
                <w:szCs w:val="22"/>
                <w:color w:val="auto"/>
              </w:rPr>
            </w:pPr>
          </w:p>
        </w:tc>
      </w:tr>
      <w:tr>
        <w:trPr>
          <w:trHeight w:val="27"/>
        </w:trPr>
        <w:tc>
          <w:tcPr>
            <w:tcW w:w="4640" w:type="dxa"/>
            <w:vAlign w:val="bottom"/>
            <w:tcBorders>
              <w:bottom w:val="single" w:sz="8" w:color="B6DDE8"/>
            </w:tcBorders>
          </w:tcPr>
          <w:p>
            <w:pPr>
              <w:spacing w:after="0"/>
              <w:rPr>
                <w:sz w:val="2"/>
                <w:szCs w:val="2"/>
                <w:color w:val="auto"/>
              </w:rPr>
            </w:pPr>
          </w:p>
        </w:tc>
        <w:tc>
          <w:tcPr>
            <w:tcW w:w="100" w:type="dxa"/>
            <w:vAlign w:val="bottom"/>
            <w:tcBorders>
              <w:bottom w:val="single" w:sz="8" w:color="B6DDE8"/>
            </w:tcBorders>
          </w:tcPr>
          <w:p>
            <w:pPr>
              <w:spacing w:after="0"/>
              <w:rPr>
                <w:sz w:val="2"/>
                <w:szCs w:val="2"/>
                <w:color w:val="auto"/>
              </w:rPr>
            </w:pPr>
          </w:p>
        </w:tc>
        <w:tc>
          <w:tcPr>
            <w:tcW w:w="1480" w:type="dxa"/>
            <w:vAlign w:val="bottom"/>
            <w:tcBorders>
              <w:bottom w:val="single" w:sz="8" w:color="B6DDE8"/>
            </w:tcBorders>
          </w:tcPr>
          <w:p>
            <w:pPr>
              <w:spacing w:after="0"/>
              <w:rPr>
                <w:sz w:val="2"/>
                <w:szCs w:val="2"/>
                <w:color w:val="auto"/>
              </w:rPr>
            </w:pPr>
          </w:p>
        </w:tc>
        <w:tc>
          <w:tcPr>
            <w:tcW w:w="100" w:type="dxa"/>
            <w:vAlign w:val="bottom"/>
            <w:tcBorders>
              <w:bottom w:val="single" w:sz="8" w:color="B6DDE8"/>
            </w:tcBorders>
          </w:tcPr>
          <w:p>
            <w:pPr>
              <w:spacing w:after="0"/>
              <w:rPr>
                <w:sz w:val="2"/>
                <w:szCs w:val="2"/>
                <w:color w:val="auto"/>
              </w:rPr>
            </w:pPr>
          </w:p>
        </w:tc>
        <w:tc>
          <w:tcPr>
            <w:tcW w:w="1280" w:type="dxa"/>
            <w:vAlign w:val="bottom"/>
            <w:tcBorders>
              <w:bottom w:val="single" w:sz="8" w:color="B6DDE8"/>
            </w:tcBorders>
          </w:tcPr>
          <w:p>
            <w:pPr>
              <w:spacing w:after="0"/>
              <w:rPr>
                <w:sz w:val="2"/>
                <w:szCs w:val="2"/>
                <w:color w:val="auto"/>
              </w:rPr>
            </w:pPr>
          </w:p>
        </w:tc>
        <w:tc>
          <w:tcPr>
            <w:tcW w:w="180" w:type="dxa"/>
            <w:vAlign w:val="bottom"/>
            <w:tcBorders>
              <w:bottom w:val="single" w:sz="8" w:color="B6DDE8"/>
            </w:tcBorders>
          </w:tcPr>
          <w:p>
            <w:pPr>
              <w:spacing w:after="0"/>
              <w:rPr>
                <w:sz w:val="2"/>
                <w:szCs w:val="2"/>
                <w:color w:val="auto"/>
              </w:rPr>
            </w:pPr>
          </w:p>
        </w:tc>
        <w:tc>
          <w:tcPr>
            <w:tcW w:w="1820" w:type="dxa"/>
            <w:vAlign w:val="bottom"/>
            <w:tcBorders>
              <w:bottom w:val="single" w:sz="8" w:color="B6DDE8"/>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r>
      <w:tr>
        <w:trPr>
          <w:trHeight w:val="250"/>
        </w:trPr>
        <w:tc>
          <w:tcPr>
            <w:tcW w:w="4740" w:type="dxa"/>
            <w:vAlign w:val="bottom"/>
            <w:gridSpan w:val="2"/>
            <w:shd w:val="clear" w:color="auto" w:fill="B6DDE8"/>
          </w:tcPr>
          <w:p>
            <w:pPr>
              <w:ind w:left="20"/>
              <w:spacing w:after="0"/>
              <w:rPr>
                <w:sz w:val="20"/>
                <w:szCs w:val="20"/>
                <w:color w:val="auto"/>
              </w:rPr>
            </w:pPr>
            <w:r>
              <w:rPr>
                <w:rFonts w:ascii="Arial" w:cs="Arial" w:eastAsia="Arial" w:hAnsi="Arial"/>
                <w:sz w:val="18"/>
                <w:szCs w:val="18"/>
                <w:color w:val="auto"/>
              </w:rPr>
              <w:t>Mostafa Ronaghi, Ph.D.</w:t>
            </w:r>
          </w:p>
        </w:tc>
        <w:tc>
          <w:tcPr>
            <w:tcW w:w="1480" w:type="dxa"/>
            <w:vAlign w:val="bottom"/>
            <w:shd w:val="clear" w:color="auto" w:fill="B6DDE8"/>
          </w:tcPr>
          <w:p>
            <w:pPr>
              <w:jc w:val="center"/>
              <w:spacing w:after="0"/>
              <w:rPr>
                <w:sz w:val="20"/>
                <w:szCs w:val="20"/>
                <w:color w:val="auto"/>
              </w:rPr>
            </w:pPr>
            <w:r>
              <w:rPr>
                <w:rFonts w:ascii="Arial" w:cs="Arial" w:eastAsia="Arial" w:hAnsi="Arial"/>
                <w:sz w:val="18"/>
                <w:szCs w:val="18"/>
                <w:color w:val="auto"/>
                <w:w w:val="88"/>
              </w:rPr>
              <w:t>86,515,335</w:t>
            </w:r>
          </w:p>
        </w:tc>
        <w:tc>
          <w:tcPr>
            <w:tcW w:w="100" w:type="dxa"/>
            <w:vAlign w:val="bottom"/>
            <w:shd w:val="clear" w:color="auto" w:fill="B6DDE8"/>
          </w:tcPr>
          <w:p>
            <w:pPr>
              <w:spacing w:after="0"/>
              <w:rPr>
                <w:sz w:val="21"/>
                <w:szCs w:val="21"/>
                <w:color w:val="auto"/>
              </w:rPr>
            </w:pPr>
          </w:p>
        </w:tc>
        <w:tc>
          <w:tcPr>
            <w:tcW w:w="1280" w:type="dxa"/>
            <w:vAlign w:val="bottom"/>
            <w:shd w:val="clear" w:color="auto" w:fill="B6DDE8"/>
          </w:tcPr>
          <w:p>
            <w:pPr>
              <w:jc w:val="center"/>
              <w:spacing w:after="0"/>
              <w:rPr>
                <w:sz w:val="20"/>
                <w:szCs w:val="20"/>
                <w:color w:val="auto"/>
              </w:rPr>
            </w:pPr>
            <w:r>
              <w:rPr>
                <w:rFonts w:ascii="Arial" w:cs="Arial" w:eastAsia="Arial" w:hAnsi="Arial"/>
                <w:sz w:val="18"/>
                <w:szCs w:val="18"/>
                <w:color w:val="auto"/>
                <w:w w:val="89"/>
              </w:rPr>
              <w:t>486,785</w:t>
            </w:r>
          </w:p>
        </w:tc>
        <w:tc>
          <w:tcPr>
            <w:tcW w:w="180" w:type="dxa"/>
            <w:vAlign w:val="bottom"/>
            <w:shd w:val="clear" w:color="auto" w:fill="B6DDE8"/>
          </w:tcPr>
          <w:p>
            <w:pPr>
              <w:spacing w:after="0"/>
              <w:rPr>
                <w:sz w:val="21"/>
                <w:szCs w:val="21"/>
                <w:color w:val="auto"/>
              </w:rPr>
            </w:pPr>
          </w:p>
        </w:tc>
        <w:tc>
          <w:tcPr>
            <w:tcW w:w="1820" w:type="dxa"/>
            <w:vAlign w:val="bottom"/>
            <w:shd w:val="clear" w:color="auto" w:fill="B6DDE8"/>
          </w:tcPr>
          <w:p>
            <w:pPr>
              <w:jc w:val="right"/>
              <w:ind w:right="537"/>
              <w:spacing w:after="0"/>
              <w:rPr>
                <w:sz w:val="20"/>
                <w:szCs w:val="20"/>
                <w:color w:val="auto"/>
              </w:rPr>
            </w:pPr>
            <w:r>
              <w:rPr>
                <w:rFonts w:ascii="Arial" w:cs="Arial" w:eastAsia="Arial" w:hAnsi="Arial"/>
                <w:sz w:val="16"/>
                <w:szCs w:val="16"/>
                <w:color w:val="auto"/>
              </w:rPr>
              <w:t>99.4%</w:t>
            </w:r>
          </w:p>
        </w:tc>
        <w:tc>
          <w:tcPr>
            <w:tcW w:w="1500" w:type="dxa"/>
            <w:vAlign w:val="bottom"/>
            <w:shd w:val="clear" w:color="auto" w:fill="B6DDE8"/>
          </w:tcPr>
          <w:p>
            <w:pPr>
              <w:jc w:val="right"/>
              <w:ind w:right="370"/>
              <w:spacing w:after="0"/>
              <w:rPr>
                <w:sz w:val="20"/>
                <w:szCs w:val="20"/>
                <w:color w:val="auto"/>
              </w:rPr>
            </w:pPr>
            <w:r>
              <w:rPr>
                <w:rFonts w:ascii="Arial" w:cs="Arial" w:eastAsia="Arial" w:hAnsi="Arial"/>
                <w:sz w:val="18"/>
                <w:szCs w:val="18"/>
                <w:color w:val="auto"/>
              </w:rPr>
              <w:t>579,059</w:t>
            </w:r>
          </w:p>
        </w:tc>
        <w:tc>
          <w:tcPr>
            <w:tcW w:w="80" w:type="dxa"/>
            <w:vAlign w:val="bottom"/>
          </w:tcPr>
          <w:p>
            <w:pPr>
              <w:spacing w:after="0"/>
              <w:rPr>
                <w:sz w:val="21"/>
                <w:szCs w:val="21"/>
                <w:color w:val="auto"/>
              </w:rPr>
            </w:pPr>
          </w:p>
        </w:tc>
      </w:tr>
      <w:tr>
        <w:trPr>
          <w:trHeight w:val="27"/>
        </w:trPr>
        <w:tc>
          <w:tcPr>
            <w:tcW w:w="4640" w:type="dxa"/>
            <w:vAlign w:val="bottom"/>
            <w:shd w:val="clear" w:color="auto" w:fill="B6DDE8"/>
          </w:tcPr>
          <w:p>
            <w:pPr>
              <w:spacing w:after="0"/>
              <w:rPr>
                <w:sz w:val="2"/>
                <w:szCs w:val="2"/>
                <w:color w:val="auto"/>
              </w:rPr>
            </w:pPr>
          </w:p>
        </w:tc>
        <w:tc>
          <w:tcPr>
            <w:tcW w:w="100" w:type="dxa"/>
            <w:vAlign w:val="bottom"/>
            <w:shd w:val="clear" w:color="auto" w:fill="B6DDE8"/>
          </w:tcPr>
          <w:p>
            <w:pPr>
              <w:spacing w:after="0"/>
              <w:rPr>
                <w:sz w:val="2"/>
                <w:szCs w:val="2"/>
                <w:color w:val="auto"/>
              </w:rPr>
            </w:pPr>
          </w:p>
        </w:tc>
        <w:tc>
          <w:tcPr>
            <w:tcW w:w="1480" w:type="dxa"/>
            <w:vAlign w:val="bottom"/>
            <w:shd w:val="clear" w:color="auto" w:fill="B6DDE8"/>
          </w:tcPr>
          <w:p>
            <w:pPr>
              <w:spacing w:after="0"/>
              <w:rPr>
                <w:sz w:val="2"/>
                <w:szCs w:val="2"/>
                <w:color w:val="auto"/>
              </w:rPr>
            </w:pPr>
          </w:p>
        </w:tc>
        <w:tc>
          <w:tcPr>
            <w:tcW w:w="100" w:type="dxa"/>
            <w:vAlign w:val="bottom"/>
            <w:shd w:val="clear" w:color="auto" w:fill="B6DDE8"/>
          </w:tcPr>
          <w:p>
            <w:pPr>
              <w:spacing w:after="0"/>
              <w:rPr>
                <w:sz w:val="2"/>
                <w:szCs w:val="2"/>
                <w:color w:val="auto"/>
              </w:rPr>
            </w:pPr>
          </w:p>
        </w:tc>
        <w:tc>
          <w:tcPr>
            <w:tcW w:w="1280" w:type="dxa"/>
            <w:vAlign w:val="bottom"/>
            <w:shd w:val="clear" w:color="auto" w:fill="B6DDE8"/>
          </w:tcPr>
          <w:p>
            <w:pPr>
              <w:spacing w:after="0"/>
              <w:rPr>
                <w:sz w:val="2"/>
                <w:szCs w:val="2"/>
                <w:color w:val="auto"/>
              </w:rPr>
            </w:pPr>
          </w:p>
        </w:tc>
        <w:tc>
          <w:tcPr>
            <w:tcW w:w="180" w:type="dxa"/>
            <w:vAlign w:val="bottom"/>
            <w:shd w:val="clear" w:color="auto" w:fill="B6DDE8"/>
          </w:tcPr>
          <w:p>
            <w:pPr>
              <w:spacing w:after="0"/>
              <w:rPr>
                <w:sz w:val="2"/>
                <w:szCs w:val="2"/>
                <w:color w:val="auto"/>
              </w:rPr>
            </w:pPr>
          </w:p>
        </w:tc>
        <w:tc>
          <w:tcPr>
            <w:tcW w:w="1820" w:type="dxa"/>
            <w:vAlign w:val="bottom"/>
            <w:shd w:val="clear" w:color="auto" w:fill="B6DDE8"/>
          </w:tcPr>
          <w:p>
            <w:pPr>
              <w:spacing w:after="0"/>
              <w:rPr>
                <w:sz w:val="2"/>
                <w:szCs w:val="2"/>
                <w:color w:val="auto"/>
              </w:rPr>
            </w:pPr>
          </w:p>
        </w:tc>
        <w:tc>
          <w:tcPr>
            <w:tcW w:w="1500" w:type="dxa"/>
            <w:vAlign w:val="bottom"/>
            <w:shd w:val="clear" w:color="auto" w:fill="B6DDE8"/>
          </w:tcPr>
          <w:p>
            <w:pPr>
              <w:spacing w:after="0"/>
              <w:rPr>
                <w:sz w:val="2"/>
                <w:szCs w:val="2"/>
                <w:color w:val="auto"/>
              </w:rPr>
            </w:pPr>
          </w:p>
        </w:tc>
        <w:tc>
          <w:tcPr>
            <w:tcW w:w="80" w:type="dxa"/>
            <w:vAlign w:val="bottom"/>
          </w:tcPr>
          <w:p>
            <w:pPr>
              <w:spacing w:after="0"/>
              <w:rPr>
                <w:sz w:val="2"/>
                <w:szCs w:val="2"/>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Proposal Two – Ratification of Appointment of Independent Registered Public Accounting Firm</w:t>
      </w:r>
    </w:p>
    <w:p>
      <w:pPr>
        <w:spacing w:after="0" w:line="252" w:lineRule="exact"/>
        <w:rPr>
          <w:sz w:val="20"/>
          <w:szCs w:val="20"/>
          <w:color w:val="auto"/>
        </w:rPr>
      </w:pPr>
    </w:p>
    <w:p>
      <w:pPr>
        <w:jc w:val="both"/>
        <w:ind w:right="80" w:firstLine="648"/>
        <w:spacing w:after="0" w:line="277" w:lineRule="auto"/>
        <w:rPr>
          <w:sz w:val="20"/>
          <w:szCs w:val="20"/>
          <w:color w:val="auto"/>
        </w:rPr>
      </w:pPr>
      <w:r>
        <w:rPr>
          <w:rFonts w:ascii="Arial" w:cs="Arial" w:eastAsia="Arial" w:hAnsi="Arial"/>
          <w:sz w:val="18"/>
          <w:szCs w:val="18"/>
          <w:color w:val="auto"/>
        </w:rPr>
        <w:t>The Company’s stockholders ratified the appointment of Deloitte &amp; Touche LLP as the Company’s independent registered public accounting firm for the fiscal year ending December 31, 2021 by the following votes: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680" w:type="dxa"/>
            <w:vAlign w:val="bottom"/>
          </w:tcPr>
          <w:p>
            <w:pPr>
              <w:jc w:val="center"/>
              <w:spacing w:after="0"/>
              <w:rPr>
                <w:sz w:val="20"/>
                <w:szCs w:val="20"/>
                <w:color w:val="auto"/>
              </w:rPr>
            </w:pPr>
            <w:r>
              <w:rPr>
                <w:rFonts w:ascii="Arial" w:cs="Arial" w:eastAsia="Arial" w:hAnsi="Arial"/>
                <w:sz w:val="18"/>
                <w:szCs w:val="18"/>
                <w:b w:val="1"/>
                <w:bCs w:val="1"/>
                <w:color w:val="auto"/>
                <w:w w:val="89"/>
              </w:rPr>
              <w:t>Votes For</w:t>
            </w:r>
          </w:p>
        </w:tc>
        <w:tc>
          <w:tcPr>
            <w:tcW w:w="2940" w:type="dxa"/>
            <w:vAlign w:val="bottom"/>
          </w:tcPr>
          <w:p>
            <w:pPr>
              <w:jc w:val="center"/>
              <w:spacing w:after="0"/>
              <w:rPr>
                <w:sz w:val="20"/>
                <w:szCs w:val="20"/>
                <w:color w:val="auto"/>
              </w:rPr>
            </w:pPr>
            <w:r>
              <w:rPr>
                <w:rFonts w:ascii="Arial" w:cs="Arial" w:eastAsia="Arial" w:hAnsi="Arial"/>
                <w:sz w:val="18"/>
                <w:szCs w:val="18"/>
                <w:b w:val="1"/>
                <w:bCs w:val="1"/>
                <w:color w:val="auto"/>
                <w:w w:val="86"/>
              </w:rPr>
              <w:t>Votes Against</w:t>
            </w:r>
          </w:p>
        </w:tc>
        <w:tc>
          <w:tcPr>
            <w:tcW w:w="29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6"/>
              </w:rPr>
              <w:t>Abstentions</w:t>
            </w:r>
          </w:p>
        </w:tc>
        <w:tc>
          <w:tcPr>
            <w:tcW w:w="2680" w:type="dxa"/>
            <w:vAlign w:val="bottom"/>
          </w:tcPr>
          <w:p>
            <w:pPr>
              <w:jc w:val="center"/>
              <w:spacing w:after="0"/>
              <w:rPr>
                <w:sz w:val="20"/>
                <w:szCs w:val="20"/>
                <w:color w:val="auto"/>
              </w:rPr>
            </w:pPr>
            <w:r>
              <w:rPr>
                <w:rFonts w:ascii="Arial" w:cs="Arial" w:eastAsia="Arial" w:hAnsi="Arial"/>
                <w:sz w:val="18"/>
                <w:szCs w:val="18"/>
                <w:b w:val="1"/>
                <w:bCs w:val="1"/>
                <w:color w:val="auto"/>
                <w:w w:val="90"/>
              </w:rPr>
              <w:t>Broker Non-Votes</w:t>
            </w:r>
          </w:p>
        </w:tc>
      </w:tr>
      <w:tr>
        <w:trPr>
          <w:trHeight w:val="27"/>
        </w:trPr>
        <w:tc>
          <w:tcPr>
            <w:tcW w:w="2680" w:type="dxa"/>
            <w:vAlign w:val="bottom"/>
            <w:tcBorders>
              <w:bottom w:val="single" w:sz="8" w:color="B6DDE8"/>
            </w:tcBorders>
          </w:tcPr>
          <w:p>
            <w:pPr>
              <w:spacing w:after="0"/>
              <w:rPr>
                <w:sz w:val="2"/>
                <w:szCs w:val="2"/>
                <w:color w:val="auto"/>
              </w:rPr>
            </w:pPr>
          </w:p>
        </w:tc>
        <w:tc>
          <w:tcPr>
            <w:tcW w:w="2940" w:type="dxa"/>
            <w:vAlign w:val="bottom"/>
            <w:tcBorders>
              <w:bottom w:val="single" w:sz="8" w:color="B6DDE8"/>
            </w:tcBorders>
          </w:tcPr>
          <w:p>
            <w:pPr>
              <w:spacing w:after="0"/>
              <w:rPr>
                <w:sz w:val="2"/>
                <w:szCs w:val="2"/>
                <w:color w:val="auto"/>
              </w:rPr>
            </w:pPr>
          </w:p>
        </w:tc>
        <w:tc>
          <w:tcPr>
            <w:tcW w:w="2680" w:type="dxa"/>
            <w:vAlign w:val="bottom"/>
            <w:tcBorders>
              <w:bottom w:val="single" w:sz="8" w:color="auto"/>
            </w:tcBorders>
          </w:tcPr>
          <w:p>
            <w:pPr>
              <w:spacing w:after="0"/>
              <w:rPr>
                <w:sz w:val="2"/>
                <w:szCs w:val="2"/>
                <w:color w:val="auto"/>
              </w:rPr>
            </w:pPr>
          </w:p>
        </w:tc>
        <w:tc>
          <w:tcPr>
            <w:tcW w:w="260" w:type="dxa"/>
            <w:vAlign w:val="bottom"/>
            <w:tcBorders>
              <w:bottom w:val="single" w:sz="8" w:color="B6DDE8"/>
            </w:tcBorders>
          </w:tcPr>
          <w:p>
            <w:pPr>
              <w:spacing w:after="0"/>
              <w:rPr>
                <w:sz w:val="2"/>
                <w:szCs w:val="2"/>
                <w:color w:val="auto"/>
              </w:rPr>
            </w:pPr>
          </w:p>
        </w:tc>
        <w:tc>
          <w:tcPr>
            <w:tcW w:w="2680" w:type="dxa"/>
            <w:vAlign w:val="bottom"/>
            <w:tcBorders>
              <w:bottom w:val="single" w:sz="8" w:color="auto"/>
            </w:tcBorders>
          </w:tcPr>
          <w:p>
            <w:pPr>
              <w:spacing w:after="0"/>
              <w:rPr>
                <w:sz w:val="2"/>
                <w:szCs w:val="2"/>
                <w:color w:val="auto"/>
              </w:rPr>
            </w:pPr>
          </w:p>
        </w:tc>
      </w:tr>
      <w:tr>
        <w:trPr>
          <w:trHeight w:val="250"/>
        </w:trPr>
        <w:tc>
          <w:tcPr>
            <w:tcW w:w="2680" w:type="dxa"/>
            <w:vAlign w:val="bottom"/>
            <w:shd w:val="clear" w:color="auto" w:fill="B6DDE8"/>
          </w:tcPr>
          <w:p>
            <w:pPr>
              <w:jc w:val="right"/>
              <w:ind w:right="850"/>
              <w:spacing w:after="0"/>
              <w:rPr>
                <w:sz w:val="20"/>
                <w:szCs w:val="20"/>
                <w:color w:val="auto"/>
              </w:rPr>
            </w:pPr>
            <w:r>
              <w:rPr>
                <w:rFonts w:ascii="Arial" w:cs="Arial" w:eastAsia="Arial" w:hAnsi="Arial"/>
                <w:sz w:val="18"/>
                <w:szCs w:val="18"/>
                <w:color w:val="auto"/>
              </w:rPr>
              <w:t>87,557,037</w:t>
            </w:r>
          </w:p>
        </w:tc>
        <w:tc>
          <w:tcPr>
            <w:tcW w:w="2940" w:type="dxa"/>
            <w:vAlign w:val="bottom"/>
            <w:shd w:val="clear" w:color="auto" w:fill="B6DDE8"/>
          </w:tcPr>
          <w:p>
            <w:pPr>
              <w:jc w:val="right"/>
              <w:ind w:right="1150"/>
              <w:spacing w:after="0"/>
              <w:rPr>
                <w:sz w:val="20"/>
                <w:szCs w:val="20"/>
                <w:color w:val="auto"/>
              </w:rPr>
            </w:pPr>
            <w:r>
              <w:rPr>
                <w:rFonts w:ascii="Arial" w:cs="Arial" w:eastAsia="Arial" w:hAnsi="Arial"/>
                <w:sz w:val="18"/>
                <w:szCs w:val="18"/>
                <w:color w:val="auto"/>
              </w:rPr>
              <w:t>18,731</w:t>
            </w:r>
          </w:p>
        </w:tc>
        <w:tc>
          <w:tcPr>
            <w:tcW w:w="2680" w:type="dxa"/>
            <w:vAlign w:val="bottom"/>
            <w:shd w:val="clear" w:color="auto" w:fill="B6DDE8"/>
          </w:tcPr>
          <w:p>
            <w:pPr>
              <w:jc w:val="right"/>
              <w:ind w:right="1050"/>
              <w:spacing w:after="0"/>
              <w:rPr>
                <w:sz w:val="20"/>
                <w:szCs w:val="20"/>
                <w:color w:val="auto"/>
              </w:rPr>
            </w:pPr>
            <w:r>
              <w:rPr>
                <w:rFonts w:ascii="Arial" w:cs="Arial" w:eastAsia="Arial" w:hAnsi="Arial"/>
                <w:sz w:val="18"/>
                <w:szCs w:val="18"/>
                <w:color w:val="auto"/>
              </w:rPr>
              <w:t>5,411</w:t>
            </w:r>
          </w:p>
        </w:tc>
        <w:tc>
          <w:tcPr>
            <w:tcW w:w="260" w:type="dxa"/>
            <w:vAlign w:val="bottom"/>
            <w:shd w:val="clear" w:color="auto" w:fill="B6DDE8"/>
          </w:tcPr>
          <w:p>
            <w:pPr>
              <w:spacing w:after="0"/>
              <w:rPr>
                <w:sz w:val="21"/>
                <w:szCs w:val="21"/>
                <w:color w:val="auto"/>
              </w:rPr>
            </w:pPr>
          </w:p>
        </w:tc>
        <w:tc>
          <w:tcPr>
            <w:tcW w:w="2680" w:type="dxa"/>
            <w:vAlign w:val="bottom"/>
            <w:shd w:val="clear" w:color="auto" w:fill="B6DDE8"/>
          </w:tcPr>
          <w:p>
            <w:pPr>
              <w:jc w:val="right"/>
              <w:ind w:right="1210"/>
              <w:spacing w:after="0"/>
              <w:rPr>
                <w:sz w:val="20"/>
                <w:szCs w:val="20"/>
                <w:color w:val="auto"/>
              </w:rPr>
            </w:pPr>
            <w:r>
              <w:rPr>
                <w:rFonts w:ascii="Arial" w:cs="Arial" w:eastAsia="Arial" w:hAnsi="Arial"/>
                <w:sz w:val="18"/>
                <w:szCs w:val="18"/>
                <w:color w:val="auto"/>
              </w:rPr>
              <w:t>-</w:t>
            </w:r>
          </w:p>
        </w:tc>
      </w:tr>
      <w:tr>
        <w:trPr>
          <w:trHeight w:val="27"/>
        </w:trPr>
        <w:tc>
          <w:tcPr>
            <w:tcW w:w="2680" w:type="dxa"/>
            <w:vAlign w:val="bottom"/>
            <w:shd w:val="clear" w:color="auto" w:fill="B6DDE8"/>
          </w:tcPr>
          <w:p>
            <w:pPr>
              <w:spacing w:after="0"/>
              <w:rPr>
                <w:sz w:val="2"/>
                <w:szCs w:val="2"/>
                <w:color w:val="auto"/>
              </w:rPr>
            </w:pPr>
          </w:p>
        </w:tc>
        <w:tc>
          <w:tcPr>
            <w:tcW w:w="2940" w:type="dxa"/>
            <w:vAlign w:val="bottom"/>
            <w:shd w:val="clear" w:color="auto" w:fill="B6DDE8"/>
          </w:tcPr>
          <w:p>
            <w:pPr>
              <w:spacing w:after="0"/>
              <w:rPr>
                <w:sz w:val="2"/>
                <w:szCs w:val="2"/>
                <w:color w:val="auto"/>
              </w:rPr>
            </w:pPr>
          </w:p>
        </w:tc>
        <w:tc>
          <w:tcPr>
            <w:tcW w:w="2680" w:type="dxa"/>
            <w:vAlign w:val="bottom"/>
            <w:shd w:val="clear" w:color="auto" w:fill="B6DDE8"/>
          </w:tcPr>
          <w:p>
            <w:pPr>
              <w:spacing w:after="0"/>
              <w:rPr>
                <w:sz w:val="2"/>
                <w:szCs w:val="2"/>
                <w:color w:val="auto"/>
              </w:rPr>
            </w:pPr>
          </w:p>
        </w:tc>
        <w:tc>
          <w:tcPr>
            <w:tcW w:w="260" w:type="dxa"/>
            <w:vAlign w:val="bottom"/>
            <w:shd w:val="clear" w:color="auto" w:fill="B6DDE8"/>
          </w:tcPr>
          <w:p>
            <w:pPr>
              <w:spacing w:after="0"/>
              <w:rPr>
                <w:sz w:val="2"/>
                <w:szCs w:val="2"/>
                <w:color w:val="auto"/>
              </w:rPr>
            </w:pPr>
          </w:p>
        </w:tc>
        <w:tc>
          <w:tcPr>
            <w:tcW w:w="2680" w:type="dxa"/>
            <w:vAlign w:val="bottom"/>
            <w:shd w:val="clear" w:color="auto" w:fill="B6DDE8"/>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874395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63" w:lineRule="exact"/>
        <w:rPr>
          <w:sz w:val="20"/>
          <w:szCs w:val="20"/>
          <w:color w:val="auto"/>
        </w:rPr>
      </w:pPr>
    </w:p>
    <w:p>
      <w:pPr>
        <w:ind w:left="5460"/>
        <w:spacing w:after="0"/>
        <w:rPr>
          <w:sz w:val="20"/>
          <w:szCs w:val="20"/>
          <w:color w:val="auto"/>
        </w:rPr>
      </w:pPr>
      <w:r>
        <w:rPr>
          <w:rFonts w:ascii="Arial" w:cs="Arial" w:eastAsia="Arial" w:hAnsi="Arial"/>
          <w:sz w:val="18"/>
          <w:szCs w:val="18"/>
          <w:b w:val="1"/>
          <w:bCs w:val="1"/>
          <w:color w:val="auto"/>
        </w:rPr>
        <w:t>SEER, INC.</w:t>
      </w:r>
    </w:p>
    <w:p>
      <w:pPr>
        <w:spacing w:after="0" w:line="67"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June 22, 2021</w:t>
      </w:r>
    </w:p>
    <w:p>
      <w:pPr>
        <w:spacing w:after="0" w:line="90" w:lineRule="exact"/>
        <w:rPr>
          <w:sz w:val="20"/>
          <w:szCs w:val="20"/>
          <w:color w:val="auto"/>
        </w:rPr>
      </w:pPr>
    </w:p>
    <w:p>
      <w:pPr>
        <w:ind w:left="5460"/>
        <w:spacing w:after="0"/>
        <w:tabs>
          <w:tab w:leader="none" w:pos="62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David Horn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3836670</wp:posOffset>
            </wp:positionH>
            <wp:positionV relativeFrom="paragraph">
              <wp:posOffset>31750</wp:posOffset>
            </wp:positionV>
            <wp:extent cx="322326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223260" cy="8890"/>
                    </a:xfrm>
                    <a:prstGeom prst="rect">
                      <a:avLst/>
                    </a:prstGeom>
                    <a:noFill/>
                  </pic:spPr>
                </pic:pic>
              </a:graphicData>
            </a:graphic>
          </wp:anchor>
        </w:drawing>
      </w:r>
    </w:p>
    <w:p>
      <w:pPr>
        <w:spacing w:after="0" w:line="57"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David Horn</w:t>
      </w:r>
    </w:p>
    <w:p>
      <w:pPr>
        <w:spacing w:after="0" w:line="77"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1240"/>
      </w:cols>
      <w:pgMar w:left="320" w:top="139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2021-06-23T05:02:46Z</dcterms:created>
  <dcterms:modified xsi:type="dcterms:W3CDTF">2021-06-23T05:02:46Z</dcterms:modified>
</cp:coreProperties>
</file>