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ANNUAL REPORT PURSUANT TO SECTION 13 OR 15(d) OF THE SECURITIES EXCHANGE ACT OF 1934</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December 31, 2022</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 TRANSITION REPORT PURSUANT TO SECTION 13 OR 15(d) OF THE SECURITIES EXCHANGE ACT OF 1934</w:t>
      </w:r>
    </w:p>
    <w:p>
      <w:pPr>
        <w:spacing w:after="0" w:line="180"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6"/>
          <w:szCs w:val="16"/>
          <w:color w:val="auto"/>
        </w:rPr>
        <w:t>For the transition period from _______________ to _______________</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001-39747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677545</wp:posOffset>
            </wp:positionV>
            <wp:extent cx="1920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tbl>
      <w:tblPr>
        <w:tblLayout w:type="fixed"/>
        <w:tblInd w:w="460" w:type="dxa"/>
        <w:tblCellMar>
          <w:top w:w="0" w:type="dxa"/>
          <w:left w:w="0" w:type="dxa"/>
          <w:bottom w:w="0" w:type="dxa"/>
          <w:right w:w="0" w:type="dxa"/>
        </w:tblCellMar>
      </w:tblPr>
      <w:tr>
        <w:trPr>
          <w:trHeight w:val="488"/>
        </w:trPr>
        <w:tc>
          <w:tcPr>
            <w:tcW w:w="3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00" w:type="dxa"/>
            <w:vAlign w:val="bottom"/>
            <w:gridSpan w:val="2"/>
          </w:tcPr>
          <w:p>
            <w:pPr>
              <w:jc w:val="center"/>
              <w:ind w:right="3408"/>
              <w:spacing w:after="0"/>
              <w:rPr>
                <w:sz w:val="20"/>
                <w:szCs w:val="20"/>
                <w:color w:val="auto"/>
              </w:rPr>
            </w:pPr>
            <w:r>
              <w:rPr>
                <w:rFonts w:ascii="Times New Roman" w:cs="Times New Roman" w:eastAsia="Times New Roman" w:hAnsi="Times New Roman"/>
                <w:sz w:val="40"/>
                <w:szCs w:val="40"/>
                <w:b w:val="1"/>
                <w:bCs w:val="1"/>
                <w:color w:val="auto"/>
                <w:w w:val="99"/>
              </w:rPr>
              <w:t>SEER, INC.</w:t>
            </w:r>
          </w:p>
        </w:tc>
      </w:tr>
      <w:tr>
        <w:trPr>
          <w:trHeight w:val="190"/>
        </w:trPr>
        <w:tc>
          <w:tcPr>
            <w:tcW w:w="3200" w:type="dxa"/>
            <w:vAlign w:val="bottom"/>
          </w:tcPr>
          <w:p>
            <w:pPr>
              <w:spacing w:after="0"/>
              <w:rPr>
                <w:sz w:val="16"/>
                <w:szCs w:val="16"/>
                <w:color w:val="auto"/>
              </w:rPr>
            </w:pPr>
          </w:p>
        </w:tc>
        <w:tc>
          <w:tcPr>
            <w:tcW w:w="6960" w:type="dxa"/>
            <w:vAlign w:val="bottom"/>
            <w:gridSpan w:val="3"/>
          </w:tcPr>
          <w:p>
            <w:pPr>
              <w:jc w:val="center"/>
              <w:ind w:right="294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91"/>
        </w:trPr>
        <w:tc>
          <w:tcPr>
            <w:tcW w:w="3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3480" w:type="dxa"/>
            <w:vAlign w:val="bottom"/>
          </w:tcPr>
          <w:p>
            <w:pPr>
              <w:spacing w:after="0"/>
              <w:rPr>
                <w:sz w:val="7"/>
                <w:szCs w:val="7"/>
                <w:color w:val="auto"/>
              </w:rPr>
            </w:pPr>
          </w:p>
        </w:tc>
      </w:tr>
      <w:tr>
        <w:trPr>
          <w:trHeight w:val="456"/>
        </w:trPr>
        <w:tc>
          <w:tcPr>
            <w:tcW w:w="320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960" w:type="dxa"/>
            <w:vAlign w:val="bottom"/>
            <w:gridSpan w:val="3"/>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01"/>
        </w:trPr>
        <w:tc>
          <w:tcPr>
            <w:tcW w:w="320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tc>
        <w:tc>
          <w:tcPr>
            <w:tcW w:w="4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80" w:type="dxa"/>
            <w:vAlign w:val="bottom"/>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190"/>
        </w:trPr>
        <w:tc>
          <w:tcPr>
            <w:tcW w:w="320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4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480" w:type="dxa"/>
            <w:vAlign w:val="bottom"/>
          </w:tcPr>
          <w:p>
            <w:pPr>
              <w:spacing w:after="0"/>
              <w:rPr>
                <w:sz w:val="16"/>
                <w:szCs w:val="16"/>
                <w:color w:val="auto"/>
              </w:rPr>
            </w:pPr>
          </w:p>
        </w:tc>
      </w:tr>
    </w:tbl>
    <w:p>
      <w:pPr>
        <w:spacing w:after="0" w:line="26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3800 Bridge Parkway, Suite 102</w:t>
      </w:r>
    </w:p>
    <w:p>
      <w:pPr>
        <w:spacing w:after="0" w:line="1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Redwood City, California 94065</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650-453-0000</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67310</wp:posOffset>
            </wp:positionV>
            <wp:extent cx="1920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980" w:type="dxa"/>
            <w:vAlign w:val="bottom"/>
          </w:tcPr>
          <w:p>
            <w:pPr>
              <w:spacing w:after="0"/>
              <w:rPr>
                <w:sz w:val="16"/>
                <w:szCs w:val="16"/>
                <w:color w:val="auto"/>
              </w:rPr>
            </w:pPr>
          </w:p>
        </w:tc>
        <w:tc>
          <w:tcPr>
            <w:tcW w:w="36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6"/>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i w:val="1"/>
                <w:iCs w:val="1"/>
                <w:color w:val="auto"/>
              </w:rPr>
              <w:t>Copies to:</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6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c>
          <w:tcPr>
            <w:tcW w:w="0" w:type="dxa"/>
            <w:vAlign w:val="bottom"/>
          </w:tcPr>
          <w:p>
            <w:pPr>
              <w:spacing w:after="0"/>
              <w:rPr>
                <w:sz w:val="1"/>
                <w:szCs w:val="1"/>
                <w:color w:val="auto"/>
              </w:rPr>
            </w:pPr>
          </w:p>
        </w:tc>
      </w:tr>
      <w:tr>
        <w:trPr>
          <w:trHeight w:val="223"/>
        </w:trPr>
        <w:tc>
          <w:tcPr>
            <w:tcW w:w="3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$0.00001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6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6"/>
                <w:szCs w:val="16"/>
                <w:color w:val="auto"/>
              </w:rPr>
              <w:t>SEER</w:t>
            </w:r>
          </w:p>
        </w:tc>
        <w:tc>
          <w:tcPr>
            <w:tcW w:w="366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r>
        <w:trPr>
          <w:trHeight w:val="81"/>
        </w:trPr>
        <w:tc>
          <w:tcPr>
            <w:tcW w:w="3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60" w:type="dxa"/>
            <w:vAlign w:val="bottom"/>
            <w:gridSpan w:val="4"/>
            <w:vMerge w:val="continue"/>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22"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3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ind w:right="24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6" w:lineRule="exact"/>
        <w:rPr>
          <w:sz w:val="24"/>
          <w:szCs w:val="24"/>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2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0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Accelerated filer</w:t>
            </w:r>
          </w:p>
        </w:tc>
        <w:tc>
          <w:tcPr>
            <w:tcW w:w="14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r>
      <w:tr>
        <w:trPr>
          <w:trHeight w:val="243"/>
        </w:trPr>
        <w:tc>
          <w:tcPr>
            <w:tcW w:w="22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50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22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Non-accelerated filer</w:t>
            </w:r>
          </w:p>
        </w:tc>
        <w:tc>
          <w:tcPr>
            <w:tcW w:w="30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r>
      <w:tr>
        <w:trPr>
          <w:trHeight w:val="616"/>
        </w:trPr>
        <w:tc>
          <w:tcPr>
            <w:tcW w:w="22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8" w:right="339" w:bottom="973" w:gutter="0" w:footer="0" w:header="0"/>
        </w:sectPr>
      </w:pPr>
    </w:p>
    <w:bookmarkStart w:id="1" w:name="page2"/>
    <w:bookmarkEnd w:id="1"/>
    <w:p>
      <w:pPr>
        <w:ind w:right="52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8" w:lineRule="exact"/>
        <w:rPr>
          <w:sz w:val="20"/>
          <w:szCs w:val="20"/>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6" w:lineRule="exact"/>
        <w:rPr>
          <w:sz w:val="20"/>
          <w:szCs w:val="20"/>
          <w:color w:val="auto"/>
        </w:rPr>
      </w:pPr>
    </w:p>
    <w:p>
      <w:pPr>
        <w:ind w:right="240"/>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23" w:lineRule="exact"/>
        <w:rPr>
          <w:sz w:val="20"/>
          <w:szCs w:val="20"/>
          <w:color w:val="auto"/>
        </w:rPr>
      </w:pPr>
    </w:p>
    <w:p>
      <w:pPr>
        <w:ind w:right="26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97"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based on the closing price of the shares of common stock on The NASDAQ Stock Market on June 30, 2022, was approximately $426.0 million.</w:t>
      </w:r>
    </w:p>
    <w:p>
      <w:pPr>
        <w:spacing w:after="0" w:line="106"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6"/>
          <w:szCs w:val="16"/>
          <w:color w:val="auto"/>
        </w:rPr>
        <w:t xml:space="preserve">As of </w:t>
      </w:r>
      <w:r>
        <w:rPr>
          <w:rFonts w:ascii="Times New Roman" w:cs="Times New Roman" w:eastAsia="Times New Roman" w:hAnsi="Times New Roman"/>
          <w:sz w:val="17"/>
          <w:szCs w:val="17"/>
          <w:color w:val="auto"/>
        </w:rPr>
        <w:t>March 2, 2023</w:t>
      </w:r>
      <w:r>
        <w:rPr>
          <w:rFonts w:ascii="Times New Roman" w:cs="Times New Roman" w:eastAsia="Times New Roman" w:hAnsi="Times New Roman"/>
          <w:sz w:val="16"/>
          <w:szCs w:val="16"/>
          <w:color w:val="auto"/>
        </w:rPr>
        <w:t>, the registrant had 59,699,611 shares of Class A common stock, $0.00001 par value per share, and 4,044,969 of Class B common stock, $0.00001 par value per share, outstanding.</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67"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2023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1" w:right="399" w:bottom="1440" w:gutter="0" w:footer="0" w:header="0"/>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13"/>
          </w:tcPr>
          <w:p>
            <w:pPr>
              <w:jc w:val="center"/>
              <w:ind w:right="4840"/>
              <w:spacing w:after="0"/>
              <w:rPr>
                <w:sz w:val="20"/>
                <w:szCs w:val="20"/>
                <w:color w:val="auto"/>
              </w:rPr>
            </w:pPr>
            <w:r>
              <w:rPr>
                <w:rFonts w:ascii="Times New Roman" w:cs="Times New Roman" w:eastAsia="Times New Roman" w:hAnsi="Times New Roman"/>
                <w:sz w:val="18"/>
                <w:szCs w:val="18"/>
                <w:color w:val="0000FF"/>
                <w:w w:val="99"/>
              </w:rPr>
              <w:t>Part I.</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40" w:type="dxa"/>
            <w:vAlign w:val="bottom"/>
            <w:gridSpan w:val="3"/>
          </w:tcPr>
          <w:p>
            <w:pPr>
              <w:spacing w:after="0"/>
              <w:rPr>
                <w:sz w:val="18"/>
                <w:szCs w:val="18"/>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3680" w:type="dxa"/>
            <w:vAlign w:val="bottom"/>
            <w:gridSpan w:val="18"/>
          </w:tcPr>
          <w:p>
            <w:pPr>
              <w:spacing w:after="0"/>
              <w:rPr>
                <w:sz w:val="18"/>
                <w:szCs w:val="18"/>
                <w:color w:val="auto"/>
              </w:rPr>
            </w:pPr>
          </w:p>
        </w:tc>
        <w:tc>
          <w:tcPr>
            <w:tcW w:w="440" w:type="dxa"/>
            <w:vAlign w:val="bottom"/>
            <w:tcBorders>
              <w:top w:val="single" w:sz="8" w:color="0000FF"/>
            </w:tcBorders>
            <w:gridSpan w:val="2"/>
          </w:tcPr>
          <w:p>
            <w:pPr>
              <w:spacing w:after="0"/>
              <w:rPr>
                <w:sz w:val="18"/>
                <w:szCs w:val="18"/>
                <w:color w:val="auto"/>
              </w:rPr>
            </w:pPr>
          </w:p>
        </w:tc>
        <w:tc>
          <w:tcPr>
            <w:tcW w:w="4840" w:type="dxa"/>
            <w:vAlign w:val="bottom"/>
            <w:gridSpan w:val="11"/>
          </w:tcPr>
          <w:p>
            <w:pPr>
              <w:spacing w:after="0"/>
              <w:rPr>
                <w:sz w:val="18"/>
                <w:szCs w:val="18"/>
                <w:color w:val="auto"/>
              </w:rPr>
            </w:pPr>
          </w:p>
        </w:tc>
        <w:tc>
          <w:tcPr>
            <w:tcW w:w="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400" w:type="dxa"/>
            <w:vAlign w:val="bottom"/>
          </w:tcPr>
          <w:p>
            <w:pPr>
              <w:spacing w:after="0"/>
              <w:rPr>
                <w:sz w:val="18"/>
                <w:szCs w:val="18"/>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400" w:type="dxa"/>
            <w:vAlign w:val="bottom"/>
          </w:tcPr>
          <w:p>
            <w:pPr>
              <w:spacing w:after="0"/>
              <w:rPr>
                <w:sz w:val="18"/>
                <w:szCs w:val="18"/>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2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40" w:type="dxa"/>
            <w:vAlign w:val="bottom"/>
            <w:tcBorders>
              <w:top w:val="single" w:sz="8" w:color="0000FF"/>
            </w:tcBorders>
            <w:gridSpan w:val="2"/>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560" w:type="dxa"/>
            <w:vAlign w:val="bottom"/>
            <w:gridSpan w:val="2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40" w:type="dxa"/>
            <w:vAlign w:val="bottom"/>
            <w:gridSpan w:val="3"/>
          </w:tcPr>
          <w:p>
            <w:pPr>
              <w:spacing w:after="0"/>
              <w:rPr>
                <w:sz w:val="18"/>
                <w:szCs w:val="18"/>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260" w:type="dxa"/>
            <w:vAlign w:val="bottom"/>
            <w:gridSpan w:val="26"/>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Part II.</w:t>
            </w:r>
          </w:p>
        </w:tc>
        <w:tc>
          <w:tcPr>
            <w:tcW w:w="4800" w:type="dxa"/>
            <w:vAlign w:val="bottom"/>
            <w:gridSpan w:val="10"/>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460" w:type="dxa"/>
            <w:vAlign w:val="bottom"/>
            <w:gridSpan w:val="2"/>
          </w:tcPr>
          <w:p>
            <w:pPr>
              <w:spacing w:after="0"/>
              <w:rPr>
                <w:sz w:val="18"/>
                <w:szCs w:val="18"/>
                <w:color w:val="auto"/>
              </w:rPr>
            </w:pPr>
          </w:p>
        </w:tc>
        <w:tc>
          <w:tcPr>
            <w:tcW w:w="808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520" w:type="dxa"/>
            <w:vAlign w:val="bottom"/>
          </w:tcPr>
          <w:p>
            <w:pPr>
              <w:spacing w:after="0"/>
              <w:rPr>
                <w:sz w:val="18"/>
                <w:szCs w:val="18"/>
                <w:color w:val="auto"/>
              </w:rPr>
            </w:pPr>
          </w:p>
        </w:tc>
        <w:tc>
          <w:tcPr>
            <w:tcW w:w="2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460" w:type="dxa"/>
            <w:vAlign w:val="bottom"/>
            <w:gridSpan w:val="2"/>
          </w:tcPr>
          <w:p>
            <w:pPr>
              <w:spacing w:after="0"/>
              <w:rPr>
                <w:sz w:val="18"/>
                <w:szCs w:val="18"/>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[Reserved]</w:t>
            </w:r>
          </w:p>
        </w:tc>
        <w:tc>
          <w:tcPr>
            <w:tcW w:w="2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64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14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7A.</w:t>
            </w:r>
          </w:p>
        </w:tc>
        <w:tc>
          <w:tcPr>
            <w:tcW w:w="400" w:type="dxa"/>
            <w:vAlign w:val="bottom"/>
          </w:tcPr>
          <w:p>
            <w:pPr>
              <w:spacing w:after="0"/>
              <w:rPr>
                <w:sz w:val="18"/>
                <w:szCs w:val="18"/>
                <w:color w:val="auto"/>
              </w:rPr>
            </w:pPr>
          </w:p>
        </w:tc>
        <w:tc>
          <w:tcPr>
            <w:tcW w:w="43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240" w:type="dxa"/>
            <w:vAlign w:val="bottom"/>
            <w:gridSpan w:val="1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540" w:type="dxa"/>
            <w:vAlign w:val="bottom"/>
            <w:gridSpan w:val="3"/>
          </w:tcPr>
          <w:p>
            <w:pPr>
              <w:spacing w:after="0"/>
              <w:rPr>
                <w:sz w:val="18"/>
                <w:szCs w:val="18"/>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540" w:type="dxa"/>
            <w:vAlign w:val="bottom"/>
            <w:gridSpan w:val="3"/>
          </w:tcPr>
          <w:p>
            <w:pPr>
              <w:spacing w:after="0"/>
              <w:rPr>
                <w:sz w:val="18"/>
                <w:szCs w:val="18"/>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2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118</w:t>
            </w: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400" w:type="dxa"/>
            <w:vAlign w:val="bottom"/>
          </w:tcPr>
          <w:p>
            <w:pPr>
              <w:spacing w:after="0"/>
              <w:rPr>
                <w:sz w:val="18"/>
                <w:szCs w:val="18"/>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119</w:t>
            </w: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40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840" w:type="dxa"/>
            <w:vAlign w:val="bottom"/>
            <w:gridSpan w:val="24"/>
          </w:tcPr>
          <w:p>
            <w:pPr>
              <w:spacing w:after="0"/>
              <w:rPr>
                <w:sz w:val="18"/>
                <w:szCs w:val="18"/>
                <w:color w:val="auto"/>
              </w:rPr>
            </w:pPr>
          </w:p>
        </w:tc>
        <w:tc>
          <w:tcPr>
            <w:tcW w:w="80" w:type="dxa"/>
            <w:vAlign w:val="bottom"/>
            <w:tcBorders>
              <w:top w:val="single" w:sz="8" w:color="0000FF"/>
            </w:tcBorders>
            <w:gridSpan w:val="2"/>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w:t>
            </w: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400" w:type="dxa"/>
            <w:vAlign w:val="bottom"/>
          </w:tcPr>
          <w:p>
            <w:pPr>
              <w:spacing w:after="0"/>
              <w:rPr>
                <w:sz w:val="18"/>
                <w:szCs w:val="18"/>
                <w:color w:val="auto"/>
              </w:rPr>
            </w:pPr>
          </w:p>
        </w:tc>
        <w:tc>
          <w:tcPr>
            <w:tcW w:w="49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700" w:type="dxa"/>
            <w:vAlign w:val="bottom"/>
            <w:gridSpan w:val="7"/>
          </w:tcPr>
          <w:p>
            <w:pPr>
              <w:spacing w:after="0"/>
              <w:rPr>
                <w:sz w:val="18"/>
                <w:szCs w:val="18"/>
                <w:color w:val="auto"/>
              </w:rPr>
            </w:pPr>
          </w:p>
        </w:tc>
        <w:tc>
          <w:tcPr>
            <w:tcW w:w="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color w:val="0000FF"/>
                <w:w w:val="99"/>
              </w:rPr>
              <w:t>Part III.</w:t>
            </w:r>
          </w:p>
        </w:tc>
        <w:tc>
          <w:tcPr>
            <w:tcW w:w="4760" w:type="dxa"/>
            <w:vAlign w:val="bottom"/>
            <w:gridSpan w:val="8"/>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10.</w:t>
            </w: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6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0000FF"/>
                <w:w w:val="96"/>
              </w:rPr>
              <w:t>121</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460" w:type="dxa"/>
            <w:vAlign w:val="bottom"/>
            <w:gridSpan w:val="2"/>
          </w:tcPr>
          <w:p>
            <w:pPr>
              <w:spacing w:after="0"/>
              <w:rPr>
                <w:sz w:val="18"/>
                <w:szCs w:val="18"/>
                <w:color w:val="auto"/>
              </w:rPr>
            </w:pPr>
          </w:p>
        </w:tc>
        <w:tc>
          <w:tcPr>
            <w:tcW w:w="4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500" w:type="dxa"/>
            <w:vAlign w:val="bottom"/>
            <w:gridSpan w:val="18"/>
          </w:tcPr>
          <w:p>
            <w:pPr>
              <w:spacing w:after="0"/>
              <w:rPr>
                <w:sz w:val="18"/>
                <w:szCs w:val="18"/>
                <w:color w:val="auto"/>
              </w:rPr>
            </w:pPr>
          </w:p>
        </w:tc>
        <w:tc>
          <w:tcPr>
            <w:tcW w:w="56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0000FF"/>
                <w:w w:val="96"/>
              </w:rPr>
              <w:t>121</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12.</w:t>
            </w: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6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0000FF"/>
                <w:w w:val="96"/>
              </w:rPr>
              <w:t>121</w:t>
            </w:r>
          </w:p>
        </w:tc>
      </w:tr>
      <w:tr>
        <w:trPr>
          <w:trHeight w:val="210"/>
        </w:trPr>
        <w:tc>
          <w:tcPr>
            <w:tcW w:w="20" w:type="dxa"/>
            <w:vAlign w:val="bottom"/>
          </w:tcPr>
          <w:p>
            <w:pPr>
              <w:spacing w:after="0"/>
              <w:rPr>
                <w:sz w:val="18"/>
                <w:szCs w:val="18"/>
                <w:color w:val="auto"/>
              </w:rPr>
            </w:pPr>
          </w:p>
        </w:tc>
        <w:tc>
          <w:tcPr>
            <w:tcW w:w="10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13.</w:t>
            </w:r>
          </w:p>
        </w:tc>
        <w:tc>
          <w:tcPr>
            <w:tcW w:w="728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320" w:type="dxa"/>
            <w:vAlign w:val="bottom"/>
            <w:gridSpan w:val="2"/>
          </w:tcPr>
          <w:p>
            <w:pPr>
              <w:spacing w:after="0"/>
              <w:rPr>
                <w:sz w:val="18"/>
                <w:szCs w:val="18"/>
                <w:color w:val="auto"/>
              </w:rPr>
            </w:pPr>
          </w:p>
        </w:tc>
        <w:tc>
          <w:tcPr>
            <w:tcW w:w="560" w:type="dxa"/>
            <w:vAlign w:val="bottom"/>
            <w:tcBorders>
              <w:top w:val="single" w:sz="8" w:color="0000FF"/>
            </w:tcBorders>
            <w:gridSpan w:val="6"/>
          </w:tcPr>
          <w:p>
            <w:pPr>
              <w:jc w:val="center"/>
              <w:ind w:right="300"/>
              <w:spacing w:after="0"/>
              <w:rPr>
                <w:sz w:val="20"/>
                <w:szCs w:val="20"/>
                <w:color w:val="auto"/>
              </w:rPr>
            </w:pPr>
            <w:r>
              <w:rPr>
                <w:rFonts w:ascii="Times New Roman" w:cs="Times New Roman" w:eastAsia="Times New Roman" w:hAnsi="Times New Roman"/>
                <w:sz w:val="18"/>
                <w:szCs w:val="18"/>
                <w:color w:val="0000FF"/>
                <w:w w:val="96"/>
              </w:rPr>
              <w:t>121</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14.</w:t>
            </w: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56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0000FF"/>
                <w:w w:val="96"/>
              </w:rPr>
              <w:t>121</w:t>
            </w: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40" w:type="dxa"/>
            <w:vAlign w:val="bottom"/>
            <w:gridSpan w:val="16"/>
          </w:tcPr>
          <w:p>
            <w:pPr>
              <w:jc w:val="center"/>
              <w:ind w:right="4760"/>
              <w:spacing w:after="0"/>
              <w:rPr>
                <w:sz w:val="20"/>
                <w:szCs w:val="20"/>
                <w:color w:val="auto"/>
              </w:rPr>
            </w:pPr>
            <w:r>
              <w:rPr>
                <w:rFonts w:ascii="Times New Roman" w:cs="Times New Roman" w:eastAsia="Times New Roman" w:hAnsi="Times New Roman"/>
                <w:sz w:val="18"/>
                <w:szCs w:val="18"/>
                <w:color w:val="0000FF"/>
                <w:w w:val="94"/>
              </w:rPr>
              <w:t>Part IV.</w:t>
            </w: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4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40" w:type="dxa"/>
            <w:vAlign w:val="bottom"/>
            <w:tcBorders>
              <w:top w:val="single" w:sz="8" w:color="0000FF"/>
            </w:tcBorders>
            <w:gridSpan w:val="6"/>
          </w:tcPr>
          <w:p>
            <w:pPr>
              <w:spacing w:after="0"/>
              <w:rPr>
                <w:sz w:val="18"/>
                <w:szCs w:val="18"/>
                <w:color w:val="auto"/>
              </w:rPr>
            </w:pPr>
          </w:p>
        </w:tc>
        <w:tc>
          <w:tcPr>
            <w:tcW w:w="4780" w:type="dxa"/>
            <w:vAlign w:val="bottom"/>
            <w:gridSpan w:val="9"/>
          </w:tcPr>
          <w:p>
            <w:pPr>
              <w:spacing w:after="0"/>
              <w:rPr>
                <w:sz w:val="18"/>
                <w:szCs w:val="18"/>
                <w:color w:val="auto"/>
              </w:rPr>
            </w:pPr>
          </w:p>
        </w:tc>
        <w:tc>
          <w:tcPr>
            <w:tcW w:w="56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0000FF"/>
                <w:w w:val="96"/>
              </w:rPr>
              <w:t>122</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60" w:type="dxa"/>
            <w:vAlign w:val="bottom"/>
            <w:gridSpan w:val="11"/>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16.</w:t>
            </w: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6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0000FF"/>
                <w:w w:val="96"/>
              </w:rPr>
              <w:t>126</w:t>
            </w: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40" w:type="dxa"/>
            <w:vAlign w:val="bottom"/>
            <w:gridSpan w:val="17"/>
          </w:tcPr>
          <w:p>
            <w:pPr>
              <w:jc w:val="center"/>
              <w:ind w:right="4680"/>
              <w:spacing w:after="0"/>
              <w:rPr>
                <w:sz w:val="20"/>
                <w:szCs w:val="20"/>
                <w:color w:val="auto"/>
              </w:rPr>
            </w:pPr>
            <w:r>
              <w:rPr>
                <w:rFonts w:ascii="Times New Roman" w:cs="Times New Roman" w:eastAsia="Times New Roman" w:hAnsi="Times New Roman"/>
                <w:sz w:val="18"/>
                <w:szCs w:val="18"/>
                <w:color w:val="0000FF"/>
                <w:w w:val="99"/>
              </w:rPr>
              <w:t>Signatures</w:t>
            </w: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r>
      <w:tr>
        <w:trPr>
          <w:trHeight w:val="2093"/>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All statements other than statements of historical facts contained in this Annual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3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w:t>
      </w:r>
    </w:p>
    <w:p>
      <w:pPr>
        <w:spacing w:after="0" w:line="12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key performance indicators, capital requirements and our needs for additional financing;</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among others, revenue, cost of revenue, gross profit, operating expenses, loss from operations and net losses;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commercialization strategy and attract customers, including our plans for international expansion;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and expected pricing for the Proteograph™ Product Suite;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Proteograph Product Suite;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Proteograph Product Suite on the field of proteomics and the size and growth of the addressable proteomics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 and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government regulation;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and to manage our future growth effectively;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Class A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the PrognomiQ, Inc. transaction;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and national and international economic conditions and events;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factors, such as pandemics, inflation, supply chain interruptions and foreign hostilities, on our business;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Annual Report, whether as a result of any new information, future events or otherwise.</w:t>
      </w:r>
    </w:p>
    <w:p>
      <w:pPr>
        <w:spacing w:after="0" w:line="1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960755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Our mission is to imagine and pioneer new ways to decode the secrets of the proteome to improve human health. Our first product, the Proteograph</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Product Suite (Proteograph), leverages our proprietary engineered nanoparticle (NP) technology to provide unbiased, deep, rapid and large-scale access to the proteome. The Proteograph Product Suite is an integrated solution that includes consumables, an automation instrument and software.</w:t>
      </w:r>
    </w:p>
    <w:p>
      <w:pPr>
        <w:spacing w:after="0" w:line="14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The human proteome is incredibly complex, with multiple protein variants derived from each gene. This complexity arises from multiple biological steps required to create the functional proteome, including transcription, translation, post-translational modifications (PTMs) and protein interactions. While many protein variants may be benign, others can severely disrupt protein function and contribute to disease. The complexity of the proteome at a population level is huge. For example, a study by the UK Biobank published in late 2021 in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identified over 900,000 potential protein loss-of-function variants in a cohort of approximately 455,000 individuals, with each individual having an average of more than 200 such variants (Backman </w:t>
      </w:r>
      <w:r>
        <w:rPr>
          <w:rFonts w:ascii="Times New Roman" w:cs="Times New Roman" w:eastAsia="Times New Roman" w:hAnsi="Times New Roman"/>
          <w:sz w:val="18"/>
          <w:szCs w:val="18"/>
          <w:i w:val="1"/>
          <w:iCs w:val="1"/>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It is essential to catalog the complexity of the proteome and understand the functions of protein variants to decode the links between the proteome,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genome and disease. This deeper understanding can lead to novel insights into disease mechanisms, the discovery of new biomarkers and the identification of potential therapeutic targets.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 Before the commercial launch of the Proteograph, we believe that the largest published deep unbiased plasma proteomics study, which measured at least 600 proteins, was conducted on just 48 samples. However, today, multiple customers have successfully completed, or are planning, deep unbiased plasma proteomics studies with thousands of proteins quantitatively measured across thousands of samples. This breadth and depth of unbiased plasma proteomics coverage was not previously achievable at scale.</w:t>
      </w:r>
    </w:p>
    <w:p>
      <w:pPr>
        <w:spacing w:after="0" w:line="13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Proteins play a critical role in most biological processes and provide dynamic indicators of physiological changes across health, disease progression, and therapeutic response. However, compared to the genome, the discovered and cataloged body of proteomic data remains limited. Current proteomics approaches have not facilitated deep exploration at scale in samples with high dynamic range, because they are either: (i) unbiased but not scalable; or (ii) scalable but biased. Current deep, unbiased approaches require complex, lengthy, labor- and capital-intensive workflows that limit their application to small, under-powered studies. Targeted or biased methods are scalable but are limited to a specific number of predetermined proteins. These methods cannot distinguish between variants of the same proteins often present in the same biological samples, because they lack the necessary peptide-level resolution and accuracy needed to characterize the proteome. These limitations force a trade-off between the number of samples and the depth of protein coverage in a study. We believe that a more complete understanding of biology requires deep, unbiased, large-scale proteomic analysis with the peptide-level resolution and accuracy needed to distinguish protein variants.</w:t>
      </w:r>
    </w:p>
    <w:p>
      <w:pPr>
        <w:spacing w:after="0" w:line="13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are focused on driving adoption of the Proteograph by customers in the proteomics and genomics markets who recognize the value of large-scale, unbiased, and deep proteomics. Allied Market Research estimated the global proteomics market to be approximately $24 billion in 2021. The Proteograph’s unique capabilities now enable researchers to undertake first-of-their-kind, large-scale unbiased studies, which complement genomics studies by adding critical missing information that can provide functional context to genomic variation. With the advent of next-generation sequencing and improvement in cost and throughput, researchers have sequenced the equivalent of several million human genomes and human exomes. Across these studies, according to the dbSNP database, more than one billion individual genetic variants have been identified to date; however, less than 0.2% of those variants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have been cataloged in the ClinVar database with a reported relationship between variation and phenotype. This gap in functional annotation is in part due to the gross impedance mismatch between access to the proteome and genome. We believe that the Proteograph Product Suite will bridge this gap.</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Just as large-scale access to genomics has dramatically impacted that field, we believe large-scale access will do the same for proteomics, revealing new content, enabling mapping and cataloging of new protein variants, and driving new disease insights, diagnostics and treatments. Importantly, by impedance-matching researchers’ access to unbiased genomics content at the nucleotide level with proteomics content at the peptide and amino acid level, researchers can better connect genotype to phenotype. In this way, we believe customers will be able to develop more accurate biomarkers of disease for diagnostic and therapeutic applications, accelerating multi-omics driven precision medicine. We believe these capabilities will have broad appeal to researchers and entities undertaking large-scale genomics studies and should attract spending from the genomics market, which was estimated by Technavio to be approximately $26 billion in 2021. Additionally, we believe that the Proteograph will enable the discovery of novel content that will lead to the creation of value that will promote entirely new applications and market opportunities.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Importance of Proteomics</w:t>
      </w:r>
    </w:p>
    <w:p>
      <w:pPr>
        <w:spacing w:after="0" w:line="17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Detailed and complex biological information resides within the proteome. Nearly all functions of an organism require the interaction of one or more proteins with each other and with other biological molecules. Proteins serve as dynamic indicators of health status, disease progression and therapeutic response. As depicted in Figure 1 below, the genome is a static indicator of an individual’s baseline physiology, while the proteome reveals the current physiological state. Despite its importance, the human proteome is relatively unexplored compared to the human genome.</w:t>
      </w:r>
    </w:p>
    <w:p>
      <w:pPr>
        <w:spacing w:after="0" w:line="12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To link genomic information with phenotypes, understanding the functional context of proteins is critical. However, this connection is currently limited because the vast majority of genetic variants lack functional context at the protein level. We believe that enabling researchers to generate large-scale, integrated proteomic and genomic data will equip them to comprehend the relationship between variation, function and biology.</w:t>
      </w:r>
    </w:p>
    <w:p>
      <w:pPr>
        <w:spacing w:after="0" w:line="12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Protein quantitative trait loci (pQTLs) are genomic variants that are associated with the levels or abundance of specific proteins. Because they influence protein expression or regulation, they are a genetic source of variation in the proteome. The term “protein quantitative trait loci” is used because protein abundance level is viewed as quantitative traits.</w:t>
      </w:r>
    </w:p>
    <w:p>
      <w:pPr>
        <w:spacing w:after="0" w:line="12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To identify pQTLs, genome-wide association studies (GWAS) compare genetic variants across large populations and their association with differences in protein levels. These studies can provide valuable insights into the genetic basis of complex diseases, the molecular mechanisms that regulate protein expression, and the identification of potential therapeutic targets for drug development. However, the study of pQTLs requires large-scale acquisition of proteomic data, which is a challenge for traditional unbiased approaches. We believe that the Proteograph will bridge this gap. Moreover, the Proteograph allows for pQTL analysis at the peptide level, thus enabling the association of genomic variants with specific protein variants.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657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340" w:right="40"/>
        <w:spacing w:after="0" w:line="282" w:lineRule="auto"/>
        <w:rPr>
          <w:sz w:val="20"/>
          <w:szCs w:val="20"/>
          <w:color w:val="auto"/>
        </w:rPr>
      </w:pPr>
      <w:r>
        <w:rPr>
          <w:rFonts w:ascii="Times New Roman" w:cs="Times New Roman" w:eastAsia="Times New Roman" w:hAnsi="Times New Roman"/>
          <w:sz w:val="14"/>
          <w:szCs w:val="14"/>
          <w:color w:val="auto"/>
        </w:rPr>
        <w:t>Figure 1: Utility of genomic vs. proteomic information. Over one million human genomes have been highly characterized with over one billion variants, but they have low utility and represent a static indicator of risk. The human proteome is far less characterized, but has a much higher utility as a dynamic indicator of health status.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Challenges of Accessing the Proteome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Complexity of the Proteome</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human proteome is dynamic, diverse and complex, with approximately 23,000 genes giving rise to over one million protein variants. As shown in Figure 2 below, these variants arise from various mechanisms, including alternative splicing of RNA transcripts, genetic variations that alter the amino acid sequence of the protein, and post-translational modifications such as phosphorylation and glycosylation. It is estimated that our approximately 23,000 genes give rise to approximately 69,000 protein isoforms through alternative splicing. At a population level, a much larger number of protein isoforms exist because of genetic variants and somatic variants that alter RNA processing. Protein variants can have vastly different biological functions and be expressed in different tissues within the same individual. For example, two isoforms of the protein encoded by CD99L2 have different interacting proteins and those two proteins’ networks are related to distinct diseases (Yang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An example of a protein that has tissue-specific isoform abundance is FOX1, which has differential isoform presence in muscle and brain tissue (Nakahata and Kawamoto). Therefore, it is essential to study and understand proteins at the level of protein variants in the appropriate biosample, and this can be achieved only through large-scale analysis of the proteome at the peptide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237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40" w:right="20"/>
        <w:spacing w:after="0" w:line="282" w:lineRule="auto"/>
        <w:rPr>
          <w:sz w:val="20"/>
          <w:szCs w:val="20"/>
          <w:color w:val="auto"/>
        </w:rPr>
      </w:pPr>
      <w:r>
        <w:rPr>
          <w:rFonts w:ascii="Times New Roman" w:cs="Times New Roman" w:eastAsia="Times New Roman" w:hAnsi="Times New Roman"/>
          <w:sz w:val="18"/>
          <w:szCs w:val="18"/>
          <w:color w:val="auto"/>
        </w:rPr>
        <w:t>Figure 2: Functional diversity exists through modifications and interactions of different molecules, from static indicators like the genome to increasingly numerous and complex indicators like the proteome and interactome. Modified from Bludau et al.</w:t>
      </w:r>
    </w:p>
    <w:p>
      <w:pPr>
        <w:spacing w:after="0" w:line="10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Recently, a study by Backman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published in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revealed the genomic variation identified in a cohort of approximately 455,000 participants of the UK Biobank exome sequencing study. The study identified a vast amount of protein variation, including almost nine million protein variants, of which more than six million are potentially deleterious and 915,289 are protein loss-of-function variants. On the individual level, each participant had on average 9,506 protein variants, of which 2,945 were potentially deleterious and 214 were loss-of-function variants. However, these variants were only identified at the genomic level and did not account for alternative splicing or post-translational modifications. Considering these additional sources of protein variants, the actual number of protein variants at both individual and population-wide levels is significantly higher.</w:t>
      </w:r>
    </w:p>
    <w:p>
      <w:pPr>
        <w:spacing w:after="0" w:line="130"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These findings emphasize the unmet need to understand protein variants at the peptide level and underscore how little is currently known about the complexity of the proteome. We believe understanding protein variation at this level could revolutionize how we diagnose, treat, and monitor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66040</wp:posOffset>
            </wp:positionV>
            <wp:extent cx="5349240" cy="891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60" w:firstLine="752"/>
        <w:spacing w:after="0" w:line="438" w:lineRule="auto"/>
        <w:rPr>
          <w:sz w:val="20"/>
          <w:szCs w:val="20"/>
          <w:color w:val="auto"/>
        </w:rPr>
      </w:pPr>
      <w:r>
        <w:rPr>
          <w:rFonts w:ascii="Times New Roman" w:cs="Times New Roman" w:eastAsia="Times New Roman" w:hAnsi="Times New Roman"/>
          <w:sz w:val="18"/>
          <w:szCs w:val="18"/>
          <w:color w:val="auto"/>
        </w:rPr>
        <w:t xml:space="preserve">Figure 3: Summary of genetic variation across a population of approximately 455,000 participants of the UK Biobank (Backman et al.) </w:t>
      </w:r>
      <w:r>
        <w:rPr>
          <w:rFonts w:ascii="Times New Roman" w:cs="Times New Roman" w:eastAsia="Times New Roman" w:hAnsi="Times New Roman"/>
          <w:sz w:val="18"/>
          <w:szCs w:val="18"/>
          <w:i w:val="1"/>
          <w:iCs w:val="1"/>
          <w:color w:val="auto"/>
        </w:rPr>
        <w:t>Limitations of Transcriptomics to Infer Proteomics</w:t>
      </w:r>
    </w:p>
    <w:p>
      <w:pPr>
        <w:spacing w:after="0" w:line="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RNA sequencing (RNAseq) has been the established method for studying transcriptomics over the last decade. It is often assumed that transcript and protein abundance levels are highly correlated because of the central dogma of molecular biology describing how transcripts are translated into proteins. However, several studies have repeatedly demonstrated a poor correlation between transcript and protein levels (Buccitelli and Selbach). This discrepancy can arise from technical factors, such as noise and bias in methods for assessing both transcripts and proteins, and biological mechanisms such as mRNA translation and degradation. Although both transcriptomics and proteomics measurements have their uses, proteins are more closely linked to phenotype, making them more useful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 w:name="page10"/>
    <w:bookmarkEnd w:id="9"/>
    <w:p>
      <w:pPr>
        <w:spacing w:after="0" w:line="14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transcripts for understanding function. Therefore, we believe that direct analysis of the proteome via at-scale proteomics studies will provide unique biological insights for research, discovery and clinical applications.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of Affinity-Based Approaches to Proteomics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Proteins are highly variable in structure, chemistry and concentration, presenting technological challenges for their identification at low concentration levels. Due to the lack of a common amplification mechanism, researchers often use ligands to measure proteins. However, because ligands such as antibodies or aptamers were designed to bind to specific areas of proteins, approaches utilizing them are considered targeted, or biased. The average length of a human protein is approximately 470 amino acids, whereas the average binding site of a ligand is an epitope five to eight amino acids long. Panels of ligands used for protein interrogation have several shortcomings, including (i) they do not recognize differences in protein structure outside of the epitope binding site, so that all variants appear the same and cannot be differentiated from one another, (ii) conformational changes of the protein can affect epitope and ligand binding; for example, those induced by protein-protein interactions or post translational modifications, and (iii) certain protein isoforms may exclude entire protein domains and remove the epitope binding site, yielding false negative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99060</wp:posOffset>
            </wp:positionV>
            <wp:extent cx="5349240" cy="2974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4"/>
          <w:szCs w:val="14"/>
          <w:color w:val="auto"/>
        </w:rPr>
        <w:t xml:space="preserve">Figure 4: Sources of variation. Left panel is a graphical summary of factors contributing to variation in the affinity-based discovery of the plasma proteome. Right panel schematically describes reasons for differences in binding profile of aptamer and antibody-based proteomic profiling (PAV protein altering variant; SNV single-nucleotide variant). Adapted from Pietzner </w:t>
      </w:r>
      <w:r>
        <w:rPr>
          <w:rFonts w:ascii="Times New Roman" w:cs="Times New Roman" w:eastAsia="Times New Roman" w:hAnsi="Times New Roman"/>
          <w:sz w:val="14"/>
          <w:szCs w:val="14"/>
          <w:i w:val="1"/>
          <w:iCs w:val="1"/>
          <w:color w:val="auto"/>
        </w:rPr>
        <w:t>et al.</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 paper published in Nature Communications, Pietzner et al. from the University of Cambridge experimentally demonstrated the limitations of two distinct commercially available affinity-based approaches. Specifically, the authors show that protein altering variants can affect ligand binding, i.e., each affinity-based platform interacts differently with the same protein, depending on the epitopes to which its ligands are binding. On average, the correlation between the two commercially available affinity-based methods was 0.38. The distribution of correlations across all proteins is bimodal, with some proteins having a very good correlation, and others have a correlation close to zero (as shown in Figure 5 below). The authors attribute this poor correlation to differences in epitope binding between platforms and interference from protein-altering variants. These limitations underscore the importance of studying proteins with peptide-level resolution using a technology that is quantitatively robust in identifying protein variants.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1014730</wp:posOffset>
            </wp:positionV>
            <wp:extent cx="2863215" cy="257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86321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Figure 5: Distribution of correlation coefficients across 937 mapping aptamer–antibody pairs (n = 871 unique protein targets). Adapted from Pietzner et al.</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Affinity-based approaches have limitations when used for pQTL analysis. These ligands bind to a specific epitope of the protein, as depicted on the left side of Figure 6 below. However, protein variants can alter the ligands’ binding, as demonstrated in the middle panel of the figure. Such altered binding can lead to incorrect measurements of protein levels, resulting in false pQTL identifications or misinterpretation of true pQTLs. In contrast, the Proteograph readout offers multiple peptides per protein, some of which may contain variant peptides, while others may not, as shown in the right panel of the figure. We believe that the correlation of peptides with genomic variants enables accurate pQTL analysis. The Proteograph technology provides an advantage over affinity-based approaches in pQTL analysis by offering the necessary peptide-level resolution for detection of protein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96520</wp:posOffset>
            </wp:positionV>
            <wp:extent cx="3214370" cy="128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1437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Figure 6: Protein variants may cause false associations in affinity-based approaches for proteogenomic studies.</w:t>
      </w:r>
    </w:p>
    <w:p>
      <w:pPr>
        <w:spacing w:after="0" w:line="1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Affinity-based approaches are effective when a known target and a specific epitope measurement is desired, but cannot cover the vast complexity of the proteome. We believe they are analogous to microarrays in genomics, where a specific DNA fragment is used in a targeted or biased manner to confirm the presence of a specific mutation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single nucleotide polymorphism (SNP). The fundamental limitation of affinity-based approaches is their inability to differentiate between protein variants and accurately survey the complexity of the proteome.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of Current Unbiased Approaches to Proteomics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Rather than relying on predefined epitopes, unbiased approaches can interrogate proteins at the peptide level, providing amino-acid level resolution to protein variants. However, traditional, deep, unbiased proteomic approaches rely on complex workflows that do not scale due to the wide range of protein concentrations in biological samples with high dynamic range. In human plasma, for example, the 22 most abundant plasma proteins account for 99% of the total protein mass, while the many thousands of less-abundant proteins comprise the remaining one percent. Given the important biological role of both high- and low-abundance proteins, it is critical to detect proteins accurately, precisely and reproducibly across the dynamic range.</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Mass spectrometry (MS) is a widely used technique for unbiased discovery, basic research and clinical applications, and is considered the gold standard for identification. However, the wide dynamic range of protein concentrations in plasma and other biological samples has previously required complex, upfront sample preparation workflows prior to MS analysis, involving depletion of abundant proteins and fractionation of the remaining proteins and peptides.</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Deep unbiased proteomics analysis of complex biosamples at scale have not been feasible for wide adoption by researchers due to the high complexity, cost and time requirements. For example, in a state-of-the-art deep unbiased plasma proteomics study in 2017 prior to commercial availability of the Proteograph Product Suite, Keshishian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depleted the most abundant proteins with immuno-affinity columns and then separated remaining peptides by multiple and complex chromatographic steps and mass spectrometer injections. The study identified 4,500 different proteins across 16 samples, but took months to complete.</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Prior to the commercial availability of the Proteograph Product Suite, we believe the critical unmet need in proteomic analysis was how to collect unbiased proteomic data in a sample on thousands of proteins in a sample spanning more than ten orders of magnitude in concentration (dynamic range), and to repeat this across thousands of samples in a reasonable amount of time and cost. Genomics faced a similar unmet need before the advent of NGS, which allowed for massively parallel sampling.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Importance of Unbiased, Peptide-level Resolution Proteomics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Importance of an Unbiased Approach in the Discovery of Novel Content</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ability to perform unbiased sampling at scale has transformed biological analysis. In genomics, unbiased sequencing of the genome enabled discovery of novel content, creating new end-market opportunities in basic research and discovery, translational research and clinical applications, including early cancer detection, recurrence monitoring and non-invasive prenatal testing.</w:t>
      </w:r>
    </w:p>
    <w:p>
      <w:pPr>
        <w:spacing w:after="0" w:line="12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While there is no guarantee that the Proteograph Product Suite will have the same impact on proteomics that NGS had on genomics,</w:t>
      </w:r>
      <w:r>
        <w:rPr>
          <w:sz w:val="1"/>
          <w:szCs w:val="1"/>
          <w:color w:val="auto"/>
        </w:rPr>
        <w:drawing>
          <wp:inline distT="0" distB="0" distL="0" distR="0">
            <wp:extent cx="34290"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we believe there is a significant market opportunity to provide unbiased, deep, rapid, and scalable access to the proteome. Figure 7 illustrates how content discovery increases as sample cohorts increase in size with an unbiased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1014730</wp:posOffset>
            </wp:positionV>
            <wp:extent cx="4114800" cy="2314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41148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spacing w:after="0" w:line="282" w:lineRule="auto"/>
        <w:rPr>
          <w:sz w:val="20"/>
          <w:szCs w:val="20"/>
          <w:color w:val="auto"/>
        </w:rPr>
      </w:pPr>
      <w:r>
        <w:rPr>
          <w:rFonts w:ascii="Times New Roman" w:cs="Times New Roman" w:eastAsia="Times New Roman" w:hAnsi="Times New Roman"/>
          <w:sz w:val="14"/>
          <w:szCs w:val="14"/>
          <w:color w:val="auto"/>
        </w:rPr>
        <w:t>Figure 7: Unbiased approaches increase the identification of protein variants arising from genomic variants, isoforms and post-translational modifications as sample numbers increase, resulting in new biological insights, applications and utility. Targeted approaches are inherently unable to discover new protein variants.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Importance of Peptide-Level Resolution in the Understanding of Biology</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believe that peptide-level resolution is crucial to the discovery of novel content and new biological insights. One example is alternative protein isoforms arising from the same gene locus. At the transcriptome level, these alternative transcripts are known as spliceforms. The majority of human genes can produce more than one protein spliceform and, according to the Ensembl genome database project, as many as 69,000 protein spliceforms are generated by more than 23,000 human genes through alternative splicing. If we account for additional spliceforms at the population level, arising from genetic variants and somatic variants including those responsible for cancers (which affect RNA processing), the number is much larger. Affinity-based approaches generally cannot differentiate between spliceforms, whereas unbiased MS-based approaches survey proteins at the peptide level, enabling differentiation between spliceforms.</w:t>
      </w:r>
    </w:p>
    <w:p>
      <w:pPr>
        <w:spacing w:after="0" w:line="13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Peptide-level resolution is critical for identifying biologically important novel cancer biomarkers, as we demonstrated in our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xml:space="preserve"> paper (Blume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Using data from that paper, we identified several biomarkers at the peptide level that would have been missed if we had only focused on overall protein expression, including bone morphogenic protein 1 (BMP1). In a new paper currently in press with a peer-reviewed journal (Donavan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we find that the known spliceforms of BMP1 exhibit differential abundance in cases and controls; the single short form is more abundant in cancer cases, while the long forms are more abundant in controls. In that paper, we propose a mechanism to explain the differential abundance based on lack of domains in the short form. This highlights the importance of generating data at the peptide level, which is made possible by the Proteograph Product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1442720</wp:posOffset>
            </wp:positionH>
            <wp:positionV relativeFrom="page">
              <wp:posOffset>1014730</wp:posOffset>
            </wp:positionV>
            <wp:extent cx="4671695" cy="2366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467169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40" w:right="20"/>
        <w:spacing w:after="0" w:line="266" w:lineRule="auto"/>
        <w:rPr>
          <w:sz w:val="20"/>
          <w:szCs w:val="20"/>
          <w:color w:val="auto"/>
        </w:rPr>
      </w:pPr>
      <w:r>
        <w:rPr>
          <w:rFonts w:ascii="Times New Roman" w:cs="Times New Roman" w:eastAsia="Times New Roman" w:hAnsi="Times New Roman"/>
          <w:sz w:val="18"/>
          <w:szCs w:val="18"/>
          <w:color w:val="auto"/>
        </w:rPr>
        <w:t>Figure 8: Identification of peptide-level variants of BMP1 enabled by an unbiased approach. Peptide-level identification reveals individual BMP1 variants, showing an opposite pattern of differential expression in the short vs. long variants of BMP1 in individuals with non-small-cell lung cancer (NSCLC) compared to normal controls.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Engineered Nanoparticle Technology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Proteograph Product Suite leverages our proprietary engineered NP technology to overcome the limitations of existing methods, and enable an easy-to-use workflow for unbiased, deep, rapid and scalable proteomic analysis. Our proprietary engineered NPs provide unbiased sampling of intact proteins across the dynamic range of the proteome, capturing molecular information at the peptide-level, including protein variants. The NPs eliminate the need for complex workflows required by other unbiased approaches, which we believe will make proteomics more accessible to the broader scientific community.</w:t>
      </w:r>
    </w:p>
    <w:p>
      <w:pPr>
        <w:spacing w:after="0" w:line="12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Typically, nanoparticles have a diameter in the tens to hundreds of nanometers, much smaller than a human hair, which has a diameter of 80,000 nanometers. When nanoparticles come into contact with a biological sample, a thin layer of intact proteins rapidly, selectively and reproducibly adsorbs onto their surface, forming what is called a protein “corona.” Additional intact proteins can also bind directly to proteins already attached to the nanoparticle through protein-protein interactions (PPIs), and intact protein complexes may also attach to the nanoparticle directly. Our engineered NPs capture intact proteins across the dynamic range without requiring prior knowledge of proteome composition or designing the assay for specific protein targets. In combination with an unbiased mass spectrometry readout, they reveal molecular information at the peptide level revealing protein variants. At binding equilibrium, which occurs within minutes after our NPs encounter a biosample, the selective sampling of proteins by our NPs is robust and highly reproducible.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1014730</wp:posOffset>
            </wp:positionV>
            <wp:extent cx="5143500" cy="1525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14350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340" w:right="360"/>
        <w:spacing w:after="0" w:line="282" w:lineRule="auto"/>
        <w:rPr>
          <w:sz w:val="20"/>
          <w:szCs w:val="20"/>
          <w:color w:val="auto"/>
        </w:rPr>
      </w:pPr>
      <w:r>
        <w:rPr>
          <w:rFonts w:ascii="Times New Roman" w:cs="Times New Roman" w:eastAsia="Times New Roman" w:hAnsi="Times New Roman"/>
          <w:sz w:val="18"/>
          <w:szCs w:val="18"/>
          <w:color w:val="auto"/>
        </w:rPr>
        <w:t>Figure 9: Nanoparticles allow unbiased interrogation of proteoform diversity. Our nanoparticle technology leverages engineered physicochemical properties to reproducibly bind to proteins without prior knowledge, forming a protein corona.</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binding of proteins to the nanoparticle surface and protein sampling are primarily driven by three factors: (i) the affinity of a particular protein for the physicochemical surface of a specific nanoparticle; (ii) the concentration of a specific protein in a biological sample; and (iii) the affinity of the proteins for other proteins on the surface of the nanoparticle, forming PPIs. A variety of materials and methods are used to create different nanoparticles with distinct physicochemical properties, which generate a unique protein corona pattern and a unique proteomic fingerprint. As the amount of proteomic data increases, we will continue to refine the unique physicochemical properties of our NPs with advanced machine learning.</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By combining nanoparticles in an assay, we can achieve a representative and thorough sampling across the dynamic range of the proteome, from high- to low-abundance proteins. In this way, we can replace complex biochemical laboratory workflows for the preparation of samples for deep, unbiased MS, enabling the capture of thousands of proteins from biofluids for large-scale proteomics studies. Nanoparticles can interrogate almost any solubilized biological sample, including cell or tissue homogenates, blood or blood components (such as plasma or serum), urine, saliva, cerebrospinal fluid and synovial fluid. This versatility, we believe, strongly suggests that a vast universe of different nanoparticles with different physicochemical properties could be employed across a broad range of sample types, to selectively, reproducibly and deeply sample the proteome in an unbiased way.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Proteograph Product Suite leverages the power of our proprietary engineered NPs to:</w:t>
      </w:r>
    </w:p>
    <w:p>
      <w:pPr>
        <w:spacing w:after="0" w:line="17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complex workflows required by other unbiased proteomic approaches;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unbiased sampling of a variety of biological samples across the dynamic range of the proteome;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distinguish protein variants at the peptide level;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quantify protein variants;</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workflow that is compatible across a wide range of laboratory workflows, automation equipment, and sample processing and detection methods;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broad product adoption.</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Using machine learning, we are able to design, synthesize and select different NPs and combinations of NPs to create multiple products and applications. We have validated our NP technology and the principle of protein corona formation as a robust and reproducible method to deeply and broadly profile the proteome in a high-throughput manner. We have characterized our technology and its performance in three peer-reviewed publications: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Communications </w:t>
      </w:r>
      <w:r>
        <w:rPr>
          <w:rFonts w:ascii="Times New Roman" w:cs="Times New Roman" w:eastAsia="Times New Roman" w:hAnsi="Times New Roman"/>
          <w:sz w:val="18"/>
          <w:szCs w:val="18"/>
          <w:color w:val="auto"/>
        </w:rPr>
        <w:t>(Blume</w:t>
      </w:r>
      <w:r>
        <w:rPr>
          <w:rFonts w:ascii="Times New Roman" w:cs="Times New Roman" w:eastAsia="Times New Roman" w:hAnsi="Times New Roman"/>
          <w:sz w:val="18"/>
          <w:szCs w:val="18"/>
          <w:i w:val="1"/>
          <w:iCs w:val="1"/>
          <w:color w:val="auto"/>
        </w:rPr>
        <w:t xml:space="preserve"> et 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PNAS </w:t>
      </w:r>
      <w:r>
        <w:rPr>
          <w:rFonts w:ascii="Times New Roman" w:cs="Times New Roman" w:eastAsia="Times New Roman" w:hAnsi="Times New Roman"/>
          <w:sz w:val="18"/>
          <w:szCs w:val="18"/>
          <w:color w:val="auto"/>
        </w:rPr>
        <w:t>(Ferdosi</w:t>
      </w:r>
      <w:r>
        <w:rPr>
          <w:rFonts w:ascii="Times New Roman" w:cs="Times New Roman" w:eastAsia="Times New Roman" w:hAnsi="Times New Roman"/>
          <w:sz w:val="18"/>
          <w:szCs w:val="18"/>
          <w:i w:val="1"/>
          <w:iCs w:val="1"/>
          <w:color w:val="auto"/>
        </w:rPr>
        <w:t xml:space="preserve"> et al.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Advanced Materials </w:t>
      </w:r>
      <w:r>
        <w:rPr>
          <w:rFonts w:ascii="Times New Roman" w:cs="Times New Roman" w:eastAsia="Times New Roman" w:hAnsi="Times New Roman"/>
          <w:sz w:val="18"/>
          <w:szCs w:val="18"/>
          <w:color w:val="auto"/>
        </w:rPr>
        <w:t>(Ferdosi</w:t>
      </w:r>
      <w:r>
        <w:rPr>
          <w:rFonts w:ascii="Times New Roman" w:cs="Times New Roman" w:eastAsia="Times New Roman" w:hAnsi="Times New Roman"/>
          <w:sz w:val="18"/>
          <w:szCs w:val="18"/>
          <w:i w:val="1"/>
          <w:iCs w:val="1"/>
          <w:color w:val="auto"/>
        </w:rPr>
        <w:t xml:space="preserve"> et al.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Proteograph Product Suite</w:t>
      </w:r>
    </w:p>
    <w:p>
      <w:pPr>
        <w:spacing w:after="0" w:line="175"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The Proteograph Product Suite is an integrated solution consisting of consumables, an automation instrument, and software to perform unbiased, deep proteomic analysis at scale in a matter of hours. We designed the Proteograph workflow to be efficient and easy-to-use, and to leverage common laboratory instrumentation to enable adoption in both centralized and decentralized settings, making deep, unbiased proteomics accessible to nearly any lab.</w:t>
      </w:r>
    </w:p>
    <w:p>
      <w:pPr>
        <w:spacing w:after="0" w:line="10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Proteograph consumables consist of our NPs and all other consumables necessary to assay samples in an automated workflow on our SP100 automation instrument. Our automated workflow is custom configured for researchers to assay samples in approximately seven hours, which includes 30 minutes of hands-on time and six and a half hours of automated instrument time. The output from the Proteograph workflow consists of peptides ready to be processed and evaluated on an MS instrument. The Proteograph Product Suite is detector agnostic and, we believe, will be adaptable to other protein detection instruments in the future. The MS component of the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to researchers. The Proteograph Analysis Suite, a data analytics software suite, provides quality control and allows researchers to analyze and interpret the output from the system to gain insights from their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99060</wp:posOffset>
            </wp:positionV>
            <wp:extent cx="5349240" cy="14744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Figure 10: Proteograph Product Suite comprises consumables, an automation instrument, and software.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Consumables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our first Proteograph assay, we employ a panel of five NPs, assay buffers and reagents for protein lysis and digestion, peptide purification, peptide quantification and the reconstitution of lyophilized materials. We designed the performance specifications of the Proteograph Product Suite to meet the core needs of the market in terms of protein coverage and sample throughput required for proteomic experiments that are unbiased and at-scale. The current product allows for the interrogation and processing of up to 16 samples in parallel on a single 96-well plate in approximately seven hours. Each sample incubates separately with each of the five nanoparticles, yielding 80 wells of peptides in a 96-well plate. The remaining 16 wells are reserved for integrated quality control samples to ensure consistent process performance and to aid in troubleshooting.</w:t>
      </w:r>
    </w:p>
    <w:p>
      <w:pPr>
        <w:spacing w:after="0" w:line="13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ready availability of non-particle reagents, combined with our ability to efficiently design and fabricate different NPs with different chemical properties, greatly facilitates the development and production of future iterations or additional versions of the Proteograph assays to address potential customer needs, such as expanded protein coverage or specialized assays. Additionally, we can introduce new assays that allow for higher throughput of samples or lower sample volumes. We expect our second Proteograph assay to be available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Automation Instrument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designed the Proteograph assay to be run in a robust and automated manner on our SP100 automation instrument, which is a custom-configured, industry-standard, liquid handling workstation. Our SP100 instrument is designed to enable studies of hundreds to thousands of samples, with an automated workflow that allows for rapid, highly-parallel sample processing with 30 minutes of set-up time. We believe the flexibility of our instrument, coupled with the inherent diversity of our NP technology, provides a runway for many future potential applications and workflows.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Proteograph workflow is driven by the Instrument Control Software (ICS) on the SP100 automation instrument. The workflow has been configured to process one full 96-well plate at a time, in just seven hours, processing 16 samples in parallel. Future workflows and products will be able to be run on the SP100 automation instrument with an accompanying software update. The output of the Proteograph workflow consists of peptides that are quantified, dried, and can be reconstituted when ready for injection into a mass spectrometer. MS provides quantitative unbiased detection, either on an instrument provided by the user, or sent out for MS analysis to a third-party provider.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Proteograph Analysis Suite (PAS) is designed for ease-of-use and efficiency to help users arrive at insights quickly. To accommodate varying customer needs, we have designed the PAS to be cloud-based and, in the future, to be available via more localized solutions that accommodate different customer types and geographies. The PAS offers a predefined workflow for data management and analysis, leveraging publicly available MS data analysis tools as well as our own proprietary analysis tools. Without the PAS, proteomics analysis requires expert knowledge and a scalable high-performance computer infrastructure. We believe that the PAS can accelerate adoption of the Proteograph among non-experts by providing an intuitive user interface that automates data handling, simplifies processing and analysis and provides access to a scalable infrastructure that can be used by any lab.</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Currently, one potential roadblock for researchers is understanding and evaluating the quality of their results. The Proteograph Assay Kit incorporates a series of controls for monitoring assay performance, and an integrated view of the results of these control runs via the PAS. Customers can evaluate trends over time and implement performance boundaries around the expected values that flag unexpected outcomes in the data. We believe providing a simple, consistent interface to evaluate the control data and generate a quality control (QC) report will help customers understand our approach to QC in the Proteograph workflow, simplifying support.</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third quarter of 2022, we launched the latest version of our Proteograph Analysis Suite, PAS 2.0, which incorporates a proteogenomic workflow that maps peptide-level data to genomic data to identify sample-specific variant peptides not captured in canonical reference databases. The workflow provides interactive tables and plots, enables visualization of identified peptides’ relationship to gene structure, protein domain information and functional regions; and creates amino acid-level browsable peptide data maps. We believe PAS 2.0’s intuitive visualizations make it faster and easier to discover protein targets for a wide range of applications.</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we continue to improve and extend our product portfolio, we expect to continue to expand the capabilities and features in PAS. Some examples include large dataset management, advanced data analysis tools and applications such as PPI analysis, PTM mapping, transcriptomic, genetic polymorphisms, multi-omics integration and systems biology framework analysis.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Proteograph Product Suite Performance</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Proteograph Product Suite provides five essential capabilities: (i) broad protein sampling with peptide-level resolution; (ii) deep coverage; (iii) accurate and precise measurement; (iv) reproducibility and (v) scalability for high-throughput studies. We believe that our integrated solution is the only product in the market that combines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these technical and operational capabilities. Furthermore, we rigorously measure and evaluate each of these technical attributes, as we describe below.</w:t>
      </w:r>
    </w:p>
    <w:p>
      <w:pPr>
        <w:spacing w:after="0" w:line="167" w:lineRule="exact"/>
        <w:rPr>
          <w:sz w:val="20"/>
          <w:szCs w:val="20"/>
          <w:color w:val="auto"/>
        </w:rPr>
      </w:pPr>
    </w:p>
    <w:p>
      <w:pPr>
        <w:ind w:right="60" w:firstLine="8"/>
        <w:spacing w:after="0" w:line="26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Breadth of protein sampling. </w:t>
      </w:r>
      <w:r>
        <w:rPr>
          <w:rFonts w:ascii="Times New Roman" w:cs="Times New Roman" w:eastAsia="Times New Roman" w:hAnsi="Times New Roman"/>
          <w:sz w:val="18"/>
          <w:szCs w:val="18"/>
          <w:color w:val="auto"/>
        </w:rPr>
        <w:t>This capability refers to conducting unbiased, highly-parallel sampling of the proteome. Each uniquely engineered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NP selectively captures hundreds of distinct intact proteins from a biosample based on their abundance and affinity for the NP surface. This sampling capability is particularly strong in complex biofluids such as plasma. Our unique NPs capture significantly more proteins than current methods of unbiased proteomic analysis, as shown in Figure 11 below.</w:t>
      </w:r>
    </w:p>
    <w:p>
      <w:pPr>
        <w:spacing w:after="0" w:line="12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 head-to-head experiment, we directly compared the breadth of the Proteograph Product Suite to other unbiased proteomics methods using the same biological sample. Neat plasma, which represents the simplest form of unbiased proteomic analysis requiring minimal processing time using another method, resulted in a breadth of coverage of 750 proteins. By adding processing steps such as depletion of high-abundance peptides and fractionation (separation of the remaining proteins into multiple fractions), the breadth of protein sampling increased to 1,596 proteins. However, using the Proteograph Product Suite, we detected 2,998 proteins in plasma, representing a major expansion in breadth of protein coverage. The Proteograph is not limited to a defined set of proteins, and samples across the dynamic range of proteins and protein variants that may be present in biosamples. We have exemplified the utility of the Proteograph in studying secreted proteins across several different sample types, including cell or tissue homogenates, blood or blood components (such as plasma or serum), urine, saliva, cerebrospinal fluid, synovial fluid and conditioned media. Across these studies, over 10,000 distinct proteins have been identified. When factoring in potential variants of these proteins, we believe the number of sampled proteins could be considerably larger. Importantly, the Proteograph protein data is obtained using an MS detector, which is the gold standard for proteomics, and data is conventionally reported with a one percent False Discovery Rate (FDR). This means that the reported proteins are identified with 99% confidence.</w:t>
      </w:r>
    </w:p>
    <w:p>
      <w:pPr>
        <w:spacing w:after="0" w:line="134" w:lineRule="exact"/>
        <w:rPr>
          <w:sz w:val="20"/>
          <w:szCs w:val="20"/>
          <w:color w:val="auto"/>
        </w:rPr>
      </w:pPr>
    </w:p>
    <w:p>
      <w:pPr>
        <w:ind w:firstLine="8"/>
        <w:spacing w:after="0" w:line="272" w:lineRule="auto"/>
        <w:tabs>
          <w:tab w:leader="none" w:pos="64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Depth of coverage. </w:t>
      </w:r>
      <w:r>
        <w:rPr>
          <w:rFonts w:ascii="Times New Roman" w:cs="Times New Roman" w:eastAsia="Times New Roman" w:hAnsi="Times New Roman"/>
          <w:sz w:val="17"/>
          <w:szCs w:val="17"/>
          <w:color w:val="auto"/>
        </w:rPr>
        <w:t>The Proteograph is able to evaluate the proteome across a wide dynamic range of protein abundance. Figure 11 compares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assay’s depth of coverage to that of other scalable unbiased proteomic methods (i.e., 4x versus neat digestion) and not scalable unbiased proteomic methods (i.e., 2x versus fractionation and 3.5x depletion workflows). The Proteograph assay samples proteins across the entire dynamic range of the plasma proteome, as defined in the Human Plasma Proteome Project database (Schwenk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The dotted vertical line in the center panel represents the 75th percentile point of depth of coverage for each method. The Proteograph assay reaches further into low-abundance proteins than fractionation, depletion or neat plasma methods as noted by the dotted line being furthest to the right of all workflows. Lastly, Figure 11 describes the peptide level resolution of each approach and shows approximately the same relative ratios of peptide counts as the corresponding protein group counts. The 17,703 peptides quantitatively measured by Proteograph in this single experiment provide additional information and potentially significant biological insight into protein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-13335</wp:posOffset>
            </wp:positionV>
            <wp:extent cx="5143500" cy="17659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360" w:right="20"/>
        <w:spacing w:after="0" w:line="266" w:lineRule="auto"/>
        <w:rPr>
          <w:sz w:val="20"/>
          <w:szCs w:val="20"/>
          <w:color w:val="auto"/>
        </w:rPr>
      </w:pPr>
      <w:r>
        <w:rPr>
          <w:rFonts w:ascii="Times New Roman" w:cs="Times New Roman" w:eastAsia="Times New Roman" w:hAnsi="Times New Roman"/>
          <w:sz w:val="18"/>
          <w:szCs w:val="18"/>
          <w:color w:val="auto"/>
        </w:rPr>
        <w:t>Figure 11: The Proteograph identifies more proteomic content. The Proteograph workflow identifies 4x more protein groups than alternative MS-based workflows (left). Depth of the Proteograph captures protein groups spanning high to low abundance across the dynamic range versus alternative MS-based workflows (center). Additionally,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4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Proteograph better resolves the complexity of the human plasma proteome at the peptide-level versus other MS-based methods (right).</w:t>
      </w:r>
    </w:p>
    <w:p>
      <w:pPr>
        <w:spacing w:after="0" w:line="167" w:lineRule="exact"/>
        <w:rPr>
          <w:sz w:val="20"/>
          <w:szCs w:val="20"/>
          <w:color w:val="auto"/>
        </w:rPr>
      </w:pPr>
    </w:p>
    <w:p>
      <w:pPr>
        <w:ind w:left="-8" w:right="140" w:firstLine="8"/>
        <w:spacing w:after="0" w:line="25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Accuracy of measurement. </w:t>
      </w:r>
      <w:r>
        <w:rPr>
          <w:rFonts w:ascii="Times New Roman" w:cs="Times New Roman" w:eastAsia="Times New Roman" w:hAnsi="Times New Roman"/>
          <w:sz w:val="18"/>
          <w:szCs w:val="18"/>
          <w:color w:val="auto"/>
        </w:rPr>
        <w:t>This capability measures how close the measured abundance of a protein is to the true abundance in a sample.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true abundance of large number of proteins at a protein variant level at scale is not independently possible, so we use the ratio of abundances in two samples to demonstrate the accuracy of protein abundance measurement. We demonstrate the accuracy of protein abundance measurement by mixing two different plasmas in different ratios and measuring the relative MS signal intensity. By spiking human plasma with bovine plasma, the Proteograph can detect and quantify peptides that are unique to the bovine proteome. Peptides differ between the two species because of genetic differences that result in detectable changes at the amino acid level. By mixing the two plasma samples, the Proteograph can make measurements across thousands of peptides, highlighting the Proteograph Product Suite’s real-world accuracy. Panel A of Figure 12 shows how the change in MS intensity or intensity fold change varies when mixing the two plasmas at different ratios. Panel B of Figure 12 shows the results of this experiment, looking at threefold changes: 2X, 5.5X, and 11X. At each level, the dashed line is the expected fold change. The gray bars represent the distribution of bovine unique peptides for a neat plasma workflow, and the teal bars represent the unique bovine peptides detected by both the Proteograph and the neat workflow. In all cases, the median of each distribution is close to the dashed line, indicating the median fold change is close to the expected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-6350</wp:posOffset>
            </wp:positionV>
            <wp:extent cx="5349240" cy="2331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360"/>
        <w:spacing w:after="0" w:line="261" w:lineRule="auto"/>
        <w:rPr>
          <w:sz w:val="20"/>
          <w:szCs w:val="20"/>
          <w:color w:val="auto"/>
        </w:rPr>
      </w:pPr>
      <w:r>
        <w:rPr>
          <w:rFonts w:ascii="Times New Roman" w:cs="Times New Roman" w:eastAsia="Times New Roman" w:hAnsi="Times New Roman"/>
          <w:sz w:val="18"/>
          <w:szCs w:val="18"/>
          <w:color w:val="auto"/>
        </w:rPr>
        <w:t>Figure 12: The Proteograph offers a high-degree of accuracy. (A) Three representative pairs of spiked-in samples and the expected fold changes of bovine proteins concentration in these pairs. (B) Distribution of observed fold changes of bovine proteins for three selected comparisons of spiked-in samples. The color indicates the data source: (i) neat digestion (gray), or (ii) Proteograph workflow constrained to proteins also identified in neat (teal). The horizontal dashed lines indicate the expected fold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9" w:name="page20"/>
    <w:bookmarkEnd w:id="19"/>
    <w:p>
      <w:pPr>
        <w:spacing w:after="0" w:line="136" w:lineRule="exact"/>
        <w:rPr>
          <w:sz w:val="20"/>
          <w:szCs w:val="20"/>
          <w:color w:val="auto"/>
        </w:rPr>
      </w:pPr>
    </w:p>
    <w:p>
      <w:pPr>
        <w:ind w:firstLine="8"/>
        <w:spacing w:after="0" w:line="253" w:lineRule="auto"/>
        <w:tabs>
          <w:tab w:leader="none" w:pos="6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Reproducibility of measurement. </w:t>
      </w:r>
      <w:r>
        <w:rPr>
          <w:rFonts w:ascii="Times New Roman" w:cs="Times New Roman" w:eastAsia="Times New Roman" w:hAnsi="Times New Roman"/>
          <w:sz w:val="18"/>
          <w:szCs w:val="18"/>
          <w:color w:val="auto"/>
        </w:rPr>
        <w:t>Reproducibility, also referred to as precision, is a measure of the consistency of protein abundance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measurements (i.e., MS measured intensity) between repeated measurements of the same sample. A higher reproducibility indicates lower noise, which reduces the number of samples required to observe a true fold change in the study. Reproducibility is usually measured as the coefficient of variation (CV%), which is the standard deviation divided by the mean multiplied by 100. A lower CV% represents a more precise measurement. The CV across individual components of the workflow, including the Proteograph instrument and the mass spectrometry instrument, aggregate to form the overall CV% of the workflow (Figure 13; left panel). The typical CV% of MS instrumentation, derived by running the same peptide mixture in consecutive MS injections, is approximately 10%. Using the Proteograph assay to make protein measurements within a single plate adds approximately 7%, for a total CV of about 17%. Running a study across multiple plates and days adds further MS and Proteograph variability for a total system CV% of approximately 20%. Using data acquired over a long-running study, the Proteograph can derive power curves illustrating the power to detect fold changes of different sizes (Figure 13; right panel). For example, 1.5-fold and two-fold changes in protein abundance can be detected with 90% power in sample sizes of 192 and 66, respectively. Typical biological cohorts are much larger than this to capture biological variability and so we believe that the reproducibility of the Proteograph is well-calibrated for biomarker discovery and clinical proteomics.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100330</wp:posOffset>
            </wp:positionV>
            <wp:extent cx="5349240" cy="18770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Figure 13: (A) contributors to CV; (B) smaller fold changes can be detected with increased power with larger study sizes.</w:t>
      </w:r>
    </w:p>
    <w:p>
      <w:pPr>
        <w:spacing w:after="0" w:line="167" w:lineRule="exact"/>
        <w:rPr>
          <w:sz w:val="20"/>
          <w:szCs w:val="20"/>
          <w:color w:val="auto"/>
        </w:rPr>
      </w:pPr>
    </w:p>
    <w:p>
      <w:pPr>
        <w:ind w:right="100" w:firstLine="8"/>
        <w:spacing w:after="0" w:line="259" w:lineRule="auto"/>
        <w:tabs>
          <w:tab w:leader="none" w:pos="6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Proteograph Product Suite enables rapid and large-scale proteomic sample processing in a seven-hour workflow,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unbiased solutions that can take days to weeks. With our current assay, we can process sixteen samples in a single run of the Proteograph SP100 instrument. Therefore, a single Proteograph Product Suite coupled with two MS instruments can process 48 samples in approximately two and a half days for unbiased and deep proteomic analysis. In comparison, the unbiased workflows developed by leading proteomics labs can take weeks for sample preparation and MS measurement to reach an equivalent depth of proteomic coverage.</w:t>
      </w:r>
    </w:p>
    <w:p>
      <w:pPr>
        <w:spacing w:after="0" w:line="12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We believe that the Proteograph will be attractive to researchers who are looking for an easy-to-use, scalable approach with a unique combination of attributes spanning breadth, depth, accuracy, reproducibility and precision of measurement, and the speed and throughput necessary for large-scale proteomics studies. Furthermore, the peptide-level data that the Proteograph Product Suite provides at scale are crucial for gaining novel biological insights.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believe that the Proteograph Product Suite has two primary near-term markets: the approximately $24 billion global proteomics market, and the $26 billion global genomics market, as reported by Allied Market Research and Technavio, respectively. Potential applications of the Proteograph could span several areas, including basic research and discovery, translational research, diagnostics and applications. The proteomics market is estimated by Allied Market Research to have spent $18 billion on reagents, $4 billion on instruments, and $1.5 billion on services in 2021. We believe that we will be competing in both the proteomics reagent and instrument markets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while our service provider customers and Centers of Excellence (COEs) will be accessing the services component. According to Technavio, the genomics market consists of approximately $16 billion spent on products and $9.5 billion spent on services. We believe that we will similarly be able to attract spending on both products and services as genomic customers link genotype to phenotype by supplementing existing genomic data with proteomics data. These applications can be used across basic research, translational research, pharmaceutical, commercial and contract research organization (CRO) customer segments.</w:t>
      </w:r>
    </w:p>
    <w:p>
      <w:pPr>
        <w:spacing w:after="0" w:line="1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currently sell and market the Proteograph Product Suite for research use only (RUO). However, we believe that the capabilities of the Proteograph Product Suite may enable other applications in the future. We may in the future seek premarket approval or clearance for the Proteograph Product Suite in order to allow our customers to use the Proteograph in other product offerings. We expect that the Proteograph Product Suite’s unique value proposition will appeal to proteomics researchers who value deep and unbiased proteomic information and seek to scale experiments to much larger sample sizes with greater speed and efficiency. Moreover, we believe that as more genomics researchers incorporate other -omics approaches to elucidate key genomic findings, the Proteograph will uniquely provide large-scale, unbiased and deep proteomic information to complement genomic information, and enable researchers to gain a clearer picture of both biology and genomic risk factors. We anticipate that in the longer term, the capabilities of the Proteograph and future products may yield new end-markets, applications and business models that complement existing proteomics and genomics markets.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Proteomics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According to Allied Market Research, the global proteomics market was valued at approximately $24 billion in 2021, and is expected to grow to $49 billion in 2026, representing a 15% compound annual growth rate. The market is divided into three categories, 61% focused on drug discovery, 34% on disease diagnosis and 5% on other applications. Products in the proteomics market include spectrometry, microarray and chromatography instruments as well as reagents, for both unbiased and biased proteomics. However, most proteomic analyses of high dynamic range samples to date rely on biased or targeted methods or expensive, complex, and laborious unbiased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deep methods, which are limited to analyzing only tens of samples instead of the thousands needed to power large-scale studies. Few methods are based on capture of intact proteins that enable analysis of proteome complexity at the level of amino acid variants, PTMs and PPIs, all of which have the potential to generate important biological insights. We believe that the unique capabilities of the Proteograph Product Suite will appeal to researchers, either as a complement or alternative to current approaches, or as a wholly-novel way to survey the proteome.</w:t>
      </w:r>
    </w:p>
    <w:p>
      <w:pPr>
        <w:spacing w:after="0" w:line="1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estimate that there are approximately 16,000 MS instruments with configurations typically used to perform proteomic analysis installed worldwide. By leveraging the installed base of MS instruments, we believe we can accelerate adoption of the Proteograph’s technology. The Proteograph could be a robust alternative to both unbiased and biased proteomics approaches, particularly in the discovery of new biology insight. As a result, the Proteograph has the potential to grow the proteomics market by enabling new applications for unbiased proteomics spanning research, translational and clinical settings.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According to Technavio, the global genomics market was valued at approximately $26 billion in 2021, and is expected to reach $42 billion by 2026, representing a compound annual growth rate of approximately 10%. We believe that large-scale deep, unbiased proteomics studies enabled by the Proteograph could provide important missing biological information to improve the functional characterization of genomic variants, enabling large-scale proteogenomics. Complementing large-scale genomics analysis with large-scale proteomic analysis could enhance and accelerate our understanding of biology and human health, and ultimately the treatment of disease. Therefore, we believe the Proteograph solution can attract an increasing number of genomics customers, especially those in translational settings, who are looking to leverage multi-omics approaches to further annotate genomic variants in terms of function and connect genotype to phenotype.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Markets</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also believe that the Proteograph Product Suite, similarly to the commercial impact of a broadened access to genomics products, will enable novel applications and insights, leading to new end-markets. For example,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14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invasive prenatal testing and precision oncology currently make up a significant part of the current genomics market, which would have been difficult to predict a decade ago. We anticipate that the same dynamic of new market creation will occur in proteomics, with one such application for proteomics being early disease detection. In the third quarter of 2020, we spun out a new entity, PrognomiQ, Inc. (PrognomiQ), which is developing novel early detection diagnostic tests that leverage the Proteograph Product Suite in combination with other -omics, including genomics, metabolomics and lipidomics. More broadly, we believe the Proteograph solution has the potential to further stimulate growth of new applications and end-markets in additional ecosystems.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Advantages of the Proteograph Product Suite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Proteograph Product Suite and its underlying NP technology have unique advantages:</w:t>
      </w:r>
    </w:p>
    <w:p>
      <w:pPr>
        <w:spacing w:after="0" w:line="167" w:lineRule="exact"/>
        <w:rPr>
          <w:sz w:val="20"/>
          <w:szCs w:val="20"/>
          <w:color w:val="auto"/>
        </w:rPr>
      </w:pPr>
    </w:p>
    <w:p>
      <w:pPr>
        <w:ind w:left="340" w:right="180" w:hanging="332"/>
        <w:spacing w:after="0" w:line="268"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first commercially available solution to combine unbiased, deep, rapid and large-scale access to the proteome. </w:t>
      </w:r>
      <w:r>
        <w:rPr>
          <w:rFonts w:ascii="Times New Roman" w:cs="Times New Roman" w:eastAsia="Times New Roman" w:hAnsi="Times New Roman"/>
          <w:sz w:val="18"/>
          <w:szCs w:val="18"/>
          <w:color w:val="auto"/>
        </w:rPr>
        <w:t>Other proteomics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exist, but we believe that the Proteograph Product Suite fills a gap by providing all four attributes in a single solution with an easy-to-use workflow.</w:t>
      </w:r>
    </w:p>
    <w:p>
      <w:pPr>
        <w:spacing w:after="0" w:line="116" w:lineRule="exact"/>
        <w:rPr>
          <w:rFonts w:ascii="Times New Roman" w:cs="Times New Roman" w:eastAsia="Times New Roman" w:hAnsi="Times New Roman"/>
          <w:sz w:val="18"/>
          <w:szCs w:val="18"/>
          <w:color w:val="auto"/>
        </w:rPr>
      </w:pPr>
    </w:p>
    <w:p>
      <w:pPr>
        <w:ind w:left="340" w:right="480" w:hanging="332"/>
        <w:spacing w:after="0" w:line="268"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Provides unique insight into protein variation at the peptide level, with a depth and scale that sets a new standard for unbiased and deep proteomics. </w:t>
      </w:r>
      <w:r>
        <w:rPr>
          <w:rFonts w:ascii="Times New Roman" w:cs="Times New Roman" w:eastAsia="Times New Roman" w:hAnsi="Times New Roman"/>
          <w:sz w:val="18"/>
          <w:szCs w:val="18"/>
          <w:color w:val="auto"/>
        </w:rPr>
        <w:t>The Proteograph’s ability to capture protein variations at scale enables synergistic insights when combined with genomic variations,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yielding informative individualized models of biology at population scale.</w:t>
      </w:r>
    </w:p>
    <w:p>
      <w:pPr>
        <w:spacing w:after="0" w:line="116" w:lineRule="exact"/>
        <w:rPr>
          <w:rFonts w:ascii="Times New Roman" w:cs="Times New Roman" w:eastAsia="Times New Roman" w:hAnsi="Times New Roman"/>
          <w:sz w:val="18"/>
          <w:szCs w:val="18"/>
          <w:color w:val="auto"/>
        </w:rPr>
      </w:pPr>
    </w:p>
    <w:p>
      <w:pPr>
        <w:ind w:left="340" w:right="100" w:hanging="332"/>
        <w:spacing w:after="0" w:line="259"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Allows for wide adoption by customers in both decentralized and centralized settings. </w:t>
      </w:r>
      <w:r>
        <w:rPr>
          <w:rFonts w:ascii="Times New Roman" w:cs="Times New Roman" w:eastAsia="Times New Roman" w:hAnsi="Times New Roman"/>
          <w:sz w:val="18"/>
          <w:szCs w:val="18"/>
          <w:color w:val="auto"/>
        </w:rPr>
        <w:t>The Proteograph Product Suite is an integrated solution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consumables, an automation instrument and software, and was designed to deliver ease-of-use, efficiency, robustness and reproducibility of results and to complement existing laboratory infrastructure. Its simple and integrated workflow enables the customer to use their own MS instrument or leverage a widely available installed base of MS instruments. We believe these features will facilitate broad adoption of the Proteograph solution across a variety of laboratories and institutions in both decentralized and centralized settings.</w:t>
      </w:r>
    </w:p>
    <w:p>
      <w:pPr>
        <w:spacing w:after="0" w:line="125" w:lineRule="exact"/>
        <w:rPr>
          <w:rFonts w:ascii="Times New Roman" w:cs="Times New Roman" w:eastAsia="Times New Roman" w:hAnsi="Times New Roman"/>
          <w:sz w:val="18"/>
          <w:szCs w:val="18"/>
          <w:color w:val="auto"/>
        </w:rPr>
      </w:pPr>
    </w:p>
    <w:p>
      <w:pPr>
        <w:ind w:left="340" w:hanging="332"/>
        <w:spacing w:after="0" w:line="262"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Offers a core technology with the potential for development of a range of products, applications and platforms. </w:t>
      </w:r>
      <w:r>
        <w:rPr>
          <w:rFonts w:ascii="Times New Roman" w:cs="Times New Roman" w:eastAsia="Times New Roman" w:hAnsi="Times New Roman"/>
          <w:sz w:val="18"/>
          <w:szCs w:val="18"/>
          <w:color w:val="auto"/>
        </w:rPr>
        <w:t>Our diverse and expanding library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NP surfaces can support the development of new products catering to various applications and customer needs. We are using machine-learning techniques and conducting large-scale analyses to understand relationships between NP surfaces and protein binding in order to design our future products.</w:t>
      </w:r>
    </w:p>
    <w:p>
      <w:pPr>
        <w:spacing w:after="0" w:line="122" w:lineRule="exact"/>
        <w:rPr>
          <w:rFonts w:ascii="Times New Roman" w:cs="Times New Roman" w:eastAsia="Times New Roman" w:hAnsi="Times New Roman"/>
          <w:sz w:val="18"/>
          <w:szCs w:val="18"/>
          <w:color w:val="auto"/>
        </w:rPr>
      </w:pPr>
    </w:p>
    <w:p>
      <w:pPr>
        <w:ind w:left="340" w:hanging="332"/>
        <w:spacing w:after="0" w:line="262"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Provides core technology with significant operational leverage in research and development, manufacturing and commercialization. </w:t>
      </w:r>
      <w:r>
        <w:rPr>
          <w:rFonts w:ascii="Times New Roman" w:cs="Times New Roman" w:eastAsia="Times New Roman" w:hAnsi="Times New Roman"/>
          <w:sz w:val="18"/>
          <w:szCs w:val="18"/>
          <w:color w:val="auto"/>
        </w:rPr>
        <w:t>NP-based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are efficient to design, develop and manufacture. We believe that by leveraging our understanding of NP surfaces, software and analytics capabilities, we can rapidly develop new products. Our NP manufacturing process uses well-characterized inputs and methods, which require relatively modest investments in capital equipment and space. This capital-efficient and labor-efficient model has high operating leverage potential.</w:t>
      </w:r>
    </w:p>
    <w:p>
      <w:pPr>
        <w:spacing w:after="0" w:line="122" w:lineRule="exact"/>
        <w:rPr>
          <w:rFonts w:ascii="Times New Roman" w:cs="Times New Roman" w:eastAsia="Times New Roman" w:hAnsi="Times New Roman"/>
          <w:sz w:val="18"/>
          <w:szCs w:val="18"/>
          <w:color w:val="auto"/>
        </w:rPr>
      </w:pPr>
    </w:p>
    <w:p>
      <w:pPr>
        <w:ind w:left="340" w:right="40" w:hanging="332"/>
        <w:spacing w:after="0" w:line="257"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Presents a solution with sustainable differentiation. </w:t>
      </w:r>
      <w:r>
        <w:rPr>
          <w:rFonts w:ascii="Times New Roman" w:cs="Times New Roman" w:eastAsia="Times New Roman" w:hAnsi="Times New Roman"/>
          <w:sz w:val="18"/>
          <w:szCs w:val="18"/>
          <w:color w:val="auto"/>
        </w:rPr>
        <w:t>The Proteograph is uniquely capable of generating robust, reproducible, deep and unbiased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proteomic data. As this data is used by more customers to generate insights, we believe this cycle will fuel further adoption of the Proteograph Product Suite throughout the industry. The Proteograph workflow is fully integrable with customer workflows and provides a unique user experience with the support of our software packages, making it a sustainable solution within customer organizations. Our NP technology, SP100 automation instrument, and software are protected by numerous issued patents and pending patent applications worldwide, covering improvements in NPs, assay methods and ways to leverage proteomic data and information for life sciences research, clinical diagnostic and drug discovery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imagine and pioneer new ways to decode the secrets of the proteome to improve human health. Our growth strategy is to:</w:t>
      </w:r>
    </w:p>
    <w:p>
      <w:pPr>
        <w:spacing w:after="0" w:line="167" w:lineRule="exact"/>
        <w:rPr>
          <w:sz w:val="20"/>
          <w:szCs w:val="20"/>
          <w:color w:val="auto"/>
        </w:rPr>
      </w:pPr>
    </w:p>
    <w:p>
      <w:pPr>
        <w:ind w:left="340" w:right="100" w:hanging="332"/>
        <w:spacing w:after="0" w:line="262"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adoption of the Proteograph Product Suite to enable researchers to create large-scale unbiased proteomic datasets that generate transformative scientific insights. </w:t>
      </w:r>
      <w:r>
        <w:rPr>
          <w:rFonts w:ascii="Times New Roman" w:cs="Times New Roman" w:eastAsia="Times New Roman" w:hAnsi="Times New Roman"/>
          <w:sz w:val="18"/>
          <w:szCs w:val="18"/>
          <w:color w:val="auto"/>
        </w:rPr>
        <w:t>Our Proteograph Product Suite uniquely enables researchers and clinicians to generate unbiased, deep proteomic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at speed and scale not previously possible. These capabilities have broad application, spanning basic research and discovery, translational research, diagnostics and applied applications.</w:t>
      </w:r>
    </w:p>
    <w:p>
      <w:pPr>
        <w:spacing w:after="0" w:line="122" w:lineRule="exact"/>
        <w:rPr>
          <w:rFonts w:ascii="Times New Roman" w:cs="Times New Roman" w:eastAsia="Times New Roman" w:hAnsi="Times New Roman"/>
          <w:sz w:val="18"/>
          <w:szCs w:val="18"/>
          <w:color w:val="auto"/>
        </w:rPr>
      </w:pPr>
    </w:p>
    <w:p>
      <w:pPr>
        <w:ind w:left="340" w:hanging="332"/>
        <w:spacing w:after="0" w:line="257"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 in market development activities to demonstrate the importance of large-scale proteomic data and the ability to access it</w:t>
      </w:r>
      <w:r>
        <w:rPr>
          <w:rFonts w:ascii="Times New Roman" w:cs="Times New Roman" w:eastAsia="Times New Roman" w:hAnsi="Times New Roman"/>
          <w:sz w:val="18"/>
          <w:szCs w:val="18"/>
          <w:color w:val="auto"/>
        </w:rPr>
        <w:t>. To expand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accelerate demand for our products, particularly as new applications are developed and adopted by customers, we plan to invest in market development activities to educate prospective customers, funding bodies, commercial entities, government-sponsored -omics programs, and other stakeholders of the importance of large-scale unbiased and deep proteomic data. This effort will likely include collaborations with key opinion leaders, generation of peer-reviewed publications, sponsorship of targeted projects, joint publications and seminars, and industry partnerships. We plan to demonstrate the value of large-scale unbiased and deep proteomic data, as well as the unique capabilities offered by our products.</w:t>
      </w:r>
    </w:p>
    <w:p>
      <w:pPr>
        <w:spacing w:after="0" w:line="128" w:lineRule="exact"/>
        <w:rPr>
          <w:rFonts w:ascii="Times New Roman" w:cs="Times New Roman" w:eastAsia="Times New Roman" w:hAnsi="Times New Roman"/>
          <w:sz w:val="18"/>
          <w:szCs w:val="18"/>
          <w:color w:val="auto"/>
        </w:rPr>
      </w:pPr>
    </w:p>
    <w:p>
      <w:pPr>
        <w:ind w:left="340" w:right="60" w:hanging="332"/>
        <w:spacing w:after="0" w:line="257"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Innovate continuously to develop and commercialize additional transformative products to access the proteome and accelerate our understanding of biology. </w:t>
      </w:r>
      <w:r>
        <w:rPr>
          <w:rFonts w:ascii="Times New Roman" w:cs="Times New Roman" w:eastAsia="Times New Roman" w:hAnsi="Times New Roman"/>
          <w:sz w:val="18"/>
          <w:szCs w:val="18"/>
          <w:color w:val="auto"/>
        </w:rPr>
        <w:t>We aim to continuously innovate and develop new products, applications, workflows and analysis tools that simplify and accelerate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researchers and clinicians’ ability to generate proteomic data and to connect proteomic data to genomic and transcriptomic data that drive novel biological insights. As leaders in NGS have demonstrated, our sustainable advantage will come from continual development and commercialization of new products and applications based on our technology. We will drive innovation through both internal R&amp;D projects and from collaborations with customers and partners.</w:t>
      </w:r>
    </w:p>
    <w:p>
      <w:pPr>
        <w:spacing w:after="0" w:line="128" w:lineRule="exact"/>
        <w:rPr>
          <w:rFonts w:ascii="Times New Roman" w:cs="Times New Roman" w:eastAsia="Times New Roman" w:hAnsi="Times New Roman"/>
          <w:sz w:val="18"/>
          <w:szCs w:val="18"/>
          <w:color w:val="auto"/>
        </w:rPr>
      </w:pPr>
    </w:p>
    <w:p>
      <w:pPr>
        <w:ind w:left="340" w:right="160" w:hanging="332"/>
        <w:spacing w:after="0" w:line="259"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Build our commercial infrastructure and manufacturing capabilities to enable expansion of our global customer base. </w:t>
      </w:r>
      <w:r>
        <w:rPr>
          <w:rFonts w:ascii="Times New Roman" w:cs="Times New Roman" w:eastAsia="Times New Roman" w:hAnsi="Times New Roman"/>
          <w:sz w:val="18"/>
          <w:szCs w:val="18"/>
          <w:color w:val="auto"/>
        </w:rPr>
        <w:t>We are establishing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infrastructure to sell and support our products directly in the United States, the European Union,and United Kingdom. We are expanding access to our products in other geographies, starting with select countries in Asia Pacific through distributors, and eventually to the rest of the world. We are also scaling our manufacturing capabilities in our facility in Redwood City, California, and will continually evaluate and optimize our manufacturing and supply chain footprint to meet our business objectives.</w:t>
      </w:r>
    </w:p>
    <w:p>
      <w:pPr>
        <w:spacing w:after="0" w:line="125" w:lineRule="exact"/>
        <w:rPr>
          <w:rFonts w:ascii="Times New Roman" w:cs="Times New Roman" w:eastAsia="Times New Roman" w:hAnsi="Times New Roman"/>
          <w:sz w:val="18"/>
          <w:szCs w:val="18"/>
          <w:color w:val="auto"/>
        </w:rPr>
      </w:pPr>
    </w:p>
    <w:p>
      <w:pPr>
        <w:ind w:left="340" w:right="80" w:hanging="332"/>
        <w:spacing w:after="0" w:line="259"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Foster the creation of an ecosystem of customers, partners and collaborators whose expertise and offerings complement and enhance the power and utility of our products. </w:t>
      </w:r>
      <w:r>
        <w:rPr>
          <w:rFonts w:ascii="Times New Roman" w:cs="Times New Roman" w:eastAsia="Times New Roman" w:hAnsi="Times New Roman"/>
          <w:sz w:val="18"/>
          <w:szCs w:val="18"/>
          <w:color w:val="auto"/>
        </w:rPr>
        <w:t>We intend to seed and develop a new ecosystem of applications and organizations based upon large-scale proteomic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analysis. This ecosystem could include areas such as disease detection, large-scale population studies, agriculture, environmental monitoring and food safety. To help seed the growth of this ecosystem, we spun-out PrognomiQ, which is developing and will commercialize diagnostic tests for early disease detection, leveraging the Proteograph Product Suite in combination with other -omics technologies.</w:t>
      </w:r>
    </w:p>
    <w:p>
      <w:pPr>
        <w:spacing w:after="0" w:line="125" w:lineRule="exact"/>
        <w:rPr>
          <w:rFonts w:ascii="Times New Roman" w:cs="Times New Roman" w:eastAsia="Times New Roman" w:hAnsi="Times New Roman"/>
          <w:sz w:val="18"/>
          <w:szCs w:val="18"/>
          <w:color w:val="auto"/>
        </w:rPr>
      </w:pPr>
    </w:p>
    <w:p>
      <w:pPr>
        <w:ind w:left="340" w:right="120" w:hanging="332"/>
        <w:spacing w:after="0" w:line="262"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proprietary engineered NP technology to analyze molecules beyond proteins. </w:t>
      </w:r>
      <w:r>
        <w:rPr>
          <w:rFonts w:ascii="Times New Roman" w:cs="Times New Roman" w:eastAsia="Times New Roman" w:hAnsi="Times New Roman"/>
          <w:sz w:val="18"/>
          <w:szCs w:val="18"/>
          <w:color w:val="auto"/>
        </w:rPr>
        <w:t>We intend to expand the scope of our proprietary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engineered NP technology to analyze other biomolecules, such nucleic acids and metabolites. As we continue to work closely with our customers, we will better understand their needs and requirements, which will inform our product development pathway and development of our library of NPs and our software capabilities to address other -omics applications.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Applications of the Proteograph Product Suite</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believe the ability to generate unbiased, deep, proteomic data at scale, with rich content at the protein variant level, will have a wide range of applications in proteomics, including basic research and discovery, translational research, diagnostics and applied markets. This data can be used in many of the same application areas as genomics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data, as well as proteomics applications that are uniquely possible with unbiased proteomic data, and in new applications that the field will develop in the future.</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the Proteograph Product Suite’s versatility allows it to analyze not only plasma and serum, but also other biofluids across humans and model organisms. For example, when we compared the performance of the Proteograph Product Suite workflow with that of neat biological samples across model organism plasma, urine, cerebral spinal fluid, and conditioned media, we noted superior protein group identification by the Proteograph of 4x, 1.5x, 1.5x, and 8.6x, respectively. Importantly, in each sample, we measured tens of thousands of data points at the peptide level, providing information on thousands of proteins. We believe this extensibility offers researchers a powerful and flexible tool to utilize across a variety of applications and sample types.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Research and Discovery Applications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that the Proteograph will be a valuable tool for researchers across a wide range of basic research and discovery applications, including cataloging protein diversity, proteogenomics and exploring the interactome. Studies in these areas are currently limited in scale by the complexity of unbiased methods or the limited set of affinity-based reagents available for biased methods. The Proteograph Product Suite is designed to enable the use of unbiased proteomic data at scale, which we believe will greatly accelerate these areas of basic research and discovery.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Cataloging protein diversity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Proteograph Product Suite is designed to enable researchers to explore the complexity and diversity of the proteome with peptide level resolution. We anticipate that researchers will use the Proteograph solution to catalog protein variants in a manner similar to the cataloging of genetic variants over the past 15 years, providing functional context at a scale that is not currently accessible with other proteomics methods. We believe that the identification of protein variants, including those resulting from PTMs such as glycosylation and phosphorylation, has the potential to significantly transform the life sciences field.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Proteogenomics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Proteogenomics is a rapidly growing field of research that integrates genomic and transcriptomic information with proteomic information, using personalized protein sequence databases to identify novel peptides. The Proteograph generates large-scale unbiased proteomic data, enabling researchers to map protein variants to genomic variants, advancing the field of proteogenomics. We anticipate that as researchers conduct large-scale proteomics studies with the Proteograph, proteogenomic content will rapidly increase, providing functional information to existing genomics and gene expression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Translational Research Applications</w:t>
      </w:r>
    </w:p>
    <w:p>
      <w:pPr>
        <w:spacing w:after="0" w:line="175"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Researchers can use the Proteograph for translational research applications aimed at shortening the time from early discovery research to clinical application. The Proteograph Product Suite allows clinical and translational researchers an opportunity to perform unbiased, deep and large-scale proteomics studies in therapeutic and diagnostic research and clinical trials, which can allow for significant advances in biomarker discovery, target identification and exploration and clinical trial applications.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Biomarker Discovery</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Currently,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biomarker discovery research is limited by the size of unbiased studies or is targeted in nature. These approaches have yet to uncover the large number of potential single biomarkers or combinations of markers for a range of clinical applications. The Proteograph has the potential to enable the discovery of biomarkers through large-scale, unbiased and deep proteomics studies.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 Identification and Exploration</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believe that large-scale access to protein variant information that map to different states of health and disease, as enabled by the Proteograph and concurrent advances in proteogenomics, could lead to the discovery of personalized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drug targets that could number in the hundreds of thousands. We believe that the translational application of the Proteograph for potential biomarker development may also be applied to the identification of novel targets for therapeutic development. Components of classifiers may themselves become targets for drug development, or they may point to new knowledge with respect to disease mechanisms, which could then aid in the exploration of additional targets and/or help to elucidate the function of potential targets, particularly if these targets are discovered with genomics approaches, but lack protein functional context.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Applications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Proteograph Product Suite provides clinical researchers with the opportunity to perform deep and broad proteomic profiling of subjects in therapeutic clinical trials, enabling the real-time monitoring of protein-related drug effects, distribution and metabolism. These attributes are essential in virtually all clinical drug trials. Current methods use biased or targeted panels of proteins. It is currently impractical to do this type of monitoring with unbiased proteomic methods, given the inability of these methods to scale to the hundreds or thousands of samples that are evaluated in clinical trials.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Proteograph Product Suite may also enable patient selection and grouping based on patients’ proteomics profiles, leading to improved ability to confirm efficacy for novel therapies in complex diseases that involve multiple physiological systems. While genomic approaches are widely used to select patients in cancer and rare genetic disease clinical trials, their use in other indications has been limited by a lack of genetic understanding of these diseases. We believe that the Proteograph has the potential to generate useful proteomic signatures that can complement genomic and other patient selection criteria, improving patient selection and segmentation for clinical trials, particularly for indications outside of cancer and rare genetic diseases.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 Applications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the Proteograph Product Suite also holds significant diagnostic potential. The unbiased, deep and scalable proteomic data generated by the Proteograph has the potential to create ecosystems, similar to the way in which NGS enabled genomics-based diagnostics for cancer and rare genetic diseases. We expect that companies in the healthcare testing space, including our spin-out PrognomiQ, will utilize the Proteograph solution, and we are committed to supporting all of our customers as the ecosystem grows, not only in their basic research and translational research applications but also as they develop their own diagnostic applications.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Applied Applications in Agriculture, Animal Health, Environmental Monitoring and Food Safety</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see significant opportunities for the Proteograph solution to be applied in areas beyond human health, including areas where broad-scale genomics is being widely applied today, and applications where proteomics can uniquely enable the creation of end-markets. We believe that unbiased, deep and large-scale proteomic information, which can be enabled by the Proteograph, can complement and extend the value of genomics, transcriptomics and metabolomics information in fields such as agriculture, animal health, environmental monitoring and food safety.</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Given the robustness of the Proteograph Product Suite and the ability of its core NP technology to work across species, we believe there is significant interest and an attractive market opportunity for implementation of the Proteograph Product Suite in model organisms and the animal health markets to pursue opportunities in diagnostic and therapeutic development. We have already demonstrated the application of the Proteograph Product Suite in projects in mouse, pig, feline, chicken, canine, baboon and bovine plasmas.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PrognomiQ</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2020, we made a strategic decision to transfer certain assets related to disease testing to PrognomiQ, a wholly owned subsidiary of the Company, in exchange for all of its outstanding equity interests. Following the transfer, we completed a pro-rata distribution to our stockholders of most of the shares of capital stock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PrognomiQ. Following the distribution and two subsequent financings of PrognomiQ totaling approximately $102 million, we hold approximately 15% of the outstanding equity in PrognomiQ.</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rationale for this transaction was to enable the growth of ecosystems around new applications that leverage unbiased, deep and large-scale proteomic information. The transaction allows us to remain focused on our core strategy of providing proteomics solutions to all customers across these ecosystems, rather than potentially competing with, or creating the perception that we are competing with, our customers. Our relationship with PrognomiQ does not preclude us from selling the Proteograph Product Suite to any customer in any geography, nor does it preclude our customers from using the Proteograph in any way. PrognomiQ seeks to combine the protein data from the Proteograph with genomics and other -omics data, to develop a multi-omics approach to health and disease testing. We believe this initiative will increase the adoption of the Proteograph Product Suite in these applications.</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Omid Farokhzad, our Chief Executive Officer and President, and Chair of our board of directors, also serves as the Chair of PrognomiQ’s board of directors. Philip Ma, Ph.D., our former Chief Business Officer, serves as the Chief Executive Officer and President of PrognomiQ. While Dr. Ma has fully transitioned to PrognomiQ, he will continue to consult until April 2023 at which time, Dr. Ma’s consulting agreement will automatically renew for subsequent one year terms unless and until terminated.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Strategy</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are focused on developing the market for deep, unbiased, rapid proteomics at scale by improving accessibility to our technology and growing the installed base of the Proteograph across a wide variety of customer types. We believe that enabling breakthrough science, demonstrating the power of our technology and catalyzing new applications and markets will lead to increased utilization of the Proteograph Product Suite by our customers. We are initially focused on research applications for the Proteograph Product Suite and selling and marketing the Proteograph for RUO. We started broad commercialization of the Proteograph Product Suite in January 2022 and shipped 22 instruments in 2022, bringing our total system shipments to 39 as of December 31, 2022.</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market development efforts are focused on creating a body of evidence to support unbiased, deep proteomics at-scale by establishing relationships with key thought leaders and driving programs that make it easier for labs of all types to undertake first-of-their-kind studies. We believe that paving the way with standards, methods and proof in the form of published data empowers the scientific community to move forward more rapidly.</w:t>
      </w:r>
    </w:p>
    <w:p>
      <w:pPr>
        <w:spacing w:after="0" w:line="122" w:lineRule="exact"/>
        <w:rPr>
          <w:sz w:val="20"/>
          <w:szCs w:val="20"/>
          <w:color w:val="auto"/>
        </w:rPr>
      </w:pPr>
    </w:p>
    <w:p>
      <w:pPr>
        <w:ind w:left="660" w:right="1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Centers of Excellence (COE) Program: We have partnered with select service facilities and core labs globally to be Centers of Excellence for the Proteograph. These sites have become our customers and provide fee-for-service capabilities that allow interested parties to access and evaluate the Proteograph Product Suite using their own samples. We expect that these COEs will actively promote the Proteograph solution and its capabilities, help us further raise awareness, and increase the accessibility of the Proteograph to a wider range of customers.</w:t>
      </w:r>
    </w:p>
    <w:p>
      <w:pPr>
        <w:spacing w:after="0" w:line="12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Proteogenomics Consortium: We have formed the Proteogenomics Consortium (PGC) to accelerate access to proteogenomic studies in partnership with Discovery Life Sciences (Discovery) and SCIEX, with the stated eventual goal of developing capacity to analyze 100,000 samples annually. Discovery announced in December 2022 that it is accepting customer samples for analysis.</w:t>
      </w:r>
    </w:p>
    <w:p>
      <w:pPr>
        <w:spacing w:after="0" w:line="121"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Opinion Leader (KOL) Relationships: The generation of publications and scientific presentations is a core pillar of our market development strategy and is important for establishing validity and utility of new disruptive products in the life sciences community. We are working closely with our customers, including KOLs, to generate clear use-cases, as well as peer-reviewed publications that illustrate the Proteograph’s performance claims and value proposition.</w:t>
      </w:r>
    </w:p>
    <w:p>
      <w:pPr>
        <w:spacing w:after="0" w:line="1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Partnerships: We have partnered with leading mass spectrometry instrumentation providers, including Thermo Fisher Scientific, Bruker Corporation and SCIEX to establish partnerships that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40"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lead sharing, co-marketing, and co-development of end-to-end workflows to enable broad education of the market as well as easy-to-implement workflows.</w:t>
      </w:r>
    </w:p>
    <w:p>
      <w:pPr>
        <w:spacing w:after="0" w:line="189" w:lineRule="exact"/>
        <w:rPr>
          <w:sz w:val="20"/>
          <w:szCs w:val="20"/>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Partnerships: As we expand geographically, we have partnered to enable access in key regions, such as China, where Enlight Medical is our distribution partner and they educate, develop and expand the market for the Proteograph Product Suite.</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initially targeting potential customers who value unbiased and deep proteomic information and are performing proteomic or genomic analysis at academic institutions, translational research groups and biopharmaceutical companies. Our direct sales and marketing efforts are focused on the principal investigators, researchers, department heads, research laboratory directors and core facility directors who control the buying decisions. We expect these customers to purchase the Proteograph Product Suite and associated consumables in line with typical purchases of other life science instrumentation and consumables. We believe that we have priced the Proteograph Product Suite to be affordable to most researchers who can direct buying decisions, without the need for additional levels of approval, simplifying our sales process. For example, we price the SP100 automation instrument comparably to other similar automated fluid handling systems currently available. We price the Proteograph consumables, on a per-sample basis, in a range similar to that of other life sciences consumables that provide deep and unbiased -omics information.</w:t>
      </w:r>
    </w:p>
    <w:p>
      <w:pPr>
        <w:spacing w:after="0" w:line="13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To service our Proteograph customers, we provide multiple levels of technical service for the Proteograph Product Suite, depending upon the customer's needs. We recognize that excellent customer support can be a critical part of a customer experience, and we will invest accordingly in our technical and application support to achieve the desired levels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Organization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currently building out our commercial organization across Marketing, Sales, and Customer Experience functions to support demand, with the goal of delivering an exceptional customer experience. We believe that coupling an exceptional customer experience with a transformative product will allow us to deliver substantial value to our customers, build long-term customer loyalty, enhance our competitive differentiation and, importantly, use our customer relationships to gain insights that inform our product development to grow our offerings in ways that will benefit our customers.</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North America, the United Kingdom and select countries of the European Union, we have direct sales and customer experience personnel, including Regional Business Managers (RBM), Field Application Scientists and Field Service Engineers. In addition to these direct personnel, we have significant marketing, customer experience and technical support personnel located in our offices in Redwood City and San Diego, California. The RBM are focused on identifying potential customers who have a strong interest in deep, unbiased proteomics and access to sufficient sample cohorts and capital to help drive long-term usage. They work closely with our marketing personnel to identify, qualify and close these customer opportunities. The Field Application Scientists also help in the sales process, they are primarily responsible for ensuring that customers have an exemplary experience once a purchase has been made. This ranges from providing customer training to working with each customer to help them optimize their methods and applications. Our Field Service Engineers perform installation and provide on-site service support for any technical problems or repairs that are needed.</w:t>
      </w:r>
    </w:p>
    <w:p>
      <w:pPr>
        <w:spacing w:after="0" w:line="13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China, we have entered the market through our distribution partner, Enlight Medical, who provides sales, marketing, distribution and customer support services. We will continue to evaluate entering other geographies and countries over time and will likely initially enter those markets through distribution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and Manufacturing</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Consumables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Automation Instrument</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designed the SP100 automation instrument and have outsourced its manufacturing to Hamilton Company, a leading manufacturer of automated liquid handling workstations. We have entered into a non-exclusive agreement with Hamilton that covers the manufacturing of the SP100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life sciences technology industry is highly dynamic, marked by rapidly advancing technologies, intense competition and a strong focus on intellectual property. In the proteomics market, companies offer a range of analytical instruments, such as chromatography and MS instruments, and associated reagents. Competition in the proteomics market is based on proprietary technologies, rapid product development capabilities, applications and intellectual property. We believe that no currently commercially available products offer the capability to conduct unbiased, deep proteomics studies of high dynamic range samples at the same scale and throughput as the Proteograph Product Suite. However, given the potential market opportunity and scientific promise of proteomics, we expect the competition to increase and, as a result, one or more competing products to emerge in the future.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spacing w:after="0" w:line="138"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Current companies that provide proteomics products include Agilent Technologies, Bruker Corporation, Danaher, DiaSorin and Thermo Fisher Scientific. There are also a number of companies that provide proteomic analysis services. In addition, multiple emerging growth companies have developed, or are developing, proteomics products, services and solutions, such as Nautilus Biotechnology, Olink Proteomics, Quanterix, Quantum-Si and SomaLogic.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8" w:name="page29"/>
    <w:bookmarkEnd w:id="28"/>
    <w:p>
      <w:pPr>
        <w:spacing w:after="0" w:line="14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label and sell our products for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3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special controls together, are sufficient to provide a reasonable assurance of the device’s safety and effectiveness. The de novo classification route is generally less burdensome than the PMA approval process.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2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IVD Medical Device Regulation (IVDR) European Union (EU)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2017/746, which replaces the IVD Directive, is significantly more extensive than the IVD Directive, including requirements on performance data and quality system, and went into application in May 2022. Recently, the European Parliament voted to extend the transition timelines for IVDR.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August 2020,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In November 2021, HHS under the Biden administration issued a statement that withdrew the August 2020 policy announcement stating that HHS does not have a policy on LDTs that is separate from FDA’s longstanding approach. Legislative and administrative proposals to amend the FDA's oversight of LDTs have been introduced in recent years, including the Verifying Accurate Leading-edge IVCT Development Act of 2021 (VALID Act). In September 2022, Congress passed the FDA user fee reauthorization legislation without substantive FDA policy riders, including the VALID Act, but Congress may revisit the policy riders and enact other FDA programmatic reforms in the future. It is unclear how future legislation by federal and state governments and FDA regulation will impact the industry, including our business and that of our customers. Any restrictions or heightened regulatory requirements on LDTs, IVDs, or RUO products by the FDA, HHS, Congress, or state regulatory authorities may decrease the demand for our products, increase our compliance costs, and negatively impact our business and profitability. We will continue to monitor and assess the impact of changing regulatory landscape on our business.</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the risks we face relating to regulation, see the section titled “Risk factors—Risks related to our business and industry.”</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liability. Furthermore, the CCPA could mark the beginning of a trend toward more stringent state privacy legislation in the U.S., which could increase our potential liability and adversely affect our business.</w:t>
      </w:r>
    </w:p>
    <w:p>
      <w:pPr>
        <w:spacing w:after="0" w:line="10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Pursuant to the Trade and Cooperation Agreement, which went into effect on January 1, 2021, the United Kingdom and EU agreed to a specified period during which the United Kingdom will be treated like an EU member state in relation to processing and transfers of personal data for four months from January 1, 2021. This period may be extended by two further months. Furthermore, following the expiration of the specified period, there will be increasing scope for divergence in application, interpretation and enforcement of the data protection law as between the United Kingdom and EEA.</w:t>
      </w:r>
    </w:p>
    <w:p>
      <w:pPr>
        <w:spacing w:after="0" w:line="152" w:lineRule="exact"/>
        <w:rPr>
          <w:sz w:val="20"/>
          <w:szCs w:val="20"/>
          <w:color w:val="auto"/>
        </w:rPr>
      </w:pPr>
    </w:p>
    <w:p>
      <w:pPr>
        <w:ind w:right="820"/>
        <w:spacing w:after="0" w:line="438" w:lineRule="auto"/>
        <w:rPr>
          <w:sz w:val="20"/>
          <w:szCs w:val="20"/>
          <w:color w:val="auto"/>
        </w:rPr>
      </w:pPr>
      <w:r>
        <w:rPr>
          <w:rFonts w:ascii="Times New Roman" w:cs="Times New Roman" w:eastAsia="Times New Roman" w:hAnsi="Times New Roman"/>
          <w:sz w:val="18"/>
          <w:szCs w:val="18"/>
          <w:color w:val="auto"/>
        </w:rPr>
        <w:t xml:space="preserve">For further discussion of the risks we face relating to regulation, see the section titled “Risk factors—Risks related to our business and industry.” </w:t>
      </w:r>
      <w:r>
        <w:rPr>
          <w:rFonts w:ascii="Times New Roman" w:cs="Times New Roman" w:eastAsia="Times New Roman" w:hAnsi="Times New Roman"/>
          <w:sz w:val="18"/>
          <w:szCs w:val="18"/>
          <w:b w:val="1"/>
          <w:bCs w:val="1"/>
          <w:color w:val="auto"/>
        </w:rPr>
        <w:t>Intellectual Property</w:t>
      </w:r>
    </w:p>
    <w:p>
      <w:pPr>
        <w:spacing w:after="0" w:line="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2022, we owned or exclusively licensed over 125 issued patents and patent applications worldwide. Our intellectual property portfolio includes patents and patent applications directed to proteomic assays, nanoparticle chemistry, data analysis and automation instruments. Our owned or exclusively licensed patents and patent applications, if issued, are expected to expire between 2023 and 2043, in each case without taking into account any possible patent term adjustments or extensions and assuming payment of all appropriate maintenance, renewal, annuity or other governmental fees.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exclusively license U.S. patents and patent applications, as well as ex-U.S. patents and pending patent applications from The Brigham and Women’s Hospital (BWH).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2027 and 2037, in each case without taking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account any possible patent term adjustments or extensions and assuming payment of all appropriate maintenance, renewal, annuity, or other governmental fees.</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Times New Roman" w:cs="Times New Roman" w:eastAsia="Times New Roman" w:hAnsi="Times New Roman"/>
          <w:sz w:val="18"/>
          <w:szCs w:val="18"/>
          <w:i w:val="1"/>
          <w:iCs w:val="1"/>
          <w:color w:val="auto"/>
        </w:rPr>
        <w:t>“Business —Collaboration and License Agreements.”</w:t>
      </w:r>
    </w:p>
    <w:p>
      <w:pPr>
        <w:spacing w:after="0" w:line="13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or may be unenforceable and we may not have adequate remedies. In addition,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w:t>
      </w:r>
      <w:r>
        <w:rPr>
          <w:rFonts w:ascii="Times New Roman" w:cs="Times New Roman" w:eastAsia="Times New Roman" w:hAnsi="Times New Roman"/>
          <w:sz w:val="18"/>
          <w:szCs w:val="18"/>
          <w:i w:val="1"/>
          <w:iCs w:val="1"/>
          <w:color w:val="auto"/>
        </w:rPr>
        <w:t>“Risk factors—Risks Related to our Intellectual Property.”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Brigham and Women’s Hospital</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 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spacing w:after="0" w:line="13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consideration for the licenses granted under the agreement, we must pay BWH annual license fees and a low single digit royalty on net sales of licensed products in any country during the term of the agreement, which is credited against the annual license fees. In the event we commercialize a product in the therapeutic space, we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4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also required to make certain drug-approval regulatory and commercialization milestone payments to BWH of up to a mid-seven digit figure in the aggregate for licensed products. In the event we sublicense any of the licensed intellectual property, we must pay BWH a percentage of any sublicense income received by us, which on a going-forward basis will be in the high single digits.</w:t>
      </w:r>
    </w:p>
    <w:p>
      <w:pPr>
        <w:spacing w:after="0" w:line="12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PrognomiQ</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August 2020, we entered into an intellectual property transfer and license agreement and, in October 2020, we entered into an intellectual property sublicense agreement, in each case with PrognomiQ in connection with the 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intellectual property sublicense agreement.</w:t>
      </w:r>
    </w:p>
    <w:p>
      <w:pPr>
        <w:spacing w:after="0" w:line="13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event we elect to grant an exclusive license to a third party in the field of human diagnostics for any of the patents and patent applications licensed or sublicensed, as applicable, to PrognomiQ under the respective 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 In an amendment to the intellectual property transfer and license agreement on July 28, 2022, we agreed to extend this negotiation period to three years after the effective date.</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 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Collaborators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part of the initial Collaboration phase of our completed three-phase commercial strategy for the Proteograph Product Suite, we entered collaboration agreements with Oregon Health &amp; Science University (OHSU), an academic health center, The Broad Institute of MIT and Harvard (Broad Institute), a biomedical and genomic research center, the Salk Institute for Biological Studies, a multi-disciplinary research institute focused on addressing challenging health issues, including cancer, Alzheimer’s and diabetes, and Discovery Life Sciences, a provider of biomedical and genomic research services. We have worked closely with our collaborators to help exemplify applications for the Proteograph Product Suite. For example, researchers at OHSU are using our products to facilitate various research efforts focused on proteomic profiling of various oncology versus control samples to determine protein signatures common between various cancer samples versus signatures found in control samples. Additionally, researchers at the Broad Institute use our products to analyze protein signatures in diseased vs. non-diseased samples undergoing drug perturbations in various clinical applications including cardiovascular disease.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Proteogenomics Consortium</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January 2022, we entered into an agreement to form the PGC with Discovery and SCIEX. Through this multi-year effort, Discovery will expand and offer deep, unbiased proteomics capabilities to their existing genomics customers using the Proteograph Product Suite and the SCIEX ZenoTOF 7600 platform. The consortium has the objective to build capacity to analyze 100,000 samples per year to enable large-scale, unbiased plasma proteomic studies. In December 2022, Discovery announced the launch of its Proteomics Services Division, which includes services offered by the PGC, and that it is accepting customer samples from pharmaceutical and biotech companies, government, and non-profit and academic research centers. The PGC will offer unbiased, high resolution proteogenomic services to help uncover novel biomarkers that can be mapped back to underlying genetic variations.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Advisory Board</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assembled a highly-qualified scientific advisory board composed of advisors who have deep expertise in the fields of nanotechnology, proteomics, genomics, medicine, regulatory compliance and data science. Our scientific advisory board is composed of Robert Langer, Sc.D., Mostafa Ronaghi, Ph.D., Erwin Böttinger, M.D., Charles Cantor, Ph.D., Bradley Hyman, M.D., Steve Carr, Ph.D., Joshua Coon, Ph.D., Luis Diaz, M.D., Josh Elias, Ph.D., Vivek Farias, Ph.D., Wolfgang Parak, Ph.D. and Ralph Weissleder, M.D.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employees are guided by our mission to imagine and pioneer news ways to decode the secrets of the proteome to improve human health. Our core values Better Together, Customer Centric, Difference Makers, People First and Trailblazers guide us toward achieving our mission. Our core values set the foundation for how we conduct business, interact with each other and our customers and evaluate employee performance.</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2022, we had 164 employees; 160 employees were based in the United States, one employee was based in Canada and three employees were based in the United Kingdom. Many of our employees are highly educated, holding masters and doctorate degrees. Of these employees, 80 were engaged in research and development activities, 21 were engaged in manufacturing and operations and 63 were engaged in selling, general, and administrative activities. We consider our relationship with our employees to be good. None of our employees are represented by a labor union or covered under a collective bargaining agreement.</w:t>
      </w:r>
    </w:p>
    <w:p>
      <w:pPr>
        <w:spacing w:after="0" w:line="1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Diversity, equality and inclusion awareness and training were an important part of our 2022 human capital strategy. As of December 31, 2022, 66% of our employees were women and people of color.</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 and History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should not be considered to be part of this Annual Report.</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Seer and Proteograph as trademarks in the United States and other countries. This Annual Report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Published studies referenced throughout this Annual Report are cited below. These studies are not a part of this prospectus and are not incorporated by reference in this Annual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Backman, J.D. et al. Exome sequencing and analysis of 454,787 UK Biobank participants.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599, 628–634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Bludau, I. et al. Proteomic and interactomic insights into the molecular basis of cell functional diversity. </w:t>
      </w:r>
      <w:r>
        <w:rPr>
          <w:rFonts w:ascii="Times New Roman" w:cs="Times New Roman" w:eastAsia="Times New Roman" w:hAnsi="Times New Roman"/>
          <w:sz w:val="18"/>
          <w:szCs w:val="18"/>
          <w:i w:val="1"/>
          <w:iCs w:val="1"/>
          <w:color w:val="auto"/>
        </w:rPr>
        <w:t>Nat Rev Molec Cell Biol</w:t>
      </w:r>
      <w:r>
        <w:rPr>
          <w:rFonts w:ascii="Times New Roman" w:cs="Times New Roman" w:eastAsia="Times New Roman" w:hAnsi="Times New Roman"/>
          <w:sz w:val="18"/>
          <w:szCs w:val="18"/>
          <w:color w:val="auto"/>
        </w:rPr>
        <w:t xml:space="preserve"> 21, 327–340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Blume, J.E. et al. Rapid, deep and precise profiling of the plasma proteome with multi-nanoparticle protein corona. </w:t>
      </w:r>
      <w:r>
        <w:rPr>
          <w:rFonts w:ascii="Times New Roman" w:cs="Times New Roman" w:eastAsia="Times New Roman" w:hAnsi="Times New Roman"/>
          <w:sz w:val="18"/>
          <w:szCs w:val="18"/>
          <w:i w:val="1"/>
          <w:iCs w:val="1"/>
          <w:color w:val="auto"/>
        </w:rPr>
        <w:t>Nat. Commun.</w:t>
      </w:r>
      <w:r>
        <w:rPr>
          <w:rFonts w:ascii="Times New Roman" w:cs="Times New Roman" w:eastAsia="Times New Roman" w:hAnsi="Times New Roman"/>
          <w:sz w:val="18"/>
          <w:szCs w:val="18"/>
          <w:color w:val="auto"/>
        </w:rPr>
        <w:t xml:space="preserve"> 11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Buccitelli C. and Selbach M. mRNAs, proteins and the emerging principles of gene expression control. </w:t>
      </w:r>
      <w:r>
        <w:rPr>
          <w:rFonts w:ascii="Times New Roman" w:cs="Times New Roman" w:eastAsia="Times New Roman" w:hAnsi="Times New Roman"/>
          <w:sz w:val="18"/>
          <w:szCs w:val="18"/>
          <w:i w:val="1"/>
          <w:iCs w:val="1"/>
          <w:color w:val="auto"/>
        </w:rPr>
        <w:t>Nat Rev Genet.</w:t>
      </w:r>
      <w:r>
        <w:rPr>
          <w:rFonts w:ascii="Times New Roman" w:cs="Times New Roman" w:eastAsia="Times New Roman" w:hAnsi="Times New Roman"/>
          <w:sz w:val="18"/>
          <w:szCs w:val="18"/>
          <w:color w:val="auto"/>
        </w:rPr>
        <w:t xml:space="preserve"> 21(10):630-644 (2020).</w:t>
      </w:r>
    </w:p>
    <w:p>
      <w:pPr>
        <w:spacing w:after="0" w:line="17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Donovan M. et al. Functionally distinct BMP1 isoforms show an opposite pattern of abundance in plasma from non-small cell lung cancer subjects and controls (in press; bioRxiv).</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Ferdosi, S. et al. Engineered nanoparticles enable deep proteomic studies at scale by leveraging tunable nano-bio interactions. </w:t>
      </w:r>
      <w:r>
        <w:rPr>
          <w:rFonts w:ascii="Times New Roman" w:cs="Times New Roman" w:eastAsia="Times New Roman" w:hAnsi="Times New Roman"/>
          <w:sz w:val="18"/>
          <w:szCs w:val="18"/>
          <w:i w:val="1"/>
          <w:iCs w:val="1"/>
          <w:color w:val="auto"/>
        </w:rPr>
        <w:t>PNAS</w:t>
      </w:r>
      <w:r>
        <w:rPr>
          <w:rFonts w:ascii="Times New Roman" w:cs="Times New Roman" w:eastAsia="Times New Roman" w:hAnsi="Times New Roman"/>
          <w:sz w:val="18"/>
          <w:szCs w:val="18"/>
          <w:color w:val="auto"/>
        </w:rPr>
        <w:t>. 119(11) (2022).</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Ferdosi, S. et al. Enhanced competition at the nano-bio interface enables comprehensive characterization of protein corona dynamics and deep coverage of proteomes. </w:t>
      </w:r>
      <w:r>
        <w:rPr>
          <w:rFonts w:ascii="Times New Roman" w:cs="Times New Roman" w:eastAsia="Times New Roman" w:hAnsi="Times New Roman"/>
          <w:sz w:val="18"/>
          <w:szCs w:val="18"/>
          <w:i w:val="1"/>
          <w:iCs w:val="1"/>
          <w:color w:val="auto"/>
        </w:rPr>
        <w:t>Advanced Materials</w:t>
      </w:r>
      <w:r>
        <w:rPr>
          <w:rFonts w:ascii="Times New Roman" w:cs="Times New Roman" w:eastAsia="Times New Roman" w:hAnsi="Times New Roman"/>
          <w:sz w:val="18"/>
          <w:szCs w:val="18"/>
          <w:color w:val="auto"/>
        </w:rPr>
        <w:t>. 34, 2206008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Keshishian, H. et al. Quantitative, multiplexed workflow for deep analysis of human blood plasma and biomarker discovery by mass spectrometry. </w:t>
      </w:r>
      <w:r>
        <w:rPr>
          <w:rFonts w:ascii="Times New Roman" w:cs="Times New Roman" w:eastAsia="Times New Roman" w:hAnsi="Times New Roman"/>
          <w:sz w:val="18"/>
          <w:szCs w:val="18"/>
          <w:i w:val="1"/>
          <w:iCs w:val="1"/>
          <w:color w:val="auto"/>
        </w:rPr>
        <w:t>Nat.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Proc. </w:t>
      </w:r>
      <w:r>
        <w:rPr>
          <w:rFonts w:ascii="Times New Roman" w:cs="Times New Roman" w:eastAsia="Times New Roman" w:hAnsi="Times New Roman"/>
          <w:sz w:val="18"/>
          <w:szCs w:val="18"/>
          <w:color w:val="auto"/>
        </w:rPr>
        <w:t>12 1683-1701 (2017).</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Keshishian, H. et al. Multiplexed, quantitative workflow for sensitive biomarker discovery in plasma yields novel candidates for early myocardial injury.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Molec &amp; Cellular Proteomics </w:t>
      </w:r>
      <w:r>
        <w:rPr>
          <w:rFonts w:ascii="Times New Roman" w:cs="Times New Roman" w:eastAsia="Times New Roman" w:hAnsi="Times New Roman"/>
          <w:sz w:val="18"/>
          <w:szCs w:val="18"/>
          <w:color w:val="auto"/>
        </w:rPr>
        <w:t>14(9) 2375-2393 (2015).</w:t>
      </w:r>
    </w:p>
    <w:p>
      <w:pPr>
        <w:spacing w:after="0" w:line="15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Nakahata and Kawamoto. Tissue-dependent isoforms of mammalian Fox-1 homologs are associated with tissue-specific splicing activities. Nucleic Acid Research 33(7) 2078-2089 (2005).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Pietzner, M. et al. Synergistic insights into human health from aptamer- and antibody-based proteomic profiling. </w:t>
      </w:r>
      <w:r>
        <w:rPr>
          <w:rFonts w:ascii="Times New Roman" w:cs="Times New Roman" w:eastAsia="Times New Roman" w:hAnsi="Times New Roman"/>
          <w:sz w:val="18"/>
          <w:szCs w:val="18"/>
          <w:i w:val="1"/>
          <w:iCs w:val="1"/>
          <w:color w:val="auto"/>
        </w:rPr>
        <w:t>Nat Commun.</w:t>
      </w:r>
      <w:r>
        <w:rPr>
          <w:rFonts w:ascii="Times New Roman" w:cs="Times New Roman" w:eastAsia="Times New Roman" w:hAnsi="Times New Roman"/>
          <w:sz w:val="18"/>
          <w:szCs w:val="18"/>
          <w:color w:val="auto"/>
        </w:rPr>
        <w:t xml:space="preserve"> 12, 6822 (2021).</w:t>
      </w:r>
    </w:p>
    <w:p>
      <w:pPr>
        <w:spacing w:after="0" w:line="173"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 xml:space="preserve">Schwenk, J.M. et al. The Human Plasma Proteome Draft of 2017: Building on the Human Plasma Peptide Atlas from Mass Spectrometry and Complementary Assays. </w:t>
      </w:r>
      <w:r>
        <w:rPr>
          <w:rFonts w:ascii="Times New Roman" w:cs="Times New Roman" w:eastAsia="Times New Roman" w:hAnsi="Times New Roman"/>
          <w:sz w:val="18"/>
          <w:szCs w:val="18"/>
          <w:i w:val="1"/>
          <w:iCs w:val="1"/>
          <w:color w:val="auto"/>
        </w:rPr>
        <w:t>J. Proteome Res.</w:t>
      </w:r>
      <w:r>
        <w:rPr>
          <w:rFonts w:ascii="Times New Roman" w:cs="Times New Roman" w:eastAsia="Times New Roman" w:hAnsi="Times New Roman"/>
          <w:sz w:val="18"/>
          <w:szCs w:val="18"/>
          <w:color w:val="auto"/>
        </w:rPr>
        <w:t xml:space="preserve"> 16, 4299-4310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6" w:name="page37"/>
    <w:bookmarkEnd w:id="36"/>
    <w:p>
      <w:pPr>
        <w:spacing w:after="0" w:line="138" w:lineRule="exact"/>
        <w:rPr>
          <w:sz w:val="20"/>
          <w:szCs w:val="20"/>
          <w:color w:val="auto"/>
        </w:rPr>
      </w:pPr>
    </w:p>
    <w:p>
      <w:pPr>
        <w:ind w:right="2220"/>
        <w:spacing w:after="0" w:line="439" w:lineRule="auto"/>
        <w:rPr>
          <w:sz w:val="20"/>
          <w:szCs w:val="20"/>
          <w:color w:val="auto"/>
        </w:rPr>
      </w:pPr>
      <w:r>
        <w:rPr>
          <w:rFonts w:ascii="Times New Roman" w:cs="Times New Roman" w:eastAsia="Times New Roman" w:hAnsi="Times New Roman"/>
          <w:sz w:val="18"/>
          <w:szCs w:val="18"/>
          <w:color w:val="auto"/>
        </w:rPr>
        <w:t xml:space="preserve">Yang X. et al. Widespread Expansion of Protein Interaction Capabilities by Alternative Splicing. </w:t>
      </w:r>
      <w:r>
        <w:rPr>
          <w:rFonts w:ascii="Times New Roman" w:cs="Times New Roman" w:eastAsia="Times New Roman" w:hAnsi="Times New Roman"/>
          <w:sz w:val="18"/>
          <w:szCs w:val="18"/>
          <w:i w:val="1"/>
          <w:iCs w:val="1"/>
          <w:color w:val="auto"/>
        </w:rPr>
        <w:t>Cell.</w:t>
      </w:r>
      <w:r>
        <w:rPr>
          <w:rFonts w:ascii="Times New Roman" w:cs="Times New Roman" w:eastAsia="Times New Roman" w:hAnsi="Times New Roman"/>
          <w:sz w:val="18"/>
          <w:szCs w:val="18"/>
          <w:color w:val="auto"/>
        </w:rPr>
        <w:t xml:space="preserve"> 164(4):805-17 (2016). </w:t>
      </w:r>
      <w:r>
        <w:rPr>
          <w:rFonts w:ascii="Times New Roman" w:cs="Times New Roman" w:eastAsia="Times New Roman" w:hAnsi="Times New Roman"/>
          <w:sz w:val="18"/>
          <w:szCs w:val="18"/>
          <w:b w:val="1"/>
          <w:bCs w:val="1"/>
          <w:color w:val="auto"/>
        </w:rPr>
        <w:t>Available Information</w:t>
      </w:r>
    </w:p>
    <w:p>
      <w:pPr>
        <w:spacing w:after="0" w:line="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make our Annual Reports on Form 10-K, Quarterly Reports on Form 10-Q, Current Reports on Form 8-K, and amendments to those reports, available free of charge at our website as soon as reasonably practicable after they have been filed with the SEC. Our website address is http://seer.bio. Information on our website is not part of this report. The SEC maintains a website that contains the materials we file with the SEC at www.sec.gov.</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described below, as well as the other information in this Annual Report, including our consolidated financial statements and the related notes and the section titled “Management’s Discussion and Analysis of Financial Condition and Results of Operations” in this Annual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risks and uncertainties that you should consider before investing in our company, as more fully described below.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principal factors and uncertainties that make investing in our company risky include, among others:</w:t>
      </w:r>
    </w:p>
    <w:p>
      <w:pPr>
        <w:spacing w:after="0" w:line="153" w:lineRule="exact"/>
        <w:rPr>
          <w:sz w:val="20"/>
          <w:szCs w:val="20"/>
          <w:color w:val="auto"/>
        </w:rPr>
      </w:pPr>
    </w:p>
    <w:p>
      <w:pPr>
        <w:ind w:left="660" w:right="480" w:hanging="65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7"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our current business and the prospects for our future viability, and to predict our future performance;</w:t>
      </w:r>
    </w:p>
    <w:p>
      <w:pPr>
        <w:spacing w:after="0" w:line="107" w:lineRule="exact"/>
        <w:rPr>
          <w:rFonts w:ascii="Times New Roman" w:cs="Times New Roman" w:eastAsia="Times New Roman" w:hAnsi="Times New Roman"/>
          <w:sz w:val="18"/>
          <w:szCs w:val="18"/>
          <w:color w:val="auto"/>
        </w:rPr>
      </w:pPr>
    </w:p>
    <w:p>
      <w:pPr>
        <w:ind w:left="660" w:right="320" w:hanging="65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7" w:lineRule="exact"/>
        <w:rPr>
          <w:rFonts w:ascii="Times New Roman" w:cs="Times New Roman" w:eastAsia="Times New Roman" w:hAnsi="Times New Roman"/>
          <w:sz w:val="18"/>
          <w:szCs w:val="18"/>
          <w:color w:val="auto"/>
        </w:rPr>
      </w:pPr>
    </w:p>
    <w:p>
      <w:pPr>
        <w:ind w:left="660" w:hanging="65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the Proteograph Product Suite may be smaller than estimated, and new market opportunities may not develop as quickly as we expect, or at all, limiting our ability to successfully sell our products;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early stages of our commercialization plan, and we may not be able to commercialize the Proteograph Product Suite as planned;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success depends on broad scientific and market acceptance of the Proteograph, which we may fail to achieve;</w:t>
      </w:r>
    </w:p>
    <w:p>
      <w:pPr>
        <w:spacing w:after="0" w:line="171"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Proteograph Product Suite is successfully commercialized and achieves broad scientific and market acceptance, if we fail to improve it or introduce compelling new products, our revenues and our prospects could be harmed;</w:t>
      </w:r>
    </w:p>
    <w:p>
      <w:pPr>
        <w:spacing w:after="0" w:line="107" w:lineRule="exact"/>
        <w:rPr>
          <w:rFonts w:ascii="Times New Roman" w:cs="Times New Roman" w:eastAsia="Times New Roman" w:hAnsi="Times New Roman"/>
          <w:sz w:val="18"/>
          <w:szCs w:val="18"/>
          <w:color w:val="auto"/>
        </w:rPr>
      </w:pPr>
    </w:p>
    <w:p>
      <w:pPr>
        <w:ind w:left="660" w:right="620" w:hanging="65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efforts to reduce its spread have adversely impacted our operations, and other public health crises and other epidemics could adversely impact,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40" w:lineRule="exact"/>
        <w:rPr>
          <w:sz w:val="20"/>
          <w:szCs w:val="20"/>
          <w:color w:val="auto"/>
        </w:rPr>
      </w:pPr>
    </w:p>
    <w:p>
      <w:pPr>
        <w:ind w:left="660" w:right="20" w:hanging="652"/>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1" w:lineRule="exact"/>
        <w:rPr>
          <w:rFonts w:ascii="Times New Roman" w:cs="Times New Roman" w:eastAsia="Times New Roman" w:hAnsi="Times New Roman"/>
          <w:sz w:val="18"/>
          <w:szCs w:val="18"/>
          <w:color w:val="auto"/>
        </w:rPr>
      </w:pPr>
    </w:p>
    <w:p>
      <w:pPr>
        <w:ind w:left="660" w:right="200" w:hanging="652"/>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identify and recruit qualified employees, and retain or maintain our employee base, it may adversely impact our business and operations; and</w:t>
      </w:r>
    </w:p>
    <w:p>
      <w:pPr>
        <w:spacing w:after="0" w:line="107" w:lineRule="exact"/>
        <w:rPr>
          <w:rFonts w:ascii="Times New Roman" w:cs="Times New Roman" w:eastAsia="Times New Roman" w:hAnsi="Times New Roman"/>
          <w:sz w:val="18"/>
          <w:szCs w:val="18"/>
          <w:color w:val="auto"/>
        </w:rPr>
      </w:pPr>
    </w:p>
    <w:p>
      <w:pPr>
        <w:ind w:left="660" w:right="240" w:hanging="652"/>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an early-stage life sciences technology company, and we have incurred significant losses since we were formed in 2017, and expect to continue to incur losses in the future. We incurred net losses of $93.0 million and $71.2 million in 2022 and 2021, respectively. As of December 31, 2022, we had an accumulated deficit of $219.5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including sales and marketing, manufacturing and operations costs, and research and development efforts for products. These efforts may prove more costly than we currently anticipate. While we have generated product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spacing w:after="0" w:line="13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are in the early stages of commercialization of the Proteograph Product Suite. Our operations to date have been primarily focused on developing our technology and products.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3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of investors or security analysts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guidance we may provide, and which may cause the price of our Class A common stock to fluctuate or decline substantially.</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08"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the Proteograph Product Suite on our anticipated timeline;</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high-quality customer service:</w:t>
      </w:r>
    </w:p>
    <w:p>
      <w:pPr>
        <w:spacing w:after="0" w:line="171" w:lineRule="exact"/>
        <w:rPr>
          <w:rFonts w:ascii="Times New Roman" w:cs="Times New Roman" w:eastAsia="Times New Roman" w:hAnsi="Times New Roman"/>
          <w:sz w:val="18"/>
          <w:szCs w:val="18"/>
          <w:color w:val="auto"/>
        </w:rPr>
      </w:pPr>
    </w:p>
    <w:p>
      <w:pPr>
        <w:ind w:left="660" w:hanging="652"/>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we are able to commercialize, particularly the Proteograph Product Suite, which may vary significantly from period to period;</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the Proteograph in our target markets and our ability to expand into any future target markets;</w:t>
      </w:r>
    </w:p>
    <w:p>
      <w:pPr>
        <w:spacing w:after="0" w:line="171"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third-party distributorships, the quantity of our products they elect to hold in inventory, and their ability to promote and sell our products;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the Proteograph Product Suite;</w:t>
      </w:r>
    </w:p>
    <w:p>
      <w:pPr>
        <w:spacing w:after="0" w:line="171" w:lineRule="exact"/>
        <w:rPr>
          <w:rFonts w:ascii="Times New Roman" w:cs="Times New Roman" w:eastAsia="Times New Roman" w:hAnsi="Times New Roman"/>
          <w:sz w:val="18"/>
          <w:szCs w:val="18"/>
          <w:color w:val="auto"/>
        </w:rPr>
      </w:pPr>
    </w:p>
    <w:p>
      <w:pPr>
        <w:ind w:left="660" w:right="300" w:hanging="652"/>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the Proteograph Product Suite and associated consumables, or changes in the manufacturing or sales costs related to our products;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and unpredictable nature of the sales cycle;</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time needed to procure SP100 automation instruments from our third-party contract manufacturer;</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sales force, which if less than anticipated, could significantly impair our ability to generate revenue;</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customers to exercise Proteograph purchase options;</w:t>
      </w:r>
    </w:p>
    <w:p>
      <w:pPr>
        <w:spacing w:after="0" w:line="17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and efficient use of our financial and other resources, including 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and budget cycles;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and the ability to collect on the accounts receivable of our customers;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revenue;</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changes in accounting rules and regulations, or modifications to our accounting policies;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future litigation or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9" w:name="page40"/>
    <w:bookmarkEnd w:id="39"/>
    <w:p>
      <w:pPr>
        <w:spacing w:after="0" w:line="140" w:lineRule="exact"/>
        <w:rPr>
          <w:sz w:val="20"/>
          <w:szCs w:val="20"/>
          <w:color w:val="auto"/>
        </w:rPr>
      </w:pPr>
    </w:p>
    <w:p>
      <w:pPr>
        <w:ind w:left="660" w:right="160" w:hanging="652"/>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such as the COVID-19 pandemic or any other pandemic on the economy, investment in life sciences and research industries, our business operations, and resources and operations of our customers, suppliers, and distributors;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interruptions; and</w:t>
      </w:r>
    </w:p>
    <w:p>
      <w:pPr>
        <w:spacing w:after="0" w:line="171" w:lineRule="exact"/>
        <w:rPr>
          <w:rFonts w:ascii="Times New Roman" w:cs="Times New Roman" w:eastAsia="Times New Roman" w:hAnsi="Times New Roman"/>
          <w:sz w:val="18"/>
          <w:szCs w:val="18"/>
          <w:color w:val="auto"/>
        </w:rPr>
      </w:pPr>
    </w:p>
    <w:p>
      <w:pPr>
        <w:ind w:left="660" w:right="540" w:hanging="652"/>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such as inflation, rising interest rates, and other factors, including factors unrelated to our operating performance or the operating performance of our competitors.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spacing w:after="0" w:line="12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the Proteograph Product Suite may be smaller or different from estimated, and new market opportunities may not develop as quickly as we expect, or at all, limiting our ability to successfully sell our products.</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3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the early stages of commercialization, and we may not be able to commercialize the Proteograph Product Suite as planned.</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have only recently initiated the broad commercialization of the Proteograph Product Suite, and we may not be able to successfully execute on this phase as planned due to:</w:t>
      </w:r>
    </w:p>
    <w:p>
      <w:pPr>
        <w:spacing w:after="0" w:line="108" w:lineRule="exact"/>
        <w:rPr>
          <w:sz w:val="20"/>
          <w:szCs w:val="20"/>
          <w:color w:val="auto"/>
        </w:rPr>
      </w:pPr>
    </w:p>
    <w:p>
      <w:pPr>
        <w:ind w:left="660" w:right="80" w:hanging="652"/>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establish the capabilities and value proposition of the Proteograph Product Suite with key opinion leaders and other customers in a timely fashion;</w:t>
      </w:r>
    </w:p>
    <w:p>
      <w:pPr>
        <w:spacing w:after="0" w:line="107" w:lineRule="exact"/>
        <w:rPr>
          <w:rFonts w:ascii="Times New Roman" w:cs="Times New Roman" w:eastAsia="Times New Roman" w:hAnsi="Times New Roman"/>
          <w:sz w:val="18"/>
          <w:szCs w:val="18"/>
          <w:color w:val="auto"/>
        </w:rPr>
      </w:pPr>
    </w:p>
    <w:p>
      <w:pPr>
        <w:jc w:val="both"/>
        <w:ind w:left="660" w:right="160" w:hanging="652"/>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longer-than expected lead times in the sales cycle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w:t>
      </w:r>
    </w:p>
    <w:p>
      <w:pPr>
        <w:spacing w:after="0" w:line="1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industry or market conditions, customer requirements or competitor offerings during broad commercialization;</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continuing the build-out of our sales, customer support and marketing organization as needed for broad commercialization;</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ramping up manufacturing, either internally or through our suppliers, to meet the expected demand for broad commercialization; and</w:t>
      </w:r>
    </w:p>
    <w:p>
      <w:pPr>
        <w:spacing w:after="0" w:line="171" w:lineRule="exact"/>
        <w:rPr>
          <w:rFonts w:ascii="Times New Roman" w:cs="Times New Roman" w:eastAsia="Times New Roman" w:hAnsi="Times New Roman"/>
          <w:sz w:val="18"/>
          <w:szCs w:val="18"/>
          <w:color w:val="auto"/>
        </w:rPr>
      </w:pPr>
    </w:p>
    <w:p>
      <w:pPr>
        <w:ind w:left="660" w:right="540" w:hanging="652"/>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or any other pandemic on the economy and research industries, our business operations, and resources and the operations of our customers, suppliers and supply chain, and distributors.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our broad commercial release phase is unsuccessful, our financial results will be adversely impacted.</w:t>
      </w:r>
    </w:p>
    <w:p>
      <w:pPr>
        <w:spacing w:after="0" w:line="16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execute on our commercialization plan, our success depends on broad scientific and market acceptance of the Proteograph Product Suite, which we may fail to achieve.</w:t>
      </w:r>
    </w:p>
    <w:p>
      <w:pPr>
        <w:spacing w:after="0" w:line="1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40"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color w:val="auto"/>
        </w:rPr>
        <w:t>Other factors in achieving commercial market acceptance, include:</w:t>
      </w:r>
    </w:p>
    <w:p>
      <w:pPr>
        <w:spacing w:after="0" w:line="171" w:lineRule="exact"/>
        <w:rPr>
          <w:sz w:val="20"/>
          <w:szCs w:val="20"/>
          <w:color w:val="auto"/>
        </w:rPr>
      </w:pPr>
    </w:p>
    <w:p>
      <w:pPr>
        <w:ind w:left="733" w:hanging="733"/>
        <w:spacing w:after="0"/>
        <w:tabs>
          <w:tab w:leader="none" w:pos="7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increase awareness of the capabilities of the Proteograph Product Suite;</w:t>
      </w:r>
    </w:p>
    <w:p>
      <w:pPr>
        <w:spacing w:after="0" w:line="171" w:lineRule="exact"/>
        <w:rPr>
          <w:rFonts w:ascii="Times New Roman" w:cs="Times New Roman" w:eastAsia="Times New Roman" w:hAnsi="Times New Roman"/>
          <w:sz w:val="18"/>
          <w:szCs w:val="18"/>
          <w:color w:val="auto"/>
        </w:rPr>
      </w:pPr>
    </w:p>
    <w:p>
      <w:pPr>
        <w:ind w:left="733" w:hanging="733"/>
        <w:spacing w:after="0"/>
        <w:tabs>
          <w:tab w:leader="none" w:pos="7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Proteograph Product Suite to perform intended use applications broadly in the hands of customers;</w:t>
      </w:r>
    </w:p>
    <w:p>
      <w:pPr>
        <w:spacing w:after="0" w:line="171" w:lineRule="exact"/>
        <w:rPr>
          <w:rFonts w:ascii="Times New Roman" w:cs="Times New Roman" w:eastAsia="Times New Roman" w:hAnsi="Times New Roman"/>
          <w:sz w:val="18"/>
          <w:szCs w:val="18"/>
          <w:color w:val="auto"/>
        </w:rPr>
      </w:pPr>
    </w:p>
    <w:p>
      <w:pPr>
        <w:ind w:left="733" w:hanging="733"/>
        <w:spacing w:after="0"/>
        <w:tabs>
          <w:tab w:leader="none" w:pos="7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willingness to adopt new products and workflows;</w:t>
      </w:r>
    </w:p>
    <w:p>
      <w:pPr>
        <w:spacing w:after="0" w:line="171" w:lineRule="exact"/>
        <w:rPr>
          <w:rFonts w:ascii="Times New Roman" w:cs="Times New Roman" w:eastAsia="Times New Roman" w:hAnsi="Times New Roman"/>
          <w:sz w:val="18"/>
          <w:szCs w:val="18"/>
          <w:color w:val="auto"/>
        </w:rPr>
      </w:pPr>
    </w:p>
    <w:p>
      <w:pPr>
        <w:ind w:left="733" w:hanging="733"/>
        <w:spacing w:after="0"/>
        <w:tabs>
          <w:tab w:leader="none" w:pos="7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Proteograph’s ease of use and whether it reliably provides advantages over other alternative technologies;</w:t>
      </w:r>
    </w:p>
    <w:p>
      <w:pPr>
        <w:spacing w:after="0" w:line="171" w:lineRule="exact"/>
        <w:rPr>
          <w:rFonts w:ascii="Times New Roman" w:cs="Times New Roman" w:eastAsia="Times New Roman" w:hAnsi="Times New Roman"/>
          <w:sz w:val="18"/>
          <w:szCs w:val="18"/>
          <w:color w:val="auto"/>
        </w:rPr>
      </w:pPr>
    </w:p>
    <w:p>
      <w:pPr>
        <w:ind w:left="733" w:hanging="733"/>
        <w:spacing w:after="0"/>
        <w:tabs>
          <w:tab w:leader="none" w:pos="7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the Proteograph Product Suite by academic institutions, laboratories, biopharmaceutical companies and others;</w:t>
      </w:r>
    </w:p>
    <w:p>
      <w:pPr>
        <w:spacing w:after="0" w:line="171" w:lineRule="exact"/>
        <w:rPr>
          <w:rFonts w:ascii="Times New Roman" w:cs="Times New Roman" w:eastAsia="Times New Roman" w:hAnsi="Times New Roman"/>
          <w:sz w:val="18"/>
          <w:szCs w:val="18"/>
          <w:color w:val="auto"/>
        </w:rPr>
      </w:pPr>
    </w:p>
    <w:p>
      <w:pPr>
        <w:ind w:left="733" w:hanging="733"/>
        <w:spacing w:after="0"/>
        <w:tabs>
          <w:tab w:leader="none" w:pos="7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we charge for the Proteograph Product Suite;</w:t>
      </w:r>
    </w:p>
    <w:p>
      <w:pPr>
        <w:spacing w:after="0" w:line="171" w:lineRule="exact"/>
        <w:rPr>
          <w:rFonts w:ascii="Times New Roman" w:cs="Times New Roman" w:eastAsia="Times New Roman" w:hAnsi="Times New Roman"/>
          <w:sz w:val="18"/>
          <w:szCs w:val="18"/>
          <w:color w:val="auto"/>
        </w:rPr>
      </w:pPr>
    </w:p>
    <w:p>
      <w:pPr>
        <w:ind w:left="733" w:hanging="733"/>
        <w:spacing w:after="0"/>
        <w:tabs>
          <w:tab w:leader="none" w:pos="7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workflows and solutions for customers;</w:t>
      </w:r>
    </w:p>
    <w:p>
      <w:pPr>
        <w:spacing w:after="0" w:line="171" w:lineRule="exact"/>
        <w:rPr>
          <w:rFonts w:ascii="Times New Roman" w:cs="Times New Roman" w:eastAsia="Times New Roman" w:hAnsi="Times New Roman"/>
          <w:sz w:val="18"/>
          <w:szCs w:val="18"/>
          <w:color w:val="auto"/>
        </w:rPr>
      </w:pPr>
    </w:p>
    <w:p>
      <w:pPr>
        <w:ind w:left="733" w:hanging="733"/>
        <w:spacing w:after="0"/>
        <w:tabs>
          <w:tab w:leader="none" w:pos="7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competitors develop and commercialize products that perform similar functions as the Proteograph; and</w:t>
      </w:r>
    </w:p>
    <w:p>
      <w:pPr>
        <w:spacing w:after="0" w:line="171" w:lineRule="exact"/>
        <w:rPr>
          <w:rFonts w:ascii="Times New Roman" w:cs="Times New Roman" w:eastAsia="Times New Roman" w:hAnsi="Times New Roman"/>
          <w:sz w:val="18"/>
          <w:szCs w:val="18"/>
          <w:color w:val="auto"/>
        </w:rPr>
      </w:pPr>
    </w:p>
    <w:p>
      <w:pPr>
        <w:ind w:left="733" w:hanging="733"/>
        <w:spacing w:after="0"/>
        <w:tabs>
          <w:tab w:leader="none" w:pos="7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171" w:lineRule="exact"/>
        <w:rPr>
          <w:sz w:val="20"/>
          <w:szCs w:val="20"/>
          <w:color w:val="auto"/>
        </w:rPr>
      </w:pPr>
    </w:p>
    <w:p>
      <w:pPr>
        <w:ind w:left="73" w:right="20"/>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spacing w:after="0" w:line="118"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i w:val="1"/>
          <w:iCs w:val="1"/>
          <w:color w:val="auto"/>
        </w:rPr>
        <w:t>If our sales force is less successful than anticipated, we may not be successful in commercializing the Proteograph Product Suite.</w:t>
      </w:r>
    </w:p>
    <w:p>
      <w:pPr>
        <w:spacing w:after="0" w:line="175" w:lineRule="exact"/>
        <w:rPr>
          <w:sz w:val="20"/>
          <w:szCs w:val="20"/>
          <w:color w:val="auto"/>
        </w:rPr>
      </w:pPr>
    </w:p>
    <w:p>
      <w:pPr>
        <w:ind w:left="73" w:right="200"/>
        <w:spacing w:after="0" w:line="258" w:lineRule="auto"/>
        <w:rPr>
          <w:sz w:val="20"/>
          <w:szCs w:val="20"/>
          <w:color w:val="auto"/>
        </w:rPr>
      </w:pPr>
      <w:r>
        <w:rPr>
          <w:rFonts w:ascii="Times New Roman" w:cs="Times New Roman" w:eastAsia="Times New Roman" w:hAnsi="Times New Roman"/>
          <w:sz w:val="18"/>
          <w:szCs w:val="18"/>
          <w:color w:val="auto"/>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commercialization of the Proteograph Product Suite. To perform sales, marketing, distribution, and customer service and support successfully, we will face a number of risks, including:</w:t>
      </w:r>
    </w:p>
    <w:p>
      <w:pPr>
        <w:spacing w:after="0" w:line="129" w:lineRule="exact"/>
        <w:rPr>
          <w:sz w:val="20"/>
          <w:szCs w:val="20"/>
          <w:color w:val="auto"/>
        </w:rPr>
      </w:pPr>
    </w:p>
    <w:p>
      <w:pPr>
        <w:ind w:left="733" w:right="180" w:hanging="652"/>
        <w:spacing w:after="0" w:line="282" w:lineRule="auto"/>
        <w:tabs>
          <w:tab w:leader="none" w:pos="7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and customer service and support force necessary to commercialize and gain market acceptance for our technology;</w:t>
      </w:r>
    </w:p>
    <w:p>
      <w:pPr>
        <w:spacing w:after="0" w:line="107" w:lineRule="exact"/>
        <w:rPr>
          <w:rFonts w:ascii="Times New Roman" w:cs="Times New Roman" w:eastAsia="Times New Roman" w:hAnsi="Times New Roman"/>
          <w:sz w:val="18"/>
          <w:szCs w:val="18"/>
          <w:color w:val="auto"/>
        </w:rPr>
      </w:pPr>
    </w:p>
    <w:p>
      <w:pPr>
        <w:ind w:left="733" w:hanging="652"/>
        <w:spacing w:after="0"/>
        <w:tabs>
          <w:tab w:leader="none" w:pos="7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 and</w:t>
      </w:r>
    </w:p>
    <w:p>
      <w:pPr>
        <w:spacing w:after="0" w:line="171" w:lineRule="exact"/>
        <w:rPr>
          <w:rFonts w:ascii="Times New Roman" w:cs="Times New Roman" w:eastAsia="Times New Roman" w:hAnsi="Times New Roman"/>
          <w:sz w:val="18"/>
          <w:szCs w:val="18"/>
          <w:color w:val="auto"/>
        </w:rPr>
      </w:pPr>
    </w:p>
    <w:p>
      <w:pPr>
        <w:ind w:left="733" w:hanging="652"/>
        <w:spacing w:after="0"/>
        <w:tabs>
          <w:tab w:leader="none" w:pos="7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customer service and support force may be unable to initiate and execute successful commercialization activities.</w:t>
      </w:r>
    </w:p>
    <w:p>
      <w:pPr>
        <w:spacing w:after="0" w:line="171" w:lineRule="exact"/>
        <w:rPr>
          <w:sz w:val="20"/>
          <w:szCs w:val="20"/>
          <w:color w:val="auto"/>
        </w:rPr>
      </w:pPr>
    </w:p>
    <w:p>
      <w:pPr>
        <w:ind w:left="73"/>
        <w:spacing w:after="0" w:line="256" w:lineRule="auto"/>
        <w:rPr>
          <w:sz w:val="20"/>
          <w:szCs w:val="20"/>
          <w:color w:val="auto"/>
        </w:rPr>
      </w:pPr>
      <w:r>
        <w:rPr>
          <w:rFonts w:ascii="Times New Roman" w:cs="Times New Roman" w:eastAsia="Times New Roman" w:hAnsi="Times New Roman"/>
          <w:sz w:val="18"/>
          <w:szCs w:val="18"/>
          <w:color w:val="auto"/>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1440" w:right="339" w:bottom="1440" w:gutter="0" w:footer="0" w:header="0"/>
        </w:sectPr>
      </w:pPr>
    </w:p>
    <w:bookmarkStart w:id="42" w:name="page43"/>
    <w:bookmarkEnd w:id="42"/>
    <w:p>
      <w:pPr>
        <w:spacing w:after="0" w:line="13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Proteograph Product Suite is successfully commercialized and achieves broad scientific and market acceptance, if we fail to improve it or introduce compelling new products, our revenues and our prospects could be harmed.</w:t>
      </w:r>
    </w:p>
    <w:p>
      <w:pPr>
        <w:spacing w:after="0" w:line="1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spacing w:after="0" w:line="1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the Proteograph Product Suite to meet customer requirements, compete with alternative products, or otherwise gain and maintain market acceptance, our business, results of operations and financial condition could be harmed.</w:t>
      </w:r>
    </w:p>
    <w:p>
      <w:pPr>
        <w:spacing w:after="0" w:line="13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efforts to reduce its spread have adversely impacted our operations, and other public health crises and other epidemics could adversely impact, our business and operations.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COVID-19 pandemic has had an adverse impact on our operations, particularly as a result of preventive and precautionary measures that we, other businesses, and governments are taking. Governmental mandates related to COVID-19 or other infectious diseases, or public health crises, have impacted, and could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SP100 automation instrument and NPs. To the extent that any governmental authority imposes additional regulatory requirements or changes existing laws, regulations, and policies that apply to our business and operations, such as additional workplace safety measures, our product development plans and our commercial plans may be delayed, and we may incur further costs in bringing our business and operations into compliance with changing or new laws, regulations, and policies related to COVID-19 pandemic, other public health crises and other epidemics.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near term, we expect that substantially all of our revenue will be derived from sales of the Proteograph Product Suite, including our instruments and associated consumables, to academic, research and commercial customers. We have initiated commercial release and, as a result, in the near term, our ability to drive the adoption of the Proteograph solution will depend on our ability to visit customer sites, the ability of our customers to access laboratories, and the ability to install and train on the Proteograph Product Suite and conduct research in light of the COVID-19 pandemic. For example, due to the pandemic, we have encountered delays permitting the travel of our U.S.-based employees to China, and additional restrictions could adversely affect our business. We also may encounter delays in other countries. Additionally, since we have moved into broad commercial release,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has become increasingly important to the adoption of the Proteograph. All of these considerations are impacted by factors beyond our control, such as:</w:t>
      </w:r>
    </w:p>
    <w:p>
      <w:pPr>
        <w:spacing w:after="0" w:line="134" w:lineRule="exact"/>
        <w:rPr>
          <w:sz w:val="20"/>
          <w:szCs w:val="20"/>
          <w:color w:val="auto"/>
        </w:rPr>
      </w:pPr>
    </w:p>
    <w:p>
      <w:pPr>
        <w:ind w:left="660" w:right="120" w:hanging="652"/>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capacity or shutdowns of laboratories and other institutions as well as other impacts stemming from the COVID-19 pandemic, such as reduced or delayed spending on instruments or consumables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40"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result of such shutdowns and delays before re-opened laboratories and institutions resume previous levels of research activities that require new purchases of our instruments or consumables;</w:t>
      </w:r>
    </w:p>
    <w:p>
      <w:pPr>
        <w:spacing w:after="0" w:line="108"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and</w:t>
      </w:r>
    </w:p>
    <w:p>
      <w:pPr>
        <w:spacing w:after="0" w:line="171" w:lineRule="exact"/>
        <w:rPr>
          <w:rFonts w:ascii="Times New Roman" w:cs="Times New Roman" w:eastAsia="Times New Roman" w:hAnsi="Times New Roman"/>
          <w:sz w:val="18"/>
          <w:szCs w:val="18"/>
          <w:color w:val="auto"/>
        </w:rPr>
      </w:pPr>
    </w:p>
    <w:p>
      <w:pPr>
        <w:ind w:left="660" w:right="60" w:hanging="652"/>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Additionally, our suppliers have also been impacted by the COVID-19 pandemic and may be impacted by other public health crises and other epidemics. For example, our SP100 automation instrument manufacturer, Hamilton Company, has experienced a surge in demand for equipment and associated consumables used for COVID-19 diagnostics. A surge in demand for equipment, associated consumables, component parts, or raw materials could significantly harm our business if we cannot obtain equipment, associated consumables, component parts or raw materials in a timely manner, at an increased cost or at all.</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ultimate impact of the COVID-19 pandemic and any new epidemic is highly uncertain and subject to sudden change. This impact could have a material, adverse impact on our liquidity, capital resources, operations and business and those of the third parties on which we rely, and could worsen over time. Recently, President Biden announced that the administration intends to end the COVID-19 national and public health emergencies on May 11, 2023. The full impact of the termination of the public health emergencies on FDA and other regulatory policies and operations are unclear. Any of these occurrences, and any new epidemics, could significantly harm our business, results of operations and financial condition.</w:t>
      </w:r>
    </w:p>
    <w:p>
      <w:pPr>
        <w:spacing w:after="0" w:line="1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could adversely affect our ability to raise capital and our business, results of operations and financial condition.</w:t>
      </w:r>
    </w:p>
    <w:p>
      <w:pPr>
        <w:spacing w:after="0" w:line="10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There has recently been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or rising interest rates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sustain or successfully manage our growth or financial resources, our business and prospects will be harmed.</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14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innovative products. If we do not successfully manage our growth or financial resources, our business, results of operations, financial condition and prospects will be harmed.</w:t>
      </w:r>
    </w:p>
    <w:p>
      <w:pPr>
        <w:spacing w:after="0" w:line="10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future success depends upon our ability to recruit, train, retain and motivate key personnel. Our senior management team, including Omid Farokhzad, one of our founders and our Chief Executive Officer and President, and David Horn, our Chief Financial Officer, are critical to our vision, strategic direction, product development and commercialization efforts.</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Omead Ostadan, our former President and one of our key personnel, took a leave of absence on November 20, 2021, for personal reasons lasting approximately three months. Mr. Ostadan returned on a part-time basis as the Company’s President on February 28, 2022. On August 25, 2022, Mr. Ostadan resigned from his position as President of the company and the company’s Board of Directors for personal reasons each effective September 30, 2022. Following Mr. Ostadan’s departure, Mr. Farokhzad is now the CEO and President.</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departure of one or more of our executive officers, senior management team members, or other key employees could be disruptive to our business until we are able to hire qualified successors. We do not maintain “key man” life insurance on our senior management team.</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be dependent upon revenue generated from the sale of the Proteograph Product Suite for the foreseeable future.</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expect that we will generate substantially all of our revenue from the sale of the Proteograph Product Suite and associated consumables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4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If sales of our instruments fail to materialize, or our assumptions about study sizes or customer purchases of our consumables, so will the related consumable sales and associated revenue.</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our development and commercialization plans for the Proteograph Product Suite, we may forego other opportunities that may provide greater revenue or be more profitable. If our research and product development efforts do not result in commercially viable products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have been concentrated in a small number of customers.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We are in the early stages of our commercialization plan and our revenues have been concentrated in a relatively small number of customers, including a related party, PrognomiQ, Inc. For the years ended December 31, 2022 and 2021, PrognomiQ, Inc. accounted for 32% and 35% of our revenue, respectively. If one or more customers, including PrognomiQ, Inc.,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 w:cs="Times New Roman" w:eastAsia="Times New Roman" w:hAnsi="Times New Roman"/>
          <w:sz w:val="18"/>
          <w:szCs w:val="18"/>
          <w:i w:val="1"/>
          <w:iCs w:val="1"/>
          <w:color w:val="auto"/>
        </w:rPr>
        <w:t>- Revenue and Deferred Revenue</w:t>
      </w:r>
      <w:r>
        <w:rPr>
          <w:rFonts w:ascii="Times New Roman" w:cs="Times New Roman" w:eastAsia="Times New Roman" w:hAnsi="Times New Roman"/>
          <w:sz w:val="18"/>
          <w:szCs w:val="18"/>
          <w:color w:val="auto"/>
        </w:rPr>
        <w:t xml:space="preserve"> and Note 11 -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to our notes to financial statements included in Part I, Item 1, herein for further information regarding our relationship with PrognomiQ, Inc.</w:t>
      </w:r>
    </w:p>
    <w:p>
      <w:pPr>
        <w:spacing w:after="0" w:line="12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depends upon the research and development budgets of these customers, which are impacted by factors beyond our control, such as:</w:t>
      </w:r>
    </w:p>
    <w:p>
      <w:pPr>
        <w:spacing w:after="0" w:line="126"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w:t>
      </w:r>
    </w:p>
    <w:p>
      <w:pPr>
        <w:spacing w:after="0" w:line="17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07" w:lineRule="exact"/>
        <w:rPr>
          <w:rFonts w:ascii="Times New Roman" w:cs="Times New Roman" w:eastAsia="Times New Roman" w:hAnsi="Times New Roman"/>
          <w:sz w:val="18"/>
          <w:szCs w:val="18"/>
          <w:color w:val="auto"/>
        </w:rPr>
      </w:pPr>
    </w:p>
    <w:p>
      <w:pPr>
        <w:ind w:left="660" w:right="540" w:hanging="652"/>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and funding by commercial companies in their efforts around therapeutic and diagnostic product development and their adoption and use of the Proteograph Product Suite;</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in the scientific community, including researchers’ opinions of the utility of the Proteograph solution;</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 of the Proteograph Product Suite in published research;</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regulatory environment;</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budgetary cycles, especially government- or grant-funded customers, whose cycles often coincide with government fiscal year ends;</w:t>
      </w:r>
    </w:p>
    <w:p>
      <w:pPr>
        <w:spacing w:after="0" w:line="182"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offerings or pricing;</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the Proteograph Product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32"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our business and commercialization efforts would be harmed.</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 Our suppliers have also been impacted by the COVID-19 pandemic, and we have also experienced supply delays for critical hardware, instrumentation, medical and testing supplies that we use for product development, and certain components of our consumable kits, as these other components and supplies are otherwise diverted to COVID-19-related testing and other uses. If any of these events occur, our business, results of operations, financial condition and prospects could be harmed.</w:t>
      </w:r>
    </w:p>
    <w:p>
      <w:pPr>
        <w:spacing w:after="0" w:line="13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Proteograph Product Suite is an integrated solution with many different components that work together. As such, a quality defect in a single component can compromise the performance of the entire solution.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of certain hazardous substances or chemicals, including in commercial products, or the collection, reuse, and recycling of waste from products we manufacture, our business will be adversely impacted.</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 to maintain ISO quality management certifications, customers might choose not to purchase products from us.</w:t>
      </w:r>
    </w:p>
    <w:p>
      <w:pPr>
        <w:spacing w:after="0" w:line="1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0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defects or errors, which may give rise to claims against us, adversely affect market adoption of the Proteograph Product Suite, damage our reputation, and adversely affect our business, financial condition, and results of operations.</w:t>
      </w:r>
    </w:p>
    <w:p>
      <w:pPr>
        <w:spacing w:after="0" w:line="10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Proteograph Product Suite utilizes novel and complex technology, including hardware, consumables and software, and may develop or contain defects or errors. We cannot assure you that material performance problems, defects, or errors will not arise, and as we commercialize the Proteograph, these risks may increase. We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warranties that our products will meet performance expectations and will be free from material defects. The costs incurred in correcting any defects or errors may be substantial and could adversely affect our operating margins.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Proteograph Product Suite contains defects, we may experience:</w:t>
      </w:r>
    </w:p>
    <w:p>
      <w:pPr>
        <w:spacing w:after="0" w:line="171"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for the Proteograph or expansion of the Proteograph Product Suite sales;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and customer service and support costs due to product repair or replacement;</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to our service department; and</w:t>
      </w:r>
    </w:p>
    <w:p>
      <w:pPr>
        <w:spacing w:after="0" w:line="171" w:lineRule="exact"/>
        <w:rPr>
          <w:rFonts w:ascii="Times New Roman" w:cs="Times New Roman" w:eastAsia="Times New Roman" w:hAnsi="Times New Roman"/>
          <w:sz w:val="18"/>
          <w:szCs w:val="18"/>
          <w:color w:val="auto"/>
        </w:rPr>
      </w:pPr>
    </w:p>
    <w:p>
      <w:pPr>
        <w:ind w:left="660" w:right="520" w:hanging="652"/>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hazardous material or environmental compliance claims, which could be costly and time consuming to defend and result in substantial damages.</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spacing w:after="0" w:line="200" w:lineRule="exact"/>
        <w:rPr>
          <w:sz w:val="20"/>
          <w:szCs w:val="20"/>
          <w:color w:val="auto"/>
        </w:rPr>
      </w:pPr>
    </w:p>
    <w:p>
      <w:pPr>
        <w:spacing w:after="0" w:line="33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potential risks related to the use, handling, storage and transportation of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and transporting biological samples, hazardous materials and substances or chemicals such as reagents, or if we are unable to repeatably produce our products, in compliance with applicable healthy and safety, and environmental laws, rules and regulations, our operations, including our sales, could be negatively affected. In addition, if we encounter issues in packaging and labelling our consumables, complying with regulations relating to laboratory safety, safety data sheets, handling human samples such as inactive COVID-19 samples, using certain hazardous substances or chemicals such as reagents in commercial products, collecting, reusing and recycling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from products we manufacture, or complying with environmental health and safety regulations, our business could be adversely impacted.</w:t>
      </w:r>
    </w:p>
    <w:p>
      <w:pPr>
        <w:spacing w:after="0" w:line="167" w:lineRule="exact"/>
        <w:rPr>
          <w:sz w:val="20"/>
          <w:szCs w:val="20"/>
          <w:color w:val="auto"/>
        </w:rPr>
      </w:pPr>
    </w:p>
    <w:p>
      <w:pPr>
        <w:ind w:right="1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deploy and implement enhancements of the Instrument Control Software and Proteograph Analysis Suite, our commercialization efforts and, therefore, business and results of operations could suffer.</w:t>
      </w:r>
    </w:p>
    <w:p>
      <w:pPr>
        <w:spacing w:after="0" w:line="10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and will continue to spend significant amounts of effort continuing to develop our software to meet our customers’ and potential customers’ evolving needs.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spacing w:after="0" w:line="13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Engaging in international business inherently involves a number of difficulties and risks, including:</w:t>
      </w:r>
    </w:p>
    <w:p>
      <w:pPr>
        <w:spacing w:after="0" w:line="171" w:lineRule="exact"/>
        <w:rPr>
          <w:sz w:val="20"/>
          <w:szCs w:val="20"/>
          <w:color w:val="auto"/>
        </w:rPr>
      </w:pPr>
    </w:p>
    <w:p>
      <w:pPr>
        <w:ind w:left="660" w:right="280" w:hanging="652"/>
        <w:spacing w:after="0" w:line="281" w:lineRule="auto"/>
        <w:tabs>
          <w:tab w:leader="none" w:pos="65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spacing w:after="0" w:line="110" w:lineRule="exact"/>
        <w:rPr>
          <w:rFonts w:ascii="Times New Roman" w:cs="Times New Roman" w:eastAsia="Times New Roman" w:hAnsi="Times New Roman"/>
          <w:sz w:val="17"/>
          <w:szCs w:val="17"/>
          <w:color w:val="auto"/>
        </w:rPr>
      </w:pPr>
    </w:p>
    <w:p>
      <w:pPr>
        <w:ind w:left="660" w:right="60" w:hanging="652"/>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including with respect to not doing business with sanctioned parties, as prohibited by the office of Foreign Asset Control;</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requirements and import or trade restrictions, including, without limitation, trade retaliation laws;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71" w:lineRule="exact"/>
        <w:rPr>
          <w:rFonts w:ascii="Times New Roman" w:cs="Times New Roman" w:eastAsia="Times New Roman" w:hAnsi="Times New Roman"/>
          <w:sz w:val="18"/>
          <w:szCs w:val="18"/>
          <w:color w:val="auto"/>
        </w:rPr>
      </w:pPr>
    </w:p>
    <w:p>
      <w:pPr>
        <w:ind w:left="660" w:right="240" w:hanging="652"/>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transactions or payments denominated in foreign currency, longer payment cycles and difficulties in enforcing agreements and collecting receivables through certain foreign legal systems;</w:t>
      </w:r>
    </w:p>
    <w:p>
      <w:pPr>
        <w:spacing w:after="0" w:line="107" w:lineRule="exact"/>
        <w:rPr>
          <w:rFonts w:ascii="Times New Roman" w:cs="Times New Roman" w:eastAsia="Times New Roman" w:hAnsi="Times New Roman"/>
          <w:sz w:val="18"/>
          <w:szCs w:val="18"/>
          <w:color w:val="auto"/>
        </w:rPr>
      </w:pPr>
    </w:p>
    <w:p>
      <w:pPr>
        <w:ind w:left="660" w:right="80" w:hanging="652"/>
        <w:spacing w:after="0" w:line="289" w:lineRule="auto"/>
        <w:tabs>
          <w:tab w:leader="none" w:pos="65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 including as a result of the separation of the United Kingdom from the European Union (Brexit);</w:t>
      </w:r>
    </w:p>
    <w:p>
      <w:pPr>
        <w:spacing w:after="0" w:line="103"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40"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0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 and business may be negatively affected.</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current commercial model includes direct sales in the United States and elsewhere, and we have built and are building relationships with third party distributors in various countries, including China, to enable us to enter additional markets more efficiently. If we are unable to enter or maintain such distribution arrangements on acceptable terms, or at all, we may not be able to successfully commercialize our products in certain countries.</w:t>
      </w:r>
    </w:p>
    <w:p>
      <w:pPr>
        <w:spacing w:after="0" w:line="12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although we intend to require contract terms obligating our distributors to comply with all applicable laws regarding the sale of our products, including regulatory labelling, protection of personal data, U.S. export regulations and the U.S. Foreign Corrupt Practices Act (FCPA), we may not be able to ensure proper compliance. If our distributors fail to effectively market and sell our products in full compliance with applicable laws and regulations, our results of operations and business may suffer.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 will suffer.</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Bruker Corporation, Danaher, DiaSorin, and Thermo Fisher Scientific. We also compete with a number of companies that have developed, or are developing, proteomic products and solutions, such as Nautilus Biotechnology, Olink Proteomics, Quanterix, Quantum-Si and SomaLogic.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may enjoy a number of competitive advantages over us, including:</w:t>
      </w:r>
    </w:p>
    <w:p>
      <w:pPr>
        <w:spacing w:after="0" w:line="108"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spacing w:after="0" w:line="10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Based on our current plans, we believe that our current cash, cash equivalents and investments will be sufficient to meet our anticipated cash flow requirements for at least twelve months from the date of this Annual Report. If our available cash resources and anticipated cash flow from operations are insufficient to satisfy our liquidity requirements including because of lower demand for our products or the realization of other risks described in this Annual Report, we may be required to raise additional capital prior to such time through issuances of equity or convertible debt securities, entrance into a credit facility or another form of third-party funding or seek other debt financing.</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consider raising additional capital in the future to expand our business, to pursue strategic investments, to take advantage of financing opportunities or for other reasons, including:</w:t>
      </w:r>
    </w:p>
    <w:p>
      <w:pPr>
        <w:spacing w:after="0" w:line="108"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the Proteograph Product Suite;</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the Proteograph Product Suite or any other future products;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investing in technologies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businesses or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ind w:right="5080" w:firstLine="8"/>
        <w:spacing w:after="0" w:line="438"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 Our present and future funding requirements will depend on many factors, including:</w:t>
      </w:r>
    </w:p>
    <w:p>
      <w:pPr>
        <w:ind w:left="660" w:right="620" w:hanging="652"/>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commercializing the Proteograph Product Suite and new products, and the cost of the sales and marketing activities associated with establishing adoption of our products;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in research and development;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1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or technologies that we believe could complement or expand the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To date, the growth of our operations has been organic, and we have limited experience in acquiring or investing in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PrognomiQ as a separate healthcare company in the area of disease testing.</w:t>
      </w:r>
    </w:p>
    <w:p>
      <w:pPr>
        <w:spacing w:after="0" w:line="175"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In August 2020, we transferred certain assets to PrognomiQ, as a separate healthcare company to help enable the growth of ecosystems around new applications that leverage the Proteograph solution for unbiased, deep and large-scale proteomic information. As of December 31, 2022, we held approximately 15% of the outstanding capital stock of PrognomiQ. We may not realize the potential benefits of forming PrognomiQ for a variety of reasons, including:</w:t>
      </w:r>
    </w:p>
    <w:p>
      <w:pPr>
        <w:spacing w:after="0" w:line="12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be unable to successfully develop viable testing products;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PrognomiQ’s business may not help demonstrate the value of the Proteograph;</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reach agreement with PrognomiQ on future commercial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40" w:lineRule="exact"/>
        <w:rPr>
          <w:sz w:val="20"/>
          <w:szCs w:val="20"/>
          <w:color w:val="auto"/>
        </w:rPr>
      </w:pPr>
    </w:p>
    <w:p>
      <w:pPr>
        <w:ind w:left="660" w:right="640" w:hanging="652"/>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PrognomiQ accounted for 32% of our revenue during the year ended December 31, 2022, it may not continue to be a meaningful customer of ours;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need to raise additional funding in the future and be unable to do so; and</w:t>
      </w:r>
    </w:p>
    <w:p>
      <w:pPr>
        <w:spacing w:after="0" w:line="171" w:lineRule="exact"/>
        <w:rPr>
          <w:rFonts w:ascii="Times New Roman" w:cs="Times New Roman" w:eastAsia="Times New Roman" w:hAnsi="Times New Roman"/>
          <w:sz w:val="18"/>
          <w:szCs w:val="18"/>
          <w:color w:val="auto"/>
        </w:rPr>
      </w:pPr>
    </w:p>
    <w:p>
      <w:pPr>
        <w:ind w:left="660" w:right="480" w:hanging="652"/>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PrognomiQ and our continuing equity position in PrognomiQ may add complexities to our business from a finance, tax and accounting perspective.</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Reporting</w:t>
      </w:r>
    </w:p>
    <w:p>
      <w:pPr>
        <w:spacing w:after="0" w:line="17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2022, we are a non-accelerated filer and are no longer be required to comply with the auditor attestation requirements regarding the effectiveness of our internal control over financial reporting under Section 404(b) of the Sarbanes-Oxley Act until we become an accelerated filer or large accelerated filer.</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material weaknesses in our internal control over financial reporting, and 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2020, we and our independent registered public accounting firm identified the following material weaknesses in our internal control over financial reporting:</w:t>
      </w:r>
    </w:p>
    <w:p>
      <w:pPr>
        <w:spacing w:after="0" w:line="108" w:lineRule="exact"/>
        <w:rPr>
          <w:sz w:val="20"/>
          <w:szCs w:val="20"/>
          <w:color w:val="auto"/>
        </w:rPr>
      </w:pPr>
    </w:p>
    <w:p>
      <w:pPr>
        <w:ind w:left="660" w:right="500" w:hanging="652"/>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insufficient accounting personnel to enable segregation of duties relating to the general ledger, disbursement, and certain accounting functions;</w:t>
      </w:r>
    </w:p>
    <w:p>
      <w:pPr>
        <w:spacing w:after="0" w:line="107" w:lineRule="exact"/>
        <w:rPr>
          <w:rFonts w:ascii="Times New Roman" w:cs="Times New Roman" w:eastAsia="Times New Roman" w:hAnsi="Times New Roman"/>
          <w:sz w:val="18"/>
          <w:szCs w:val="18"/>
          <w:color w:val="auto"/>
        </w:rPr>
      </w:pPr>
    </w:p>
    <w:p>
      <w:pPr>
        <w:jc w:val="both"/>
        <w:ind w:left="660" w:right="680" w:hanging="652"/>
        <w:spacing w:after="0" w:line="312" w:lineRule="auto"/>
        <w:tabs>
          <w:tab w:leader="none" w:pos="6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ind w:left="660" w:right="100" w:hanging="652"/>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completed remediation measures related to the material weaknesses and concluded that our internal control over financial reporting was effective as of December 31, 2021.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or if we receive SEC comment letters not resolved to the SEC’s satisfaction,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independent assessment of the effectiveness of our internal controls could detect problems that our management’s assessment might not identify.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Undetected material weaknesses in our internal controls could lead to financial statement restatements and require us to incur the expense of remediation.</w:t>
      </w:r>
    </w:p>
    <w:p>
      <w:pPr>
        <w:spacing w:after="0" w:line="14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our consolidated financial statements and accompanying notes. We base our estimates on historical experience and estimates and on various other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For example, in connection with the implementation of the new revenue accounting standard for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w:t>
      </w:r>
    </w:p>
    <w:p>
      <w:pPr>
        <w:spacing w:after="0" w:line="171"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products are currently labeled and promoted, and are, and in the near-future will be, sold as research use only (RUO) products, primarily to academic and research institutions and research companies, and are not currently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oversight and review, including the general controls listed above and the FDA’s QSRs for our development and manufacturing operations. In</w:t>
      </w:r>
    </w:p>
    <w:p>
      <w:pPr>
        <w:spacing w:after="0" w:line="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on May 26, 2021 (postponed from 2020) and May 26, 2022 respectively. Recently, the European Parliament voted to extend the transition timelines for MDR and IVDR.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3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August 2020, the Department of Health and Human Services, or HHS, announced rescission of guidances and other informal issuances of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EUA request, respectively, but are not required to do so. In November 2021, HHS under the Biden administration issued a statement that withdrew the August 2020 policy announcement, stating that HHS does not have a policy on LDTs that is separate from FDA's longstanding approach. Legislative and administrative proposals to amend the FDA's oversight of LDTs have been introduced in recent years, including the Verifying Accurate Leading-edge IVCT Development Act of 2021 (VALID Act). In September 2022, Congress passed the FDA user fee reauthorization legislation without substantive FDA policy riders, including the VALID Act, but Congress may revisit the policy riders and enact other FDA programmatic reforms in the future. It is unclear how future legislation by federal and state governments and FDA regulation will impact the industry, including our business and that of our customers.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spacing w:after="0" w:line="12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3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spacing w:after="0" w:line="13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Filing, prosecuting and defending patents on our technology and products, including the Proteograph Product Suite, in all countries throughout the world would be prohibitively expensive, and our intellectual property rights in some countries outside the United States can be less extensive than those in the United States.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 and prospects in various geographies.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Moreover,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patent litigation in Europe.</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Competitors and other third parties may also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0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could be found invalid or unenforceable if challenged.</w:t>
      </w:r>
    </w:p>
    <w:p>
      <w:pPr>
        <w:spacing w:after="0" w:line="1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revocation, nullification,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34"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2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rely heavily on trade secrets and confidentiality agreements to protect our unpatented know-how, technology and other proprietary and confidential information, including parts of the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spacing w:after="0" w:line="1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spacing w:after="0" w:line="14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or our licensor may be subject to claims that former employees, collaborators or other third parties have an interest in our owned or in-licensed patents, trade secrets or other intellectual property as an inventor or co-inventor.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example,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solution,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3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we may in the future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and technologies, including the Proteograph Product Suite for an adequate amount of time.</w:t>
      </w:r>
    </w:p>
    <w:p>
      <w:pPr>
        <w:spacing w:after="0" w:line="1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2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3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pending patent applications in Europe and in the United States owned by a third party that are directed to a method of identifying biomarkers in biofluids using nanoparticles and, if issued, is projected to expire in 2037, without taking into account any possible patent term adjustments or extensions. Such patent and patent applications could be construed to cover certain aspects of our products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technologies and we may be required to redesign such products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Times New Roman" w:cs="Times New Roman" w:eastAsia="Times New Roman" w:hAnsi="Times New Roman"/>
          <w:sz w:val="18"/>
          <w:szCs w:val="18"/>
          <w:i w:val="1"/>
          <w:iCs w:val="1"/>
          <w:color w:val="auto"/>
        </w:rPr>
        <w:t>ex-parte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3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advisors or independent contractors may have wrongfully used or disclosed, or may in the future wrongfully use or disclose, confidential information or alleged trade secrets of ours, third parties or former employers.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employed and expect to employ individuals, and engaged consultants and expect to engage consultants, who were previously employed, or consulted, at universities or other companies,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0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license from a third party, and in the future may rely on additional licenses from other third parties, in relation to our technologies and products, including the Proteograph Product Suite and if we lose any of these licenses, then we may be subjected to future litigation.</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to the extent any additional intellectual property developed by BWH that are not included in such licensed patent families are necessary or useful for the Proteograph Product Suite or any other product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4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200" w:lineRule="exact"/>
        <w:rPr>
          <w:sz w:val="20"/>
          <w:szCs w:val="20"/>
          <w:color w:val="auto"/>
        </w:rPr>
      </w:pPr>
    </w:p>
    <w:p>
      <w:pPr>
        <w:spacing w:after="0" w:line="339"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intellectual property rights necessary for developing and protecting our technologies and products, including the Proteograph Product Suite, or we could lose certain rights to grant sublicenses.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disputes may also arise between us and our licensor regarding intellectual property subject to a license agreement, including:</w:t>
      </w:r>
    </w:p>
    <w:p>
      <w:pPr>
        <w:spacing w:after="0" w:line="171"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71"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products, technology and processes infringe on intellectual property of the licensor that is not subject to the licensing agreement;</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including the Proteograph Product Suite,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or technologies, including the Proteograph Product Suite. However, we may be unable to secure such licenses or acquisitions. The licensing or acquisition of third-party intellectual property rights is a competitive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0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spacing w:after="0" w:line="13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3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and service our customers, or require disclosure of our proprietary software.</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materially adversely affect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left="660" w:right="500" w:hanging="652"/>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07" w:lineRule="exact"/>
        <w:rPr>
          <w:rFonts w:ascii="Times New Roman" w:cs="Times New Roman" w:eastAsia="Times New Roman" w:hAnsi="Times New Roman"/>
          <w:sz w:val="18"/>
          <w:szCs w:val="18"/>
          <w:color w:val="auto"/>
        </w:rPr>
      </w:pPr>
    </w:p>
    <w:p>
      <w:pPr>
        <w:ind w:left="660" w:right="360" w:hanging="652"/>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certain of our or their inventions;</w:t>
      </w:r>
    </w:p>
    <w:p>
      <w:pPr>
        <w:spacing w:after="0" w:line="171"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07"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and our licensed pending patent applications, or those that we may own or license in the future, will not lead to issued patents;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71"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licensor(s), may not develop additional proprietary technologies that are patentable;</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color w:val="auto"/>
        </w:rPr>
      </w:pPr>
    </w:p>
    <w:p>
      <w:pPr>
        <w:ind w:left="660" w:right="780" w:hanging="652"/>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materially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0" w:name="page71"/>
    <w:bookmarkEnd w:id="7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not be sustained.</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our Class A common stock is traded on the Nasdaq Global Select Market under the symbol “SEER,” there is a limited trading history and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may cause the market price of our Class A common stock to fluctuate include, but are not limited to:</w:t>
      </w:r>
    </w:p>
    <w:p>
      <w:pPr>
        <w:spacing w:after="0" w:line="171"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our launch and commercialization of our products meets the expectations of securities analysts and investors;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being less than anticipated or operating expenses being more than anticipated;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7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71"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 including volatility in the stock prices of publicly held companies in our industry;</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71" w:lineRule="exact"/>
        <w:rPr>
          <w:rFonts w:ascii="Times New Roman" w:cs="Times New Roman" w:eastAsia="Times New Roman" w:hAnsi="Times New Roman"/>
          <w:sz w:val="18"/>
          <w:szCs w:val="18"/>
          <w:color w:val="auto"/>
        </w:rPr>
      </w:pPr>
    </w:p>
    <w:p>
      <w:pPr>
        <w:ind w:left="660" w:right="100" w:hanging="652"/>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strategies that may drive down the price of our Class A common stock;</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1" w:name="page72"/>
    <w:bookmarkEnd w:id="71"/>
    <w:p>
      <w:pPr>
        <w:spacing w:after="0" w:line="140" w:lineRule="exact"/>
        <w:rPr>
          <w:sz w:val="20"/>
          <w:szCs w:val="20"/>
          <w:color w:val="auto"/>
        </w:rPr>
      </w:pPr>
    </w:p>
    <w:p>
      <w:pPr>
        <w:ind w:left="660" w:hanging="652"/>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or sales of our Class A common stock or Class B common stock by our insiders or other stockholders, or future stock issuances;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the COVID-19 pandemic, natural disasters or major catastrophic events.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3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0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Class A common stock, which is our publicly-traded class of stock, has one vote per share, and our Class B common stock has ten votes per share, except as otherwise required by law. Our Class B common stock is held by our founders and early investors. As of March 2, 2023, the holders of our Class B common stock hold in the aggregate 40.4% of the voting power of our capital stock.</w:t>
      </w:r>
    </w:p>
    <w:p>
      <w:pPr>
        <w:spacing w:after="0" w:line="1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industry analysts, including securities analysts do not publish research or reports about our business or if they publish negative evaluations of our Class A common stock, the price of our Class A common stock could decline.</w:t>
      </w:r>
    </w:p>
    <w:p>
      <w:pPr>
        <w:spacing w:after="0" w:line="1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these analysts cease to cover our Class A common stock, we could lose visibility in the market for our Class A common stock, which in turn could cause the price of our Class A common stock to decline.</w:t>
      </w:r>
    </w:p>
    <w:p>
      <w:pPr>
        <w:spacing w:after="0" w:line="10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by our existing stockholders could cause the price of our Class A common stock to decline.</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and, as a result, any return on investment may be limited to the value of our stock.</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29"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1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31" w:lineRule="exact"/>
        <w:rPr>
          <w:sz w:val="20"/>
          <w:szCs w:val="20"/>
          <w:color w:val="auto"/>
        </w:rPr>
      </w:pPr>
    </w:p>
    <w:p>
      <w:pPr>
        <w:jc w:val="both"/>
        <w:ind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26" w:lineRule="exact"/>
        <w:rPr>
          <w:sz w:val="20"/>
          <w:szCs w:val="20"/>
          <w:color w:val="auto"/>
        </w:rPr>
      </w:pPr>
    </w:p>
    <w:p>
      <w:pPr>
        <w:ind w:left="660" w:right="280" w:hanging="652"/>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would result in a change in control of our company requires the approval of a majority of our outstanding Class B common stock voting as a separate class;</w:t>
      </w:r>
    </w:p>
    <w:p>
      <w:pPr>
        <w:spacing w:after="0" w:line="107"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1" w:lineRule="exact"/>
        <w:rPr>
          <w:rFonts w:ascii="Times New Roman" w:cs="Times New Roman" w:eastAsia="Times New Roman" w:hAnsi="Times New Roman"/>
          <w:sz w:val="18"/>
          <w:szCs w:val="18"/>
          <w:color w:val="auto"/>
        </w:rPr>
      </w:pPr>
    </w:p>
    <w:p>
      <w:pPr>
        <w:ind w:left="660" w:right="380" w:hanging="652"/>
        <w:spacing w:after="0" w:line="312" w:lineRule="auto"/>
        <w:tabs>
          <w:tab w:leader="none" w:pos="6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is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85" w:lineRule="exact"/>
        <w:rPr>
          <w:rFonts w:ascii="Times New Roman" w:cs="Times New Roman" w:eastAsia="Times New Roman" w:hAnsi="Times New Roman"/>
          <w:sz w:val="17"/>
          <w:szCs w:val="17"/>
          <w:color w:val="auto"/>
        </w:rPr>
      </w:pPr>
    </w:p>
    <w:p>
      <w:pPr>
        <w:ind w:left="660" w:right="120" w:hanging="652"/>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our amended and restated bylaws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only be able to take action at a meeting of stockholders and may not be able to take action by written consent for any matter;</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able to act by written consent only if the action is first recommended or approved by the board of directors;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may be filled only by our board of directors and not by stockholders;</w:t>
      </w:r>
    </w:p>
    <w:p>
      <w:pPr>
        <w:spacing w:after="0" w:line="171" w:lineRule="exact"/>
        <w:rPr>
          <w:rFonts w:ascii="Times New Roman" w:cs="Times New Roman" w:eastAsia="Times New Roman" w:hAnsi="Times New Roman"/>
          <w:sz w:val="18"/>
          <w:szCs w:val="18"/>
          <w:color w:val="auto"/>
        </w:rPr>
      </w:pPr>
    </w:p>
    <w:p>
      <w:pPr>
        <w:ind w:left="660" w:right="300" w:hanging="652"/>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the board of directors, chief executive officer or a majority of the board of directors are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171"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restated certificate of incorporation authorizes undesignated preferred stock, the terms of which may be established and shares of which may be issued, without the approval of the holders of our capital stock; and</w:t>
      </w:r>
    </w:p>
    <w:p>
      <w:pPr>
        <w:spacing w:after="0" w:line="107"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 and changes to U.S. tax laws may cause us to make adjustments to our financial statements.</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of December 31, 2022, we had U.S. federal and state net operating loss carryforwards (NOLs) of $119.4 million and $122.5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continue to incur significant increased costs and management resources as a result of operating as a public company.</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SOX, and the related rules and regulations implemented by the SEC and the Nasdaq Stock Market, LLC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matters are subject to increasing scrutiny and evolving expectations from customers, regulators, investors and other stakeholders and may expose us to reputational, cost and other risks.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131"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spacing w:after="0" w:line="10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Redwood City, California, facilities house our corporate, research and development, NP manufacturing and quality assurance teams. Our instruments are manufactured at our third-party manufacturer’s facilities in Nevada, and our consumables are manufactured at various locations in the United States and internationally.</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facilities in Redwood City and those of our third-party manufacturers are vulnerable to natural disasters, public health crises, including the impact of health epidemics such as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3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w:t>
      </w:r>
    </w:p>
    <w:p>
      <w:pPr>
        <w:spacing w:after="0" w:line="12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vendors, partners or customers, experience a significant disruption in our information technology systems or breaches of data security, our business could be adversely affected.</w:t>
      </w:r>
    </w:p>
    <w:p>
      <w:pPr>
        <w:spacing w:after="0" w:line="10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information technology systems and those of our vendors, partners and customers are potentially vulnerable to disruption due to breakdown, malicious intrusion and computer viruses or other disruptive events, including, but not limited to,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spacing w:after="0" w:line="14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our security measures, or those of our vendors, partners and customers,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breach could compromise our customers’ networks and the information stored there could be accessed, publicly disclosed, lost or stolen.</w:t>
      </w:r>
    </w:p>
    <w:p>
      <w:pPr>
        <w:spacing w:after="0" w:line="140"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went into effect on January 1, 2023. The CPRA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takes effect on July 1, 2023, and on March 24, 2022, Utah enacted the Utah Consumer Privacy Act, or UCPA, which takes effect on December 31, 2023; and on May 10, 2022, Connecticut enacted the Connecticut Data Privacy Act, or CTDPA, which takes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4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200" w:lineRule="exact"/>
        <w:rPr>
          <w:sz w:val="20"/>
          <w:szCs w:val="20"/>
          <w:color w:val="auto"/>
        </w:rPr>
      </w:pPr>
    </w:p>
    <w:p>
      <w:pPr>
        <w:spacing w:after="0" w:line="34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jurisdiction, and it is possible that they will be interpreted and applied in ways that may have a material adverse effect on our business, financial condition, results of operations and prospects.</w:t>
      </w:r>
    </w:p>
    <w:p>
      <w:pPr>
        <w:spacing w:after="0" w:line="10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corporate headquarters, research and development facilities, and manufacturing and distribution centers are located at 3800 Bridge Parkway, Redwood City, CA 94065. The facility is approximately 51,000 square feet and is compliant with all relevant state and federal requirements. Our lease on this facility runs through September 2032. In addition, we lease approximately 6,000 square of office space in San Diego, California under a lease that runs through September 2024. We do not own any real property and believe that our current facilities are sufficient to meet our ongoing needs and that, if we require additional space, we will be able to obtain additional facilities on commercially reasonable terms.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0" w:name="page81"/>
    <w:bookmarkEnd w:id="80"/>
    <w:p>
      <w:pPr>
        <w:spacing w:after="0" w:line="13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Class A common stock has been listed on the Nasdaq Global Select Market under the symbol “SEER” since December 4, 2020. Prior to that date, there was no public trading market for our Class A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B common stock is not listed or traded on any stock exchange.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of March 2, 2023, there were 30 holders of record of our Class A common stock and 6 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audited consolidated financial statements and related notes included elsewhere in this Annual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2"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Our mission is to imagine and pioneer new ways to decode the secrets of the proteome to improve human health. Our first product, the Proteograph</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Product Suite (Proteograph), leverages our proprietary engineered nanoparticle (NP) technology to provide unbiased, deep, rapid and large-scale access to the proteome. The Proteograph Product Suite is an integrated solution that includes consumables, an automation instrument and software.</w:t>
      </w:r>
    </w:p>
    <w:p>
      <w:pPr>
        <w:spacing w:after="0" w:line="14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 publicly-traded company, and providing general and administrative support for these activities.</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ability to generate product revenue sufficient to achieve profitability, if ever, will depend on the successful commercialization of the Proteograph Product Suite. We are commercializing the Proteograph Product Suite as an integrated solution comprised of consumables, our SP100 automation instrument and software. Our commercial strategy is focused on growing adoption by the research community of the Proteograph, expanding the installed base and increasing utilization to generate revenue from the purchase of Proteograph consumables. We expect a highly efficient sales model because our workflow integrates with most existing proteomics laboratories’ workflows and also complements large-scale genomics research.</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broadly commercializing the Proteograph Product Suite through a direct sales channel in the United States, and through both direct and distributor sales channels in regions outside the United States. Since we are in the early stages of commercialization,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spacing w:after="0" w:line="1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filling and packaging outsourced to a third party. We conduct vendor and component qualification for components provided by third-party suppliers and quality control tests on our NPs.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designed the SP100 automation instrument and have outsourced its manufacturing to Hamilton Company, a leading manufacturer of automated liquid handling workstations. We have entered into a non-exclusive agreement with Hamilton that covers the manufacturing of the SP100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spacing w:after="0" w:line="1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December 8, 2020, we completed our IPO, in which we sold 10,592,106 shares of Class A common stock at a price to the public of $19.00 per share, resulting in net proceeds of $183.9 million after deducting offering costs, underwriting discounts and commissions. Concurrent with the IPO, we issued 7,105,262 shares of our Class A common stock in a private placement for net proceeds of $130.3 million after deducting underwriting discounts and commissions. On February 1, 2021, we completed an underwritten public offering of 1,650,000 shares of our Class A common stock at a public offering price of $67.00 per share. We received net proceeds of $103.0 million after deducting offering costs, underwriting discounts and commissions.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and 2021, we incurred a net loss of $93.0 million and $71.2 million and used $60.8 million and $46.3 million of cash in operations, respectively. As of December 31, 2022, we had an accumulated deficit of $219.5 million and cash, cash equivalents, and investments of $426.4 million. We expect to continue to incur significant and increasing losses and do not expect positive cash flows from operations for the foreseeable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expenses to increase significantly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broadly commercialize the Proteograph Product Suite;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our sales, marketing, service, support and distribution infrastructure as part of our commercialization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build-out and expand our in-house NP manufacturing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in research and development of other products and enhancements to the Proteograph Product Suite;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infrastructure to operate and scale as a public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PrognomiQ</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August 2020, we transferred certain assets related to human disease testing to PrognomiQ, Inc. (PrognomiQ), a new wholly-owned subsidiary, in exchange for all of its outstanding equity interests. Following the transfer, we completed a pro-rata distribution to our stockholders of most of the shares of capital stock of PrognomiQ. Following the distribution and two subsequent equity financings of PrognomiQ totaling $102 million, we hold approximately 15% of the outstanding capital stock in PrognomiQ as of December 31, 2022.</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with, or creating the perception that we are competing with, our customers. Our relationship with PrognomiQ does not preclude us from selling the Proteograph Product Suite to any customer in any geography, nor does it preclude our customers from using the Proteograph in any way. PrognomiQ has indicated that it plans to combine the protein data from the Proteograph solution with genomics and other -omics data, to create a multi-omics approach to health and disease testing. We believe PrognomiQ’s use of proteomics and the potential for other similar companies which use proteomics in their research and products will help us drive the adoption of the Proteograph Product Suite in these applications. We have entered into certain agreements with PrognomiQ.</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Omid Farokhzad, our Chief Executive Officer and President, and Chair of our board of directors, also serves as the Chair of PrognomiQ’s board of directors. Philip Ma, Ph.D., our former Chief Business Officer, serves as the Chief Executive Officer and President of PrognomiQ. While Dr. Ma has fully transitioned to PrognomiQ, he will continue to consult until April 2023 at which time, Dr. Ma’s consulting agreement will automatically renew for subsequent one year terms unless and until terminated.</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granted PrognomiQ a non-exclusive license to certain patents and patent applications that we own and a non-exclusive sublicense to certain patent applications we exclusively licensed from Brigham and Women’s Hospital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We do not view these amounts to be material to our financial condition and results of operations nor do we expect these amounts to be material to us in the future. In accordance with the non-exclusive license agreement with PrognomiQ, we entered into a supply agreement with PrognomiQ in June 2021. The PrognomiQ supply agreement provides that we will supply PrognomiQ with the Proteograph Product Suite and associated consumables.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result of the COVID-19 pandemic, we could experience disruptions that could severely impact our business. Pandemic precautions and preventative measures may also impact our commercialization plans due to restrictions on our customers’ ability to access laboratories, causing delays in the delivery and installation of the Proteograph products, training such customers on our products, and their ability to conduct research. We have experienced delays in our ability to access customers in certain countries with strict COVID-19 policies to provide installation and training services.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details, see the section titled “Risk Factors.”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generate revenue from product sales, including sales of the Proteograph Product Suite, which consists of an instrument with embedded software essential to the instrument’s functionality and associated consumables as well as our platform evaluation agreements. In addition, we may at times generate revenue from performing services, the receipt of grant revenue for the reimbursement of research-related expenses, and lease arrangements. Our revenue is primarily generated domestically. We intend to focus our commercial efforts in the United States and expect to grow our international presence. A portion of our revenue is generated by sales to related parties and we anticipate a portion of our revenue to continue to be generated by sales to such related parties. Our grant-funded activities are expected to decrease as a percentage of total revenue as we decrease grant-funded activities and continue to ramp up commercialization of the Proteograph Product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4" w:name="page85"/>
    <w:bookmarkEnd w:id="8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utilize third-party manufacturers for production of our SP100 instrument and we manufacture our NPs and assemble our assay kits internally. Cost of goods sold consists primarily of costs of the components of the Proteograph Product Suite, including the SP100 instrument with embedded software essential to the instrument’s functionality, and consumables, and distribution-related expenses such as logistics and shipping costs. In addition, cost of revenue includes stock-based compensation and related employee benefits, allocated overhead and write-downs or impairments of obsolete inventory.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Research and development, or R&amp;D, expenses include costs associated with performing services under research and development service contracts and research and development of our technology and product candidates. R&amp;D expenses consist primarily of employee compensation, including stock-based compensation, and related employee benefits, laboratory supplies used for in-house research, consulting costs, costs related to clinical studies for the collection of biological samples for research use and allocated costs, rent, depreciation, information technology, and utilities.</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plan to increase our investment in our R&amp;D efforts related to the Proteograph Product Suite, our product development pipeline and our proprietary engineered NP and other technologies. Therefore, we expect R&amp;D expenses will increase in absolute dollars in future periods as we incur expenses associated with hiring additional personnel, purchasing supplies and materials, and the allocation of facility expense associated with the build-out of our expansion facilities to support our R&amp;D efforts.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 compensation, including stock-based compensation, and related benefits for executive management, sales and marketing, service and support, finance, administration and human resources, legal, allocated overhead, professional service fees and other general overhead costs to support our operations.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expect to incur additional selling, general and administrative expenses as we continue to invest in our personnel as we grow our commercial operations and with the additional costs incurred as a result of operating as a public company, including accounting, human resources, legal, insurance and investor relations costs. As a result, we expect selling, general and administrative expenses to increase in absolute dollars in future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cash,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5" w:name="page86"/>
    <w:bookmarkEnd w:id="8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Years Ended December 31, 2022 and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72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gridSpan w:val="6"/>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0" w:type="dxa"/>
            <w:vAlign w:val="bottom"/>
            <w:gridSpan w:val="6"/>
          </w:tcPr>
          <w:p>
            <w:pPr>
              <w:ind w:left="5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7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 and other</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37"/>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1079 %</w:t>
            </w:r>
          </w:p>
        </w:tc>
        <w:tc>
          <w:tcPr>
            <w:tcW w:w="0" w:type="dxa"/>
            <w:vAlign w:val="bottom"/>
          </w:tcPr>
          <w:p>
            <w:pPr>
              <w:spacing w:after="0"/>
              <w:rPr>
                <w:sz w:val="1"/>
                <w:szCs w:val="1"/>
                <w:color w:val="auto"/>
              </w:rPr>
            </w:pPr>
          </w:p>
        </w:tc>
      </w:tr>
      <w:tr>
        <w:trPr>
          <w:trHeight w:val="27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 and other</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6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(97,235)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(71,473)</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1304 %</w:t>
            </w:r>
          </w:p>
        </w:tc>
        <w:tc>
          <w:tcPr>
            <w:tcW w:w="0" w:type="dxa"/>
            <w:vAlign w:val="bottom"/>
          </w:tcPr>
          <w:p>
            <w:pPr>
              <w:spacing w:after="0"/>
              <w:rPr>
                <w:sz w:val="1"/>
                <w:szCs w:val="1"/>
                <w:color w:val="auto"/>
              </w:rPr>
            </w:pPr>
          </w:p>
        </w:tc>
      </w:tr>
      <w:tr>
        <w:trPr>
          <w:trHeight w:val="26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(71,169)</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5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24"/>
                <w:szCs w:val="24"/>
                <w:color w:val="auto"/>
              </w:rPr>
            </w:pPr>
          </w:p>
        </w:tc>
        <w:tc>
          <w:tcPr>
            <w:tcW w:w="172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0" w:type="dxa"/>
            <w:vAlign w:val="bottom"/>
            <w:gridSpan w:val="6"/>
          </w:tcPr>
          <w:p>
            <w:pPr>
              <w:ind w:left="5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Revenue increased by $8.9 million, or 134%, from $6.6 million in 2021 to $15.5 million in 2022, due to sales of products related to the Proteograph Product Suite in the year ended December 31, 2022. Revenue recognized primarily consisted of sales of the Proteograph SP100 instrument, consumable kits and platform evaluations, of which $5.2 million was attributed to related parties. Revenue related to grant and other consisted of our grant-funded activities related to our Small Business Innovation Research (SBIR) grant from the National Institutes of Health Grant (NIH), which increased between the two periods by $45,000 and $0.5 million respectively, and lease arrangements where we are the lessor.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6" w:name="page87"/>
    <w:bookmarkEnd w:id="8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40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3"/>
        </w:trPr>
        <w:tc>
          <w:tcPr>
            <w:tcW w:w="5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4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7"/>
                <w:szCs w:val="17"/>
                <w:color w:val="auto"/>
              </w:rPr>
            </w:pPr>
          </w:p>
        </w:tc>
      </w:tr>
      <w:tr>
        <w:trPr>
          <w:trHeight w:val="2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9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5,195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r>
    </w:tbl>
    <w:p>
      <w:pPr>
        <w:spacing w:after="0" w:line="23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Cost of revenue increased by $5.2 million, or 162%, from $3.2 million in 2021 to $8.4 million in 2022, primarily due to sales of the Proteograph Product Suite. Grant and other cost of revenue was attributed to the lease of the SP100 instruments. Cost of revenue related to the Proteograph Product Suite consists of costs of the SP100 instrument, consumable kits and other related costs, including labor and overhead.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23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7"/>
                <w:szCs w:val="17"/>
                <w:color w:val="auto"/>
              </w:rPr>
            </w:pPr>
          </w:p>
        </w:tc>
      </w:tr>
      <w:tr>
        <w:trPr>
          <w:trHeight w:val="23"/>
        </w:trPr>
        <w:tc>
          <w:tcPr>
            <w:tcW w:w="5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0"/>
        </w:trPr>
        <w:tc>
          <w:tcPr>
            <w:tcW w:w="5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5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6"/>
                <w:szCs w:val="16"/>
                <w:color w:val="auto"/>
              </w:rPr>
            </w:pPr>
          </w:p>
        </w:tc>
      </w:tr>
      <w:tr>
        <w:trPr>
          <w:trHeight w:val="2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45,797</w:t>
            </w:r>
          </w:p>
        </w:tc>
        <w:tc>
          <w:tcPr>
            <w:tcW w:w="9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29,121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16,676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bl>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$16.7 million, or 57%, from $29.1 million in 2021 to $45.8 million in 2022. The increase was primarily due to an increase in product development efforts related to the Proteograph Product Suite including $5.6 million increase in employee compensation costs and other related expenses, and a $4.7 million increase in stock-based compensation, due to growth in research and development personnel, and a $4.0 million increase in allocated overhead related to the allocation of facility expense associated with the build-out of our expansion facilities to support our R&amp;D efforts. Other increases include costs related to general business expenses of $1.0 million, which include IT support services and expensed software, a $0.7 million increase in laboratory expenses and a $0.8 million increase in depreciation of laboratory equipment.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236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7"/>
                <w:szCs w:val="17"/>
                <w:color w:val="auto"/>
              </w:rPr>
            </w:pPr>
          </w:p>
        </w:tc>
      </w:tr>
      <w:tr>
        <w:trPr>
          <w:trHeight w:val="23"/>
        </w:trPr>
        <w:tc>
          <w:tcPr>
            <w:tcW w:w="5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0"/>
        </w:trPr>
        <w:tc>
          <w:tcPr>
            <w:tcW w:w="5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5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6"/>
                <w:szCs w:val="16"/>
                <w:color w:val="auto"/>
              </w:rPr>
            </w:pPr>
          </w:p>
        </w:tc>
      </w:tr>
      <w:tr>
        <w:trPr>
          <w:trHeight w:val="2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58,531</w:t>
            </w:r>
          </w:p>
        </w:tc>
        <w:tc>
          <w:tcPr>
            <w:tcW w:w="9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45,764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12,767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bl>
    <w:p>
      <w:pPr>
        <w:spacing w:after="0" w:line="23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$12.8 million, or 28%, from $45.8 million in 2021 to $58.5 million in 2022, primarily due to a $4.5 million increase in employee compensation and other related expenses, and a $3.8 million increase in stock-based compensation. Other increases include a $3.4 million increase in professional service and consulting fees primarily related to international expansion, a $0.6 million increase in general business expenses, and a $0.5 million increase in depreciation due to our facility expansion.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23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7"/>
                <w:szCs w:val="17"/>
                <w:color w:val="auto"/>
              </w:rPr>
            </w:pPr>
          </w:p>
        </w:tc>
      </w:tr>
      <w:tr>
        <w:trPr>
          <w:trHeight w:val="23"/>
        </w:trPr>
        <w:tc>
          <w:tcPr>
            <w:tcW w:w="5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0"/>
        </w:trPr>
        <w:tc>
          <w:tcPr>
            <w:tcW w:w="5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ind w:right="9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5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60" w:type="dxa"/>
            <w:vAlign w:val="bottom"/>
            <w:gridSpan w:val="4"/>
          </w:tcPr>
          <w:p>
            <w:pPr>
              <w:jc w:val="center"/>
              <w:ind w:right="122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6"/>
                <w:szCs w:val="16"/>
                <w:color w:val="auto"/>
              </w:rPr>
            </w:pPr>
          </w:p>
        </w:tc>
      </w:tr>
      <w:tr>
        <w:trPr>
          <w:trHeight w:val="2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9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3,965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1304 %</w:t>
            </w:r>
          </w:p>
        </w:tc>
      </w:tr>
    </w:tbl>
    <w:p>
      <w:pPr>
        <w:spacing w:after="0" w:line="23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Total other income increased by $4.0 million, or 1304%, from $0.3 million in 2021 to $4.3 million in 2022. The increase was due to higher rates of interest earned on cash invested in money market funds, U.S. Treasury securities, commercial paper and corporate securities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Since the date of our incorporation, we have not generated significant revenue from product sales and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on hand, we believe we will have adequate liquidity over the next twelve months following the date of this Annual Report to operate our business and to meet our cash requirements.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our IPO that closed on December 8, 2020, we sold 10,592,106 shares of Class A common stock and received net proceeds of</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$183.9 million after deducting offering costs, underwriting discounts and commissions. Concurrent with the IPO, we issued 7,105,262 shares of our Class A common stock in a private placement for net proceeds of $130.3 million after deducting underwriting discounts and commissions. On February 1, 2021, we completed an underwritten public offering of 1,650,000 shares of our Class A common stock and received net proceeds of $103.0 million after deducting offering costs, underwriting discounts and commissions.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(46,347)</w:t>
            </w:r>
          </w:p>
        </w:tc>
        <w:tc>
          <w:tcPr>
            <w:tcW w:w="100" w:type="dxa"/>
            <w:vAlign w:val="bottom"/>
            <w:shd w:val="clear" w:color="auto" w:fill="CCEEFF"/>
          </w:tcPr>
          <w:p>
            <w:pPr>
              <w:spacing w:after="0"/>
              <w:rPr>
                <w:sz w:val="20"/>
                <w:szCs w:val="20"/>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(170,878)</w:t>
            </w:r>
          </w:p>
        </w:tc>
        <w:tc>
          <w:tcPr>
            <w:tcW w:w="100" w:type="dxa"/>
            <w:vAlign w:val="bottom"/>
          </w:tcPr>
          <w:p>
            <w:pPr>
              <w:spacing w:after="0"/>
              <w:rPr>
                <w:sz w:val="19"/>
                <w:szCs w:val="19"/>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116,634</w:t>
            </w:r>
          </w:p>
        </w:tc>
        <w:tc>
          <w:tcPr>
            <w:tcW w:w="100" w:type="dxa"/>
            <w:vAlign w:val="bottom"/>
            <w:shd w:val="clear" w:color="auto" w:fill="CCEEFF"/>
          </w:tcPr>
          <w:p>
            <w:pPr>
              <w:spacing w:after="0"/>
              <w:rPr>
                <w:sz w:val="19"/>
                <w:szCs w:val="19"/>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(179,605)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(100,591)</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2022, cash used in operating activities was $60.8 million, attributable to a net loss of $93.0 million, partially offset by a net change in our net operating assets and liabilities of $7.4 million and non-cash charges of $39.6 million. Non-cash charges primarily consisted of stock-based compensation of $33.7 million, $3.9 million of depreciation and amortization and $2.0 million of non-cash operating lease expense. The change in our net operating assets and liabilities was primarily due to an increase in inventory levels of $1.6 million for anticipated revenue growth, an increase in accounts receivable of</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$2.3 million from higher sales, an increase in prepaid expenses and other current assets of $0.7 million, an increase in other receivables of $0.5 million, an increase in other assets of $0.4 million and a decrease of $1.6 million in accounts payable.</w:t>
      </w:r>
    </w:p>
    <w:p>
      <w:pPr>
        <w:spacing w:after="0" w:line="12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In 2021, cash used in operating activities was $46.3 million, attributable to a net loss of $71.2 million, partially offset by a net change in our net operating assets and liabilities of $5.9 million and non-cash charges of $30.7 million. Non-cash charges primarily consisted of $25.9 million in stock-based compensation, $2.6 million of depreciation and amortization, $1.2 million of net amortization of premiums on available-for-sales securities and</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$1.0 million of non-cash operating lease expense. The change in our net operating assets and liabilities was primarily due to an increase in inventory levels of $3.6 million, an increase in accounts receivable of $2.5 million and a decrease of $0.6 million in accrued research and development, which was partially offset by an increase in accounts payable of $1.6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cash used in investing activities was $122.7 million, which related to purchases of available-for-sale securities, net of proceeds from maturities, of $112.6 million, in addition to $10.3 million in payments primarily for laboratory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8" w:name="page89"/>
    <w:bookmarkEnd w:id="88"/>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2021, cash used in investing activities was $170.9 million, which related to purchases of available-for-sale securities, net of proceeds from maturities, of $164.0 million, in addition to $6.9 million in payments primarily for laboratory equipment.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2022, cash provided by financing activities was $3.9 million. This was attributable to net proceeds from the exercise of stock options of $3.1 million and $0.8 million of proceeds from the issuance of common stock in connection with our employee stock purchase plan.</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2021, cash provided by financing activities was $116.6 million. This was attributable to net proceeds of $103.0 million from issuance of common stock upon initial public offering, net of issuance costs, $11.4 million in short-swing profits from a beneficial owner and $1.9 million from the exercise of stock options.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consolidated financial statements, which have been prepared in accordance with United States generally accepted accounting principles. The preparation of these consolidated financial statements requires us to make estimates and assumptions that affect the reported amounts of assets, liabilities, and the disclosure of contingent assets and liabilities at the date of the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3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consolidated financial statements, we believe that the following critical accounting policies are most important to understanding and evaluating our reported financial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revenue is generated primarily from the sale of products and services. Product revenue consists of sales of an instrument with embedded software essential to the instrument’s functionality and consumables as well as platform evaluation agreements. Service revenue primarily consists of revenue received from the generation and analysis of proteomic data on behalf of our customers.</w:t>
      </w:r>
    </w:p>
    <w:p>
      <w:pPr>
        <w:spacing w:after="0" w:line="12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recognize revenue when control of our products and services is transferred to our customers in an amount that reflects the consideration we expect to receive from our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recognized when control of the product is transferred, which is generally upon shipment to the customer. In instances where right of payment or transfer of title is contingent upon the customer’s acceptance of the product, revenue is deferred until all acceptance criteria have been met. Revenue from services is recognized once the report is delivered to a customer, which is when the customer obtains benefit of the service.</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Revenue is recorded net of discounts and sales taxes collected on behalf of governmental authorities. Customers are invoiced generally upon shipment, or upon order for services, and payment is typically due within 30 or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Cash received from customers in advance of product shipment or providing services is recorded as a contract liability. Our contracts with our customer generally do not include rights of return.</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times,we may enter into arrangements with payment terms which exceed one year from the transfer of control of the product or service. In such cases, we assess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We do not assess whether a significant financing component exists when, at contract inception, the period between the transfer of control to a customer and final payment is one year or less.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elected the practical expedient to account for shipping and handling activities that occur after the customer has obtained control as a fulfillment activity. We expense incremental costs of obtaining a contract as and when incurred if the expected amortization period is one year or less or the amount is immaterial. We exclude from the transaction price all taxes assessed by a governmental authority on revenue-producing transactions that are collected by us from a customer.</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regularly enter into contracts that include various combinations of products and services which are generally distinct and accounted for as separate performance obligations. The transaction price is allocated to each performance obligation in proportion to its standalone selling price. We determine standalone selling price using average selling prices with consideration of current market conditions. If the product or service has no history of sales or if the sales volume is not sufficient, we rely upon prices set by management, adjusted for applicable discounts.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A portion of our revenue relates to lease arrangements. Standalone lease arrangements are outside the scope of Accounting Standards Codification (ASC) 606, </w:t>
      </w:r>
      <w:r>
        <w:rPr>
          <w:rFonts w:ascii="Times New Roman" w:cs="Times New Roman" w:eastAsia="Times New Roman" w:hAnsi="Times New Roman"/>
          <w:sz w:val="18"/>
          <w:szCs w:val="18"/>
          <w:i w:val="1"/>
          <w:iCs w:val="1"/>
          <w:color w:val="auto"/>
        </w:rPr>
        <w:t>Revenue Contracts with Customer</w:t>
      </w:r>
      <w:r>
        <w:rPr>
          <w:rFonts w:ascii="Times New Roman" w:cs="Times New Roman" w:eastAsia="Times New Roman" w:hAnsi="Times New Roman"/>
          <w:sz w:val="18"/>
          <w:szCs w:val="18"/>
          <w:color w:val="auto"/>
        </w:rPr>
        <w:t xml:space="preserve"> and are therefore accounted for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Each of these contracts is evaluated as a lease arrangement, either as an operating lease or a sales-type finance lease using the lease classification guidance.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account for stock-based compensation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in the same period as the forfeitures occur. We estimate the fair value of share-based awards to employees and non-employees using the Black-Scholes option-pricing valuation model. The Black-Scholes model requires the input of subjective assumptions, including fair value of common stock, expected term, expected volatility, risk-free interest rate, and expected dividend yield, which are described in greater detail below.</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Estimating the fair value of equity-settled awards as of the grant date using the Black-Scholes option pricing model is affected by assumptions regarding a number of complex variables. Changes in the assumptions can materially affect the fair value and ultimately how much stock-based compensation is recognized. These inputs are subjective and generally require significant analysis and judgment to develop. These inputs are as follows:</w:t>
      </w:r>
    </w:p>
    <w:p>
      <w:pPr>
        <w:spacing w:after="0" w:line="122" w:lineRule="exact"/>
        <w:rPr>
          <w:sz w:val="20"/>
          <w:szCs w:val="20"/>
          <w:color w:val="auto"/>
        </w:rPr>
      </w:pPr>
    </w:p>
    <w:p>
      <w:pPr>
        <w:ind w:left="660" w:hanging="328"/>
        <w:spacing w:after="0" w:line="25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Fair value of common stock—Prior to our IPO, there was no public market for our common stock. As such, the estimated fair value of our common stock and underlying stock options has been determined at each grant date by our board of directors, with input from management, based on the information known to us on the grant date and upon a review of any recent events and their potential impact on the estimated per share fair value of our common stock. As part of these fair value determinations, our board of directors obtained and considered valuation reports prepared by a third-party valuation firm in accordance with the guidance outlined in the American Institute of Certified Public Accountants Technical Practice Aid,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For valuations after the completion of our initial public offering, the fair value of each share of underlying common stock is based on the closing price of our Class A common stock as reported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140" w:lineRule="exact"/>
        <w:rPr>
          <w:sz w:val="20"/>
          <w:szCs w:val="20"/>
          <w:color w:val="auto"/>
        </w:rPr>
      </w:pPr>
    </w:p>
    <w:p>
      <w:pPr>
        <w:ind w:left="660" w:right="20" w:hanging="328"/>
        <w:spacing w:after="0" w:line="258"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term—The expected term for options granted to employees and directors represents the average period that our options granted are expected to be outstanding and is determined using the simplified method (based on the mid-point between the weighted-average vesting date and the end of the contractual term). We have very limited historical information to develop reasonable expectations about future exercise patterns and post-vesting employment termination behavior for our stock option grants. The expected term for options granted to non-employees is the contractual term.</w:t>
      </w:r>
    </w:p>
    <w:p>
      <w:pPr>
        <w:spacing w:after="0" w:line="12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volatility—As we had no publicly available stock price information prior to our IPO and limited publicly available stock price information subsequent to our IPO, the expected volatility was estimated based on the historical average volatility for comparable publicly traded life sciences technology companies over a period equal to the expected term of the stock option grants. The comparable companies were chosen based on their similar size, life cycle stage, or area of specialty. We will continue to apply this process until enough historical information regarding the volatility of our own stock price becomes available.</w:t>
      </w:r>
    </w:p>
    <w:p>
      <w:pPr>
        <w:spacing w:after="0" w:line="129"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interest rate is based on the U.S. Treasury zero coupon issues in effect at the time of grant for periods corresponding with the expected term of the options.</w:t>
      </w:r>
    </w:p>
    <w:p>
      <w:pPr>
        <w:spacing w:after="0" w:line="10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yield—We have never paid dividends on our common stock and have no plans to pay dividends on our common stock. Therefore, we used an expected dividend yield of zero.</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elsewhere in this Annual Report for more information about recent accounting pronouncements, the timing of their adoption, and our assessment, to the extent we have made one yet, of their potential impact on our financial condition of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exposure to interest rate risk that relates to our cash and cash equivalents and investments held in money market funds, U.S. Treasury securities, commercial paper and corporate securities. The goals of our investment policy are liquidity and capital preservation. We believe that we do not have any material exposure to changes in the fair value of these assets as a result of changes in interest rates due to the short-term nature of our cash and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960" w:type="dxa"/>
            <w:vAlign w:val="bottom"/>
            <w:gridSpan w:val="3"/>
          </w:tcPr>
          <w:p>
            <w:pPr>
              <w:jc w:val="center"/>
              <w:ind w:left="257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2"/>
        </w:trPr>
        <w:tc>
          <w:tcPr>
            <w:tcW w:w="81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34</w:t>
            </w:r>
            <w:r>
              <w:rPr>
                <w:rFonts w:ascii="Times New Roman" w:cs="Times New Roman" w:eastAsia="Times New Roman" w:hAnsi="Times New Roman"/>
                <w:sz w:val="18"/>
                <w:szCs w:val="18"/>
                <w:u w:val="single" w:color="auto"/>
                <w:color w:val="0000FF"/>
              </w:rPr>
              <w:t>)</w:t>
            </w:r>
          </w:p>
        </w:tc>
        <w:tc>
          <w:tcPr>
            <w:tcW w:w="2900" w:type="dxa"/>
            <w:vAlign w:val="bottom"/>
            <w:gridSpan w:val="2"/>
          </w:tcPr>
          <w:p>
            <w:pPr>
              <w:jc w:val="center"/>
              <w:ind w:left="2633"/>
              <w:spacing w:after="0"/>
              <w:rPr>
                <w:sz w:val="20"/>
                <w:szCs w:val="20"/>
                <w:color w:val="auto"/>
              </w:rPr>
            </w:pPr>
            <w:r>
              <w:rPr>
                <w:rFonts w:ascii="Times New Roman" w:cs="Times New Roman" w:eastAsia="Times New Roman" w:hAnsi="Times New Roman"/>
                <w:sz w:val="18"/>
                <w:szCs w:val="18"/>
                <w:color w:val="0000FF"/>
                <w:w w:val="99"/>
              </w:rPr>
              <w:t>88</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100" w:type="dxa"/>
            <w:vAlign w:val="bottom"/>
            <w:gridSpan w:val="5"/>
          </w:tcPr>
          <w:p>
            <w:pPr>
              <w:spacing w:after="0"/>
              <w:rPr>
                <w:sz w:val="18"/>
                <w:szCs w:val="18"/>
                <w:color w:val="auto"/>
              </w:rPr>
            </w:pPr>
          </w:p>
        </w:tc>
        <w:tc>
          <w:tcPr>
            <w:tcW w:w="2920" w:type="dxa"/>
            <w:vAlign w:val="bottom"/>
          </w:tcPr>
          <w:p>
            <w:pPr>
              <w:spacing w:after="0"/>
              <w:rPr>
                <w:sz w:val="18"/>
                <w:szCs w:val="18"/>
                <w:color w:val="auto"/>
              </w:rPr>
            </w:pPr>
          </w:p>
        </w:tc>
        <w:tc>
          <w:tcPr>
            <w:tcW w:w="2900" w:type="dxa"/>
            <w:vAlign w:val="bottom"/>
            <w:gridSpan w:val="2"/>
          </w:tcPr>
          <w:p>
            <w:pPr>
              <w:jc w:val="center"/>
              <w:ind w:left="2633"/>
              <w:spacing w:after="0"/>
              <w:rPr>
                <w:sz w:val="20"/>
                <w:szCs w:val="20"/>
                <w:color w:val="auto"/>
              </w:rPr>
            </w:pPr>
            <w:r>
              <w:rPr>
                <w:rFonts w:ascii="Times New Roman" w:cs="Times New Roman" w:eastAsia="Times New Roman" w:hAnsi="Times New Roman"/>
                <w:sz w:val="18"/>
                <w:szCs w:val="18"/>
                <w:color w:val="0000FF"/>
                <w:w w:val="99"/>
              </w:rPr>
              <w:t>91</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1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2900" w:type="dxa"/>
            <w:vAlign w:val="bottom"/>
            <w:gridSpan w:val="2"/>
          </w:tcPr>
          <w:p>
            <w:pPr>
              <w:jc w:val="center"/>
              <w:ind w:left="2633"/>
              <w:spacing w:after="0"/>
              <w:rPr>
                <w:sz w:val="20"/>
                <w:szCs w:val="20"/>
                <w:color w:val="auto"/>
              </w:rPr>
            </w:pPr>
            <w:r>
              <w:rPr>
                <w:rFonts w:ascii="Times New Roman" w:cs="Times New Roman" w:eastAsia="Times New Roman" w:hAnsi="Times New Roman"/>
                <w:sz w:val="18"/>
                <w:szCs w:val="18"/>
                <w:color w:val="0000FF"/>
                <w:w w:val="99"/>
              </w:rPr>
              <w:t>92</w:t>
            </w:r>
          </w:p>
        </w:tc>
        <w:tc>
          <w:tcPr>
            <w:tcW w:w="60" w:type="dxa"/>
            <w:vAlign w:val="bottom"/>
          </w:tcPr>
          <w:p>
            <w:pPr>
              <w:spacing w:after="0"/>
              <w:rPr>
                <w:sz w:val="18"/>
                <w:szCs w:val="18"/>
                <w:color w:val="auto"/>
              </w:rPr>
            </w:pPr>
          </w:p>
        </w:tc>
      </w:tr>
      <w:tr>
        <w:trPr>
          <w:trHeight w:val="20"/>
        </w:trPr>
        <w:tc>
          <w:tcPr>
            <w:tcW w:w="2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3440" w:type="dxa"/>
            <w:vAlign w:val="bottom"/>
            <w:gridSpan w:val="2"/>
          </w:tcPr>
          <w:p>
            <w:pPr>
              <w:spacing w:after="0"/>
              <w:rPr>
                <w:sz w:val="18"/>
                <w:szCs w:val="18"/>
                <w:color w:val="auto"/>
              </w:rPr>
            </w:pPr>
          </w:p>
        </w:tc>
        <w:tc>
          <w:tcPr>
            <w:tcW w:w="2900" w:type="dxa"/>
            <w:vAlign w:val="bottom"/>
            <w:gridSpan w:val="2"/>
          </w:tcPr>
          <w:p>
            <w:pPr>
              <w:jc w:val="center"/>
              <w:ind w:left="2633"/>
              <w:spacing w:after="0"/>
              <w:rPr>
                <w:sz w:val="20"/>
                <w:szCs w:val="20"/>
                <w:color w:val="auto"/>
              </w:rPr>
            </w:pPr>
            <w:r>
              <w:rPr>
                <w:rFonts w:ascii="Times New Roman" w:cs="Times New Roman" w:eastAsia="Times New Roman" w:hAnsi="Times New Roman"/>
                <w:sz w:val="18"/>
                <w:szCs w:val="18"/>
                <w:color w:val="0000FF"/>
                <w:w w:val="99"/>
              </w:rPr>
              <w:t>93</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1520" w:type="dxa"/>
            <w:vAlign w:val="bottom"/>
            <w:gridSpan w:val="2"/>
          </w:tcPr>
          <w:p>
            <w:pPr>
              <w:spacing w:after="0"/>
              <w:rPr>
                <w:sz w:val="18"/>
                <w:szCs w:val="18"/>
                <w:color w:val="auto"/>
              </w:rPr>
            </w:pPr>
          </w:p>
        </w:tc>
        <w:tc>
          <w:tcPr>
            <w:tcW w:w="3720" w:type="dxa"/>
            <w:vAlign w:val="bottom"/>
            <w:gridSpan w:val="3"/>
          </w:tcPr>
          <w:p>
            <w:pPr>
              <w:spacing w:after="0"/>
              <w:rPr>
                <w:sz w:val="18"/>
                <w:szCs w:val="18"/>
                <w:color w:val="auto"/>
              </w:rPr>
            </w:pPr>
          </w:p>
        </w:tc>
        <w:tc>
          <w:tcPr>
            <w:tcW w:w="2900" w:type="dxa"/>
            <w:vAlign w:val="bottom"/>
            <w:gridSpan w:val="2"/>
          </w:tcPr>
          <w:p>
            <w:pPr>
              <w:jc w:val="center"/>
              <w:ind w:left="2633"/>
              <w:spacing w:after="0"/>
              <w:rPr>
                <w:sz w:val="20"/>
                <w:szCs w:val="20"/>
                <w:color w:val="auto"/>
              </w:rPr>
            </w:pPr>
            <w:r>
              <w:rPr>
                <w:rFonts w:ascii="Times New Roman" w:cs="Times New Roman" w:eastAsia="Times New Roman" w:hAnsi="Times New Roman"/>
                <w:sz w:val="18"/>
                <w:szCs w:val="18"/>
                <w:color w:val="0000FF"/>
                <w:w w:val="99"/>
              </w:rPr>
              <w:t>94</w:t>
            </w:r>
          </w:p>
        </w:tc>
        <w:tc>
          <w:tcPr>
            <w:tcW w:w="60" w:type="dxa"/>
            <w:vAlign w:val="bottom"/>
          </w:tcPr>
          <w:p>
            <w:pPr>
              <w:spacing w:after="0"/>
              <w:rPr>
                <w:sz w:val="18"/>
                <w:szCs w:val="18"/>
                <w:color w:val="auto"/>
              </w:rPr>
            </w:pPr>
          </w:p>
        </w:tc>
      </w:tr>
      <w:tr>
        <w:trPr>
          <w:trHeight w:val="20"/>
        </w:trPr>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960" w:type="dxa"/>
            <w:vAlign w:val="bottom"/>
            <w:gridSpan w:val="4"/>
          </w:tcPr>
          <w:p>
            <w:pPr>
              <w:spacing w:after="0"/>
              <w:rPr>
                <w:sz w:val="18"/>
                <w:szCs w:val="18"/>
                <w:color w:val="auto"/>
              </w:rPr>
            </w:pPr>
          </w:p>
        </w:tc>
        <w:tc>
          <w:tcPr>
            <w:tcW w:w="2900" w:type="dxa"/>
            <w:vAlign w:val="bottom"/>
            <w:gridSpan w:val="2"/>
          </w:tcPr>
          <w:p>
            <w:pPr>
              <w:jc w:val="center"/>
              <w:ind w:left="2633"/>
              <w:spacing w:after="0"/>
              <w:rPr>
                <w:sz w:val="20"/>
                <w:szCs w:val="20"/>
                <w:color w:val="auto"/>
              </w:rPr>
            </w:pPr>
            <w:r>
              <w:rPr>
                <w:rFonts w:ascii="Times New Roman" w:cs="Times New Roman" w:eastAsia="Times New Roman" w:hAnsi="Times New Roman"/>
                <w:sz w:val="18"/>
                <w:szCs w:val="18"/>
                <w:color w:val="0000FF"/>
                <w:w w:val="99"/>
              </w:rPr>
              <w:t>95</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92" w:name="page93"/>
    <w:bookmarkEnd w:id="9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Seer,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Seer, Inc. and subsidiaries (the "Company") as of December 31, 2022 and 2021, the related consolidated statements of operations and comprehensive loss, changes in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right="3020"/>
        <w:spacing w:after="0" w:line="440" w:lineRule="auto"/>
        <w:rPr>
          <w:sz w:val="20"/>
          <w:szCs w:val="20"/>
          <w:color w:val="auto"/>
        </w:rPr>
      </w:pPr>
      <w:r>
        <w:rPr>
          <w:rFonts w:ascii="Times New Roman" w:cs="Times New Roman" w:eastAsia="Times New Roman" w:hAnsi="Times New Roman"/>
          <w:sz w:val="18"/>
          <w:szCs w:val="18"/>
          <w:b w:val="1"/>
          <w:bCs w:val="1"/>
          <w:color w:val="auto"/>
        </w:rPr>
        <w:t>Revenue – Revenue Recognition – Product and Services - Refer to Notes 2 and 5 to the financial statements Critical Audit Matter Description</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generates revenue from sales of products and services. The Company’s product, the Proteograph Product Suite, consists of an instrument with embedded software essential to the instrument’s functionality, and consumables as well as platform evaluation agreements. The Company’s services primarily consist of the generation and analysis of proteomic data. The Company recognizes revenue when control of the products and services are transferred to its customers in an amount that reflects the consideration it expects to be entitled to receive from its customers in exchange for those products and services. This process involves identifying the contract with a customer, determining performance obligations in the contract, determining the transaction price, allocating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ind w:right="20"/>
        <w:spacing w:after="0" w:line="282" w:lineRule="auto"/>
        <w:rPr>
          <w:sz w:val="20"/>
          <w:szCs w:val="20"/>
          <w:color w:val="auto"/>
        </w:rPr>
      </w:pPr>
      <w:r>
        <w:rPr>
          <w:rFonts w:ascii="Times New Roman" w:cs="Times New Roman" w:eastAsia="Times New Roman" w:hAnsi="Times New Roman"/>
          <w:sz w:val="18"/>
          <w:szCs w:val="18"/>
          <w:color w:val="auto"/>
        </w:rPr>
        <w:t>transaction price to the distinct performance obligations in the contract, and recognizing revenue when the performance obligations have been satisfied. For the year ended December 31, 2022, the Company recognized product and services revenue of $14.7 million.</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regularly enters into contracts that include various combinations of products and services, which are generally distinct and accounted for as separate performance obligations.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 In instances where right of payment or transfer of title is contingent upon the customer’s acceptance of the product, revenue is deferred until all acceptance criteria have been met.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spacing w:after="0" w:line="13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Given the significant judgments made by management to determine whether various combinations of products and services are distinct and accounted for as separate performance obligations, whether performance obligations have been satisfied, and the standalone selling price of performance obligations, performing audit procedures to evaluate the reasonableness of management’s judgments in the recognition of product and services revenue required a high degree of auditor judgment and an increased extent of effort, including the involvement of more experienced engagement team members. We have identified the revenue recognition of product and services revenue a critical audit matter.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significant judgments made by management in the recognition of products and services revenue included the following, among others:</w:t>
      </w:r>
    </w:p>
    <w:p>
      <w:pPr>
        <w:spacing w:after="0" w:line="108" w:lineRule="exact"/>
        <w:rPr>
          <w:sz w:val="20"/>
          <w:szCs w:val="20"/>
          <w:color w:val="auto"/>
        </w:rPr>
      </w:pPr>
    </w:p>
    <w:p>
      <w:pPr>
        <w:jc w:val="both"/>
        <w:ind w:left="180" w:right="40" w:hanging="172"/>
        <w:spacing w:after="0" w:line="266" w:lineRule="auto"/>
        <w:tabs>
          <w:tab w:leader="none" w:pos="1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implementation of controls over the Company’s revenue recognition process, including those over management’s determination of distinct performance obligations, determination of the timing of revenue recognition when performance obligations are satisfied, and determination of the standalone selling prices of performance obligations.</w:t>
      </w:r>
    </w:p>
    <w:p>
      <w:pPr>
        <w:spacing w:after="0" w:line="12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Company’s significant accounting policies related to product and services revenue recognition.</w:t>
      </w:r>
    </w:p>
    <w:p>
      <w:pPr>
        <w:spacing w:after="0" w:line="17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recorded product and services revenue transactions and performed the following procedures:</w:t>
      </w:r>
    </w:p>
    <w:p>
      <w:pPr>
        <w:spacing w:after="0" w:line="171" w:lineRule="exact"/>
        <w:rPr>
          <w:rFonts w:ascii="Times New Roman" w:cs="Times New Roman" w:eastAsia="Times New Roman" w:hAnsi="Times New Roman"/>
          <w:sz w:val="18"/>
          <w:szCs w:val="18"/>
          <w:color w:val="auto"/>
        </w:rPr>
      </w:pPr>
    </w:p>
    <w:p>
      <w:pPr>
        <w:ind w:left="820" w:right="640" w:hanging="326"/>
        <w:spacing w:after="0" w:line="312" w:lineRule="auto"/>
        <w:tabs>
          <w:tab w:leader="none" w:pos="816"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Obtained and read customer source documents such as contracts, master agreements, and/or amendments thereto, to evaluate if relevant contractual terms have been appropriately identified and considered by management in making revenue recognition judgments.</w:t>
      </w:r>
    </w:p>
    <w:p>
      <w:pPr>
        <w:spacing w:after="0" w:line="85" w:lineRule="exact"/>
        <w:rPr>
          <w:rFonts w:ascii="Times New Roman" w:cs="Times New Roman" w:eastAsia="Times New Roman" w:hAnsi="Times New Roman"/>
          <w:sz w:val="17"/>
          <w:szCs w:val="17"/>
          <w:color w:val="auto"/>
        </w:rPr>
      </w:pPr>
    </w:p>
    <w:p>
      <w:pPr>
        <w:ind w:left="820" w:right="800" w:hanging="326"/>
        <w:spacing w:after="0" w:line="282" w:lineRule="auto"/>
        <w:tabs>
          <w:tab w:leader="none" w:pos="81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application of the Company’s accounting policy and tested revenue recognition for the distinct performance obligations by comparing management’s judgments to the underlying source documents.</w:t>
      </w:r>
    </w:p>
    <w:p>
      <w:pPr>
        <w:spacing w:after="0" w:line="10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calculations of product and services revenue.</w:t>
      </w:r>
    </w:p>
    <w:p>
      <w:pPr>
        <w:spacing w:after="0" w:line="171" w:lineRule="exact"/>
        <w:rPr>
          <w:rFonts w:ascii="Times New Roman" w:cs="Times New Roman" w:eastAsia="Times New Roman" w:hAnsi="Times New Roman"/>
          <w:sz w:val="18"/>
          <w:szCs w:val="18"/>
          <w:color w:val="auto"/>
        </w:rPr>
      </w:pPr>
    </w:p>
    <w:p>
      <w:pPr>
        <w:ind w:left="820" w:right="40" w:hanging="326"/>
        <w:spacing w:after="0" w:line="282" w:lineRule="auto"/>
        <w:tabs>
          <w:tab w:leader="none" w:pos="81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appropriateness of management’s determination of the timing of revenue recognition and obtained third party evidence of transfer of control of the products and services to the customer.</w:t>
      </w:r>
    </w:p>
    <w:p>
      <w:pPr>
        <w:spacing w:after="0" w:line="107"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determination of standalone selling prices by performing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4" w:name="page95"/>
    <w:bookmarkEnd w:id="94"/>
    <w:p>
      <w:pPr>
        <w:ind w:left="820" w:hanging="326"/>
        <w:spacing w:after="0"/>
        <w:tabs>
          <w:tab w:leader="none" w:pos="8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application of the Company’s accounting policy and mathematical accuracy of the determined standalone selling prices.</w:t>
      </w:r>
    </w:p>
    <w:p>
      <w:pPr>
        <w:spacing w:after="0" w:line="182" w:lineRule="exact"/>
        <w:rPr>
          <w:rFonts w:ascii="Times New Roman" w:cs="Times New Roman" w:eastAsia="Times New Roman" w:hAnsi="Times New Roman"/>
          <w:sz w:val="17"/>
          <w:szCs w:val="17"/>
          <w:color w:val="auto"/>
        </w:rPr>
      </w:pPr>
    </w:p>
    <w:p>
      <w:pPr>
        <w:ind w:left="820" w:hanging="326"/>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completeness and accuracy of the source data used in management’s calculations.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and Touche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2023</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417" w:right="109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434,982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487,929</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539,139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9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$0.00001 par value; 5,000,000 shares authorized as of December 31, 2022 and 2021; zero</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issued and outstanding as of December 31, 2022 and 2021</w:t>
            </w:r>
          </w:p>
        </w:tc>
        <w:tc>
          <w:tcPr>
            <w:tcW w:w="380" w:type="dxa"/>
            <w:vAlign w:val="bottom"/>
          </w:tcPr>
          <w:p>
            <w:pPr>
              <w:spacing w:after="0"/>
              <w:rPr>
                <w:sz w:val="20"/>
                <w:szCs w:val="20"/>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4"/>
        </w:trPr>
        <w:tc>
          <w:tcPr>
            <w:tcW w:w="7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9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common stock, $0.00001 par value; 94,000,000 shares authorized as of December 31, 2022 and</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920" w:type="dxa"/>
            <w:vAlign w:val="bottom"/>
            <w:shd w:val="clear" w:color="auto" w:fill="CCEEFF"/>
          </w:tcPr>
          <w:p>
            <w:pPr>
              <w:ind w:left="400"/>
              <w:spacing w:after="0" w:line="184" w:lineRule="exact"/>
              <w:rPr>
                <w:sz w:val="20"/>
                <w:szCs w:val="20"/>
                <w:color w:val="auto"/>
              </w:rPr>
            </w:pPr>
            <w:r>
              <w:rPr>
                <w:rFonts w:ascii="Times New Roman" w:cs="Times New Roman" w:eastAsia="Times New Roman" w:hAnsi="Times New Roman"/>
                <w:sz w:val="18"/>
                <w:szCs w:val="18"/>
                <w:color w:val="auto"/>
              </w:rPr>
              <w:t>2021; 59,366,077 and 57,493,005 shares issued and outstanding as of December 31, 2022 and 2021,</w:t>
            </w:r>
          </w:p>
        </w:tc>
        <w:tc>
          <w:tcPr>
            <w:tcW w:w="3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38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9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$0.00001 par value; 6,000,000 shares authorized as of December 31, 2022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920" w:type="dxa"/>
            <w:vAlign w:val="bottom"/>
          </w:tcPr>
          <w:p>
            <w:pPr>
              <w:ind w:left="400"/>
              <w:spacing w:after="0" w:line="184" w:lineRule="exact"/>
              <w:rPr>
                <w:sz w:val="20"/>
                <w:szCs w:val="20"/>
                <w:color w:val="auto"/>
              </w:rPr>
            </w:pPr>
            <w:r>
              <w:rPr>
                <w:rFonts w:ascii="Times New Roman" w:cs="Times New Roman" w:eastAsia="Times New Roman" w:hAnsi="Times New Roman"/>
                <w:sz w:val="18"/>
                <w:szCs w:val="18"/>
                <w:color w:val="auto"/>
              </w:rPr>
              <w:t>2021; 4,044,969 and 4,522,478 shares issued and outstanding as of December 31, 2022 and 2021,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380" w:type="dxa"/>
            <w:vAlign w:val="bottom"/>
          </w:tcPr>
          <w:p>
            <w:pPr>
              <w:spacing w:after="0"/>
              <w:rPr>
                <w:sz w:val="20"/>
                <w:szCs w:val="20"/>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7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629,981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(219,496)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(126,530)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446,993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487,929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539,139</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7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2"/>
        </w:trPr>
        <w:tc>
          <w:tcPr>
            <w:tcW w:w="7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Pr>
          <w:p>
            <w:pPr>
              <w:spacing w:after="0"/>
              <w:rPr>
                <w:sz w:val="23"/>
                <w:szCs w:val="23"/>
                <w:color w:val="auto"/>
              </w:rPr>
            </w:pPr>
          </w:p>
        </w:tc>
      </w:tr>
      <w:tr>
        <w:trPr>
          <w:trHeight w:val="27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3"/>
                <w:szCs w:val="23"/>
                <w:color w:val="auto"/>
              </w:rPr>
            </w:pPr>
          </w:p>
        </w:tc>
      </w:tr>
      <w:tr>
        <w:trPr>
          <w:trHeight w:val="270"/>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23"/>
                <w:szCs w:val="23"/>
                <w:color w:val="auto"/>
              </w:rPr>
            </w:pPr>
          </w:p>
        </w:tc>
      </w:tr>
      <w:tr>
        <w:trPr>
          <w:trHeight w:val="27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 and other</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23"/>
                <w:szCs w:val="23"/>
                <w:color w:val="auto"/>
              </w:rPr>
            </w:pPr>
          </w:p>
        </w:tc>
      </w:tr>
      <w:tr>
        <w:trPr>
          <w:trHeight w:val="250"/>
        </w:trPr>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00" w:type="dxa"/>
            <w:vAlign w:val="bottom"/>
          </w:tcPr>
          <w:p>
            <w:pPr>
              <w:spacing w:after="0"/>
              <w:rPr>
                <w:sz w:val="21"/>
                <w:szCs w:val="21"/>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3"/>
                <w:szCs w:val="23"/>
                <w:color w:val="auto"/>
              </w:rPr>
            </w:pPr>
          </w:p>
        </w:tc>
      </w:tr>
      <w:tr>
        <w:trPr>
          <w:trHeight w:val="27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3"/>
                <w:szCs w:val="23"/>
                <w:color w:val="auto"/>
              </w:rPr>
            </w:pPr>
          </w:p>
        </w:tc>
      </w:tr>
      <w:tr>
        <w:trPr>
          <w:trHeight w:val="270"/>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3"/>
                <w:szCs w:val="23"/>
                <w:color w:val="auto"/>
              </w:rPr>
            </w:pPr>
          </w:p>
        </w:tc>
      </w:tr>
      <w:tr>
        <w:trPr>
          <w:trHeight w:val="27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 and other</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Borders>
              <w:bottom w:val="single" w:sz="8" w:color="CCEEFF"/>
            </w:tcBorders>
          </w:tcPr>
          <w:p>
            <w:pPr>
              <w:spacing w:after="0"/>
              <w:rPr>
                <w:sz w:val="21"/>
                <w:szCs w:val="21"/>
                <w:color w:val="auto"/>
              </w:rPr>
            </w:pPr>
          </w:p>
        </w:tc>
      </w:tr>
      <w:tr>
        <w:trPr>
          <w:trHeight w:val="25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shd w:val="clear" w:color="auto" w:fill="CCEEFF"/>
          </w:tcPr>
          <w:p>
            <w:pPr>
              <w:spacing w:after="0"/>
              <w:rPr>
                <w:sz w:val="21"/>
                <w:szCs w:val="2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7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w:t>
            </w:r>
          </w:p>
        </w:tc>
        <w:tc>
          <w:tcPr>
            <w:tcW w:w="100" w:type="dxa"/>
            <w:vAlign w:val="bottom"/>
            <w:shd w:val="clear" w:color="auto" w:fill="CCEEFF"/>
          </w:tcPr>
          <w:p>
            <w:pPr>
              <w:spacing w:after="0"/>
              <w:rPr>
                <w:sz w:val="23"/>
                <w:szCs w:val="23"/>
                <w:color w:val="auto"/>
              </w:rPr>
            </w:pPr>
          </w:p>
        </w:tc>
      </w:tr>
      <w:tr>
        <w:trPr>
          <w:trHeight w:val="270"/>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45,764</w:t>
            </w:r>
          </w:p>
        </w:tc>
        <w:tc>
          <w:tcPr>
            <w:tcW w:w="100" w:type="dxa"/>
            <w:vAlign w:val="bottom"/>
            <w:tcBorders>
              <w:bottom w:val="single" w:sz="8" w:color="CCEEFF"/>
            </w:tcBorders>
          </w:tcPr>
          <w:p>
            <w:pPr>
              <w:spacing w:after="0"/>
              <w:rPr>
                <w:sz w:val="23"/>
                <w:szCs w:val="23"/>
                <w:color w:val="auto"/>
              </w:rPr>
            </w:pPr>
          </w:p>
        </w:tc>
      </w:tr>
      <w:tr>
        <w:trPr>
          <w:trHeight w:val="250"/>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74,885</w:t>
            </w:r>
          </w:p>
        </w:tc>
        <w:tc>
          <w:tcPr>
            <w:tcW w:w="100" w:type="dxa"/>
            <w:vAlign w:val="bottom"/>
            <w:shd w:val="clear" w:color="auto" w:fill="CCEEFF"/>
          </w:tcPr>
          <w:p>
            <w:pPr>
              <w:spacing w:after="0"/>
              <w:rPr>
                <w:sz w:val="21"/>
                <w:szCs w:val="21"/>
                <w:color w:val="auto"/>
              </w:rPr>
            </w:pP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(71,473)</w:t>
            </w:r>
          </w:p>
        </w:tc>
        <w:tc>
          <w:tcPr>
            <w:tcW w:w="100" w:type="dxa"/>
            <w:vAlign w:val="bottom"/>
          </w:tcPr>
          <w:p>
            <w:pPr>
              <w:spacing w:after="0"/>
              <w:rPr>
                <w:sz w:val="21"/>
                <w:szCs w:val="21"/>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3"/>
                <w:szCs w:val="23"/>
                <w:color w:val="auto"/>
              </w:rPr>
            </w:pPr>
          </w:p>
        </w:tc>
      </w:tr>
      <w:tr>
        <w:trPr>
          <w:trHeight w:val="27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3"/>
                <w:szCs w:val="23"/>
                <w:color w:val="auto"/>
              </w:rPr>
            </w:pPr>
          </w:p>
        </w:tc>
      </w:tr>
      <w:tr>
        <w:trPr>
          <w:trHeight w:val="270"/>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top w:val="single" w:sz="8" w:color="CCEEFF"/>
            </w:tcBorders>
            <w:shd w:val="clear" w:color="auto" w:fill="CCEEFF"/>
          </w:tcPr>
          <w:p>
            <w:pPr>
              <w:spacing w:after="0"/>
              <w:rPr>
                <w:sz w:val="21"/>
                <w:szCs w:val="21"/>
                <w:color w:val="auto"/>
              </w:rPr>
            </w:pPr>
          </w:p>
        </w:tc>
      </w:tr>
      <w:tr>
        <w:trPr>
          <w:trHeight w:val="25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(71,169)</w:t>
            </w:r>
          </w:p>
        </w:tc>
        <w:tc>
          <w:tcPr>
            <w:tcW w:w="100" w:type="dxa"/>
            <w:vAlign w:val="bottom"/>
            <w:tcBorders>
              <w:bottom w:val="single" w:sz="8" w:color="CCEEFF"/>
            </w:tcBorders>
          </w:tcPr>
          <w:p>
            <w:pPr>
              <w:spacing w:after="0"/>
              <w:rPr>
                <w:sz w:val="21"/>
                <w:szCs w:val="21"/>
                <w:color w:val="auto"/>
              </w:rPr>
            </w:pPr>
          </w:p>
        </w:tc>
      </w:tr>
      <w:tr>
        <w:trPr>
          <w:trHeight w:val="23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70"/>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tcPr>
          <w:p>
            <w:pPr>
              <w:spacing w:after="0"/>
              <w:rPr>
                <w:sz w:val="23"/>
                <w:szCs w:val="23"/>
                <w:color w:val="auto"/>
              </w:rPr>
            </w:pP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44"/>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89"/>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62,433,613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60,863,950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06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40" w:type="dxa"/>
            <w:vAlign w:val="bottom"/>
            <w:gridSpan w:val="3"/>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59,261,051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486,915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(55,361)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431,609</w:t>
            </w:r>
          </w:p>
        </w:tc>
        <w:tc>
          <w:tcPr>
            <w:tcW w:w="0" w:type="dxa"/>
            <w:vAlign w:val="bottom"/>
          </w:tcPr>
          <w:p>
            <w:pPr>
              <w:spacing w:after="0"/>
              <w:rPr>
                <w:sz w:val="1"/>
                <w:szCs w:val="1"/>
                <w:color w:val="auto"/>
              </w:rPr>
            </w:pPr>
          </w:p>
        </w:tc>
      </w:tr>
      <w:tr>
        <w:trPr>
          <w:trHeight w:val="162"/>
        </w:trPr>
        <w:tc>
          <w:tcPr>
            <w:tcW w:w="49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Issuance of Class A common stock from exercise of options and release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1,107,059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0" w:type="dxa"/>
            <w:vAlign w:val="bottom"/>
          </w:tcPr>
          <w:p>
            <w:pPr>
              <w:spacing w:after="0"/>
              <w:rPr>
                <w:sz w:val="1"/>
                <w:szCs w:val="1"/>
                <w:color w:val="auto"/>
              </w:rPr>
            </w:pPr>
          </w:p>
        </w:tc>
      </w:tr>
      <w:tr>
        <w:trPr>
          <w:trHeight w:val="213"/>
        </w:trPr>
        <w:tc>
          <w:tcPr>
            <w:tcW w:w="4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of restricted stock units</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Class A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Vesting of early exercised stock options and restricted common stock</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Issuance of Class A common stock upon follow-on offering, net of</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102,959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issuance costs of $7,591</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Issuance of Class A common stock in connection with employee stock</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13"/>
        </w:trPr>
        <w:tc>
          <w:tcPr>
            <w:tcW w:w="4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plan</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Return of profit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11,403</w:t>
            </w:r>
          </w:p>
        </w:tc>
        <w:tc>
          <w:tcPr>
            <w:tcW w:w="0" w:type="dxa"/>
            <w:vAlign w:val="bottom"/>
          </w:tcPr>
          <w:p>
            <w:pPr>
              <w:spacing w:after="0"/>
              <w:rPr>
                <w:sz w:val="1"/>
                <w:szCs w:val="1"/>
                <w:color w:val="auto"/>
              </w:rPr>
            </w:pPr>
          </w:p>
        </w:tc>
      </w:tr>
      <w:tr>
        <w:trPr>
          <w:trHeight w:val="240"/>
        </w:trPr>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25,927</w:t>
            </w:r>
          </w:p>
        </w:tc>
        <w:tc>
          <w:tcPr>
            <w:tcW w:w="0" w:type="dxa"/>
            <w:vAlign w:val="bottom"/>
          </w:tcPr>
          <w:p>
            <w:pPr>
              <w:spacing w:after="0"/>
              <w:rPr>
                <w:sz w:val="1"/>
                <w:szCs w:val="1"/>
                <w:color w:val="auto"/>
              </w:rPr>
            </w:pPr>
          </w:p>
        </w:tc>
      </w:tr>
      <w:tr>
        <w:trPr>
          <w:trHeight w:val="24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40"/>
        </w:trPr>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(71,169)</w:t>
            </w:r>
          </w:p>
        </w:tc>
        <w:tc>
          <w:tcPr>
            <w:tcW w:w="0" w:type="dxa"/>
            <w:vAlign w:val="bottom"/>
          </w:tcPr>
          <w:p>
            <w:pPr>
              <w:spacing w:after="0"/>
              <w:rPr>
                <w:sz w:val="1"/>
                <w:szCs w:val="1"/>
                <w:color w:val="auto"/>
              </w:rPr>
            </w:pPr>
          </w:p>
        </w:tc>
      </w:tr>
      <w:tr>
        <w:trPr>
          <w:trHeight w:val="264"/>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62,015,483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629,981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(126,530)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502,916</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120"/>
              <w:spacing w:after="0" w:line="149" w:lineRule="exact"/>
              <w:rPr>
                <w:sz w:val="20"/>
                <w:szCs w:val="20"/>
                <w:color w:val="auto"/>
              </w:rPr>
            </w:pPr>
            <w:r>
              <w:rPr>
                <w:rFonts w:ascii="Times New Roman" w:cs="Times New Roman" w:eastAsia="Times New Roman" w:hAnsi="Times New Roman"/>
                <w:sz w:val="16"/>
                <w:szCs w:val="16"/>
                <w:color w:val="auto"/>
              </w:rPr>
              <w:t>Issuance of Class A common stock from exercise of options and release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900" w:type="dxa"/>
            <w:vAlign w:val="bottom"/>
            <w:vMerge w:val="continue"/>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1,293,905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9"/>
                <w:szCs w:val="9"/>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0" w:type="dxa"/>
            <w:vAlign w:val="bottom"/>
          </w:tcPr>
          <w:p>
            <w:pPr>
              <w:spacing w:after="0"/>
              <w:rPr>
                <w:sz w:val="1"/>
                <w:szCs w:val="1"/>
                <w:color w:val="auto"/>
              </w:rPr>
            </w:pPr>
          </w:p>
        </w:tc>
      </w:tr>
      <w:tr>
        <w:trPr>
          <w:trHeight w:val="213"/>
        </w:trPr>
        <w:tc>
          <w:tcPr>
            <w:tcW w:w="4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of restricted stock units</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Class A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Vesting of early exercised stock options and restricted common stock</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Issuance of Class A common stock in connection with employee stock</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107,499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 plan</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33,673</w:t>
            </w:r>
          </w:p>
        </w:tc>
        <w:tc>
          <w:tcPr>
            <w:tcW w:w="0" w:type="dxa"/>
            <w:vAlign w:val="bottom"/>
          </w:tcPr>
          <w:p>
            <w:pPr>
              <w:spacing w:after="0"/>
              <w:rPr>
                <w:sz w:val="1"/>
                <w:szCs w:val="1"/>
                <w:color w:val="auto"/>
              </w:rPr>
            </w:pPr>
          </w:p>
        </w:tc>
      </w:tr>
      <w:tr>
        <w:trPr>
          <w:trHeight w:val="24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0" w:type="dxa"/>
            <w:vAlign w:val="bottom"/>
          </w:tcPr>
          <w:p>
            <w:pPr>
              <w:spacing w:after="0"/>
              <w:rPr>
                <w:sz w:val="1"/>
                <w:szCs w:val="1"/>
                <w:color w:val="auto"/>
              </w:rPr>
            </w:pPr>
          </w:p>
        </w:tc>
      </w:tr>
      <w:tr>
        <w:trPr>
          <w:trHeight w:val="240"/>
        </w:trPr>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(92,966)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(92,966)</w:t>
            </w:r>
          </w:p>
        </w:tc>
        <w:tc>
          <w:tcPr>
            <w:tcW w:w="0" w:type="dxa"/>
            <w:vAlign w:val="bottom"/>
          </w:tcPr>
          <w:p>
            <w:pPr>
              <w:spacing w:after="0"/>
              <w:rPr>
                <w:sz w:val="1"/>
                <w:szCs w:val="1"/>
                <w:color w:val="auto"/>
              </w:rPr>
            </w:pPr>
          </w:p>
        </w:tc>
      </w:tr>
      <w:tr>
        <w:trPr>
          <w:trHeight w:val="265"/>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63,411,046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667,739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(219,496)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446,993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175895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17" w:right="39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58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7"/>
        </w:trPr>
        <w:tc>
          <w:tcPr>
            <w:tcW w:w="78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86"/>
        </w:trPr>
        <w:tc>
          <w:tcPr>
            <w:tcW w:w="78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7"/>
        </w:trPr>
        <w:tc>
          <w:tcPr>
            <w:tcW w:w="78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189"/>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19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(92,966)</w:t>
            </w:r>
          </w:p>
        </w:tc>
        <w:tc>
          <w:tcPr>
            <w:tcW w:w="100" w:type="dxa"/>
            <w:vAlign w:val="bottom"/>
          </w:tcPr>
          <w:p>
            <w:pPr>
              <w:spacing w:after="0"/>
              <w:rPr>
                <w:sz w:val="16"/>
                <w:szCs w:val="16"/>
                <w:color w:val="auto"/>
              </w:rPr>
            </w:pP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(71,169)</w:t>
            </w:r>
          </w:p>
        </w:tc>
        <w:tc>
          <w:tcPr>
            <w:tcW w:w="80" w:type="dxa"/>
            <w:vAlign w:val="bottom"/>
          </w:tcPr>
          <w:p>
            <w:pPr>
              <w:spacing w:after="0"/>
              <w:rPr>
                <w:sz w:val="16"/>
                <w:szCs w:val="16"/>
                <w:color w:val="auto"/>
              </w:rPr>
            </w:pPr>
          </w:p>
        </w:tc>
      </w:tr>
      <w:tr>
        <w:trPr>
          <w:trHeight w:val="37"/>
        </w:trPr>
        <w:tc>
          <w:tcPr>
            <w:tcW w:w="7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1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193"/>
        </w:trPr>
        <w:tc>
          <w:tcPr>
            <w:tcW w:w="7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33,673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25,927</w:t>
            </w:r>
          </w:p>
        </w:tc>
        <w:tc>
          <w:tcPr>
            <w:tcW w:w="80" w:type="dxa"/>
            <w:vAlign w:val="bottom"/>
          </w:tcPr>
          <w:p>
            <w:pPr>
              <w:spacing w:after="0"/>
              <w:rPr>
                <w:sz w:val="16"/>
                <w:szCs w:val="16"/>
                <w:color w:val="auto"/>
              </w:rPr>
            </w:pPr>
          </w:p>
        </w:tc>
      </w:tr>
      <w:tr>
        <w:trPr>
          <w:trHeight w:val="37"/>
        </w:trPr>
        <w:tc>
          <w:tcPr>
            <w:tcW w:w="7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09"/>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93"/>
        </w:trPr>
        <w:tc>
          <w:tcPr>
            <w:tcW w:w="7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09"/>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amortization of premium on available-for-sale securities</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93"/>
        </w:trPr>
        <w:tc>
          <w:tcPr>
            <w:tcW w:w="7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Provision for inventory excess and obsolescence</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09"/>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93"/>
        </w:trPr>
        <w:tc>
          <w:tcPr>
            <w:tcW w:w="7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7"/>
        </w:trPr>
        <w:tc>
          <w:tcPr>
            <w:tcW w:w="7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10"/>
        </w:trPr>
        <w:tc>
          <w:tcPr>
            <w:tcW w:w="7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 net</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93"/>
        </w:trPr>
        <w:tc>
          <w:tcPr>
            <w:tcW w:w="7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Related party receivables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80" w:type="dxa"/>
            <w:vAlign w:val="bottom"/>
          </w:tcPr>
          <w:p>
            <w:pPr>
              <w:spacing w:after="0"/>
              <w:rPr>
                <w:sz w:val="16"/>
                <w:szCs w:val="16"/>
                <w:color w:val="auto"/>
              </w:rPr>
            </w:pPr>
          </w:p>
        </w:tc>
      </w:tr>
      <w:tr>
        <w:trPr>
          <w:trHeight w:val="37"/>
        </w:trPr>
        <w:tc>
          <w:tcPr>
            <w:tcW w:w="7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10"/>
        </w:trPr>
        <w:tc>
          <w:tcPr>
            <w:tcW w:w="7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receivables</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93"/>
        </w:trPr>
        <w:tc>
          <w:tcPr>
            <w:tcW w:w="7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80" w:type="dxa"/>
            <w:vAlign w:val="bottom"/>
          </w:tcPr>
          <w:p>
            <w:pPr>
              <w:spacing w:after="0"/>
              <w:rPr>
                <w:sz w:val="16"/>
                <w:szCs w:val="16"/>
                <w:color w:val="auto"/>
              </w:rPr>
            </w:pPr>
          </w:p>
        </w:tc>
      </w:tr>
      <w:tr>
        <w:trPr>
          <w:trHeight w:val="37"/>
        </w:trPr>
        <w:tc>
          <w:tcPr>
            <w:tcW w:w="7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09"/>
        </w:trPr>
        <w:tc>
          <w:tcPr>
            <w:tcW w:w="7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Inventory</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93"/>
        </w:trPr>
        <w:tc>
          <w:tcPr>
            <w:tcW w:w="7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assets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6"/>
                <w:szCs w:val="16"/>
                <w:color w:val="auto"/>
              </w:rPr>
            </w:pPr>
          </w:p>
        </w:tc>
      </w:tr>
      <w:tr>
        <w:trPr>
          <w:trHeight w:val="37"/>
        </w:trPr>
        <w:tc>
          <w:tcPr>
            <w:tcW w:w="7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09"/>
        </w:trPr>
        <w:tc>
          <w:tcPr>
            <w:tcW w:w="7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93"/>
        </w:trPr>
        <w:tc>
          <w:tcPr>
            <w:tcW w:w="7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revenue</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6"/>
                <w:szCs w:val="16"/>
                <w:color w:val="auto"/>
              </w:rPr>
            </w:pPr>
          </w:p>
        </w:tc>
      </w:tr>
      <w:tr>
        <w:trPr>
          <w:trHeight w:val="37"/>
        </w:trPr>
        <w:tc>
          <w:tcPr>
            <w:tcW w:w="7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10"/>
        </w:trPr>
        <w:tc>
          <w:tcPr>
            <w:tcW w:w="7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rent</w:t>
            </w:r>
          </w:p>
        </w:tc>
        <w:tc>
          <w:tcPr>
            <w:tcW w:w="9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Accrued expenses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2,277</w:t>
            </w:r>
          </w:p>
        </w:tc>
        <w:tc>
          <w:tcPr>
            <w:tcW w:w="80" w:type="dxa"/>
            <w:vAlign w:val="bottom"/>
          </w:tcPr>
          <w:p>
            <w:pPr>
              <w:spacing w:after="0"/>
              <w:rPr>
                <w:sz w:val="16"/>
                <w:szCs w:val="16"/>
                <w:color w:val="auto"/>
              </w:rPr>
            </w:pPr>
          </w:p>
        </w:tc>
      </w:tr>
      <w:tr>
        <w:trPr>
          <w:trHeight w:val="37"/>
        </w:trPr>
        <w:tc>
          <w:tcPr>
            <w:tcW w:w="7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10"/>
        </w:trPr>
        <w:tc>
          <w:tcPr>
            <w:tcW w:w="7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research and development</w:t>
            </w:r>
          </w:p>
        </w:tc>
        <w:tc>
          <w:tcPr>
            <w:tcW w:w="9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93"/>
        </w:trPr>
        <w:tc>
          <w:tcPr>
            <w:tcW w:w="7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r>
      <w:tr>
        <w:trPr>
          <w:trHeight w:val="37"/>
        </w:trPr>
        <w:tc>
          <w:tcPr>
            <w:tcW w:w="7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10"/>
        </w:trPr>
        <w:tc>
          <w:tcPr>
            <w:tcW w:w="7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r>
      <w:tr>
        <w:trPr>
          <w:trHeight w:val="37"/>
        </w:trPr>
        <w:tc>
          <w:tcPr>
            <w:tcW w:w="78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23"/>
        </w:trPr>
        <w:tc>
          <w:tcPr>
            <w:tcW w:w="7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(60,780)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(46,347)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7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37"/>
        </w:trPr>
        <w:tc>
          <w:tcPr>
            <w:tcW w:w="7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1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(10,265)</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disposal of property and equipment</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available-for-sale securities</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(366,268)</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(279,956)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9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253,645</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116,000</w:t>
            </w:r>
          </w:p>
        </w:tc>
        <w:tc>
          <w:tcPr>
            <w:tcW w:w="80" w:type="dxa"/>
            <w:vAlign w:val="bottom"/>
          </w:tcPr>
          <w:p>
            <w:pPr>
              <w:spacing w:after="0"/>
              <w:rPr>
                <w:sz w:val="16"/>
                <w:szCs w:val="16"/>
                <w:color w:val="auto"/>
              </w:rPr>
            </w:pPr>
          </w:p>
        </w:tc>
      </w:tr>
      <w:tr>
        <w:trPr>
          <w:trHeight w:val="37"/>
        </w:trPr>
        <w:tc>
          <w:tcPr>
            <w:tcW w:w="78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23"/>
        </w:trPr>
        <w:tc>
          <w:tcPr>
            <w:tcW w:w="7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(122,718)</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(170,878)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7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37"/>
        </w:trPr>
        <w:tc>
          <w:tcPr>
            <w:tcW w:w="7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1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upon follow-on public offering, net of issuance costs</w:t>
            </w:r>
          </w:p>
        </w:tc>
        <w:tc>
          <w:tcPr>
            <w:tcW w:w="9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102,959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return of profit</w:t>
            </w:r>
          </w:p>
        </w:tc>
        <w:tc>
          <w:tcPr>
            <w:tcW w:w="9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11,403</w:t>
            </w:r>
          </w:p>
        </w:tc>
        <w:tc>
          <w:tcPr>
            <w:tcW w:w="80" w:type="dxa"/>
            <w:vAlign w:val="bottom"/>
          </w:tcPr>
          <w:p>
            <w:pPr>
              <w:spacing w:after="0"/>
              <w:rPr>
                <w:sz w:val="17"/>
                <w:szCs w:val="17"/>
                <w:color w:val="auto"/>
              </w:rPr>
            </w:pPr>
          </w:p>
        </w:tc>
      </w:tr>
      <w:tr>
        <w:trPr>
          <w:trHeight w:val="23"/>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Class A common stock</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Class A common stock options including early exercised options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1,885</w:t>
            </w:r>
          </w:p>
        </w:tc>
        <w:tc>
          <w:tcPr>
            <w:tcW w:w="80" w:type="dxa"/>
            <w:vAlign w:val="bottom"/>
          </w:tcPr>
          <w:p>
            <w:pPr>
              <w:spacing w:after="0"/>
              <w:rPr>
                <w:sz w:val="17"/>
                <w:szCs w:val="17"/>
                <w:color w:val="auto"/>
              </w:rPr>
            </w:pPr>
          </w:p>
        </w:tc>
      </w:tr>
      <w:tr>
        <w:trPr>
          <w:trHeight w:val="23"/>
        </w:trPr>
        <w:tc>
          <w:tcPr>
            <w:tcW w:w="7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in connection with employee stock purchase plan</w:t>
            </w:r>
          </w:p>
        </w:tc>
        <w:tc>
          <w:tcPr>
            <w:tcW w:w="9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86"/>
        </w:trPr>
        <w:tc>
          <w:tcPr>
            <w:tcW w:w="78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116,634</w:t>
            </w:r>
          </w:p>
        </w:tc>
        <w:tc>
          <w:tcPr>
            <w:tcW w:w="80" w:type="dxa"/>
            <w:vAlign w:val="bottom"/>
          </w:tcPr>
          <w:p>
            <w:pPr>
              <w:spacing w:after="0"/>
              <w:rPr>
                <w:sz w:val="16"/>
                <w:szCs w:val="16"/>
                <w:color w:val="auto"/>
              </w:rPr>
            </w:pPr>
          </w:p>
        </w:tc>
      </w:tr>
      <w:tr>
        <w:trPr>
          <w:trHeight w:val="37"/>
        </w:trPr>
        <w:tc>
          <w:tcPr>
            <w:tcW w:w="78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0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(179,605)</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(100,591)</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233,337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333,928</w:t>
            </w:r>
          </w:p>
        </w:tc>
        <w:tc>
          <w:tcPr>
            <w:tcW w:w="80" w:type="dxa"/>
            <w:vAlign w:val="bottom"/>
          </w:tcPr>
          <w:p>
            <w:pPr>
              <w:spacing w:after="0"/>
              <w:rPr>
                <w:sz w:val="16"/>
                <w:szCs w:val="16"/>
                <w:color w:val="auto"/>
              </w:rPr>
            </w:pPr>
          </w:p>
        </w:tc>
      </w:tr>
      <w:tr>
        <w:trPr>
          <w:trHeight w:val="37"/>
        </w:trPr>
        <w:tc>
          <w:tcPr>
            <w:tcW w:w="78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233,337</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55"/>
        </w:trPr>
        <w:tc>
          <w:tcPr>
            <w:tcW w:w="7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9"/>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tcPr>
          <w:p>
            <w:pPr>
              <w:spacing w:after="0"/>
              <w:rPr>
                <w:sz w:val="19"/>
                <w:szCs w:val="19"/>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34"/>
        </w:trPr>
        <w:tc>
          <w:tcPr>
            <w:tcW w:w="78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9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7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purchases included in accounts payable</w:t>
            </w: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0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purchases included in accrued expenses</w:t>
            </w: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7"/>
                <w:szCs w:val="17"/>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4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Inventory transferred to property and equipment</w:t>
            </w:r>
          </w:p>
        </w:tc>
        <w:tc>
          <w:tcPr>
            <w:tcW w:w="94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0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 obtained in exchange for right-of-use assets</w:t>
            </w: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6,855</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23,232</w:t>
            </w:r>
          </w:p>
        </w:tc>
        <w:tc>
          <w:tcPr>
            <w:tcW w:w="80" w:type="dxa"/>
            <w:vAlign w:val="bottom"/>
          </w:tcPr>
          <w:p>
            <w:pPr>
              <w:spacing w:after="0"/>
              <w:rPr>
                <w:sz w:val="17"/>
                <w:szCs w:val="17"/>
                <w:color w:val="auto"/>
              </w:rPr>
            </w:pPr>
          </w:p>
        </w:tc>
      </w:tr>
      <w:tr>
        <w:trPr>
          <w:trHeight w:val="25"/>
        </w:trPr>
        <w:tc>
          <w:tcPr>
            <w:tcW w:w="78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120"/>
          </w:cols>
          <w:pgMar w:left="380" w:top="117" w:right="399"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7" w:right="399" w:bottom="555"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THE BUSINESS</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Seer, Inc. (the Company) was incorporated in Delaware on March 16, 2017, and is headquartered in Redwood City, California. In December 2020, the Company formed the wholly-owned subsidiary, Seer Securities Corporation, located in Massachusetts. On May 25, 2022, the Company incorporated Seer Bio UK Limited, a wholly-owned subsidiary, under the laws of United Kingdom. The Company is a life sciences company focused on capturing deep molecular insights from the proteome to enable novel insights and breakthroughs in the understanding of biology and disease. Since inception, the Company has devoted its efforts principally to research, development and commercialization of its technology and products, recruiting management and technical staff, acquiring operating assets, and raising capital.</w:t>
      </w:r>
    </w:p>
    <w:p>
      <w:pPr>
        <w:spacing w:after="0" w:line="13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early-stage life science companies, including, but not limited to, development and commercialization of its products, market acceptance of its products, development by its competitors of new technological innovations, protection of its intellectual property, and raising additional capital.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1, 2021, the Company completed an underwritten public offering of 1,650,000 shares of its Class A common stock at a public offering price of $67.00 per share. The Company received net proceeds of $103.0 million after deducting offering costs, underwriting discounts, and commissions of $7.6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has incurred significant losses and has had negative cash flows from operations. As of December 31, 2022, the Company had cash and cash equivalents and investments of $426.4 million and an accumulated deficit of $219.5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December 31, 2022 provides sufficient capital resources to continue its operations for at least 12 months from the issuance date of the accompanying consolidated financial statements.</w:t>
      </w:r>
    </w:p>
    <w:p>
      <w:pPr>
        <w:spacing w:after="0" w:line="125"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 The consolidated financial statements include the accounts of Seer, Inc. and its wholly-owned subsidiaries. All intercompany transactions and balances have been eliminated.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liabilities, and the disclosure of contingent assets and liabilities at the date of the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the fair value of common stock, stock-based compensation, accrued research and development expenses, allowance for credit losses for accounts receivables and unbilled receivables, inventory valuation, receivable from investment in sales-type leases, operating lease right-of use assets and liabilities, useful lives and valuation of property and equipment, income tax uncertainties, and tax valuation allowances.</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Management bases its estimates on historical experience and on various other assumptions that are believed to be reasonable under the circumstances, the results of which form the basis for making judgments about the carrying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380"/>
        <w:spacing w:after="0" w:line="438" w:lineRule="auto"/>
        <w:rPr>
          <w:sz w:val="20"/>
          <w:szCs w:val="20"/>
          <w:color w:val="auto"/>
        </w:rPr>
      </w:pPr>
      <w:r>
        <w:rPr>
          <w:rFonts w:ascii="Times New Roman" w:cs="Times New Roman" w:eastAsia="Times New Roman" w:hAnsi="Times New Roman"/>
          <w:sz w:val="18"/>
          <w:szCs w:val="18"/>
          <w:color w:val="auto"/>
        </w:rPr>
        <w:t xml:space="preserve">values of assets and liabilities that are not readily apparent from other sources. Actual results may differ materially from those estimates. </w:t>
      </w: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recorded in the consolidated balance sheets.</w:t>
      </w:r>
    </w:p>
    <w:p>
      <w:pPr>
        <w:spacing w:after="0" w:line="126"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Company recognized revenue from a related party that represented 32% and 35% of the Company’s total revenue in 2022 and 2021, respectively. In addition, the Company recognized revenue that represented 12% of total revenue from one customer in 2021.</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fiscal year 2022, 26% of the total revenue was generated outside of the United States, primarily from countries in Asia and Europe. In fiscal year 2021, 21% of the total revenue was generated outside of the United States, primarily from countries in Asia.</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December 31, 2022, there were three customers which represented 25%, 12%, and 10% of the total accounts receivable balance, including related party receivables. As of December 31, 2021, there were three customers which represented 34%, 23%, and 19% of the total accounts receivable balance, including related party receivables.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early-stage life science companies, including, but not limited to its competitors developing new technological innovations, the need to successfully commercialize and gain market acceptance of the Company’s products, protection of its proprietary technology, and the need to secure and maintain adequate product inventory through its own manufacturing and through manufacturing arrangements with third parties. If the Company does not successfully commercialize or partner any of its products, it will be unable to generate product revenue sufficient to achieve profitability.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result of the COVID-19 pandemic (COVID-19), the Company’s operations experienced disruptions and restrictions on employees’ ability to work and on the hiring of additional personnel. The Company’s personnel has experienced delays in accessing customers in certain countries with strict COVID-19 policies to provide installation and training services. Continued disruptions from COVID-19 could harm the Company’s operations and the Company cannot anticipate all the ways in which it could be adversely impacted by health epidemics such as COVID-19. The Company continues to monitor and assess the effects of the COVID-19 pandemic on its business, financial condition, results of operations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and Voting Interest Entities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consolidates those entities in which it has direct, or indirect controlling financial interest based on either the Variable Interest Entity (VIE) model or the Voting Interest Entity (VOE) model.</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VIEs are primarily entities that, by design, either lack sufficient equity-at-risk to finance their activities without additional subordinated financial support from other parties or whose equity-at-risk holders, as a group, lack one or more of the following characteristics: (i) direct or indirect ability to make decisions (ii) obligation to absorb expected losses or (iii)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of a VIE is required to consolidate the assets and liabilities of the VIE. To determine a VIE’s primary beneficiary, the Company performs a qualitative assessment to determine which party, if any, has the power to direct activities of the VIE and the obligation to absorb its losses or receive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benefits. This assessment involves identifying the activities that most significantly impact the VIE’s economic performance and determining whether the Company, or another party, have the power to direct those activities.</w:t>
      </w:r>
    </w:p>
    <w:p>
      <w:pPr>
        <w:spacing w:after="0" w:line="10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To assess whether the Company has the power to direct the activities of a VIE that most significantly impact the VIE’s economic performance, the Company considers all the facts and circumstances, including its role in establishing the VIE and its ongoing rights and responsibilities. In general, the parties that make the most significant decisions affecting the VIE (management and representation on the board of directors) and have the right to unilaterally remove those decision-makers are deemed to have the power to direct the activities of a VIE.</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assess whether the Company has the obligation to absorb losses of the VIE or the right to receive benefits from the VIE that could potentially be significant to the VIE, the Company considers all of its economic interests, which typically include equity investments in preferred and common stock that are deemed to be variable interests in the VIE. This assessment requires the Company to apply judgment in determining whether these interests, in the aggregate, are considered potentially significant to the VIE. Factors considered in assessing the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13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At the VIE’s inception, the Company determines whether it is the primary beneficiary and if the VIE should be consolidated based on the facts and circumstances. The Company then performs on-going reassessments of the VIE based on reconsideration events and reevaluates whether a change to the consolidation conclusion is required at each reporting period.</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Entities that do not qualify as a VIE are assessed for consolidation under the VOE model. Under the VOE model, the Company consolidates the entity if it determines that it, directly or indirectly, has greater than 50% of the voting shares and that other equity holders do not have substantive voting, participating or liquidation rights.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utilizes the equity method to account for investments when it possesses the ability to exercise significant influence, but not control, over the operating and financial decisions of the investee.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applying the equity method, the Company records the investment at cost and subsequently increases or decreases the carrying amount of the investment by its proportionate share of the net earnings or losses and other 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spacing w:after="0" w:line="133" w:lineRule="exact"/>
        <w:rPr>
          <w:sz w:val="20"/>
          <w:szCs w:val="20"/>
          <w:color w:val="auto"/>
        </w:rPr>
      </w:pPr>
    </w:p>
    <w:p>
      <w:pPr>
        <w:ind w:right="1600"/>
        <w:spacing w:after="0" w:line="438" w:lineRule="auto"/>
        <w:rPr>
          <w:sz w:val="20"/>
          <w:szCs w:val="20"/>
          <w:color w:val="auto"/>
        </w:rPr>
      </w:pPr>
      <w:r>
        <w:rPr>
          <w:rFonts w:ascii="Times New Roman" w:cs="Times New Roman" w:eastAsia="Times New Roman" w:hAnsi="Times New Roman"/>
          <w:sz w:val="18"/>
          <w:szCs w:val="18"/>
          <w:color w:val="auto"/>
        </w:rPr>
        <w:t xml:space="preserve">As of December 31, 2022, the Company has an equity method investment in PrognomiQ. Refer to Note 11 for additional information. </w:t>
      </w:r>
      <w:r>
        <w:rPr>
          <w:rFonts w:ascii="Times New Roman" w:cs="Times New Roman" w:eastAsia="Times New Roman" w:hAnsi="Times New Roman"/>
          <w:sz w:val="18"/>
          <w:szCs w:val="18"/>
          <w:b w:val="1"/>
          <w:bCs w:val="1"/>
          <w:i w:val="1"/>
          <w:iCs w:val="1"/>
          <w:color w:val="auto"/>
        </w:rPr>
        <w:t>Cash, Cash Equivalents and Restricted Cash</w:t>
      </w:r>
    </w:p>
    <w:p>
      <w:pPr>
        <w:spacing w:after="0" w:line="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As of December 31, 2022 and 2021, all amounts recorded as cash and cash equivalents consist of money market funds and are stated at fair value.</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Restricted cash as of December 31, 2022 and 2021 represents cash held by a financial institution as security for a letter of credit issued to the lessor for one of the Company’s operating leases and is classified as noncurrent.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amounts shown in the consolidated statements of cash flows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r>
      <w:tr>
        <w:trPr>
          <w:trHeight w:val="23"/>
        </w:trPr>
        <w:tc>
          <w:tcPr>
            <w:tcW w:w="6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3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3"/>
        </w:trPr>
        <w:tc>
          <w:tcPr>
            <w:tcW w:w="6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232,813</w:t>
            </w:r>
          </w:p>
        </w:tc>
      </w:tr>
      <w:tr>
        <w:trPr>
          <w:trHeight w:val="22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233,337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its Chief Executive Officer, manages the Company’s operations on a consolidated basis for the purposes of allocating resources, making operating decisions and evaluating financial performance.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designated all investments, which includes U.S. Treasury securities and commercial paper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consolidated statements of operations and comprehensive loss. Realized gains and losses and interest income on available-for-sale securities are also included in other income (expense). The cost of securities sold is based on the specific identification method. The Company determines the appropriate classification of its investments in debt securities at the time of purchase and reevaluates such designation at each balance sheet date. As of December 31, 2022, the Company classifies its available-for-sale securities as short-term investments or long-term investments based on the remaining contractual maturity of the securities.</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 ended December 31, 2022, the Company did not recognize any impairment charges on its investments.</w:t>
      </w:r>
    </w:p>
    <w:p>
      <w:pPr>
        <w:spacing w:after="0" w:line="13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Any unrealized losses on available-for-sale debt securities that are attributed to credit risk are recorded to the consolidated statements of operations and comprehensive loss through an allowance for credit losses. During the year ended December 31, 2022, the Company did not recognize any such impairment charges on its investments.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Balances are written off when they are ultimately determined to be uncollectible. There was $30,000 and no allowance for credit losses related to accounts receivable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Inventory is recorded at the lower of standard cost, which approximates actual cost on a weighted-average basis, or net realizable value, on a first-in, first-out basis. Provisions for slow-moving, excess or obsolete inventories are recorded when required to reduce inventory values to their estimated net realizable values based on product expiration, development plans, or quality issues. The Company writes down specifically identified unusable, obsolete, slow-moving or known unsalable inventory in the period that it is first recognized by using a number of factors including product expiration dates, open and unfulfilled orders and sales forecasts. Any write-down of its inventory to net realizable value establishes a new cost basis and will be maintained even if certain circumstances suggest that the inventory is recoverable in subsequent periods. Costs associated with the write-down of inventory are recorded to cost of revenue on the Company’s consolidated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and amortization. Depreciation is recorded using the straight-line method over the estimated useful lives of the assets. Estimated useful lives for financial reporting purposes are as follows: laboratory equipment and furniture and fixtures, five years and computer equipment and software, three years. Leasehold improvements are capitalized and amortized over the shorter of the lease term or the estimated useful life of the related asset. Major replacements and improvements are capitalized, while general repairs and maintenance are expensed as incurred. Construction-in-process assets consist primarily of tools and equipment that have not yet been placed in service. These assets are stated at cost and are not depreciated. Once the assets are placed into service, assets are reclassified to the appropriate asset class on their nature and depreciated in accordance with the useful lives above. When assets are retired or otherwise disposed of, the cost and related accumulated depreciation and amortization are removed from the consolidated balance sheet and any resulting gain or loss is included as a part of income (loss) from operations within the consolidated statements of operations and comprehensive loss.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Company adopted Accounting Standards Codification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during the fourth quarter of 2021 effective as of January 1, 2021. Under ASC 842, the Company determines if an arrangement is or contains a lease at contract inception.</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its incremental borrowing rate in determining the present value of lease payments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Lease expense for an operating lease is recognized on a straight-line basis over the lease term.</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elected to not separate non-lease components from the associated lease components and to not recognize ROU assets and lease liabilities for leases with a term of twelve months or less. Variable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4" w:name="page105"/>
    <w:bookmarkEnd w:id="10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primarily related to property taxes, insurance and common area maintenance, and are recognized as lease costs when incurred.</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A portion of the revenue relates to lease arrangements where the Company is the lessor. Standalone lease arrangements are outside the scope of ASC Topic 606, </w:t>
      </w:r>
      <w:r>
        <w:rPr>
          <w:rFonts w:ascii="Times New Roman" w:cs="Times New Roman" w:eastAsia="Times New Roman" w:hAnsi="Times New Roman"/>
          <w:sz w:val="18"/>
          <w:szCs w:val="18"/>
          <w:i w:val="1"/>
          <w:iCs w:val="1"/>
          <w:color w:val="auto"/>
        </w:rPr>
        <w:t>Revenue Contracts with Customers</w:t>
      </w:r>
      <w:r>
        <w:rPr>
          <w:rFonts w:ascii="Times New Roman" w:cs="Times New Roman" w:eastAsia="Times New Roman" w:hAnsi="Times New Roman"/>
          <w:sz w:val="18"/>
          <w:szCs w:val="18"/>
          <w:color w:val="auto"/>
        </w:rPr>
        <w:t>, and are therefore accounted for in accordance with ASC Topic 842. Each of these contracts is evaluated as a lease arrangement, either as an operating lease or a sales-type lease using the lease classification guidance. In a lease arrangement that is a multiple-element arrangement that contains equipment leases and the supply of consumables, the revenue associated with the instrument rental is treated under the lease accounting standard ASC 842, whereas the revenue associated with the consumables, the non-lease component, is recognized in accordance with the ASC 606 revenue standard.</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total consideration in a lease arrangement is allocated between lease and non-lease components on their relative stand-alone selling prices. The stand-alone selling price is based on the price the Company would sell that promised good or service separately to a customer. If a stand-alone price is not available for a component, it should be estimated using the best information available.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sales of products and services. The Company’s product, the Proteograph Product Suite, consists of an instrument with embedded software essential to the instrument's functionality, and consumables as well as platform evaluation agreements. The Company began recognizing revenue from shipments of its Proteograph Product Suite during the second quarter of 2021. The service revenue primarily consists of revenue received from the generation and analysis of proteomic data on behalf of the customer and revenue is recognized upon delivery of the reports.</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w:t>
      </w:r>
    </w:p>
    <w:p>
      <w:pPr>
        <w:spacing w:after="0" w:line="1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Revenue is recorded net of discounts and sales taxes collected on behalf of governmental authorities. Customers are invoiced generally upon shipment, or upon order for services, and payment is typically due within 30 or 60 days. Cash received from customers in advance of product shipment or providing services is recorded as a contract liability. The Company’s contracts with its customers generally do not include rights of return.</w:t>
      </w:r>
    </w:p>
    <w:p>
      <w:pPr>
        <w:spacing w:after="0" w:line="12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At times, the Company may enter into arrangements with payment terms which exceed one year from the transfer of control of the product or service. In such cases, the Company assesses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The Company does not assess whether a significant financing component exists when, at contract inception, the period between the transfer of control to a customer and final payment is one year or less.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elected the practical expedient to account for shipping and handling activities that occur after the customer has obtained control as a fulfillment activity and not a separate performance obligation. The Company expenses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regularly enters into contracts that include various combinations of products and services, which are generally distinct and accounted for as separate performance obligations. The transaction price is allocated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5" w:name="page106"/>
    <w:bookmarkEnd w:id="10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and Other Revenue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1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portion of the Company’s revenue relates to lease arrangements. Standalone lease arrangements are outside the scope of ASC 606 and are therefore accounted for in accordance with ASC 842. Each of these contracts is evaluated as a lease arrangement, either as an operating lease or a sales-type lease using the lease classification guidance.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are included in cost of revenue.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Research and development costs, which includes costs associated with performing services under research and development service contracts and research and development of the Company’s technology and product candidates, are expensed as incurred. Research and development expenses primarily consist of employee compensation, including stock-based compensation, and related benefits, laboratory supplies, consulting costs, costs related to clinical studies for the collection of biological samples for research use and allocated costs, rent, depreciation, information technology, and utilities. Advance payments for goods or services for future research and development activities are deferred as prepaid expenses and expensed as the goods are delivered or the related services are performed.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Goods or services for research and development activities that have not yet been invoiced are recorded as liabilities within accrued research and development on the consolidated balance sheets. The Company estimates clinical discovery studies expenses based on the services performed related to clinical studies for the collection of biological samples for research use. In accruing service fees, the Company estimates the period over which services will be performed and the level of effort to be expended in each period. These estimates are based on communications with the service provider and the Company’s estimates of services performed based on information available at each balance sheet date determined through analysis with internal personnel and external service providers as to the progress or stage of completion of the associated services. Although the Company does not expect its estimates to be materially different from amounts actually incurred, the Company’s estimate of the status and timing of services performed relative to the actual status and timing of services performed may vary. Through December 31, 2022, there have been no material differences from the Company’s estimated accrued research and development expenses to actual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employee compensation, including stock-based compensation, and related benefits for executive management, finance, legal, administration and human resources, allocated costs, including rent, depreciation, information technology, insurance, utilities, professional service fees, and other general overhead costs to support the Company’s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accounts for stock-based compensation, including from restricted common stock awards (RSAs), grants of restricted stock units (RSUs), and stock options that may be settled in shares of our common stock, based on the fair values of the equity instruments issued. The fair value is determined on the measurement date, which is generally the date of grant. The fair value of RSAs is the difference between the fair value of the underlying stock at the measurement date and the purchase price. The fair value of RSUs is the fair value of the underlying stock at the measurement date. The fair value for our stock option awards is determined at the grant date using the Black-Scholes valuation model. For share-based payment awards that vest subject to the satisfaction of a service requirement, the fair value of the awards is recognized as expense on a straight-line basis over the requisite service period in which the awards are expected to vest. For share-based payment awards with performance-based vesting conditions, the fair value of the awards is recognized as expense using the accelerated attribution method over the vesting period. Forfeitures are accounted for in the period in which they occur. Share-based payment awards that include a service condition and a performance condition are expected to vest when the performance condition is probable of being met.</w:t>
      </w:r>
    </w:p>
    <w:p>
      <w:pPr>
        <w:spacing w:after="0" w:line="14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Black-Scholes model considers several variables and assumptions in estimating the fair value of stock-based awards that require judgment, for which changes if they occur can materially affect the resulting estimates of fair value. These assumptions include the per share fair value of the underlying common stock, exercise price, expected term, risk-free interest rate, expected annual dividend yield, and the expected stock price volatility over the expected term as follows: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Common Stock</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grants prior to the Company’s IPO in December 2020, the grant-date fair market value of the shares of common stock underlying stock options was determined by the Company’s Board of Directors with assistance of third-party valuation specialists. Because there was no public market for the Company’s common stock, the Board of Directors exercised reasonable judgment and considered a number of objective and subjective factors to determine the best estimate of the fair market value, which include important developments in the Company’s operations, the prices at which the Company sold shares of its convertible preferred stock, the rights, preferences and privileges of the Company’s convertible preferred stock relative to those of the Company’s common stock, actual operating results, financial performance, external market conditions in the life sciences industry, general U.S. market conditions, equity market conditions of comparable public companies, and the lack of marketability of the Company’s common stock. For all grants subsequent to the IPO, the fair value of common stock was determined by using the closing price per share of common stock as reported on the Nasdaq Global Select Market.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Volatility</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had no publicly available stock price information prior to its IPO and limited publicly available stock price information subsequent to its IPO and therefore the Company has used the historical volatility of the stock price of similar publicly traded peer companies. The historical volatility is calculated based on a period of time commensurate with the expected term assumptions.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stock options granted to employees and directors, the expected term is calculated using the simplified method for “plain vanilla” stock option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term for stock options granted to non-employees is the contractual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risk-free interest rate is based on the yield available on U.S. Treasury zero-coupon issues similar in duration to the expected term of the equity-settled award.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Dividends</w:t>
      </w:r>
    </w:p>
    <w:p>
      <w:pPr>
        <w:spacing w:after="0" w:line="17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expected dividend yield is assumed to be zero as the Company has never paid dividends and has no current plans to pay dividends on its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spacing w:after="0" w:line="1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uncertain tax positions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likely than 50 percent likely to be realized. Interest and penalties related to unrecognized tax benefits are included within the provision for income tax. For the years ended December 31, 2022 and 2021, there were no interest and penalties.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also considers any shares issued on the early exercise of stock options subject to repurchase to be participating securities because holders of such shares have non-forfeitable dividend rights in the event a dividend is paid on common stock. The holders of early exercised shares subject to repurchase do not have a contractual obligation to share in losses.</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same as basic net loss per common share attributable to common stockholders, because potentially dilutive common shares are not assumed to have been issued if their effect is anti-dilutive.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Comprehensive loss is comprised of net loss and changes in accumulated other comprehensive loss on the Company’s available-for-sale investments related to unrealized gains and losses.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financial assets and liabilities using the fair value hierarchy that describes three levels of inputs that may be used to measure fair value, as follows: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71" w:lineRule="exact"/>
        <w:rPr>
          <w:sz w:val="20"/>
          <w:szCs w:val="20"/>
          <w:color w:val="auto"/>
        </w:rPr>
      </w:pPr>
    </w:p>
    <w:p>
      <w:pPr>
        <w:ind w:left="1380" w:right="240" w:hanging="728"/>
        <w:spacing w:after="0" w:line="266" w:lineRule="auto"/>
        <w:rPr>
          <w:sz w:val="20"/>
          <w:szCs w:val="20"/>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Period Reclassifications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included accrued research and development within accrued expenses for the prior period in order to conform to current year presentation for the Company’s consolidated balance sheets. This reclassification had no effect on the Company’s previously reported financial position.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2021, the FASB issued Accounting Standards Update (ASU) No. 2021-10, </w:t>
      </w:r>
      <w:r>
        <w:rPr>
          <w:rFonts w:ascii="Times New Roman" w:cs="Times New Roman" w:eastAsia="Times New Roman" w:hAnsi="Times New Roman"/>
          <w:sz w:val="18"/>
          <w:szCs w:val="18"/>
          <w:i w:val="1"/>
          <w:iCs w:val="1"/>
          <w:color w:val="auto"/>
        </w:rPr>
        <w:t>Government Assistance (ASC Topic 832): Disclosures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Entities about Government Assistance, </w:t>
      </w:r>
      <w:r>
        <w:rPr>
          <w:rFonts w:ascii="Times New Roman" w:cs="Times New Roman" w:eastAsia="Times New Roman" w:hAnsi="Times New Roman"/>
          <w:sz w:val="18"/>
          <w:szCs w:val="18"/>
          <w:color w:val="auto"/>
        </w:rPr>
        <w:t>which contains amendments that require annual disclosures about government that are accounted for by applying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or contribution accounting model. The amendments set forth in this ASU are effective for all entities for annual periods beginning after December 15, 2021. Early application of the amendments in this ASU is permitted. The Company adopted this standard prospectively on January 1, 2022, which did not have a material impact on its financial statements as of the adoption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FAIR VALUE OF FINANCIAL INSTRUMENTS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that were measured at fair value on a recurring basis by level within the fair value hierarchy (in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equivalents: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Money market funds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cash equivalents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Investments:</w:t>
      </w:r>
    </w:p>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U.S. Treasury securities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U.S. Non-Treasury securities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investments</w:t>
      </w:r>
    </w:p>
    <w:p>
      <w:pPr>
        <w:spacing w:after="0" w:line="1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 assets measured at fair value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41910</wp:posOffset>
            </wp:positionV>
            <wp:extent cx="50920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723"/>
        </w:trPr>
        <w:tc>
          <w:tcPr>
            <w:tcW w:w="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53,208</w:t>
            </w:r>
          </w:p>
        </w:tc>
        <w:tc>
          <w:tcPr>
            <w:tcW w:w="8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53,208</w:t>
            </w:r>
          </w:p>
        </w:tc>
      </w:tr>
      <w:tr>
        <w:trPr>
          <w:trHeight w:val="27"/>
        </w:trPr>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53,208</w:t>
            </w:r>
          </w:p>
        </w:tc>
      </w:tr>
      <w:tr>
        <w:trPr>
          <w:trHeight w:val="543"/>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227,692</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227,692</w:t>
            </w:r>
          </w:p>
        </w:tc>
      </w:tr>
      <w:tr>
        <w:trPr>
          <w:trHeight w:val="270"/>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w:t>
            </w:r>
          </w:p>
        </w:tc>
      </w:tr>
      <w:tr>
        <w:trPr>
          <w:trHeight w:val="270"/>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55,433</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55,433</w:t>
            </w:r>
          </w:p>
        </w:tc>
      </w:tr>
      <w:tr>
        <w:trPr>
          <w:trHeight w:val="270"/>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79,361</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79,361</w:t>
            </w:r>
          </w:p>
        </w:tc>
      </w:tr>
      <w:tr>
        <w:trPr>
          <w:trHeight w:val="23"/>
        </w:trPr>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0"/>
        </w:trPr>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373,188</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373,188</w:t>
            </w:r>
          </w:p>
        </w:tc>
      </w:tr>
      <w:tr>
        <w:trPr>
          <w:trHeight w:val="23"/>
        </w:trPr>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53,208</w:t>
            </w:r>
          </w:p>
        </w:tc>
        <w:tc>
          <w:tcPr>
            <w:tcW w:w="8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373,188</w:t>
            </w:r>
          </w:p>
        </w:tc>
        <w:tc>
          <w:tcPr>
            <w:tcW w:w="100" w:type="dxa"/>
            <w:vAlign w:val="bottom"/>
          </w:tcPr>
          <w:p>
            <w:pPr>
              <w:spacing w:after="0"/>
              <w:rPr>
                <w:sz w:val="20"/>
                <w:szCs w:val="20"/>
                <w:color w:val="auto"/>
              </w:rPr>
            </w:pPr>
          </w:p>
        </w:tc>
        <w:tc>
          <w:tcPr>
            <w:tcW w:w="1440" w:type="dxa"/>
            <w:vAlign w:val="bottom"/>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426,396</w:t>
            </w:r>
          </w:p>
        </w:tc>
      </w:tr>
      <w:tr>
        <w:trPr>
          <w:trHeight w:val="27"/>
        </w:trPr>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69"/>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40" w:type="dxa"/>
            <w:vAlign w:val="bottom"/>
            <w:gridSpan w:val="3"/>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
        </w:trPr>
        <w:tc>
          <w:tcPr>
            <w:tcW w:w="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6"/>
                <w:szCs w:val="16"/>
                <w:color w:val="auto"/>
              </w:rPr>
            </w:pP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-2376170</wp:posOffset>
            </wp:positionV>
            <wp:extent cx="71323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-2058670</wp:posOffset>
            </wp:positionV>
            <wp:extent cx="71323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-1707515</wp:posOffset>
            </wp:positionV>
            <wp:extent cx="713232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-1364615</wp:posOffset>
            </wp:positionV>
            <wp:extent cx="71323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-1021715</wp:posOffset>
            </wp:positionV>
            <wp:extent cx="71323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23495</wp:posOffset>
            </wp:positionV>
            <wp:extent cx="71323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2600" w:space="620"/>
            <w:col w:w="8020"/>
          </w:cols>
          <w:pgMar w:left="320" w:top="1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equivalents: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232,813</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232,813</w:t>
            </w:r>
          </w:p>
        </w:tc>
      </w:tr>
      <w:tr>
        <w:trPr>
          <w:trHeight w:val="263"/>
        </w:trPr>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7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232,813</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232,813</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70"/>
        </w:trPr>
        <w:tc>
          <w:tcPr>
            <w:tcW w:w="3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7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260,447</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260,447</w:t>
            </w:r>
          </w:p>
        </w:tc>
      </w:tr>
      <w:tr>
        <w:trPr>
          <w:trHeight w:val="263"/>
        </w:trPr>
        <w:tc>
          <w:tcPr>
            <w:tcW w:w="3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investments</w:t>
            </w:r>
          </w:p>
        </w:tc>
        <w:tc>
          <w:tcPr>
            <w:tcW w:w="7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260,447</w:t>
            </w:r>
          </w:p>
        </w:tc>
        <w:tc>
          <w:tcPr>
            <w:tcW w:w="10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260,447</w:t>
            </w:r>
          </w:p>
        </w:tc>
      </w:tr>
      <w:tr>
        <w:trPr>
          <w:trHeight w:val="263"/>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232,813</w:t>
            </w:r>
          </w:p>
        </w:tc>
        <w:tc>
          <w:tcPr>
            <w:tcW w:w="100" w:type="dxa"/>
            <w:vAlign w:val="bottom"/>
          </w:tcPr>
          <w:p>
            <w:pPr>
              <w:spacing w:after="0"/>
              <w:rPr>
                <w:sz w:val="22"/>
                <w:szCs w:val="22"/>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260,447</w:t>
            </w:r>
          </w:p>
        </w:tc>
        <w:tc>
          <w:tcPr>
            <w:tcW w:w="100" w:type="dxa"/>
            <w:vAlign w:val="bottom"/>
          </w:tcPr>
          <w:p>
            <w:pPr>
              <w:spacing w:after="0"/>
              <w:rPr>
                <w:sz w:val="22"/>
                <w:szCs w:val="22"/>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493,260</w:t>
            </w:r>
          </w:p>
        </w:tc>
      </w:tr>
      <w:tr>
        <w:trPr>
          <w:trHeight w:val="20"/>
        </w:trPr>
        <w:tc>
          <w:tcPr>
            <w:tcW w:w="3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2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accounts receivable, other receivables, prepaid expenses and other current assets, accounts payable, and accrued expenses approximate fair value due to their short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cash equivalents and investments and the gross unrealized holding gains and losses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
        </w:trPr>
        <w:tc>
          <w:tcPr>
            <w:tcW w:w="5180" w:type="dxa"/>
            <w:vAlign w:val="bottom"/>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90"/>
        </w:trPr>
        <w:tc>
          <w:tcPr>
            <w:tcW w:w="518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6"/>
                <w:szCs w:val="16"/>
                <w:color w:val="auto"/>
              </w:rPr>
            </w:pPr>
          </w:p>
        </w:tc>
        <w:tc>
          <w:tcPr>
            <w:tcW w:w="12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53,208</w:t>
            </w:r>
          </w:p>
        </w:tc>
      </w:tr>
      <w:tr>
        <w:trPr>
          <w:trHeight w:val="263"/>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equivalents</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53,208</w:t>
            </w: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227,692</w:t>
            </w:r>
          </w:p>
        </w:tc>
      </w:tr>
      <w:tr>
        <w:trPr>
          <w:trHeight w:val="27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Non-Treasury securities</w:t>
            </w: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10,702</w:t>
            </w:r>
          </w:p>
        </w:tc>
      </w:tr>
      <w:tr>
        <w:trPr>
          <w:trHeight w:val="27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55,433</w:t>
            </w:r>
          </w:p>
        </w:tc>
      </w:tr>
      <w:tr>
        <w:trPr>
          <w:trHeight w:val="27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79,361</w:t>
            </w:r>
          </w:p>
        </w:tc>
      </w:tr>
      <w:tr>
        <w:trPr>
          <w:trHeight w:val="263"/>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investments</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374,439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373,188</w:t>
            </w:r>
          </w:p>
        </w:tc>
      </w:tr>
      <w:tr>
        <w:trPr>
          <w:trHeight w:val="28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427,647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426,396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
        </w:trPr>
        <w:tc>
          <w:tcPr>
            <w:tcW w:w="5180" w:type="dxa"/>
            <w:vAlign w:val="bottom"/>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90"/>
        </w:trPr>
        <w:tc>
          <w:tcPr>
            <w:tcW w:w="518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6"/>
                <w:szCs w:val="16"/>
                <w:color w:val="auto"/>
              </w:rPr>
            </w:pPr>
          </w:p>
        </w:tc>
        <w:tc>
          <w:tcPr>
            <w:tcW w:w="12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232,813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232,813</w:t>
            </w:r>
          </w:p>
        </w:tc>
      </w:tr>
      <w:tr>
        <w:trPr>
          <w:trHeight w:val="263"/>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232,813</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260,447</w:t>
            </w:r>
          </w:p>
        </w:tc>
      </w:tr>
      <w:tr>
        <w:trPr>
          <w:trHeight w:val="263"/>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4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260,983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260,447</w:t>
            </w:r>
          </w:p>
        </w:tc>
      </w:tr>
      <w:tr>
        <w:trPr>
          <w:trHeight w:val="26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493,796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493,260</w:t>
            </w:r>
          </w:p>
        </w:tc>
      </w:tr>
      <w:tr>
        <w:trPr>
          <w:trHeight w:val="20"/>
        </w:trPr>
        <w:tc>
          <w:tcPr>
            <w:tcW w:w="5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2022 and 2021, unrealized losses on available-for-sale investments are not attributable to credit risk and are considered to be temporary. Approximately $0.8 million of the Company’s investments have been in a continuous unrealized loss position for 12 months or longer.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December 31, 2022, $5.2 million of available-for-sale investments had remaining maturities between one and two years. The remainder of the available-for-sale investments have a remaining maturity of one year or less. As of December 31, 2022 and 2021, the Company recorded $0.6 million and $0.3 million of accrued interest, respectively, related to its available-for-sale investments and is presented as other receivables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OTHER FINANCIAL STATEMENT INFORMATION</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0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32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 w:type="dxa"/>
            <w:vAlign w:val="bottom"/>
            <w:shd w:val="clear" w:color="auto" w:fill="CCEEFF"/>
          </w:tcPr>
          <w:p>
            <w:pPr>
              <w:spacing w:after="0"/>
              <w:rPr>
                <w:sz w:val="20"/>
                <w:szCs w:val="20"/>
                <w:color w:val="auto"/>
              </w:rPr>
            </w:pPr>
          </w:p>
        </w:tc>
        <w:tc>
          <w:tcPr>
            <w:tcW w:w="59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3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320" w:type="dxa"/>
            <w:vAlign w:val="bottom"/>
            <w:tcBorders>
              <w:bottom w:val="single" w:sz="8" w:color="CCEEFF"/>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0" w:type="dxa"/>
            <w:vAlign w:val="bottom"/>
            <w:shd w:val="clear" w:color="auto" w:fill="CCEEFF"/>
          </w:tcPr>
          <w:p>
            <w:pPr>
              <w:spacing w:after="0"/>
              <w:rPr>
                <w:sz w:val="20"/>
                <w:szCs w:val="20"/>
                <w:color w:val="auto"/>
              </w:rPr>
            </w:pPr>
          </w:p>
        </w:tc>
        <w:tc>
          <w:tcPr>
            <w:tcW w:w="59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17,995</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$3.9 million and $2.6 million for the years ended December 31, 2022 and 2021,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consists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r>
      <w:tr>
        <w:trPr>
          <w:trHeight w:val="37"/>
        </w:trPr>
        <w:tc>
          <w:tcPr>
            <w:tcW w:w="63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6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3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7"/>
        </w:trPr>
        <w:tc>
          <w:tcPr>
            <w:tcW w:w="6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8,394</w:t>
            </w:r>
          </w:p>
        </w:tc>
      </w:tr>
      <w:tr>
        <w:trPr>
          <w:trHeight w:val="21"/>
        </w:trPr>
        <w:tc>
          <w:tcPr>
            <w:tcW w:w="6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DEFERRED REVENUE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Product revenue consists of instrument with embedded software essential to the instrument's functionality, consumables and platform evaluation agreements. Service revenue primarily consists of revenue received from the generation and analysis of proteomic data on behalf of the customer. Related party revenue is comprised of both the sale of products and services performed for related parties, as further discussed in Note 11. Grant revenues consist of services performed specifically for the reimbursement of research-related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the Company recognized $8.6 million and $3.6 million of product revenue to non-related customers, respectively. As of December 31, 2022 and 2021, the Company recorded $34,000 and $0.4 million of deferred revenue related to product sales,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the Company recognized $0.9 million and $0.5 million of service revenue to non-related customers, respectively. As of December 31, 2022 and 2021, there were $0.1 million and $0 of deferred service revenue,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activity for the year ended December 31, 2022 and 2021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634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3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7"/>
        </w:trPr>
        <w:tc>
          <w:tcPr>
            <w:tcW w:w="6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6"/>
              </w:rPr>
              <w:t>376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w w:val="96"/>
              </w:rPr>
              <w:t>250</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6"/>
              </w:rPr>
              <w:t>233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w w:val="96"/>
              </w:rPr>
              <w:t>376</w:t>
            </w:r>
          </w:p>
        </w:tc>
      </w:tr>
      <w:tr>
        <w:trPr>
          <w:trHeight w:val="22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8"/>
                <w:szCs w:val="18"/>
                <w:color w:val="auto"/>
                <w:w w:val="97"/>
              </w:rPr>
              <w:t>(250)</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6"/>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w w:val="96"/>
              </w:rPr>
              <w:t>376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 that has not yet been recognized, which includes deferred revenue and non-cancelable amounts that will be invoiced and recognized as revenues in future periods. As of December 31, 2022, $2.0 million of revenue is expected to be recognized from the remaining performance obligations, of which 66% is expected to be recognized within 12 months, and the remainder thereafter.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August 2019, the Company received a notice of a Small Business Innovation Research grant award from the National Institutes of Health, which will provide funding of approximately $1.1 million to the Company for its development of research applications. For the years ended December 31, 2022 and 2021, the Company recognized grant revenue of $0.3 million and $0.2 million with respect to the award.</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CAPITAL STOCK AND STOCKHOLDERS’ EQUITY</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is authorized to issue 105,000,000 shares of capital stock consisting of 94,000,000 shares of Class A common stock, 6,000,000 shares of Class B common stock, and 5,000,000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issued and outstanding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18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6340" w:type="dxa"/>
            <w:vAlign w:val="bottom"/>
          </w:tcPr>
          <w:p>
            <w:pPr>
              <w:spacing w:after="0"/>
              <w:rPr>
                <w:sz w:val="16"/>
                <w:szCs w:val="16"/>
                <w:color w:val="auto"/>
              </w:rPr>
            </w:pPr>
          </w:p>
        </w:tc>
        <w:tc>
          <w:tcPr>
            <w:tcW w:w="15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34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34"/>
        </w:trPr>
        <w:tc>
          <w:tcPr>
            <w:tcW w:w="6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59,366,077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57,493,005</w:t>
            </w:r>
          </w:p>
        </w:tc>
      </w:tr>
      <w:tr>
        <w:trPr>
          <w:trHeight w:val="23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4,044,969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4,522,478</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common stock issued and outstanding</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63,411,046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62,015,483</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Common stock issued and outstanding on the consolidated balance sheets and consolidated statements of changes in stockholders' equity includes shares related to early exercised options and restricted stock that are subject to repurchase.</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first quarter of 2021, the Company received $11.4 million related to the return of short-swing profits from one of its beneficial owners. These proceeds are recognized as a capital contribution from stockholders as an increase to additional paid-in capital on the consolidated statements of changes in stockholders’ equity and as cash provided by financing activities on the consolidated statements of cash flows.</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EQUITY INCENTIVE PLANS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2017, the Company adopted the 2017 Stock Incentive Plan (2017 Plan), which provided for the granting of awards to employees, directors, and consultants of the Company. Awards issuable under the Plan include incentive stock options (ISO), nonqualified stock options (NSO), and restricted stock awards. In 2020, the Company adopted the 2020 RSU Equity Incentive Plan (2020 RSU Plan), which provided for the granting of RSUs to certain employees of the Company.</w:t>
      </w:r>
    </w:p>
    <w:p>
      <w:pPr>
        <w:spacing w:after="0" w:line="12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2020, the Company adopted the 2020 Equity Incentive Plan (2020 Plan), which became effective in connection with the IPO. The Company’s 2017 Plan and 2020 RSU Plan were terminated in connection with the IPO and no further grants will be made under the 2017 Plan and 2020 RSU Plan from the date that the 2020 Plan became effective.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Stock options to purchase the Company’s Class A common stock may be granted at a price not less than the fair market value of the Company’s Class A common stock at the date of grant in the case of both NSOs and ISOs, except for grants of stock options to an employee or non-employee with options who owns more than 10% of the voting power of all classes of stock of the Company, in which case the exercise price shall be no less than 110% of the fair market value per Class A common stock on the grant date. The exercise price for an ISO cannot be less than the fair market value of the Class A common stock on the grant date. Stock options granted under the 2017 Plan and 2020 Plan generally vest over four years and expire no later than 10 years from the date of grant. 5,336,569 shares of Class A common stock were initially reserved for issuance under the 2020 Plan, which includes 516,710 shares that remained available for issuance under the 2017 Plan. As of December 31, 2022, there are 11,400,396 shares of Class A common stock reserved for issuance under the 2020 Plan, 5,649,834 shares of which are available for issuance in connection with grants of future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year ended December 31, 2022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5"/>
                <w:szCs w:val="15"/>
                <w:color w:val="auto"/>
              </w:rPr>
            </w:pPr>
          </w:p>
        </w:tc>
        <w:tc>
          <w:tcPr>
            <w:tcW w:w="144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Pr>
          <w:p>
            <w:pPr>
              <w:spacing w:after="0"/>
              <w:rPr>
                <w:sz w:val="2"/>
                <w:szCs w:val="2"/>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47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Term (Years)</w:t>
            </w:r>
          </w:p>
        </w:tc>
        <w:tc>
          <w:tcPr>
            <w:tcW w:w="120" w:type="dxa"/>
            <w:vAlign w:val="bottom"/>
          </w:tcPr>
          <w:p>
            <w:pPr>
              <w:spacing w:after="0"/>
              <w:rPr>
                <w:sz w:val="16"/>
                <w:szCs w:val="16"/>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9,832,924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12.49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8.48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139,143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3,356,254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13.53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(2,000,441)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11.55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10,214,430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12,685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exercisable, December 31, 2022</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4,412,694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9,323</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stock options granted to employees during the years ended December 31, 2022 and 2021, was $14.15 and $28.93 per share, respectively. The total intrinsic value of stock options exercised during the years ended December 31, 2022 and 2021, was $12.7 million and $46.5 million, respectively. As of December 31, 2022, the total unrecognized stock-based compensation related to unvested stock options was $51.4 million, which the Company expects to recognize over a remaining weighted-average period of 2.43 years.</w:t>
      </w:r>
    </w:p>
    <w:p>
      <w:pPr>
        <w:spacing w:after="0" w:line="1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to employees, directors, and non-employees is calculated using the Black-Scholes option pricing model using the following assumptions: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r>
      <w:tr>
        <w:trPr>
          <w:trHeight w:val="23"/>
        </w:trPr>
        <w:tc>
          <w:tcPr>
            <w:tcW w:w="428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2"/>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- 1.4%</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- 97.0%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- 71.4%</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- 6.08</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6.00 - 10.00</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80" w:type="dxa"/>
            <w:vAlign w:val="bottom"/>
            <w:gridSpan w:val="3"/>
          </w:tcPr>
          <w:p>
            <w:pPr>
              <w:jc w:val="center"/>
              <w:ind w:right="100"/>
              <w:spacing w:after="0"/>
              <w:rPr>
                <w:sz w:val="20"/>
                <w:szCs w:val="20"/>
                <w:color w:val="auto"/>
              </w:rPr>
            </w:pPr>
            <w:r>
              <w:rPr>
                <w:rFonts w:ascii="Verdana" w:cs="Verdana" w:eastAsia="Verdana" w:hAnsi="Verdana"/>
                <w:sz w:val="16"/>
                <w:szCs w:val="16"/>
                <w:color w:val="auto"/>
                <w:w w:val="99"/>
              </w:rPr>
              <w:t>—</w:t>
            </w:r>
          </w:p>
        </w:tc>
        <w:tc>
          <w:tcPr>
            <w:tcW w:w="1680" w:type="dxa"/>
            <w:vAlign w:val="bottom"/>
            <w:gridSpan w:val="2"/>
          </w:tcPr>
          <w:p>
            <w:pPr>
              <w:jc w:val="center"/>
              <w:spacing w:after="0"/>
              <w:rPr>
                <w:sz w:val="20"/>
                <w:szCs w:val="20"/>
                <w:color w:val="auto"/>
              </w:rPr>
            </w:pPr>
            <w:r>
              <w:rPr>
                <w:rFonts w:ascii="Verdana" w:cs="Verdana" w:eastAsia="Verdana" w:hAnsi="Verdana"/>
                <w:sz w:val="16"/>
                <w:szCs w:val="16"/>
                <w:color w:val="auto"/>
                <w:w w:val="99"/>
              </w:rPr>
              <w:t>—</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Certain stock options granted provide stock option holders the right to exercise unvested stock options in exchange for restricted shares of Class A common stock. The Company has also issued restricted shares of Class A common stock to employees and directors. There were 60,787 shares and 174,300 shares of restricted stock that were unvested and subject to repurchase as of December 31, 2022 and 2021,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The Company has granted RSUs under the 2020 RSU Plan and the 2020 Plan. Restricted stock units (“RSUs”) are share awards that entitle the holder to receive freely tradable shares of the Company’s common stock upon vesting. The RSUs cannot be transferred and the awards are subject to forfeiture if the holder’s employment terminates prior to the release of the vesting restrictions. The fair value of the RSUs is equal to the closing price of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on the grant date. The RSUs generally vest over a two- to three-year period from the vesting start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activity for the year ended December 31, 2022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7280" w:type="dxa"/>
            <w:vAlign w:val="bottom"/>
          </w:tcPr>
          <w:p>
            <w:pPr>
              <w:spacing w:after="0"/>
              <w:rPr>
                <w:sz w:val="12"/>
                <w:szCs w:val="12"/>
                <w:color w:val="auto"/>
              </w:rPr>
            </w:pPr>
          </w:p>
        </w:tc>
        <w:tc>
          <w:tcPr>
            <w:tcW w:w="20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2"/>
                <w:szCs w:val="12"/>
                <w:color w:val="auto"/>
              </w:rPr>
            </w:pPr>
          </w:p>
        </w:tc>
        <w:tc>
          <w:tcPr>
            <w:tcW w:w="168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9"/>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94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w w:val="99"/>
              </w:rPr>
              <w:t>740,366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1,738,125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(319,598)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(507,917)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9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9"/>
              </w:rPr>
              <w:t>1,650,976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2022, the total unrecognized stock-based compensation related to RSUs was $22.5 million, which the Company expects to recognize over a remaining weighted-average period of 2.92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November 2020, the Company’s board of directors adopted the 2020 Employee Stock Purchase Plan (ESPP), which was subsequently approved by the Company’s stockholders and became effective in connection with the IPO. The ESPP permits participants to purchase common stock through payroll deductions of up to 15% of their eligible compensation.</w:t>
      </w:r>
    </w:p>
    <w:p>
      <w:pPr>
        <w:spacing w:after="0" w:line="122"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A total of 1,195,327 shares of Class A common stock are reserved for issuance under the ESPP as of December 31, 2022. During the year ended December 31, 2022, 107,499 shares of Class A common stock were issued under the ESPP. As of December 31, 2022, the total unrecognized stock-based compensation related to the ESPP was $0.2 million, which the Company expects to recognize over a remaining weighted-average period of 0.37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ESPP shares is estimated using the Black-Scholes option pricing model, based on the following assumptions: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740" w:type="dxa"/>
            <w:vAlign w:val="bottom"/>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60" w:type="dxa"/>
            <w:vAlign w:val="bottom"/>
          </w:tcPr>
          <w:p>
            <w:pPr>
              <w:spacing w:after="0"/>
              <w:rPr>
                <w:sz w:val="16"/>
                <w:szCs w:val="16"/>
                <w:color w:val="auto"/>
              </w:rPr>
            </w:pPr>
          </w:p>
        </w:tc>
      </w:tr>
      <w:tr>
        <w:trPr>
          <w:trHeight w:val="23"/>
        </w:trPr>
        <w:tc>
          <w:tcPr>
            <w:tcW w:w="43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2"/>
          </w:tcPr>
          <w:p>
            <w:pPr>
              <w:spacing w:after="0"/>
              <w:rPr>
                <w:sz w:val="2"/>
                <w:szCs w:val="2"/>
                <w:color w:val="auto"/>
              </w:rPr>
            </w:pPr>
          </w:p>
        </w:tc>
      </w:tr>
      <w:tr>
        <w:trPr>
          <w:trHeight w:val="190"/>
        </w:trPr>
        <w:tc>
          <w:tcPr>
            <w:tcW w:w="4300" w:type="dxa"/>
            <w:vAlign w:val="bottom"/>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6"/>
                <w:szCs w:val="16"/>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40"/>
        </w:trPr>
        <w:tc>
          <w:tcPr>
            <w:tcW w:w="430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1.5%-4.5%</w:t>
            </w:r>
          </w:p>
        </w:tc>
        <w:tc>
          <w:tcPr>
            <w:tcW w:w="14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79.1%-88.5%</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- 67.4%</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- 0.50</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recognized in the Company’s consolidated statements of operations and comprehensive loss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20" w:type="dxa"/>
            <w:vAlign w:val="bottom"/>
            <w:gridSpan w:val="3"/>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r>
      <w:tr>
        <w:trPr>
          <w:trHeight w:val="37"/>
        </w:trPr>
        <w:tc>
          <w:tcPr>
            <w:tcW w:w="44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86"/>
        </w:trPr>
        <w:tc>
          <w:tcPr>
            <w:tcW w:w="4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Pr>
          <w:p>
            <w:pPr>
              <w:spacing w:after="0"/>
              <w:rPr>
                <w:sz w:val="16"/>
                <w:szCs w:val="16"/>
                <w:color w:val="auto"/>
              </w:rPr>
            </w:pPr>
          </w:p>
        </w:tc>
      </w:tr>
      <w:tr>
        <w:trPr>
          <w:trHeight w:val="37"/>
        </w:trPr>
        <w:tc>
          <w:tcPr>
            <w:tcW w:w="44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96"/>
        </w:trPr>
        <w:tc>
          <w:tcPr>
            <w:tcW w:w="4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23,465</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19,705</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25,927</w:t>
            </w:r>
          </w:p>
        </w:tc>
      </w:tr>
      <w:tr>
        <w:trPr>
          <w:trHeight w:val="20"/>
        </w:trPr>
        <w:tc>
          <w:tcPr>
            <w:tcW w:w="4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February 2022, in connection with a leave of absence taken by one of the Company’s executives, a total of 1,330,892 share-based awards were modified to extend the overall term and change the timing of the vesting of the awards. The total incremental stock-based compensation associated with the modification is $0.9 million, which will be recognized over the next eight years.</w:t>
      </w:r>
    </w:p>
    <w:p>
      <w:pPr>
        <w:spacing w:after="0" w:line="12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On June 21, 2022, the Company’s Board of Directors approved an option repricing to reduce the exercise price of certain vested, outstanding, and unexercised stock options with an exercise price greater than $19.00 per share that were held by employees who were not members of the Board of Directors or officers for purposes of Section 16 of the Securities Exchange Act of 1934, as amended (“Non-Section 16 employees”) to $19.00 per share, which was the Company’s initial public offering price. The Board of Directors also approved the repricing of certain unvested, outstanding, and unexercised stock options with an exercise price greater than $19.00 per share that were held by Non-Section 16 </w:t>
      </w:r>
      <w:r>
        <w:rPr>
          <w:rFonts w:ascii="Times New Roman" w:cs="Times New Roman" w:eastAsia="Times New Roman" w:hAnsi="Times New Roman"/>
          <w:sz w:val="18"/>
          <w:szCs w:val="18"/>
          <w:color w:val="auto"/>
          <w:highlight w:val="lightGray"/>
        </w:rPr>
        <w:t>employees</w:t>
      </w:r>
      <w:r>
        <w:rPr>
          <w:rFonts w:ascii="Times New Roman" w:cs="Times New Roman" w:eastAsia="Times New Roman" w:hAnsi="Times New Roman"/>
          <w:sz w:val="18"/>
          <w:szCs w:val="18"/>
          <w:color w:val="auto"/>
        </w:rPr>
        <w:t xml:space="preserve"> to $7.40 per share, which was the closing price of the Company’s Class A common stock on the Nasdaq Global Select Market on the date of the approval of the repricing. Except for the exercise price, the amended stock options have the same terms and conditions (including vesting schedule, number of shares, and expiration date) and will continue to be governed by the terms of the 2020 Equity Incentive Plan.</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a result of the option repricing, the Company recorded $4.8 million of incremental compensation expense during the year ended December 31, 2022. The total unrecognized incremental stock-based compensation associated with the option repricing is $1.8 million, which will be recognized over the next three years.</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17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sponsors a qualified 401(k) defined contribution plan covering eligible employees. Participants may contribute a portion of their annual compensation limited to a maximum annual amount set by the Internal Revenue Service. In 2022, the Company implemented a 401(k) match program. During fiscal years 2022 and 2021, the Company contributed $0.4 million and $0, respectively, to the 401(k) plan.</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lessee, the Company leases office and laboratory space in Redwood City, California. The lease term commenced in November 2019 and was set to end in September 2032. The Company has an option to renew all leased space for an additional five-year term at then-current market rates. In connection with the lease, the Company maintains a letter of credit issued to the lessor in the amount of $0.5 million as of December 31, 2022 and 2021, respectively, which is secured by restricted cash and is presented as noncurrent at each date based on the term of the underlying lease. In addition, the Company leases approximately 6,000 square of office space in San Diego, California under a lease that runs through September 2024.</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2022, the remaining weighted-average lease term was 9.8 years and the weighted-average incremental borrowing rate used to determine the operating lease liabilities was 6.2%. As of December 31, 2021, the remaining weighted-average lease term was 10.8 years and the weighted-average incremental borrowing rate used to determine the operating lease liabilities was 5.9%.</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2022 and December 31, 2021, the Company incurred $4.6 million and $2.8 million of lease costs, respectively, of which $0.3 million and $0.1 million is related to the Company’s short-term lease and $0.6 million and $0.7 million is related to variable lease payments, respectively. The variable lease payments are primarily comprised of common area maintenance and include costs associated with the temporary space. Cash paid for amounts included in the measurement of operating lease liabilities for the years ended December 31, 2022 and December 31, 2021 were $2.2 million and $0.9 million, respectively, and were included in net cash used in operating activities in the Company’s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future minimum commitments under the Company’s non-cancelable facility operating lease, in accordance with ASC 842,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21,065</w:t>
            </w:r>
          </w:p>
        </w:tc>
      </w:tr>
      <w:tr>
        <w:trPr>
          <w:trHeight w:val="223"/>
        </w:trPr>
        <w:tc>
          <w:tcPr>
            <w:tcW w:w="9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40,312</w:t>
            </w: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Present value adjustment for minimum lease commitments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w:t>
            </w: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lessor, the Company has contracts for equipment leased to customers. The Company accounts for the non-lease component under the revenue recognition ASC 606 guidance and the lease component under ASC 842 guidance. For an arrangement that has been classified as a sales-type lease, revenue is recognized when the transfer of control of the underlying leased asset has occurred and the net investment lease recorded, which is calculated at the present value of the remaining lease payments due from the lessee.</w:t>
      </w:r>
    </w:p>
    <w:p>
      <w:pPr>
        <w:spacing w:after="0" w:line="12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Revenue related to lease components from sales-type leases is presented as grant and other revenue and was $0.5 million and none for the year ended December 31, 2022 and 2021, respectively.</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lease receivables related to sales-type leases were $0.5 million and none, respectively, and is presented as prepaid expenses and other current assets on the consolidated balance sheets.</w:t>
      </w:r>
    </w:p>
    <w:p>
      <w:pPr>
        <w:spacing w:after="0" w:line="1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and Obligations</w:t>
      </w:r>
    </w:p>
    <w:p>
      <w:pPr>
        <w:spacing w:after="0" w:line="17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Company has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$5.7 million and $5.5 million as of December 31, 2022 and 2021,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2022 and 2021, the Company does not have any material indemnification claims that were probable or reasonably possible and consequently has not recorded related liabilities.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The Company is not currently a party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0" w:hanging="392"/>
        <w:spacing w:after="0"/>
        <w:tabs>
          <w:tab w:leader="none" w:pos="4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2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has concluded that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 During the year ended December 31, 2022 and 2021, the carrying value of the Company’s investment in PrognomiQ was reduced to nil after recognizing net losses based on its percentage of ownership in PrognomIQ.</w:t>
      </w:r>
    </w:p>
    <w:p>
      <w:pPr>
        <w:spacing w:after="0" w:line="1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PrognomiQ constitutes a related party and, as of December 31, 2022 and 2021, the Company recorded $1.5 million and $1.3 million in related party receivables, respectively, on the consolidated balance sheets representing amounts due from product sales and services and for general transition services and support provided. For the year ended December 31, 2022 and 2021, the Company recognized revenue of $5.0 million and $2.3 million, respectively, from PrognomiQ and is presented as related party revenue on the consolidated statements of operations and comprehensive loss and is comprised of the sale of instruments and consumables, and services performed.</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2022, a member of the Company’s directors served as a board member and an executive officer at a company that is a customer of the Company. As of December 31, 2022, the Company recorded $0.3 million in related party receivables, on the consolidated balance sheets, representing revenue from products sales. Revenue recognized from the sale of consumables was $0.3 million and is presented as related party revenue on the consolidated statements of operations and comprehensive loss. The Company has a contract for equipment leased to this customer that has been classified as a sales-type lease. As of December 31, 2022, the lease receivables related to the sales-type lease is $0.2 million and is presented as prepaid expenses and other current assets on the consolidated balance sheets.</w:t>
      </w:r>
    </w:p>
    <w:p>
      <w:pPr>
        <w:spacing w:after="0" w:line="1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NET LOSS PER SHARE ATTRIBUTABLE TO COMMON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computation of basic and diluted net loss per share (in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3"/>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(71,169)</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75"/>
        </w:trPr>
        <w:tc>
          <w:tcPr>
            <w:tcW w:w="7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common shares used in computing net loss per share attributable to common stockholders,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7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62,433,613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60,863,950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216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79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920" w:type="dxa"/>
            <w:vAlign w:val="bottom"/>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3"/>
        </w:trPr>
        <w:tc>
          <w:tcPr>
            <w:tcW w:w="79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options issued and outstanding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10,214,430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9,832,924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common stock subject to future vesting</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174,300</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1,650,976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740,366</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Estimated ESPP shares to be issued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41,205</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12,053,234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10,788,795</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differs from the amount computed by applying the statutory federal income tax rate due to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0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90"/>
        </w:trPr>
        <w:tc>
          <w:tcPr>
            <w:tcW w:w="8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7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benefits at statutory rate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tax deduction over book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compensation limitations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8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Deferred income tax reflects the tax effects of temporary differences between the carrying amounts of assets and liabilities for financial reporting purposes and the amounts used for income tax purposes. The categories that give rise to components of the deferred tax assets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reserves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(54,991)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A significant piece of objective negative evidence evaluated was the cumulative loss incurred since the Company’s incorporation in 2017. Such objective evidence limits the ability to recorded against the Company's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the Company’s projections for growth. For the years ended December 31, 2022 and 2021, the net changes in the net valuation allowance were an increase of $25.0 million and an increase of $18.0 million, respectively.</w:t>
      </w:r>
    </w:p>
    <w:p>
      <w:pPr>
        <w:spacing w:after="0" w:line="13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had federal net operating loss carryforwards of approximately $119.4 million and $94.0 million, respectively, which will carry forward indefinitely for federal tax purposes. At December 31, 2022 and 2021, the Company had state net operating loss carryforwards of approximately $122.5 million and $84.5 million, respectively, which will begin to expire in 2035 for state tax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the Company had federal research and development credit carryforwards of approximately $3.0 million and</w:t>
      </w:r>
    </w:p>
    <w:p>
      <w:pPr>
        <w:spacing w:after="0" w:line="27"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$1.5 million, respectively, which begin to expire in 2039 and state research and development credit carryforwards of approximately $3.1 million and $1.6 million, respectively, which will carry forward indefinitely.</w:t>
      </w:r>
    </w:p>
    <w:p>
      <w:pPr>
        <w:spacing w:after="0" w:line="1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has not performed a Section 382 study in the current year. The Company does not believe that per Section 382 there will be a deferral or limitation on the utilization of the net operating loss and tax credit carryforwards.</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2022 and 2021, the Company had unrecognized tax benefits of approximately $1.6 million and $0.8 million, respectively. The amount of unrecognized tax benefits is not expected to significantly change over the next 12 months. If recognized, unrecognized tax benefits would not have an impact on the Company’s effective tax rate due to the Company’s full valuation allowance position. The beginning and ending unrecognized tax benefits amounts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6"/>
              </w:rPr>
              <w:t>337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related to prior year provisions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related to current year provisions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6"/>
              </w:rPr>
              <w:t>656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center"/>
              <w:ind w:left="554"/>
              <w:spacing w:after="0"/>
              <w:rPr>
                <w:sz w:val="20"/>
                <w:szCs w:val="20"/>
                <w:color w:val="auto"/>
              </w:rPr>
            </w:pPr>
            <w:r>
              <w:rPr>
                <w:rFonts w:ascii="Times New Roman" w:cs="Times New Roman" w:eastAsia="Times New Roman" w:hAnsi="Times New Roman"/>
                <w:sz w:val="18"/>
                <w:szCs w:val="18"/>
                <w:color w:val="auto"/>
                <w:w w:val="96"/>
              </w:rPr>
              <w:t>839</w:t>
            </w:r>
          </w:p>
        </w:tc>
      </w:tr>
      <w:tr>
        <w:trPr>
          <w:trHeight w:val="21"/>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It is the Company’s policy to include any assessed penalties and interest expense related to income taxes as a component of other expense and interest expense, respectively, as necessary. Management determined that no accrual for interest and penalties was required as of December 31, 2022.</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year ended December 31, 2022 and 2021, the Company did not record an income tax expense. The Company will continue to maintain a full valuation allowance against its deferred tax assets as the Company believes it is more likely than not that the related deferred tax asset will not be realized. As a result, the Company’s income tax expense will remain at nil as no items that are either estimated or discrete items would impact the tax expense for the period.</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Tax Cuts and Jobs Act included a change in the treatment of research and development (R&amp;D) expenditures for tax purposes under Section 174. Effective for tax years beginning after December 31, 2021, specified R&amp;D expenditures must undergo a 5-year amortization period for domestic spend and a 15-year amortization period for foreign spend. Prior to the effective date (2021 tax year and prior), taxpayers were able to immediately expense R&amp;D costs under Section 174(a) or had the option to capitalize and amortize R&amp;D expenditures over a 5-year recovery period under Section 174(b).</w:t>
      </w:r>
    </w:p>
    <w:p>
      <w:pPr>
        <w:spacing w:after="0" w:line="12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is estimating 2022 capitalization of U.S R&amp;D expenditures net of 2022 amortization of approximately $37.2 million (an add back to estimated 2022 US taxable income). The Company has no foreign R&amp;D expenses.</w:t>
      </w:r>
    </w:p>
    <w:p>
      <w:pPr>
        <w:spacing w:after="0" w:line="10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into law, which includes implementation of a new alternative minimum tax, an excise tax on stock buybacks, and significant tax incentives for energy and climate initiatives, among other provisions. The Company does not anticipate these provisions to have a material impact on its consolidated financial statements.</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tax returns will remain open for examination by the federal and state taxing authorities for three and four years, respectively, from the date of utilization of any net operating loss carryforwards or research and development credits.</w:t>
      </w:r>
    </w:p>
    <w:p>
      <w:pPr>
        <w:spacing w:after="0" w:line="1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from December 31, 2022, the date of these consolidated financial statements, through March 6, 2023, which represents the date the financial statements were available to be issued for events requiring recording or disclosure in the financial statements for the year ended December 31, 2022. The Company concluded that no events have occurred that would require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line="136" w:lineRule="exact"/>
        <w:rPr>
          <w:sz w:val="20"/>
          <w:szCs w:val="20"/>
          <w:color w:val="auto"/>
        </w:rPr>
      </w:pPr>
    </w:p>
    <w:p>
      <w:pPr>
        <w:ind w:right="2639"/>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3" w:name="page124"/>
    <w:bookmarkEnd w:id="12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December 31, 2022,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system is designed to provide reasonable assurance regarding the preparation and fair presentation of externally-reported consolidated financial statements in accordance with generally accepted accounting principles in the United States (U.S. GAAP). As discussed above, internal control systems, no matter how well designed, have inherent limitations and can provide only reasonable assurance that their objectives have been met.</w:t>
      </w:r>
    </w:p>
    <w:p>
      <w:pPr>
        <w:spacing w:after="0" w:line="1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2022, our management conducted an evaluation, under the supervision and with the participation of our CEO and CFO, of the effectiveness of our internal control over financial reporting based upon the framework in the </w:t>
      </w:r>
      <w:r>
        <w:rPr>
          <w:rFonts w:ascii="Times New Roman" w:cs="Times New Roman" w:eastAsia="Times New Roman" w:hAnsi="Times New Roman"/>
          <w:sz w:val="18"/>
          <w:szCs w:val="18"/>
          <w:i w:val="1"/>
          <w:iCs w:val="1"/>
          <w:color w:val="auto"/>
        </w:rPr>
        <w:t>Internal Control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upon that evaluation, our CEO and CFO concluded that our internal control over financial reporting was effective as of December 31, 2022.</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and therefore our independent registered public accounting firm has not issued a report on the effectiveness of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effectiveness to future periods are subject to risks. Over time, controls may become inadequate because of changes in conditions or deterioration in the degree of compliance with policies or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year ended December 31, 2022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125" w:name="page126"/>
    <w:bookmarkEnd w:id="125"/>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a Current Report on Form 8-K. Information contained on the website is not incorporated by reference into this Annual Report.</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under this item is incorporated herein by reference to our definitive proxy statement (the “Proxy Statement”) pursuant to Regulation 14A under the Securities Exchange Act of 1934, as amended, which Proxy Statement is expected to be filed with Securities and Exchange Commission not later than 120 days after the close of our fiscal year ended 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6" w:name="page127"/>
    <w:bookmarkEnd w:id="126"/>
    <w:p>
      <w:pPr>
        <w:spacing w:after="0" w:line="1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71"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financial statements filed as part of this Annual Report are included in Part II, Item 8 of this Annual Report.</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list of exhibits filed with this Annual Report on Form 10-K is set forth in the Exhibit Index preceding the signature page and is incorporated herein by reference or filed with this Annual Report on Form 10-K, in each case as indicated therein (numbered in accordance with Item 601 of Regulation S-K).</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12"/>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8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001-39747</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240" w:type="dxa"/>
            <w:vAlign w:val="bottom"/>
            <w:vMerge w:val="restart"/>
          </w:tcPr>
          <w:p>
            <w:pPr>
              <w:jc w:val="center"/>
              <w:ind w:left="376"/>
              <w:spacing w:after="0"/>
              <w:rPr>
                <w:sz w:val="20"/>
                <w:szCs w:val="20"/>
                <w:color w:val="auto"/>
              </w:rPr>
            </w:pPr>
            <w:r>
              <w:rPr>
                <w:rFonts w:ascii="Times New Roman" w:cs="Times New Roman" w:eastAsia="Times New Roman" w:hAnsi="Times New Roman"/>
                <w:sz w:val="17"/>
                <w:szCs w:val="17"/>
                <w:color w:val="auto"/>
              </w:rPr>
              <w:t>12/8/2020</w:t>
            </w:r>
          </w:p>
        </w:tc>
        <w:tc>
          <w:tcPr>
            <w:tcW w:w="0" w:type="dxa"/>
            <w:vAlign w:val="bottom"/>
          </w:tcPr>
          <w:p>
            <w:pPr>
              <w:spacing w:after="0"/>
              <w:rPr>
                <w:sz w:val="1"/>
                <w:szCs w:val="1"/>
                <w:color w:val="auto"/>
              </w:rPr>
            </w:pPr>
          </w:p>
        </w:tc>
      </w:tr>
      <w:tr>
        <w:trPr>
          <w:trHeight w:val="183"/>
        </w:trPr>
        <w:tc>
          <w:tcPr>
            <w:tcW w:w="9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Borders>
              <w:bottom w:val="single" w:sz="8" w:color="0000FF"/>
            </w:tcBorders>
            <w:gridSpan w:val="17"/>
          </w:tcPr>
          <w:p>
            <w:pPr>
              <w:spacing w:after="0" w:line="18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Amended and Restated Certificate of Incorporation</w:t>
              </w:r>
            </w:hyperlink>
          </w:p>
        </w:tc>
        <w:tc>
          <w:tcPr>
            <w:tcW w:w="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18"/>
          </w:tcPr>
          <w:p>
            <w:pPr>
              <w:spacing w:after="0" w:line="18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of the Registrant</w:t>
              </w:r>
              <w:r>
                <w:rPr>
                  <w:rFonts w:ascii="Times New Roman" w:cs="Times New Roman" w:eastAsia="Times New Roman" w:hAnsi="Times New Roman"/>
                  <w:sz w:val="17"/>
                  <w:szCs w:val="17"/>
                  <w:color w:val="000000"/>
                </w:rPr>
                <w:t>.</w:t>
              </w:r>
            </w:hyperlink>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0000FF"/>
            </w:tcBorders>
            <w:gridSpan w:val="14"/>
          </w:tcPr>
          <w:p>
            <w:pPr>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Amended and Restated Bylaws of the Registrant.</w:t>
              </w:r>
            </w:hyperlink>
          </w:p>
        </w:tc>
        <w:tc>
          <w:tcPr>
            <w:tcW w:w="160" w:type="dxa"/>
            <w:vAlign w:val="bottom"/>
            <w:gridSpan w:val="4"/>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001-39747</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24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rPr>
              <w:t>12/8/2020</w:t>
            </w:r>
          </w:p>
        </w:tc>
        <w:tc>
          <w:tcPr>
            <w:tcW w:w="0" w:type="dxa"/>
            <w:vAlign w:val="bottom"/>
          </w:tcPr>
          <w:p>
            <w:pPr>
              <w:spacing w:after="0"/>
              <w:rPr>
                <w:sz w:val="1"/>
                <w:szCs w:val="1"/>
                <w:color w:val="auto"/>
              </w:rPr>
            </w:pPr>
          </w:p>
        </w:tc>
      </w:tr>
      <w:tr>
        <w:trPr>
          <w:trHeight w:val="452"/>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18"/>
          </w:tcPr>
          <w:p>
            <w:pPr>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Form of common stock certificate of the</w:t>
              </w:r>
            </w:hyperlink>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S-1</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4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rPr>
              <w:t>11/12/2020</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tcBorders>
              <w:top w:val="single" w:sz="8" w:color="0000FF"/>
            </w:tcBorders>
            <w:gridSpan w:val="7"/>
          </w:tcPr>
          <w:p>
            <w:pPr>
              <w:spacing w:after="0" w:line="183"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Registrant.</w:t>
              </w:r>
            </w:hyperlink>
          </w:p>
        </w:tc>
        <w:tc>
          <w:tcPr>
            <w:tcW w:w="780" w:type="dxa"/>
            <w:vAlign w:val="bottom"/>
            <w:gridSpan w:val="11"/>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bottom w:val="single" w:sz="8" w:color="0000FF"/>
            </w:tcBorders>
            <w:gridSpan w:val="8"/>
          </w:tcPr>
          <w:p>
            <w:pPr>
              <w:spacing w:after="0"/>
              <w:rPr>
                <w:rFonts w:ascii="Times New Roman" w:cs="Times New Roman" w:eastAsia="Times New Roman" w:hAnsi="Times New Roman"/>
                <w:sz w:val="17"/>
                <w:szCs w:val="17"/>
                <w:color w:val="0000FF"/>
                <w:w w:val="99"/>
              </w:rPr>
            </w:pPr>
            <w:hyperlink r:id="rId164">
              <w:r>
                <w:rPr>
                  <w:rFonts w:ascii="Times New Roman" w:cs="Times New Roman" w:eastAsia="Times New Roman" w:hAnsi="Times New Roman"/>
                  <w:sz w:val="17"/>
                  <w:szCs w:val="17"/>
                  <w:color w:val="0000FF"/>
                  <w:w w:val="99"/>
                </w:rPr>
                <w:t>Amended and Restated Investors’ Rights</w:t>
              </w:r>
            </w:hyperlink>
          </w:p>
        </w:tc>
        <w:tc>
          <w:tcPr>
            <w:tcW w:w="740" w:type="dxa"/>
            <w:vAlign w:val="bottom"/>
            <w:gridSpan w:val="10"/>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S-1</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333-252395</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24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rPr>
              <w:t>1/25/2021</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Borders>
              <w:bottom w:val="single" w:sz="8" w:color="0000FF"/>
            </w:tcBorders>
            <w:gridSpan w:val="11"/>
          </w:tcPr>
          <w:p>
            <w:pPr>
              <w:spacing w:after="0" w:line="183" w:lineRule="exact"/>
              <w:rPr>
                <w:rFonts w:ascii="Times New Roman" w:cs="Times New Roman" w:eastAsia="Times New Roman" w:hAnsi="Times New Roman"/>
                <w:sz w:val="17"/>
                <w:szCs w:val="17"/>
                <w:color w:val="0000FF"/>
                <w:w w:val="99"/>
              </w:rPr>
            </w:pPr>
            <w:hyperlink r:id="rId164">
              <w:r>
                <w:rPr>
                  <w:rFonts w:ascii="Times New Roman" w:cs="Times New Roman" w:eastAsia="Times New Roman" w:hAnsi="Times New Roman"/>
                  <w:sz w:val="17"/>
                  <w:szCs w:val="17"/>
                  <w:color w:val="0000FF"/>
                  <w:w w:val="99"/>
                </w:rPr>
                <w:t>Agreement, by and among the Registrant and</w:t>
              </w:r>
            </w:hyperlink>
          </w:p>
        </w:tc>
        <w:tc>
          <w:tcPr>
            <w:tcW w:w="440" w:type="dxa"/>
            <w:vAlign w:val="bottom"/>
            <w:gridSpan w:val="7"/>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18"/>
          </w:tcPr>
          <w:p>
            <w:pPr>
              <w:spacing w:after="0" w:line="183"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certain holders of its capital stock, dated as of</w:t>
              </w:r>
            </w:hyperlink>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7"/>
                <w:szCs w:val="17"/>
                <w:color w:val="0000FF"/>
                <w:w w:val="98"/>
              </w:rPr>
            </w:pPr>
            <w:hyperlink r:id="rId164">
              <w:r>
                <w:rPr>
                  <w:rFonts w:ascii="Times New Roman" w:cs="Times New Roman" w:eastAsia="Times New Roman" w:hAnsi="Times New Roman"/>
                  <w:sz w:val="17"/>
                  <w:szCs w:val="17"/>
                  <w:color w:val="0000FF"/>
                  <w:w w:val="98"/>
                </w:rPr>
                <w:t>December 9, 2020.</w:t>
              </w:r>
            </w:hyperlink>
          </w:p>
        </w:tc>
        <w:tc>
          <w:tcPr>
            <w:tcW w:w="1820" w:type="dxa"/>
            <w:vAlign w:val="bottom"/>
            <w:tcBorders>
              <w:top w:val="single" w:sz="8" w:color="0000FF"/>
            </w:tcBorders>
            <w:gridSpan w:val="6"/>
          </w:tcPr>
          <w:p>
            <w:pPr>
              <w:spacing w:after="0"/>
              <w:rPr>
                <w:sz w:val="17"/>
                <w:szCs w:val="17"/>
                <w:color w:val="auto"/>
              </w:rPr>
            </w:pPr>
          </w:p>
        </w:tc>
        <w:tc>
          <w:tcPr>
            <w:tcW w:w="420" w:type="dxa"/>
            <w:vAlign w:val="bottom"/>
            <w:gridSpan w:val="6"/>
          </w:tcPr>
          <w:p>
            <w:pPr>
              <w:spacing w:after="0"/>
              <w:rPr>
                <w:sz w:val="17"/>
                <w:szCs w:val="17"/>
                <w:color w:val="auto"/>
              </w:rPr>
            </w:pPr>
          </w:p>
        </w:tc>
        <w:tc>
          <w:tcPr>
            <w:tcW w:w="1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w w:val="99"/>
              </w:rPr>
            </w:pPr>
            <w:hyperlink r:id="rId165">
              <w:r>
                <w:rPr>
                  <w:rFonts w:ascii="Times New Roman" w:cs="Times New Roman" w:eastAsia="Times New Roman" w:hAnsi="Times New Roman"/>
                  <w:sz w:val="17"/>
                  <w:szCs w:val="17"/>
                  <w:color w:val="0000FF"/>
                  <w:w w:val="99"/>
                </w:rPr>
                <w:t>Description of the Registrant’s securities registered</w:t>
              </w:r>
            </w:hyperlink>
          </w:p>
        </w:tc>
        <w:tc>
          <w:tcPr>
            <w:tcW w:w="40" w:type="dxa"/>
            <w:vAlign w:val="bottom"/>
            <w:gridSpan w:val="2"/>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001-39747</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24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rPr>
              <w:t>3/29/2021</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18"/>
          </w:tcPr>
          <w:p>
            <w:pPr>
              <w:spacing w:after="0" w:line="183"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pursuant to Section 12 of the Securities Exchange</w:t>
              </w:r>
            </w:hyperlink>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7"/>
                <w:szCs w:val="17"/>
                <w:color w:val="0000FF"/>
                <w:w w:val="98"/>
              </w:rPr>
            </w:pPr>
            <w:hyperlink r:id="rId165">
              <w:r>
                <w:rPr>
                  <w:rFonts w:ascii="Times New Roman" w:cs="Times New Roman" w:eastAsia="Times New Roman" w:hAnsi="Times New Roman"/>
                  <w:sz w:val="17"/>
                  <w:szCs w:val="17"/>
                  <w:color w:val="0000FF"/>
                  <w:w w:val="98"/>
                </w:rPr>
                <w:t>Act of 1934.</w:t>
              </w:r>
            </w:hyperlink>
          </w:p>
        </w:tc>
        <w:tc>
          <w:tcPr>
            <w:tcW w:w="2540" w:type="dxa"/>
            <w:vAlign w:val="bottom"/>
            <w:tcBorders>
              <w:top w:val="single" w:sz="8" w:color="0000FF"/>
            </w:tcBorders>
            <w:gridSpan w:val="11"/>
          </w:tcPr>
          <w:p>
            <w:pPr>
              <w:spacing w:after="0"/>
              <w:rPr>
                <w:sz w:val="14"/>
                <w:szCs w:val="14"/>
                <w:color w:val="auto"/>
              </w:rPr>
            </w:pPr>
          </w:p>
        </w:tc>
        <w:tc>
          <w:tcPr>
            <w:tcW w:w="140" w:type="dxa"/>
            <w:vAlign w:val="bottom"/>
            <w:gridSpan w:val="3"/>
          </w:tcPr>
          <w:p>
            <w:pPr>
              <w:spacing w:after="0"/>
              <w:rPr>
                <w:sz w:val="14"/>
                <w:szCs w:val="14"/>
                <w:color w:val="auto"/>
              </w:rPr>
            </w:pPr>
          </w:p>
        </w:tc>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Borders>
              <w:bottom w:val="single" w:sz="8" w:color="0000FF"/>
            </w:tcBorders>
            <w:gridSpan w:val="13"/>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Form of Indemnification Agreement between the</w:t>
              </w:r>
            </w:hyperlink>
          </w:p>
        </w:tc>
        <w:tc>
          <w:tcPr>
            <w:tcW w:w="180" w:type="dxa"/>
            <w:vAlign w:val="bottom"/>
            <w:gridSpan w:val="5"/>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S-1</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4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rPr>
              <w:t>11/12/2020</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18"/>
          </w:tcPr>
          <w:p>
            <w:pPr>
              <w:spacing w:after="0" w:line="183"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Registrant and each of its directors and executive</w:t>
              </w:r>
            </w:hyperlink>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top w:val="single" w:sz="8" w:color="0000FF"/>
            </w:tcBorders>
            <w:gridSpan w:val="13"/>
          </w:tcPr>
          <w:p>
            <w:pPr>
              <w:spacing w:after="0" w:line="183"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officers.</w:t>
              </w:r>
            </w:hyperlink>
          </w:p>
        </w:tc>
        <w:tc>
          <w:tcPr>
            <w:tcW w:w="180" w:type="dxa"/>
            <w:vAlign w:val="bottom"/>
            <w:gridSpan w:val="5"/>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w w:val="99"/>
              </w:rPr>
            </w:pPr>
            <w:hyperlink r:id="rId167">
              <w:r>
                <w:rPr>
                  <w:rFonts w:ascii="Times New Roman" w:cs="Times New Roman" w:eastAsia="Times New Roman" w:hAnsi="Times New Roman"/>
                  <w:sz w:val="17"/>
                  <w:szCs w:val="17"/>
                  <w:color w:val="0000FF"/>
                  <w:w w:val="99"/>
                </w:rPr>
                <w:t>2020 Equity Incentive Plan and related form</w:t>
              </w:r>
            </w:hyperlink>
          </w:p>
        </w:tc>
        <w:tc>
          <w:tcPr>
            <w:tcW w:w="500" w:type="dxa"/>
            <w:vAlign w:val="bottom"/>
            <w:gridSpan w:val="8"/>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S-1/A</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4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rPr>
              <w:t>11/30/2020</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0000FF"/>
            </w:tcBorders>
            <w:gridSpan w:val="3"/>
          </w:tcPr>
          <w:p>
            <w:pPr>
              <w:spacing w:after="0" w:line="183" w:lineRule="exact"/>
              <w:rPr>
                <w:rFonts w:ascii="Times New Roman" w:cs="Times New Roman" w:eastAsia="Times New Roman" w:hAnsi="Times New Roman"/>
                <w:sz w:val="17"/>
                <w:szCs w:val="17"/>
                <w:color w:val="0000FF"/>
                <w:w w:val="97"/>
              </w:rPr>
            </w:pPr>
            <w:hyperlink r:id="rId167">
              <w:r>
                <w:rPr>
                  <w:rFonts w:ascii="Times New Roman" w:cs="Times New Roman" w:eastAsia="Times New Roman" w:hAnsi="Times New Roman"/>
                  <w:sz w:val="17"/>
                  <w:szCs w:val="17"/>
                  <w:color w:val="0000FF"/>
                  <w:w w:val="97"/>
                </w:rPr>
                <w:t>agreements.</w:t>
              </w:r>
            </w:hyperlink>
          </w:p>
        </w:tc>
        <w:tc>
          <w:tcPr>
            <w:tcW w:w="2720" w:type="dxa"/>
            <w:vAlign w:val="bottom"/>
            <w:gridSpan w:val="15"/>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18"/>
          </w:tcPr>
          <w:p>
            <w:pPr>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2017 Stock Incentive Plan and related form</w:t>
              </w:r>
            </w:hyperlink>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S-1/A</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24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rPr>
              <w:t>11/30/2020</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0000FF"/>
              <w:bottom w:val="single" w:sz="8" w:color="0000FF"/>
            </w:tcBorders>
            <w:gridSpan w:val="3"/>
          </w:tcPr>
          <w:p>
            <w:pPr>
              <w:spacing w:after="0" w:line="183" w:lineRule="exact"/>
              <w:rPr>
                <w:rFonts w:ascii="Times New Roman" w:cs="Times New Roman" w:eastAsia="Times New Roman" w:hAnsi="Times New Roman"/>
                <w:sz w:val="17"/>
                <w:szCs w:val="17"/>
                <w:color w:val="0000FF"/>
                <w:w w:val="97"/>
              </w:rPr>
            </w:pPr>
            <w:hyperlink r:id="rId168">
              <w:r>
                <w:rPr>
                  <w:rFonts w:ascii="Times New Roman" w:cs="Times New Roman" w:eastAsia="Times New Roman" w:hAnsi="Times New Roman"/>
                  <w:sz w:val="17"/>
                  <w:szCs w:val="17"/>
                  <w:color w:val="0000FF"/>
                  <w:w w:val="97"/>
                </w:rPr>
                <w:t>agreements.</w:t>
              </w:r>
            </w:hyperlink>
          </w:p>
        </w:tc>
        <w:tc>
          <w:tcPr>
            <w:tcW w:w="2140" w:type="dxa"/>
            <w:vAlign w:val="bottom"/>
            <w:tcBorders>
              <w:top w:val="single" w:sz="8" w:color="0000FF"/>
            </w:tcBorders>
            <w:gridSpan w:val="6"/>
          </w:tcPr>
          <w:p>
            <w:pPr>
              <w:spacing w:after="0"/>
              <w:rPr>
                <w:sz w:val="15"/>
                <w:szCs w:val="15"/>
                <w:color w:val="auto"/>
              </w:rPr>
            </w:pPr>
          </w:p>
        </w:tc>
        <w:tc>
          <w:tcPr>
            <w:tcW w:w="580" w:type="dxa"/>
            <w:vAlign w:val="bottom"/>
            <w:gridSpan w:val="9"/>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27" w:name="page128"/>
    <w:bookmarkEnd w:id="127"/>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6"/>
              </w:rPr>
              <w:t>10.4+</w:t>
            </w:r>
          </w:p>
        </w:tc>
        <w:tc>
          <w:tcPr>
            <w:tcW w:w="3420" w:type="dxa"/>
            <w:vAlign w:val="bottom"/>
            <w:tcBorders>
              <w:bottom w:val="single" w:sz="8" w:color="0000FF"/>
            </w:tcBorders>
            <w:gridSpan w:val="8"/>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2020 RSU Equity Incentive Plan and related form</w:t>
              </w:r>
            </w:hyperlink>
          </w:p>
        </w:tc>
        <w:tc>
          <w:tcPr>
            <w:tcW w:w="320" w:type="dxa"/>
            <w:vAlign w:val="bottom"/>
          </w:tcPr>
          <w:p>
            <w:pPr>
              <w:spacing w:after="0"/>
              <w:rPr>
                <w:sz w:val="17"/>
                <w:szCs w:val="17"/>
                <w:color w:val="auto"/>
              </w:rPr>
            </w:pPr>
          </w:p>
        </w:tc>
        <w:tc>
          <w:tcPr>
            <w:tcW w:w="12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S-1/A</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32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10.4</w:t>
            </w:r>
          </w:p>
        </w:tc>
        <w:tc>
          <w:tcPr>
            <w:tcW w:w="1280" w:type="dxa"/>
            <w:vAlign w:val="bottom"/>
          </w:tcPr>
          <w:p>
            <w:pPr>
              <w:jc w:val="center"/>
              <w:ind w:left="415"/>
              <w:spacing w:after="0"/>
              <w:rPr>
                <w:sz w:val="20"/>
                <w:szCs w:val="20"/>
                <w:color w:val="auto"/>
              </w:rPr>
            </w:pPr>
            <w:r>
              <w:rPr>
                <w:rFonts w:ascii="Times New Roman" w:cs="Times New Roman" w:eastAsia="Times New Roman" w:hAnsi="Times New Roman"/>
                <w:sz w:val="17"/>
                <w:szCs w:val="17"/>
                <w:color w:val="auto"/>
              </w:rPr>
              <w:t>11/30/2020</w:t>
            </w:r>
          </w:p>
        </w:tc>
      </w:tr>
      <w:tr>
        <w:trPr>
          <w:trHeight w:val="183"/>
        </w:trPr>
        <w:tc>
          <w:tcPr>
            <w:tcW w:w="780" w:type="dxa"/>
            <w:vAlign w:val="bottom"/>
          </w:tcPr>
          <w:p>
            <w:pPr>
              <w:spacing w:after="0"/>
              <w:rPr>
                <w:sz w:val="15"/>
                <w:szCs w:val="15"/>
                <w:color w:val="auto"/>
              </w:rPr>
            </w:pPr>
          </w:p>
        </w:tc>
        <w:tc>
          <w:tcPr>
            <w:tcW w:w="820" w:type="dxa"/>
            <w:vAlign w:val="bottom"/>
            <w:tcBorders>
              <w:bottom w:val="single" w:sz="8" w:color="0000FF"/>
            </w:tcBorders>
            <w:gridSpan w:val="2"/>
          </w:tcPr>
          <w:p>
            <w:pPr>
              <w:spacing w:after="0" w:line="183" w:lineRule="exact"/>
              <w:rPr>
                <w:rFonts w:ascii="Times New Roman" w:cs="Times New Roman" w:eastAsia="Times New Roman" w:hAnsi="Times New Roman"/>
                <w:sz w:val="17"/>
                <w:szCs w:val="17"/>
                <w:color w:val="0000FF"/>
                <w:w w:val="97"/>
              </w:rPr>
            </w:pPr>
            <w:hyperlink r:id="rId170">
              <w:r>
                <w:rPr>
                  <w:rFonts w:ascii="Times New Roman" w:cs="Times New Roman" w:eastAsia="Times New Roman" w:hAnsi="Times New Roman"/>
                  <w:sz w:val="17"/>
                  <w:szCs w:val="17"/>
                  <w:color w:val="0000FF"/>
                  <w:w w:val="97"/>
                </w:rPr>
                <w:t>agreements.</w:t>
              </w:r>
            </w:hyperlink>
          </w:p>
        </w:tc>
        <w:tc>
          <w:tcPr>
            <w:tcW w:w="2920" w:type="dxa"/>
            <w:vAlign w:val="bottom"/>
            <w:gridSpan w:val="7"/>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453"/>
        </w:trPr>
        <w:tc>
          <w:tcPr>
            <w:tcW w:w="7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6"/>
              </w:rPr>
              <w:t>10.5+</w:t>
            </w:r>
          </w:p>
        </w:tc>
        <w:tc>
          <w:tcPr>
            <w:tcW w:w="3740" w:type="dxa"/>
            <w:vAlign w:val="bottom"/>
            <w:gridSpan w:val="9"/>
          </w:tcPr>
          <w:p>
            <w:pPr>
              <w:spacing w:after="0"/>
              <w:rPr>
                <w:rFonts w:ascii="Times New Roman" w:cs="Times New Roman" w:eastAsia="Times New Roman" w:hAnsi="Times New Roman"/>
                <w:sz w:val="17"/>
                <w:szCs w:val="17"/>
                <w:color w:val="auto"/>
              </w:rPr>
            </w:pPr>
            <w:hyperlink r:id="rId171">
              <w:r>
                <w:rPr>
                  <w:rFonts w:ascii="Times New Roman" w:cs="Times New Roman" w:eastAsia="Times New Roman" w:hAnsi="Times New Roman"/>
                  <w:sz w:val="17"/>
                  <w:szCs w:val="17"/>
                  <w:color w:val="auto"/>
                </w:rPr>
                <w:t xml:space="preserve">Amended and Restated </w:t>
              </w:r>
              <w:r>
                <w:rPr>
                  <w:rFonts w:ascii="Times New Roman" w:cs="Times New Roman" w:eastAsia="Times New Roman" w:hAnsi="Times New Roman"/>
                  <w:sz w:val="17"/>
                  <w:szCs w:val="17"/>
                  <w:color w:val="0000FF"/>
                </w:rPr>
                <w:t>2020 Employee Stock</w:t>
              </w:r>
            </w:hyperlink>
          </w:p>
        </w:tc>
        <w:tc>
          <w:tcPr>
            <w:tcW w:w="12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7"/>
              </w:rPr>
              <w:t>10-Q</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001-39747</w:t>
            </w:r>
          </w:p>
        </w:tc>
        <w:tc>
          <w:tcPr>
            <w:tcW w:w="132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10.1</w:t>
            </w:r>
          </w:p>
        </w:tc>
        <w:tc>
          <w:tcPr>
            <w:tcW w:w="1280" w:type="dxa"/>
            <w:vAlign w:val="bottom"/>
          </w:tcPr>
          <w:p>
            <w:pPr>
              <w:jc w:val="center"/>
              <w:ind w:left="415"/>
              <w:spacing w:after="0"/>
              <w:rPr>
                <w:sz w:val="20"/>
                <w:szCs w:val="20"/>
                <w:color w:val="auto"/>
              </w:rPr>
            </w:pPr>
            <w:r>
              <w:rPr>
                <w:rFonts w:ascii="Times New Roman" w:cs="Times New Roman" w:eastAsia="Times New Roman" w:hAnsi="Times New Roman"/>
                <w:sz w:val="17"/>
                <w:szCs w:val="17"/>
                <w:color w:val="auto"/>
              </w:rPr>
              <w:t>5/6/2022</w:t>
            </w:r>
          </w:p>
        </w:tc>
      </w:tr>
      <w:tr>
        <w:trPr>
          <w:trHeight w:val="20"/>
        </w:trPr>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3000" w:type="dxa"/>
            <w:vAlign w:val="bottom"/>
            <w:tcBorders>
              <w:bottom w:val="single" w:sz="8" w:color="0000FF"/>
            </w:tcBorders>
            <w:gridSpan w:val="5"/>
          </w:tcPr>
          <w:p>
            <w:pPr>
              <w:spacing w:after="0" w:line="183" w:lineRule="exact"/>
              <w:rPr>
                <w:rFonts w:ascii="Times New Roman" w:cs="Times New Roman" w:eastAsia="Times New Roman" w:hAnsi="Times New Roman"/>
                <w:sz w:val="17"/>
                <w:szCs w:val="17"/>
                <w:color w:val="0000FF"/>
                <w:w w:val="99"/>
              </w:rPr>
            </w:pPr>
            <w:hyperlink r:id="rId171">
              <w:r>
                <w:rPr>
                  <w:rFonts w:ascii="Times New Roman" w:cs="Times New Roman" w:eastAsia="Times New Roman" w:hAnsi="Times New Roman"/>
                  <w:sz w:val="17"/>
                  <w:szCs w:val="17"/>
                  <w:color w:val="0000FF"/>
                  <w:w w:val="99"/>
                </w:rPr>
                <w:t>Purchase Plan and related form agreements.</w:t>
              </w:r>
            </w:hyperlink>
          </w:p>
        </w:tc>
        <w:tc>
          <w:tcPr>
            <w:tcW w:w="740" w:type="dxa"/>
            <w:vAlign w:val="bottom"/>
            <w:gridSpan w:val="4"/>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452"/>
        </w:trPr>
        <w:tc>
          <w:tcPr>
            <w:tcW w:w="7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6"/>
              </w:rPr>
              <w:t>10.6+</w:t>
            </w:r>
          </w:p>
        </w:tc>
        <w:tc>
          <w:tcPr>
            <w:tcW w:w="3740" w:type="dxa"/>
            <w:vAlign w:val="bottom"/>
            <w:gridSpan w:val="9"/>
          </w:tcPr>
          <w:p>
            <w:pPr>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Key Executive Change in Control and Severance</w:t>
              </w:r>
            </w:hyperlink>
          </w:p>
        </w:tc>
        <w:tc>
          <w:tcPr>
            <w:tcW w:w="12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S-1/A</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32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10.6</w:t>
            </w:r>
          </w:p>
        </w:tc>
        <w:tc>
          <w:tcPr>
            <w:tcW w:w="1280" w:type="dxa"/>
            <w:vAlign w:val="bottom"/>
          </w:tcPr>
          <w:p>
            <w:pPr>
              <w:jc w:val="center"/>
              <w:ind w:left="415"/>
              <w:spacing w:after="0"/>
              <w:rPr>
                <w:sz w:val="20"/>
                <w:szCs w:val="20"/>
                <w:color w:val="auto"/>
              </w:rPr>
            </w:pPr>
            <w:r>
              <w:rPr>
                <w:rFonts w:ascii="Times New Roman" w:cs="Times New Roman" w:eastAsia="Times New Roman" w:hAnsi="Times New Roman"/>
                <w:sz w:val="17"/>
                <w:szCs w:val="17"/>
                <w:color w:val="auto"/>
              </w:rPr>
              <w:t>11/30/2020</w:t>
            </w:r>
          </w:p>
        </w:tc>
      </w:tr>
      <w:tr>
        <w:trPr>
          <w:trHeight w:val="183"/>
        </w:trPr>
        <w:tc>
          <w:tcPr>
            <w:tcW w:w="780" w:type="dxa"/>
            <w:vAlign w:val="bottom"/>
          </w:tcPr>
          <w:p>
            <w:pPr>
              <w:spacing w:after="0"/>
              <w:rPr>
                <w:sz w:val="15"/>
                <w:szCs w:val="15"/>
                <w:color w:val="auto"/>
              </w:rPr>
            </w:pPr>
          </w:p>
        </w:tc>
        <w:tc>
          <w:tcPr>
            <w:tcW w:w="2920" w:type="dxa"/>
            <w:vAlign w:val="bottom"/>
            <w:tcBorders>
              <w:top w:val="single" w:sz="8" w:color="0000FF"/>
              <w:bottom w:val="single" w:sz="8" w:color="0000FF"/>
            </w:tcBorders>
            <w:gridSpan w:val="4"/>
          </w:tcPr>
          <w:p>
            <w:pPr>
              <w:spacing w:after="0" w:line="183"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Plan, and form of Participation Agreement</w:t>
              </w:r>
            </w:hyperlink>
          </w:p>
        </w:tc>
        <w:tc>
          <w:tcPr>
            <w:tcW w:w="420" w:type="dxa"/>
            <w:vAlign w:val="bottom"/>
            <w:tcBorders>
              <w:top w:val="single" w:sz="8" w:color="0000FF"/>
            </w:tcBorders>
            <w:gridSpan w:val="3"/>
          </w:tcPr>
          <w:p>
            <w:pPr>
              <w:spacing w:after="0"/>
              <w:rPr>
                <w:sz w:val="15"/>
                <w:szCs w:val="15"/>
                <w:color w:val="auto"/>
              </w:rPr>
            </w:pPr>
          </w:p>
        </w:tc>
        <w:tc>
          <w:tcPr>
            <w:tcW w:w="400" w:type="dxa"/>
            <w:vAlign w:val="bottom"/>
            <w:gridSpan w:val="2"/>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3740" w:type="dxa"/>
            <w:vAlign w:val="bottom"/>
            <w:gridSpan w:val="9"/>
          </w:tcPr>
          <w:p>
            <w:pPr>
              <w:spacing w:after="0" w:line="183"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thereunder.</w:t>
              </w:r>
            </w:hyperlink>
          </w:p>
        </w:tc>
        <w:tc>
          <w:tcPr>
            <w:tcW w:w="1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580" w:top="1440" w:right="1099" w:bottom="1440" w:gutter="0" w:footer="0" w:header="0"/>
        </w:sectPr>
      </w:pPr>
    </w:p>
    <w:p>
      <w:pPr>
        <w:spacing w:after="0" w:line="89" w:lineRule="exact"/>
        <w:rPr>
          <w:sz w:val="20"/>
          <w:szCs w:val="20"/>
          <w:color w:val="auto"/>
        </w:rPr>
      </w:pPr>
    </w:p>
    <w:p>
      <w:pPr>
        <w:ind w:left="820" w:right="80" w:hanging="782"/>
        <w:spacing w:after="0" w:line="265"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10.7+</w:t>
      </w:r>
      <w:r>
        <w:rPr>
          <w:sz w:val="20"/>
          <w:szCs w:val="20"/>
          <w:color w:val="auto"/>
        </w:rPr>
        <w:tab/>
      </w:r>
      <w:hyperlink r:id="rId173">
        <w:r>
          <w:rPr>
            <w:rFonts w:ascii="Times New Roman" w:cs="Times New Roman" w:eastAsia="Times New Roman" w:hAnsi="Times New Roman"/>
            <w:sz w:val="17"/>
            <w:szCs w:val="17"/>
            <w:u w:val="single" w:color="auto"/>
            <w:color w:val="0000FF"/>
          </w:rPr>
          <w:t>Confirmatory Offer Letter between the Registrant</w:t>
        </w:r>
      </w:hyperlink>
      <w:r>
        <w:rPr>
          <w:rFonts w:ascii="Times New Roman" w:cs="Times New Roman" w:eastAsia="Times New Roman" w:hAnsi="Times New Roman"/>
          <w:sz w:val="17"/>
          <w:szCs w:val="17"/>
          <w:u w:val="single" w:color="auto"/>
          <w:color w:val="0000FF"/>
        </w:rPr>
        <w:t xml:space="preserve"> </w:t>
      </w:r>
      <w:hyperlink r:id="rId173">
        <w:r>
          <w:rPr>
            <w:rFonts w:ascii="Times New Roman" w:cs="Times New Roman" w:eastAsia="Times New Roman" w:hAnsi="Times New Roman"/>
            <w:sz w:val="17"/>
            <w:szCs w:val="17"/>
            <w:u w:val="single" w:color="auto"/>
            <w:color w:val="0000FF"/>
          </w:rPr>
          <w:t>and Dr. Omid Farokhzad, dated November 30,</w:t>
        </w:r>
      </w:hyperlink>
      <w:r>
        <w:rPr>
          <w:rFonts w:ascii="Times New Roman" w:cs="Times New Roman" w:eastAsia="Times New Roman" w:hAnsi="Times New Roman"/>
          <w:sz w:val="17"/>
          <w:szCs w:val="17"/>
          <w:u w:val="single" w:color="auto"/>
          <w:color w:val="0000FF"/>
        </w:rPr>
        <w:t xml:space="preserve"> </w:t>
      </w:r>
      <w:hyperlink r:id="rId173">
        <w:r>
          <w:rPr>
            <w:rFonts w:ascii="Times New Roman" w:cs="Times New Roman" w:eastAsia="Times New Roman" w:hAnsi="Times New Roman"/>
            <w:sz w:val="17"/>
            <w:szCs w:val="17"/>
            <w:u w:val="single" w:color="auto"/>
            <w:color w:val="0000FF"/>
          </w:rPr>
          <w:t>2020.</w:t>
        </w:r>
      </w:hyperlink>
    </w:p>
    <w:p>
      <w:pPr>
        <w:spacing w:after="0" w:line="243" w:lineRule="exact"/>
        <w:rPr>
          <w:rFonts w:ascii="Times New Roman" w:cs="Times New Roman" w:eastAsia="Times New Roman" w:hAnsi="Times New Roman"/>
          <w:sz w:val="17"/>
          <w:szCs w:val="17"/>
          <w:u w:val="single" w:color="auto"/>
          <w:color w:val="0000FF"/>
        </w:rPr>
      </w:pPr>
    </w:p>
    <w:p>
      <w:pPr>
        <w:ind w:left="820" w:right="80" w:hanging="782"/>
        <w:spacing w:after="0" w:line="281"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10.8+</w:t>
      </w:r>
      <w:r>
        <w:rPr>
          <w:sz w:val="20"/>
          <w:szCs w:val="20"/>
          <w:color w:val="auto"/>
        </w:rPr>
        <w:tab/>
      </w:r>
      <w:hyperlink r:id="rId174">
        <w:r>
          <w:rPr>
            <w:rFonts w:ascii="Times New Roman" w:cs="Times New Roman" w:eastAsia="Times New Roman" w:hAnsi="Times New Roman"/>
            <w:sz w:val="17"/>
            <w:szCs w:val="17"/>
            <w:u w:val="single" w:color="auto"/>
            <w:color w:val="0000FF"/>
          </w:rPr>
          <w:t>Confirmatory Offer Letter between the Registrant</w:t>
        </w:r>
      </w:hyperlink>
      <w:r>
        <w:rPr>
          <w:rFonts w:ascii="Times New Roman" w:cs="Times New Roman" w:eastAsia="Times New Roman" w:hAnsi="Times New Roman"/>
          <w:sz w:val="17"/>
          <w:szCs w:val="17"/>
          <w:u w:val="single" w:color="auto"/>
          <w:color w:val="0000FF"/>
        </w:rPr>
        <w:t xml:space="preserve"> </w:t>
      </w:r>
      <w:hyperlink r:id="rId174">
        <w:r>
          <w:rPr>
            <w:rFonts w:ascii="Times New Roman" w:cs="Times New Roman" w:eastAsia="Times New Roman" w:hAnsi="Times New Roman"/>
            <w:sz w:val="17"/>
            <w:szCs w:val="17"/>
            <w:u w:val="single" w:color="auto"/>
            <w:color w:val="0000FF"/>
          </w:rPr>
          <w:t>and Omead Ostadan, dated November 30, 2020.</w:t>
        </w:r>
      </w:hyperlink>
    </w:p>
    <w:p>
      <w:pPr>
        <w:spacing w:after="0" w:line="217" w:lineRule="exact"/>
        <w:rPr>
          <w:sz w:val="20"/>
          <w:szCs w:val="20"/>
          <w:color w:val="auto"/>
        </w:rPr>
      </w:pPr>
    </w:p>
    <w:p>
      <w:pPr>
        <w:ind w:left="820" w:right="80" w:hanging="782"/>
        <w:spacing w:after="0" w:line="281"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10.9+</w:t>
      </w:r>
      <w:r>
        <w:rPr>
          <w:sz w:val="20"/>
          <w:szCs w:val="20"/>
          <w:color w:val="auto"/>
        </w:rPr>
        <w:tab/>
      </w:r>
      <w:hyperlink r:id="rId175">
        <w:r>
          <w:rPr>
            <w:rFonts w:ascii="Times New Roman" w:cs="Times New Roman" w:eastAsia="Times New Roman" w:hAnsi="Times New Roman"/>
            <w:sz w:val="17"/>
            <w:szCs w:val="17"/>
            <w:u w:val="single" w:color="auto"/>
            <w:color w:val="0000FF"/>
          </w:rPr>
          <w:t>Confirmatory Offer Letter between the Registrant</w:t>
        </w:r>
      </w:hyperlink>
      <w:r>
        <w:rPr>
          <w:rFonts w:ascii="Times New Roman" w:cs="Times New Roman" w:eastAsia="Times New Roman" w:hAnsi="Times New Roman"/>
          <w:sz w:val="17"/>
          <w:szCs w:val="17"/>
          <w:u w:val="single" w:color="auto"/>
          <w:color w:val="0000FF"/>
        </w:rPr>
        <w:t xml:space="preserve"> </w:t>
      </w:r>
      <w:hyperlink r:id="rId175">
        <w:r>
          <w:rPr>
            <w:rFonts w:ascii="Times New Roman" w:cs="Times New Roman" w:eastAsia="Times New Roman" w:hAnsi="Times New Roman"/>
            <w:sz w:val="17"/>
            <w:szCs w:val="17"/>
            <w:u w:val="single" w:color="auto"/>
            <w:color w:val="0000FF"/>
          </w:rPr>
          <w:t>and David Horn, dated November 30, 2020.</w:t>
        </w:r>
      </w:hyperlink>
    </w:p>
    <w:p>
      <w:pPr>
        <w:spacing w:after="0" w:line="217" w:lineRule="exact"/>
        <w:rPr>
          <w:sz w:val="20"/>
          <w:szCs w:val="20"/>
          <w:color w:val="auto"/>
        </w:rPr>
      </w:pPr>
    </w:p>
    <w:p>
      <w:pPr>
        <w:ind w:left="820" w:hanging="824"/>
        <w:spacing w:after="0" w:line="265"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10.10+</w:t>
      </w:r>
      <w:r>
        <w:rPr>
          <w:sz w:val="20"/>
          <w:szCs w:val="20"/>
          <w:color w:val="auto"/>
        </w:rPr>
        <w:tab/>
      </w:r>
      <w:hyperlink r:id="rId176">
        <w:r>
          <w:rPr>
            <w:rFonts w:ascii="Times New Roman" w:cs="Times New Roman" w:eastAsia="Times New Roman" w:hAnsi="Times New Roman"/>
            <w:sz w:val="17"/>
            <w:szCs w:val="17"/>
            <w:u w:val="single" w:color="auto"/>
            <w:color w:val="0000FF"/>
          </w:rPr>
          <w:t>CEO Change in Control and Severance Agreement</w:t>
        </w:r>
      </w:hyperlink>
      <w:r>
        <w:rPr>
          <w:rFonts w:ascii="Times New Roman" w:cs="Times New Roman" w:eastAsia="Times New Roman" w:hAnsi="Times New Roman"/>
          <w:sz w:val="17"/>
          <w:szCs w:val="17"/>
          <w:u w:val="single" w:color="auto"/>
          <w:color w:val="0000FF"/>
        </w:rPr>
        <w:t xml:space="preserve"> </w:t>
      </w:r>
      <w:hyperlink r:id="rId176">
        <w:r>
          <w:rPr>
            <w:rFonts w:ascii="Times New Roman" w:cs="Times New Roman" w:eastAsia="Times New Roman" w:hAnsi="Times New Roman"/>
            <w:sz w:val="17"/>
            <w:szCs w:val="17"/>
            <w:u w:val="single" w:color="auto"/>
            <w:color w:val="0000FF"/>
          </w:rPr>
          <w:t>between the Registrant and Dr. Omid Farokhzad,</w:t>
        </w:r>
      </w:hyperlink>
      <w:r>
        <w:rPr>
          <w:rFonts w:ascii="Times New Roman" w:cs="Times New Roman" w:eastAsia="Times New Roman" w:hAnsi="Times New Roman"/>
          <w:sz w:val="17"/>
          <w:szCs w:val="17"/>
          <w:u w:val="single" w:color="auto"/>
          <w:color w:val="0000FF"/>
        </w:rPr>
        <w:t xml:space="preserve"> </w:t>
      </w:r>
      <w:hyperlink r:id="rId176">
        <w:r>
          <w:rPr>
            <w:rFonts w:ascii="Times New Roman" w:cs="Times New Roman" w:eastAsia="Times New Roman" w:hAnsi="Times New Roman"/>
            <w:sz w:val="17"/>
            <w:szCs w:val="17"/>
            <w:u w:val="single" w:color="auto"/>
            <w:color w:val="0000FF"/>
          </w:rPr>
          <w:t>dated November 30, 2020.</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69" w:lineRule="exact"/>
        <w:rPr>
          <w:rFonts w:ascii="Times New Roman" w:cs="Times New Roman" w:eastAsia="Times New Roman" w:hAnsi="Times New Roman"/>
          <w:sz w:val="17"/>
          <w:szCs w:val="17"/>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S-1/A</w:t>
            </w:r>
          </w:p>
        </w:tc>
        <w:tc>
          <w:tcPr>
            <w:tcW w:w="182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333-250035</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11/30/2020</w:t>
            </w:r>
          </w:p>
        </w:tc>
      </w:tr>
      <w:tr>
        <w:trPr>
          <w:trHeight w:val="891"/>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S-1/A</w:t>
            </w:r>
          </w:p>
        </w:tc>
        <w:tc>
          <w:tcPr>
            <w:tcW w:w="182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333-250035</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11/30/2020</w:t>
            </w:r>
          </w:p>
        </w:tc>
      </w:tr>
      <w:tr>
        <w:trPr>
          <w:trHeight w:val="675"/>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S-1/A</w:t>
            </w:r>
          </w:p>
        </w:tc>
        <w:tc>
          <w:tcPr>
            <w:tcW w:w="182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333-250035</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11/30/2020</w:t>
            </w:r>
          </w:p>
        </w:tc>
      </w:tr>
      <w:tr>
        <w:trPr>
          <w:trHeight w:val="675"/>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S-1/A</w:t>
            </w:r>
          </w:p>
        </w:tc>
        <w:tc>
          <w:tcPr>
            <w:tcW w:w="182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333-250035</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10.10</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11/30/2020</w:t>
            </w:r>
          </w:p>
        </w:tc>
      </w:tr>
    </w:tbl>
    <w:p>
      <w:pPr>
        <w:spacing w:after="0" w:line="625"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4300" w:space="580"/>
            <w:col w:w="5340"/>
          </w:cols>
          <w:pgMar w:left="580" w:top="1440" w:right="1099" w:bottom="1440" w:gutter="0" w:footer="0" w:header="0"/>
          <w:type w:val="continuous"/>
        </w:sectPr>
      </w:pPr>
    </w:p>
    <w:p>
      <w:pPr>
        <w:spacing w:after="0" w:line="32" w:lineRule="exact"/>
        <w:rPr>
          <w:rFonts w:ascii="Times New Roman" w:cs="Times New Roman" w:eastAsia="Times New Roman" w:hAnsi="Times New Roman"/>
          <w:sz w:val="17"/>
          <w:szCs w:val="17"/>
          <w:u w:val="single" w:color="auto"/>
          <w:color w:val="0000FF"/>
        </w:rPr>
      </w:pPr>
    </w:p>
    <w:tbl>
      <w:tblPr>
        <w:tblLayout w:type="fixed"/>
        <w:tblInd w:w="0" w:type="dxa"/>
        <w:tblCellMar>
          <w:top w:w="0" w:type="dxa"/>
          <w:left w:w="0" w:type="dxa"/>
          <w:bottom w:w="0" w:type="dxa"/>
          <w:right w:w="0" w:type="dxa"/>
        </w:tblCellMar>
      </w:tblPr>
      <w:tr>
        <w:trPr>
          <w:trHeight w:val="195"/>
        </w:trPr>
        <w:tc>
          <w:tcPr>
            <w:tcW w:w="8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6"/>
              </w:rPr>
              <w:t>10.11+</w:t>
            </w:r>
          </w:p>
        </w:tc>
        <w:tc>
          <w:tcPr>
            <w:tcW w:w="3720" w:type="dxa"/>
            <w:vAlign w:val="bottom"/>
            <w:gridSpan w:val="9"/>
          </w:tcPr>
          <w:p>
            <w:pPr>
              <w:spacing w:after="0"/>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Executive Incentive Compensation Plan</w:t>
              </w:r>
            </w:hyperlink>
            <w:r>
              <w:rPr>
                <w:rFonts w:ascii="Times New Roman" w:cs="Times New Roman" w:eastAsia="Times New Roman" w:hAnsi="Times New Roman"/>
                <w:sz w:val="17"/>
                <w:szCs w:val="17"/>
                <w:color w:val="000000"/>
              </w:rPr>
              <w:t>.</w:t>
            </w:r>
          </w:p>
        </w:tc>
        <w:tc>
          <w:tcPr>
            <w:tcW w:w="124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S-1/A</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10.11</w:t>
            </w:r>
          </w:p>
        </w:tc>
        <w:tc>
          <w:tcPr>
            <w:tcW w:w="1260" w:type="dxa"/>
            <w:vAlign w:val="bottom"/>
          </w:tcPr>
          <w:p>
            <w:pPr>
              <w:jc w:val="center"/>
              <w:ind w:left="395"/>
              <w:spacing w:after="0"/>
              <w:rPr>
                <w:sz w:val="20"/>
                <w:szCs w:val="20"/>
                <w:color w:val="auto"/>
              </w:rPr>
            </w:pPr>
            <w:r>
              <w:rPr>
                <w:rFonts w:ascii="Times New Roman" w:cs="Times New Roman" w:eastAsia="Times New Roman" w:hAnsi="Times New Roman"/>
                <w:sz w:val="17"/>
                <w:szCs w:val="17"/>
                <w:color w:val="auto"/>
              </w:rPr>
              <w:t>11/30/2020</w:t>
            </w:r>
          </w:p>
        </w:tc>
      </w:tr>
      <w:tr>
        <w:trPr>
          <w:trHeight w:val="20"/>
        </w:trPr>
        <w:tc>
          <w:tcPr>
            <w:tcW w:w="8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3"/>
        </w:trPr>
        <w:tc>
          <w:tcPr>
            <w:tcW w:w="8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6"/>
              </w:rPr>
              <w:t>10.12+</w:t>
            </w:r>
          </w:p>
        </w:tc>
        <w:tc>
          <w:tcPr>
            <w:tcW w:w="2900" w:type="dxa"/>
            <w:vAlign w:val="bottom"/>
            <w:tcBorders>
              <w:bottom w:val="single" w:sz="8" w:color="0000FF"/>
            </w:tcBorders>
            <w:gridSpan w:val="4"/>
          </w:tcPr>
          <w:p>
            <w:pPr>
              <w:spacing w:after="0"/>
              <w:rPr>
                <w:rFonts w:ascii="Times New Roman" w:cs="Times New Roman" w:eastAsia="Times New Roman" w:hAnsi="Times New Roman"/>
                <w:sz w:val="17"/>
                <w:szCs w:val="17"/>
                <w:color w:val="0000FF"/>
                <w:w w:val="99"/>
              </w:rPr>
            </w:pPr>
            <w:hyperlink r:id="rId178">
              <w:r>
                <w:rPr>
                  <w:rFonts w:ascii="Times New Roman" w:cs="Times New Roman" w:eastAsia="Times New Roman" w:hAnsi="Times New Roman"/>
                  <w:sz w:val="17"/>
                  <w:szCs w:val="17"/>
                  <w:color w:val="0000FF"/>
                  <w:w w:val="99"/>
                </w:rPr>
                <w:t>Outside Director Compensation Policy (as</w:t>
              </w:r>
            </w:hyperlink>
          </w:p>
        </w:tc>
        <w:tc>
          <w:tcPr>
            <w:tcW w:w="820" w:type="dxa"/>
            <w:vAlign w:val="bottom"/>
            <w:gridSpan w:val="5"/>
          </w:tcPr>
          <w:p>
            <w:pPr>
              <w:spacing w:after="0"/>
              <w:rPr>
                <w:sz w:val="24"/>
                <w:szCs w:val="24"/>
                <w:color w:val="auto"/>
              </w:rPr>
            </w:pPr>
          </w:p>
        </w:tc>
        <w:tc>
          <w:tcPr>
            <w:tcW w:w="124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7"/>
              </w:rPr>
              <w:t>10-Q</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001-39747</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60" w:type="dxa"/>
            <w:vAlign w:val="bottom"/>
          </w:tcPr>
          <w:p>
            <w:pPr>
              <w:jc w:val="center"/>
              <w:ind w:left="395"/>
              <w:spacing w:after="0"/>
              <w:rPr>
                <w:sz w:val="20"/>
                <w:szCs w:val="20"/>
                <w:color w:val="auto"/>
              </w:rPr>
            </w:pPr>
            <w:r>
              <w:rPr>
                <w:rFonts w:ascii="Times New Roman" w:cs="Times New Roman" w:eastAsia="Times New Roman" w:hAnsi="Times New Roman"/>
                <w:sz w:val="17"/>
                <w:szCs w:val="17"/>
                <w:color w:val="auto"/>
              </w:rPr>
              <w:t>8/9/2022</w:t>
            </w:r>
          </w:p>
        </w:tc>
      </w:tr>
      <w:tr>
        <w:trPr>
          <w:trHeight w:val="183"/>
        </w:trPr>
        <w:tc>
          <w:tcPr>
            <w:tcW w:w="820" w:type="dxa"/>
            <w:vAlign w:val="bottom"/>
          </w:tcPr>
          <w:p>
            <w:pPr>
              <w:spacing w:after="0"/>
              <w:rPr>
                <w:sz w:val="15"/>
                <w:szCs w:val="15"/>
                <w:color w:val="auto"/>
              </w:rPr>
            </w:pPr>
          </w:p>
        </w:tc>
        <w:tc>
          <w:tcPr>
            <w:tcW w:w="3720" w:type="dxa"/>
            <w:vAlign w:val="bottom"/>
            <w:gridSpan w:val="9"/>
          </w:tcPr>
          <w:p>
            <w:pPr>
              <w:spacing w:after="0" w:line="183"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amended on June 15, 2022)</w:t>
              </w:r>
            </w:hyperlink>
          </w:p>
        </w:tc>
        <w:tc>
          <w:tcPr>
            <w:tcW w:w="1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3"/>
        </w:trPr>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4"/>
              </w:rPr>
              <w:t>10.13#</w:t>
            </w:r>
          </w:p>
        </w:tc>
        <w:tc>
          <w:tcPr>
            <w:tcW w:w="312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Umbrella Development &amp; Supply Agreement</w:t>
              </w:r>
            </w:hyperlink>
          </w:p>
        </w:tc>
        <w:tc>
          <w:tcPr>
            <w:tcW w:w="600" w:type="dxa"/>
            <w:vAlign w:val="bottom"/>
            <w:gridSpan w:val="3"/>
          </w:tcPr>
          <w:p>
            <w:pPr>
              <w:spacing w:after="0"/>
              <w:rPr>
                <w:sz w:val="24"/>
                <w:szCs w:val="24"/>
                <w:color w:val="auto"/>
              </w:rPr>
            </w:pPr>
          </w:p>
        </w:tc>
        <w:tc>
          <w:tcPr>
            <w:tcW w:w="124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S-1</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10.14</w:t>
            </w:r>
          </w:p>
        </w:tc>
        <w:tc>
          <w:tcPr>
            <w:tcW w:w="1260" w:type="dxa"/>
            <w:vAlign w:val="bottom"/>
          </w:tcPr>
          <w:p>
            <w:pPr>
              <w:jc w:val="center"/>
              <w:ind w:left="395"/>
              <w:spacing w:after="0"/>
              <w:rPr>
                <w:sz w:val="20"/>
                <w:szCs w:val="20"/>
                <w:color w:val="auto"/>
              </w:rPr>
            </w:pPr>
            <w:r>
              <w:rPr>
                <w:rFonts w:ascii="Times New Roman" w:cs="Times New Roman" w:eastAsia="Times New Roman" w:hAnsi="Times New Roman"/>
                <w:sz w:val="17"/>
                <w:szCs w:val="17"/>
                <w:color w:val="auto"/>
              </w:rPr>
              <w:t>11/12/2020</w:t>
            </w:r>
          </w:p>
        </w:tc>
      </w:tr>
      <w:tr>
        <w:trPr>
          <w:trHeight w:val="183"/>
        </w:trPr>
        <w:tc>
          <w:tcPr>
            <w:tcW w:w="820" w:type="dxa"/>
            <w:vAlign w:val="bottom"/>
          </w:tcPr>
          <w:p>
            <w:pPr>
              <w:spacing w:after="0"/>
              <w:rPr>
                <w:sz w:val="15"/>
                <w:szCs w:val="15"/>
                <w:color w:val="auto"/>
              </w:rPr>
            </w:pPr>
          </w:p>
        </w:tc>
        <w:tc>
          <w:tcPr>
            <w:tcW w:w="3720" w:type="dxa"/>
            <w:vAlign w:val="bottom"/>
            <w:gridSpan w:val="9"/>
          </w:tcPr>
          <w:p>
            <w:pPr>
              <w:spacing w:after="0" w:line="183"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between the Registrant and Hamilton Company,</w:t>
              </w:r>
            </w:hyperlink>
          </w:p>
        </w:tc>
        <w:tc>
          <w:tcPr>
            <w:tcW w:w="1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146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17"/>
                <w:szCs w:val="17"/>
                <w:color w:val="0000FF"/>
                <w:w w:val="99"/>
              </w:rPr>
            </w:pPr>
            <w:hyperlink r:id="rId179">
              <w:r>
                <w:rPr>
                  <w:rFonts w:ascii="Times New Roman" w:cs="Times New Roman" w:eastAsia="Times New Roman" w:hAnsi="Times New Roman"/>
                  <w:sz w:val="17"/>
                  <w:szCs w:val="17"/>
                  <w:color w:val="0000FF"/>
                  <w:w w:val="99"/>
                </w:rPr>
                <w:t>dated March 9, 2020.</w:t>
              </w:r>
            </w:hyperlink>
          </w:p>
        </w:tc>
        <w:tc>
          <w:tcPr>
            <w:tcW w:w="1820" w:type="dxa"/>
            <w:vAlign w:val="bottom"/>
            <w:tcBorders>
              <w:top w:val="single" w:sz="8" w:color="0000FF"/>
            </w:tcBorders>
            <w:gridSpan w:val="6"/>
          </w:tcPr>
          <w:p>
            <w:pPr>
              <w:spacing w:after="0"/>
              <w:rPr>
                <w:sz w:val="15"/>
                <w:szCs w:val="15"/>
                <w:color w:val="auto"/>
              </w:rPr>
            </w:pPr>
          </w:p>
        </w:tc>
        <w:tc>
          <w:tcPr>
            <w:tcW w:w="4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04"/>
        </w:trPr>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4"/>
              </w:rPr>
              <w:t>10.14#</w:t>
            </w:r>
          </w:p>
        </w:tc>
        <w:tc>
          <w:tcPr>
            <w:tcW w:w="3720" w:type="dxa"/>
            <w:vAlign w:val="bottom"/>
            <w:gridSpan w:val="9"/>
          </w:tcPr>
          <w:p>
            <w:pPr>
              <w:spacing w:after="0"/>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Exclusive Patent License Agreement between the</w:t>
              </w:r>
            </w:hyperlink>
          </w:p>
        </w:tc>
        <w:tc>
          <w:tcPr>
            <w:tcW w:w="124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S-1</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10.15</w:t>
            </w:r>
          </w:p>
        </w:tc>
        <w:tc>
          <w:tcPr>
            <w:tcW w:w="1260" w:type="dxa"/>
            <w:vAlign w:val="bottom"/>
          </w:tcPr>
          <w:p>
            <w:pPr>
              <w:jc w:val="center"/>
              <w:ind w:left="395"/>
              <w:spacing w:after="0"/>
              <w:rPr>
                <w:sz w:val="20"/>
                <w:szCs w:val="20"/>
                <w:color w:val="auto"/>
              </w:rPr>
            </w:pPr>
            <w:r>
              <w:rPr>
                <w:rFonts w:ascii="Times New Roman" w:cs="Times New Roman" w:eastAsia="Times New Roman" w:hAnsi="Times New Roman"/>
                <w:sz w:val="17"/>
                <w:szCs w:val="17"/>
                <w:color w:val="auto"/>
              </w:rPr>
              <w:t>11/12/2020</w:t>
            </w:r>
          </w:p>
        </w:tc>
      </w:tr>
      <w:tr>
        <w:trPr>
          <w:trHeight w:val="183"/>
        </w:trPr>
        <w:tc>
          <w:tcPr>
            <w:tcW w:w="820" w:type="dxa"/>
            <w:vAlign w:val="bottom"/>
          </w:tcPr>
          <w:p>
            <w:pPr>
              <w:spacing w:after="0"/>
              <w:rPr>
                <w:sz w:val="15"/>
                <w:szCs w:val="15"/>
                <w:color w:val="auto"/>
              </w:rPr>
            </w:pPr>
          </w:p>
        </w:tc>
        <w:tc>
          <w:tcPr>
            <w:tcW w:w="2920" w:type="dxa"/>
            <w:vAlign w:val="bottom"/>
            <w:tcBorders>
              <w:top w:val="single" w:sz="8" w:color="0000FF"/>
              <w:bottom w:val="single" w:sz="8" w:color="0000FF"/>
            </w:tcBorders>
            <w:gridSpan w:val="5"/>
          </w:tcPr>
          <w:p>
            <w:pPr>
              <w:spacing w:after="0" w:line="183" w:lineRule="exact"/>
              <w:rPr>
                <w:rFonts w:ascii="Times New Roman" w:cs="Times New Roman" w:eastAsia="Times New Roman" w:hAnsi="Times New Roman"/>
                <w:sz w:val="17"/>
                <w:szCs w:val="17"/>
                <w:color w:val="0000FF"/>
                <w:w w:val="99"/>
              </w:rPr>
            </w:pPr>
            <w:hyperlink r:id="rId180">
              <w:r>
                <w:rPr>
                  <w:rFonts w:ascii="Times New Roman" w:cs="Times New Roman" w:eastAsia="Times New Roman" w:hAnsi="Times New Roman"/>
                  <w:sz w:val="17"/>
                  <w:szCs w:val="17"/>
                  <w:color w:val="0000FF"/>
                  <w:w w:val="99"/>
                </w:rPr>
                <w:t>Registrant and The Brigham and Women’s</w:t>
              </w:r>
            </w:hyperlink>
          </w:p>
        </w:tc>
        <w:tc>
          <w:tcPr>
            <w:tcW w:w="460" w:type="dxa"/>
            <w:vAlign w:val="bottom"/>
            <w:tcBorders>
              <w:top w:val="single" w:sz="8" w:color="0000FF"/>
            </w:tcBorders>
            <w:gridSpan w:val="3"/>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3720" w:type="dxa"/>
            <w:vAlign w:val="bottom"/>
            <w:gridSpan w:val="9"/>
          </w:tcPr>
          <w:p>
            <w:pPr>
              <w:spacing w:after="0" w:line="183"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Hospital, Inc., dated December 18, 2017.</w:t>
              </w:r>
            </w:hyperlink>
          </w:p>
        </w:tc>
        <w:tc>
          <w:tcPr>
            <w:tcW w:w="1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175895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580" w:top="1440" w:right="1099" w:bottom="1440" w:gutter="0" w:footer="0" w:header="0"/>
          <w:type w:val="continuous"/>
        </w:sectPr>
      </w:pPr>
    </w:p>
    <w:bookmarkStart w:id="128" w:name="page129"/>
    <w:bookmarkEnd w:id="128"/>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 w:type="dxa"/>
            <w:vAlign w:val="bottom"/>
          </w:tcPr>
          <w:p>
            <w:pPr>
              <w:jc w:val="center"/>
              <w:ind w:right="195"/>
              <w:spacing w:after="0"/>
              <w:rPr>
                <w:sz w:val="20"/>
                <w:szCs w:val="20"/>
                <w:color w:val="auto"/>
              </w:rPr>
            </w:pPr>
            <w:r>
              <w:rPr>
                <w:rFonts w:ascii="Times New Roman" w:cs="Times New Roman" w:eastAsia="Times New Roman" w:hAnsi="Times New Roman"/>
                <w:sz w:val="17"/>
                <w:szCs w:val="17"/>
                <w:color w:val="auto"/>
              </w:rPr>
              <w:t>10.15</w:t>
            </w:r>
          </w:p>
        </w:tc>
        <w:tc>
          <w:tcPr>
            <w:tcW w:w="332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w w:val="99"/>
              </w:rPr>
            </w:pPr>
            <w:hyperlink r:id="rId182">
              <w:r>
                <w:rPr>
                  <w:rFonts w:ascii="Times New Roman" w:cs="Times New Roman" w:eastAsia="Times New Roman" w:hAnsi="Times New Roman"/>
                  <w:sz w:val="17"/>
                  <w:szCs w:val="17"/>
                  <w:color w:val="0000FF"/>
                  <w:w w:val="99"/>
                </w:rPr>
                <w:t>Class A Common Stock Purchase Agreement by</w:t>
              </w:r>
            </w:hyperlink>
          </w:p>
        </w:tc>
        <w:tc>
          <w:tcPr>
            <w:tcW w:w="160" w:type="dxa"/>
            <w:vAlign w:val="bottom"/>
            <w:gridSpan w:val="7"/>
            <w:vMerge w:val="restart"/>
          </w:tcPr>
          <w:p>
            <w:pPr>
              <w:jc w:val="right"/>
              <w:spacing w:after="0"/>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&amp;</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3320" w:type="dxa"/>
            <w:vAlign w:val="bottom"/>
            <w:tcBorders>
              <w:bottom w:val="single" w:sz="8" w:color="0000FF"/>
            </w:tcBorders>
            <w:gridSpan w:val="15"/>
          </w:tcPr>
          <w:p>
            <w:pPr>
              <w:spacing w:after="0" w:line="155"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and among the Registrant, Fidelity Management</w:t>
              </w:r>
            </w:hyperlink>
          </w:p>
        </w:tc>
        <w:tc>
          <w:tcPr>
            <w:tcW w:w="160" w:type="dxa"/>
            <w:vAlign w:val="bottom"/>
            <w:tcBorders>
              <w:bottom w:val="single" w:sz="8" w:color="0000FF"/>
            </w:tcBorders>
            <w:gridSpan w:val="7"/>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480" w:type="dxa"/>
            <w:vAlign w:val="bottom"/>
            <w:gridSpan w:val="22"/>
          </w:tcPr>
          <w:p>
            <w:pPr>
              <w:spacing w:after="0" w:line="14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Research Company LLC, SoftBank, certain funds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9"/>
          </w:tcPr>
          <w:p>
            <w:pPr>
              <w:spacing w:after="0" w:line="155" w:lineRule="exact"/>
              <w:rPr>
                <w:rFonts w:ascii="Times New Roman" w:cs="Times New Roman" w:eastAsia="Times New Roman" w:hAnsi="Times New Roman"/>
                <w:sz w:val="17"/>
                <w:szCs w:val="17"/>
                <w:color w:val="0000FF"/>
                <w:w w:val="97"/>
              </w:rPr>
            </w:pPr>
            <w:hyperlink r:id="rId182">
              <w:r>
                <w:rPr>
                  <w:rFonts w:ascii="Times New Roman" w:cs="Times New Roman" w:eastAsia="Times New Roman" w:hAnsi="Times New Roman"/>
                  <w:sz w:val="17"/>
                  <w:szCs w:val="17"/>
                  <w:color w:val="0000FF"/>
                  <w:w w:val="97"/>
                </w:rPr>
                <w:t>and accounts advised by T. Rowe Price Associates,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3500" w:type="dxa"/>
            <w:vAlign w:val="bottom"/>
            <w:gridSpan w:val="23"/>
          </w:tcPr>
          <w:p>
            <w:pPr>
              <w:spacing w:after="0" w:line="155"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Inc. and aMoon Fund, dated as of November 12,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8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9"/>
              </w:rPr>
            </w:pPr>
            <w:hyperlink r:id="rId182">
              <w:r>
                <w:rPr>
                  <w:rFonts w:ascii="Times New Roman" w:cs="Times New Roman" w:eastAsia="Times New Roman" w:hAnsi="Times New Roman"/>
                  <w:sz w:val="16"/>
                  <w:szCs w:val="16"/>
                  <w:color w:val="0000FF"/>
                  <w:w w:val="99"/>
                </w:rPr>
                <w:t>2020.</w:t>
              </w:r>
            </w:hyperlink>
          </w:p>
        </w:tc>
        <w:tc>
          <w:tcPr>
            <w:tcW w:w="1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920" w:type="dxa"/>
            <w:vAlign w:val="bottom"/>
          </w:tcPr>
          <w:p>
            <w:pPr>
              <w:jc w:val="center"/>
              <w:ind w:right="195"/>
              <w:spacing w:after="0"/>
              <w:rPr>
                <w:sz w:val="20"/>
                <w:szCs w:val="20"/>
                <w:color w:val="auto"/>
              </w:rPr>
            </w:pPr>
            <w:r>
              <w:rPr>
                <w:rFonts w:ascii="Times New Roman" w:cs="Times New Roman" w:eastAsia="Times New Roman" w:hAnsi="Times New Roman"/>
                <w:sz w:val="17"/>
                <w:szCs w:val="17"/>
                <w:color w:val="auto"/>
              </w:rPr>
              <w:t>10.16</w:t>
            </w:r>
          </w:p>
        </w:tc>
        <w:tc>
          <w:tcPr>
            <w:tcW w:w="3520" w:type="dxa"/>
            <w:vAlign w:val="bottom"/>
            <w:gridSpan w:val="24"/>
          </w:tcPr>
          <w:p>
            <w:pPr>
              <w:spacing w:after="0"/>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Leave of Absence Agreement between Omead</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11"/>
          </w:tcPr>
          <w:p>
            <w:pPr>
              <w:spacing w:after="0" w:line="155" w:lineRule="exact"/>
              <w:rPr>
                <w:rFonts w:ascii="Times New Roman" w:cs="Times New Roman" w:eastAsia="Times New Roman" w:hAnsi="Times New Roman"/>
                <w:sz w:val="17"/>
                <w:szCs w:val="17"/>
                <w:color w:val="0000FF"/>
                <w:w w:val="98"/>
              </w:rPr>
            </w:pPr>
            <w:hyperlink r:id="rId183">
              <w:r>
                <w:rPr>
                  <w:rFonts w:ascii="Times New Roman" w:cs="Times New Roman" w:eastAsia="Times New Roman" w:hAnsi="Times New Roman"/>
                  <w:sz w:val="17"/>
                  <w:szCs w:val="17"/>
                  <w:color w:val="0000FF"/>
                  <w:w w:val="98"/>
                </w:rPr>
                <w:t>Ostadan and the Company effective October 7,</w:t>
              </w:r>
            </w:hyperlink>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80" w:type="dxa"/>
            <w:vAlign w:val="bottom"/>
            <w:tcBorders>
              <w:bottom w:val="single" w:sz="8" w:color="0000FF"/>
            </w:tcBorders>
          </w:tcPr>
          <w:p>
            <w:pPr>
              <w:spacing w:after="0" w:line="142" w:lineRule="exact"/>
              <w:rPr>
                <w:rFonts w:ascii="Times New Roman" w:cs="Times New Roman" w:eastAsia="Times New Roman" w:hAnsi="Times New Roman"/>
                <w:sz w:val="16"/>
                <w:szCs w:val="16"/>
                <w:color w:val="0000FF"/>
                <w:w w:val="99"/>
              </w:rPr>
            </w:pPr>
            <w:hyperlink r:id="rId183">
              <w:r>
                <w:rPr>
                  <w:rFonts w:ascii="Times New Roman" w:cs="Times New Roman" w:eastAsia="Times New Roman" w:hAnsi="Times New Roman"/>
                  <w:sz w:val="16"/>
                  <w:szCs w:val="16"/>
                  <w:color w:val="0000FF"/>
                  <w:w w:val="99"/>
                </w:rPr>
                <w:t>2021.</w:t>
              </w:r>
            </w:hyperlink>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920" w:type="dxa"/>
            <w:vAlign w:val="bottom"/>
          </w:tcPr>
          <w:p>
            <w:pPr>
              <w:jc w:val="center"/>
              <w:ind w:right="195"/>
              <w:spacing w:after="0"/>
              <w:rPr>
                <w:sz w:val="20"/>
                <w:szCs w:val="20"/>
                <w:color w:val="auto"/>
              </w:rPr>
            </w:pPr>
            <w:r>
              <w:rPr>
                <w:rFonts w:ascii="Times New Roman" w:cs="Times New Roman" w:eastAsia="Times New Roman" w:hAnsi="Times New Roman"/>
                <w:sz w:val="17"/>
                <w:szCs w:val="17"/>
                <w:color w:val="auto"/>
              </w:rPr>
              <w:t>10.17</w:t>
            </w:r>
          </w:p>
        </w:tc>
        <w:tc>
          <w:tcPr>
            <w:tcW w:w="3520" w:type="dxa"/>
            <w:vAlign w:val="bottom"/>
            <w:gridSpan w:val="24"/>
          </w:tcPr>
          <w:p>
            <w:pPr>
              <w:spacing w:after="0"/>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Amended Confirmatory Employment Letter</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3000" w:type="dxa"/>
            <w:vAlign w:val="bottom"/>
            <w:tcBorders>
              <w:top w:val="single" w:sz="8" w:color="0000FF"/>
            </w:tcBorders>
            <w:gridSpan w:val="10"/>
          </w:tcPr>
          <w:p>
            <w:pPr>
              <w:spacing w:after="0" w:line="155" w:lineRule="exact"/>
              <w:rPr>
                <w:rFonts w:ascii="Times New Roman" w:cs="Times New Roman" w:eastAsia="Times New Roman" w:hAnsi="Times New Roman"/>
                <w:sz w:val="17"/>
                <w:szCs w:val="17"/>
                <w:color w:val="0000FF"/>
                <w:w w:val="99"/>
              </w:rPr>
            </w:pPr>
            <w:hyperlink r:id="rId184">
              <w:r>
                <w:rPr>
                  <w:rFonts w:ascii="Times New Roman" w:cs="Times New Roman" w:eastAsia="Times New Roman" w:hAnsi="Times New Roman"/>
                  <w:sz w:val="17"/>
                  <w:szCs w:val="17"/>
                  <w:color w:val="0000FF"/>
                  <w:w w:val="99"/>
                </w:rPr>
                <w:t>between the Company and Omead Ostadan,</w:t>
              </w:r>
            </w:hyperlink>
          </w:p>
        </w:tc>
        <w:tc>
          <w:tcPr>
            <w:tcW w:w="520" w:type="dxa"/>
            <w:vAlign w:val="bottom"/>
            <w:gridSpan w:val="14"/>
          </w:tcPr>
          <w:p>
            <w:pPr>
              <w:ind w:left="40"/>
              <w:spacing w:after="0" w:line="155"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dated</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30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February 18, 2022.</w:t>
              </w:r>
            </w:hyperlink>
          </w:p>
        </w:tc>
        <w:tc>
          <w:tcPr>
            <w:tcW w:w="214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920" w:type="dxa"/>
            <w:vAlign w:val="bottom"/>
          </w:tcPr>
          <w:p>
            <w:pPr>
              <w:jc w:val="center"/>
              <w:ind w:right="195"/>
              <w:spacing w:after="0"/>
              <w:rPr>
                <w:sz w:val="20"/>
                <w:szCs w:val="20"/>
                <w:color w:val="auto"/>
              </w:rPr>
            </w:pPr>
            <w:r>
              <w:rPr>
                <w:rFonts w:ascii="Times New Roman" w:cs="Times New Roman" w:eastAsia="Times New Roman" w:hAnsi="Times New Roman"/>
                <w:sz w:val="17"/>
                <w:szCs w:val="17"/>
                <w:color w:val="auto"/>
              </w:rPr>
              <w:t>10.18</w:t>
            </w:r>
          </w:p>
        </w:tc>
        <w:tc>
          <w:tcPr>
            <w:tcW w:w="3520" w:type="dxa"/>
            <w:vAlign w:val="bottom"/>
            <w:gridSpan w:val="24"/>
          </w:tcPr>
          <w:p>
            <w:pPr>
              <w:spacing w:after="0"/>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Confirmatory Offer Letter between the Registrant</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7"/>
          </w:tcPr>
          <w:p>
            <w:pPr>
              <w:spacing w:after="0" w:line="155" w:lineRule="exact"/>
              <w:rPr>
                <w:rFonts w:ascii="Times New Roman" w:cs="Times New Roman" w:eastAsia="Times New Roman" w:hAnsi="Times New Roman"/>
                <w:sz w:val="17"/>
                <w:szCs w:val="17"/>
                <w:color w:val="0000FF"/>
                <w:w w:val="99"/>
              </w:rPr>
            </w:pPr>
            <w:hyperlink r:id="rId185">
              <w:r>
                <w:rPr>
                  <w:rFonts w:ascii="Times New Roman" w:cs="Times New Roman" w:eastAsia="Times New Roman" w:hAnsi="Times New Roman"/>
                  <w:sz w:val="17"/>
                  <w:szCs w:val="17"/>
                  <w:color w:val="0000FF"/>
                  <w:w w:val="99"/>
                </w:rPr>
                <w:t>and Scott Thomas, dated March 2, 2022.</w:t>
              </w:r>
            </w:hyperlink>
          </w:p>
        </w:tc>
        <w:tc>
          <w:tcPr>
            <w:tcW w:w="620" w:type="dxa"/>
            <w:vAlign w:val="bottom"/>
            <w:tcBorders>
              <w:top w:val="single" w:sz="8" w:color="0000FF"/>
            </w:tcBorders>
            <w:gridSpan w:val="11"/>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736"/>
        </w:trPr>
        <w:tc>
          <w:tcPr>
            <w:tcW w:w="920" w:type="dxa"/>
            <w:vAlign w:val="bottom"/>
          </w:tcPr>
          <w:p>
            <w:pPr>
              <w:jc w:val="center"/>
              <w:ind w:right="195"/>
              <w:spacing w:after="0"/>
              <w:rPr>
                <w:sz w:val="20"/>
                <w:szCs w:val="20"/>
                <w:color w:val="auto"/>
              </w:rPr>
            </w:pPr>
            <w:r>
              <w:rPr>
                <w:rFonts w:ascii="Times New Roman" w:cs="Times New Roman" w:eastAsia="Times New Roman" w:hAnsi="Times New Roman"/>
                <w:sz w:val="17"/>
                <w:szCs w:val="17"/>
                <w:color w:val="auto"/>
              </w:rPr>
              <w:t>10.19</w:t>
            </w:r>
          </w:p>
        </w:tc>
        <w:tc>
          <w:tcPr>
            <w:tcW w:w="3520" w:type="dxa"/>
            <w:vAlign w:val="bottom"/>
            <w:gridSpan w:val="24"/>
          </w:tcPr>
          <w:p>
            <w:pPr>
              <w:spacing w:after="0"/>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Consultant Agreement between the Registrant and</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3460" w:type="dxa"/>
            <w:vAlign w:val="bottom"/>
            <w:tcBorders>
              <w:top w:val="single" w:sz="8" w:color="0000FF"/>
            </w:tcBorders>
            <w:gridSpan w:val="21"/>
          </w:tcPr>
          <w:p>
            <w:pPr>
              <w:spacing w:after="0" w:line="155"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Omead Ostadan, dated August 25, 2022.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20" w:type="dxa"/>
            <w:vAlign w:val="bottom"/>
          </w:tcPr>
          <w:p>
            <w:pPr>
              <w:jc w:val="center"/>
              <w:ind w:right="175"/>
              <w:spacing w:after="0"/>
              <w:rPr>
                <w:sz w:val="20"/>
                <w:szCs w:val="20"/>
                <w:color w:val="auto"/>
              </w:rPr>
            </w:pPr>
            <w:r>
              <w:rPr>
                <w:rFonts w:ascii="Times New Roman" w:cs="Times New Roman" w:eastAsia="Times New Roman" w:hAnsi="Times New Roman"/>
                <w:sz w:val="17"/>
                <w:szCs w:val="17"/>
                <w:color w:val="auto"/>
              </w:rPr>
              <w:t>21.1</w:t>
            </w:r>
          </w:p>
        </w:tc>
        <w:tc>
          <w:tcPr>
            <w:tcW w:w="2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List of Subsidiaries of the Registrant.</w:t>
            </w:r>
          </w:p>
        </w:tc>
        <w:tc>
          <w:tcPr>
            <w:tcW w:w="76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jc w:val="center"/>
              <w:ind w:right="175"/>
              <w:spacing w:after="0"/>
              <w:rPr>
                <w:sz w:val="20"/>
                <w:szCs w:val="20"/>
                <w:color w:val="auto"/>
              </w:rPr>
            </w:pPr>
            <w:r>
              <w:rPr>
                <w:rFonts w:ascii="Times New Roman" w:cs="Times New Roman" w:eastAsia="Times New Roman" w:hAnsi="Times New Roman"/>
                <w:sz w:val="17"/>
                <w:szCs w:val="17"/>
                <w:color w:val="auto"/>
              </w:rPr>
              <w:t>23.1</w:t>
            </w:r>
          </w:p>
        </w:tc>
        <w:tc>
          <w:tcPr>
            <w:tcW w:w="33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w w:val="98"/>
              </w:rPr>
              <w:t>Consent of Deloitte &amp; Touche LLP, independent</w:t>
            </w:r>
          </w:p>
        </w:tc>
        <w:tc>
          <w:tcPr>
            <w:tcW w:w="2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3520" w:type="dxa"/>
            <w:vAlign w:val="bottom"/>
            <w:gridSpan w:val="24"/>
          </w:tcPr>
          <w:p>
            <w:pPr>
              <w:spacing w:after="0" w:line="183" w:lineRule="exact"/>
              <w:rPr>
                <w:sz w:val="20"/>
                <w:szCs w:val="20"/>
                <w:color w:val="auto"/>
              </w:rPr>
            </w:pPr>
            <w:r>
              <w:rPr>
                <w:rFonts w:ascii="Times New Roman" w:cs="Times New Roman" w:eastAsia="Times New Roman" w:hAnsi="Times New Roman"/>
                <w:sz w:val="17"/>
                <w:szCs w:val="17"/>
                <w:color w:val="0000FF"/>
              </w:rPr>
              <w:t>registered public accounting firm.</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jc w:val="center"/>
              <w:ind w:right="175"/>
              <w:spacing w:after="0"/>
              <w:rPr>
                <w:sz w:val="20"/>
                <w:szCs w:val="20"/>
                <w:color w:val="auto"/>
              </w:rPr>
            </w:pPr>
            <w:r>
              <w:rPr>
                <w:rFonts w:ascii="Times New Roman" w:cs="Times New Roman" w:eastAsia="Times New Roman" w:hAnsi="Times New Roman"/>
                <w:sz w:val="17"/>
                <w:szCs w:val="17"/>
                <w:color w:val="auto"/>
              </w:rPr>
              <w:t>31.1</w:t>
            </w:r>
          </w:p>
        </w:tc>
        <w:tc>
          <w:tcPr>
            <w:tcW w:w="2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w w:val="99"/>
              </w:rPr>
              <w:t>Certification of Principal Executive Officer</w:t>
            </w:r>
          </w:p>
        </w:tc>
        <w:tc>
          <w:tcPr>
            <w:tcW w:w="5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3520" w:type="dxa"/>
            <w:vAlign w:val="bottom"/>
            <w:gridSpan w:val="24"/>
          </w:tcPr>
          <w:p>
            <w:pPr>
              <w:spacing w:after="0" w:line="183" w:lineRule="exact"/>
              <w:rPr>
                <w:sz w:val="20"/>
                <w:szCs w:val="20"/>
                <w:color w:val="auto"/>
              </w:rPr>
            </w:pPr>
            <w:r>
              <w:rPr>
                <w:rFonts w:ascii="Times New Roman" w:cs="Times New Roman" w:eastAsia="Times New Roman" w:hAnsi="Times New Roman"/>
                <w:sz w:val="17"/>
                <w:szCs w:val="17"/>
                <w:color w:val="0000FF"/>
              </w:rPr>
              <w:t>Pursuant to Rules 13a-14(a) and 15d-14(a) under</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360" w:type="dxa"/>
            <w:vAlign w:val="bottom"/>
            <w:gridSpan w:val="6"/>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3360" w:type="dxa"/>
            <w:vAlign w:val="bottom"/>
            <w:tcBorders>
              <w:bottom w:val="single" w:sz="8" w:color="0000FF"/>
            </w:tcBorders>
            <w:gridSpan w:val="17"/>
          </w:tcPr>
          <w:p>
            <w:pPr>
              <w:spacing w:after="0" w:line="183" w:lineRule="exact"/>
              <w:rPr>
                <w:sz w:val="20"/>
                <w:szCs w:val="20"/>
                <w:color w:val="auto"/>
              </w:rPr>
            </w:pPr>
            <w:r>
              <w:rPr>
                <w:rFonts w:ascii="Times New Roman" w:cs="Times New Roman" w:eastAsia="Times New Roman" w:hAnsi="Times New Roman"/>
                <w:sz w:val="17"/>
                <w:szCs w:val="17"/>
                <w:color w:val="0000FF"/>
                <w:w w:val="99"/>
              </w:rPr>
              <w:t>the Securities Exchange Act of 1934, as Adopted</w:t>
            </w:r>
          </w:p>
        </w:tc>
        <w:tc>
          <w:tcPr>
            <w:tcW w:w="1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5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7"/>
                <w:szCs w:val="17"/>
                <w:color w:val="0000FF"/>
              </w:rPr>
              <w:t>Pursuant to Section 302 of the Sarbanes-Oxley Act</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3520" w:type="dxa"/>
            <w:vAlign w:val="bottom"/>
            <w:gridSpan w:val="24"/>
          </w:tcPr>
          <w:p>
            <w:pPr>
              <w:spacing w:after="0" w:line="183" w:lineRule="exact"/>
              <w:rPr>
                <w:sz w:val="20"/>
                <w:szCs w:val="20"/>
                <w:color w:val="auto"/>
              </w:rPr>
            </w:pPr>
            <w:r>
              <w:rPr>
                <w:rFonts w:ascii="Times New Roman" w:cs="Times New Roman" w:eastAsia="Times New Roman" w:hAnsi="Times New Roman"/>
                <w:sz w:val="17"/>
                <w:szCs w:val="17"/>
                <w:color w:val="0000FF"/>
              </w:rPr>
              <w:t>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jc w:val="center"/>
              <w:ind w:right="175"/>
              <w:spacing w:after="0"/>
              <w:rPr>
                <w:sz w:val="20"/>
                <w:szCs w:val="20"/>
                <w:color w:val="auto"/>
              </w:rPr>
            </w:pPr>
            <w:r>
              <w:rPr>
                <w:rFonts w:ascii="Times New Roman" w:cs="Times New Roman" w:eastAsia="Times New Roman" w:hAnsi="Times New Roman"/>
                <w:sz w:val="17"/>
                <w:szCs w:val="17"/>
                <w:color w:val="auto"/>
              </w:rPr>
              <w:t>31.2</w:t>
            </w:r>
          </w:p>
        </w:tc>
        <w:tc>
          <w:tcPr>
            <w:tcW w:w="29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w w:val="99"/>
              </w:rPr>
              <w:t>Certification of Principal Financial Officer</w:t>
            </w:r>
          </w:p>
        </w:tc>
        <w:tc>
          <w:tcPr>
            <w:tcW w:w="6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3520" w:type="dxa"/>
            <w:vAlign w:val="bottom"/>
            <w:gridSpan w:val="24"/>
          </w:tcPr>
          <w:p>
            <w:pPr>
              <w:spacing w:after="0" w:line="183" w:lineRule="exact"/>
              <w:rPr>
                <w:sz w:val="20"/>
                <w:szCs w:val="20"/>
                <w:color w:val="auto"/>
              </w:rPr>
            </w:pPr>
            <w:r>
              <w:rPr>
                <w:rFonts w:ascii="Times New Roman" w:cs="Times New Roman" w:eastAsia="Times New Roman" w:hAnsi="Times New Roman"/>
                <w:sz w:val="17"/>
                <w:szCs w:val="17"/>
                <w:color w:val="0000FF"/>
              </w:rPr>
              <w:t>Pursuant to Rules 13a-14(a) and 15d-14(a) under</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920" w:type="dxa"/>
            <w:vAlign w:val="bottom"/>
            <w:gridSpan w:val="8"/>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3360" w:type="dxa"/>
            <w:vAlign w:val="bottom"/>
            <w:tcBorders>
              <w:bottom w:val="single" w:sz="8" w:color="0000FF"/>
            </w:tcBorders>
            <w:gridSpan w:val="17"/>
          </w:tcPr>
          <w:p>
            <w:pPr>
              <w:spacing w:after="0" w:line="183" w:lineRule="exact"/>
              <w:rPr>
                <w:sz w:val="20"/>
                <w:szCs w:val="20"/>
                <w:color w:val="auto"/>
              </w:rPr>
            </w:pPr>
            <w:r>
              <w:rPr>
                <w:rFonts w:ascii="Times New Roman" w:cs="Times New Roman" w:eastAsia="Times New Roman" w:hAnsi="Times New Roman"/>
                <w:sz w:val="17"/>
                <w:szCs w:val="17"/>
                <w:color w:val="0000FF"/>
                <w:w w:val="99"/>
              </w:rPr>
              <w:t>the Securities Exchange Act of 1934, as Adopted</w:t>
            </w:r>
          </w:p>
        </w:tc>
        <w:tc>
          <w:tcPr>
            <w:tcW w:w="1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5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7"/>
                <w:szCs w:val="17"/>
                <w:color w:val="0000FF"/>
              </w:rPr>
              <w:t>Pursuant to Section 302 of the Sarbanes-Oxley Act</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3520" w:type="dxa"/>
            <w:vAlign w:val="bottom"/>
            <w:gridSpan w:val="24"/>
          </w:tcPr>
          <w:p>
            <w:pPr>
              <w:spacing w:after="0" w:line="183" w:lineRule="exact"/>
              <w:rPr>
                <w:sz w:val="20"/>
                <w:szCs w:val="20"/>
                <w:color w:val="auto"/>
              </w:rPr>
            </w:pPr>
            <w:r>
              <w:rPr>
                <w:rFonts w:ascii="Times New Roman" w:cs="Times New Roman" w:eastAsia="Times New Roman" w:hAnsi="Times New Roman"/>
                <w:sz w:val="17"/>
                <w:szCs w:val="17"/>
                <w:color w:val="0000FF"/>
              </w:rPr>
              <w:t>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jc w:val="center"/>
              <w:ind w:right="195"/>
              <w:spacing w:after="0"/>
              <w:rPr>
                <w:sz w:val="20"/>
                <w:szCs w:val="20"/>
                <w:color w:val="auto"/>
              </w:rPr>
            </w:pPr>
            <w:r>
              <w:rPr>
                <w:rFonts w:ascii="Times New Roman" w:cs="Times New Roman" w:eastAsia="Times New Roman" w:hAnsi="Times New Roman"/>
                <w:sz w:val="17"/>
                <w:szCs w:val="17"/>
                <w:color w:val="auto"/>
              </w:rPr>
              <w:t>32.1†</w:t>
            </w:r>
          </w:p>
        </w:tc>
        <w:tc>
          <w:tcPr>
            <w:tcW w:w="2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w w:val="99"/>
              </w:rPr>
              <w:t>Certification of Principal Executive Officer</w:t>
            </w:r>
          </w:p>
        </w:tc>
        <w:tc>
          <w:tcPr>
            <w:tcW w:w="5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3520" w:type="dxa"/>
            <w:vAlign w:val="bottom"/>
            <w:gridSpan w:val="24"/>
          </w:tcPr>
          <w:p>
            <w:pPr>
              <w:spacing w:after="0" w:line="183" w:lineRule="exact"/>
              <w:rPr>
                <w:sz w:val="20"/>
                <w:szCs w:val="20"/>
                <w:color w:val="auto"/>
              </w:rPr>
            </w:pPr>
            <w:r>
              <w:rPr>
                <w:rFonts w:ascii="Times New Roman" w:cs="Times New Roman" w:eastAsia="Times New Roman" w:hAnsi="Times New Roman"/>
                <w:sz w:val="17"/>
                <w:szCs w:val="17"/>
                <w:color w:val="0000FF"/>
              </w:rPr>
              <w:t>Pursuant to 18 U.S.C. Section 1350, as Adopted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920" w:type="dxa"/>
            <w:vAlign w:val="bottom"/>
            <w:gridSpan w:val="8"/>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3520" w:type="dxa"/>
            <w:vAlign w:val="bottom"/>
            <w:tcBorders>
              <w:bottom w:val="single" w:sz="8" w:color="0000FF"/>
            </w:tcBorders>
            <w:gridSpan w:val="24"/>
          </w:tcPr>
          <w:p>
            <w:pPr>
              <w:spacing w:after="0" w:line="183" w:lineRule="exact"/>
              <w:rPr>
                <w:sz w:val="20"/>
                <w:szCs w:val="20"/>
                <w:color w:val="auto"/>
              </w:rPr>
            </w:pPr>
            <w:r>
              <w:rPr>
                <w:rFonts w:ascii="Times New Roman" w:cs="Times New Roman" w:eastAsia="Times New Roman" w:hAnsi="Times New Roman"/>
                <w:sz w:val="17"/>
                <w:szCs w:val="17"/>
                <w:color w:val="0000FF"/>
              </w:rPr>
              <w:t>Pursuant to Section 906 of the Sarbanes-Oxley Act</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5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6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920" w:type="dxa"/>
            <w:vAlign w:val="bottom"/>
          </w:tcPr>
          <w:p>
            <w:pPr>
              <w:jc w:val="center"/>
              <w:ind w:right="195"/>
              <w:spacing w:after="0"/>
              <w:rPr>
                <w:sz w:val="20"/>
                <w:szCs w:val="20"/>
                <w:color w:val="auto"/>
              </w:rPr>
            </w:pPr>
            <w:r>
              <w:rPr>
                <w:rFonts w:ascii="Times New Roman" w:cs="Times New Roman" w:eastAsia="Times New Roman" w:hAnsi="Times New Roman"/>
                <w:sz w:val="17"/>
                <w:szCs w:val="17"/>
                <w:color w:val="auto"/>
              </w:rPr>
              <w:t>32.2†</w:t>
            </w:r>
          </w:p>
        </w:tc>
        <w:tc>
          <w:tcPr>
            <w:tcW w:w="29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w w:val="99"/>
              </w:rPr>
              <w:t>Certification of Principal Financial Officer</w:t>
            </w:r>
          </w:p>
        </w:tc>
        <w:tc>
          <w:tcPr>
            <w:tcW w:w="6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3520" w:type="dxa"/>
            <w:vAlign w:val="bottom"/>
            <w:gridSpan w:val="24"/>
          </w:tcPr>
          <w:p>
            <w:pPr>
              <w:spacing w:after="0" w:line="183" w:lineRule="exact"/>
              <w:rPr>
                <w:sz w:val="20"/>
                <w:szCs w:val="20"/>
                <w:color w:val="auto"/>
              </w:rPr>
            </w:pPr>
            <w:r>
              <w:rPr>
                <w:rFonts w:ascii="Times New Roman" w:cs="Times New Roman" w:eastAsia="Times New Roman" w:hAnsi="Times New Roman"/>
                <w:sz w:val="17"/>
                <w:szCs w:val="17"/>
                <w:color w:val="0000FF"/>
              </w:rPr>
              <w:t>Pursuant to 18 U.S.C. Section 1350, as Adopted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80" w:type="dxa"/>
            <w:vAlign w:val="bottom"/>
            <w:gridSpan w:val="13"/>
            <w:shd w:val="clear" w:color="auto" w:fill="0000FF"/>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3520" w:type="dxa"/>
            <w:vAlign w:val="bottom"/>
            <w:tcBorders>
              <w:bottom w:val="single" w:sz="8" w:color="0000FF"/>
            </w:tcBorders>
            <w:gridSpan w:val="24"/>
          </w:tcPr>
          <w:p>
            <w:pPr>
              <w:spacing w:after="0" w:line="183" w:lineRule="exact"/>
              <w:rPr>
                <w:sz w:val="20"/>
                <w:szCs w:val="20"/>
                <w:color w:val="auto"/>
              </w:rPr>
            </w:pPr>
            <w:r>
              <w:rPr>
                <w:rFonts w:ascii="Times New Roman" w:cs="Times New Roman" w:eastAsia="Times New Roman" w:hAnsi="Times New Roman"/>
                <w:sz w:val="17"/>
                <w:szCs w:val="17"/>
                <w:color w:val="0000FF"/>
              </w:rPr>
              <w:t>Pursuant to Section 906 of the Sarbanes-Oxley Act</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5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96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920" w:type="dxa"/>
            <w:vAlign w:val="bottom"/>
          </w:tcPr>
          <w:p>
            <w:pPr>
              <w:jc w:val="center"/>
              <w:ind w:right="195"/>
              <w:spacing w:after="0"/>
              <w:rPr>
                <w:sz w:val="20"/>
                <w:szCs w:val="20"/>
                <w:color w:val="auto"/>
              </w:rPr>
            </w:pPr>
            <w:r>
              <w:rPr>
                <w:rFonts w:ascii="Times New Roman" w:cs="Times New Roman" w:eastAsia="Times New Roman" w:hAnsi="Times New Roman"/>
                <w:sz w:val="17"/>
                <w:szCs w:val="17"/>
                <w:color w:val="auto"/>
                <w:w w:val="97"/>
              </w:rPr>
              <w:t>101.INS</w:t>
            </w:r>
          </w:p>
        </w:tc>
        <w:tc>
          <w:tcPr>
            <w:tcW w:w="352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291"/>
        </w:trPr>
        <w:tc>
          <w:tcPr>
            <w:tcW w:w="920" w:type="dxa"/>
            <w:vAlign w:val="bottom"/>
          </w:tcPr>
          <w:p>
            <w:pPr>
              <w:jc w:val="center"/>
              <w:ind w:right="195"/>
              <w:spacing w:after="0"/>
              <w:rPr>
                <w:sz w:val="20"/>
                <w:szCs w:val="20"/>
                <w:color w:val="auto"/>
              </w:rPr>
            </w:pPr>
            <w:r>
              <w:rPr>
                <w:rFonts w:ascii="Times New Roman" w:cs="Times New Roman" w:eastAsia="Times New Roman" w:hAnsi="Times New Roman"/>
                <w:sz w:val="17"/>
                <w:szCs w:val="17"/>
                <w:color w:val="auto"/>
              </w:rPr>
              <w:t>101.SCH</w:t>
            </w:r>
          </w:p>
        </w:tc>
        <w:tc>
          <w:tcPr>
            <w:tcW w:w="352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Inline XBRL Taxonomy Extension Schema</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352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S-1</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333-250035</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10.15</w:t>
            </w:r>
          </w:p>
        </w:tc>
        <w:tc>
          <w:tcPr>
            <w:tcW w:w="1260" w:type="dxa"/>
            <w:vAlign w:val="bottom"/>
          </w:tcPr>
          <w:p>
            <w:pPr>
              <w:jc w:val="center"/>
              <w:ind w:left="395"/>
              <w:spacing w:after="0"/>
              <w:rPr>
                <w:sz w:val="20"/>
                <w:szCs w:val="20"/>
                <w:color w:val="auto"/>
              </w:rPr>
            </w:pPr>
            <w:r>
              <w:rPr>
                <w:rFonts w:ascii="Times New Roman" w:cs="Times New Roman" w:eastAsia="Times New Roman" w:hAnsi="Times New Roman"/>
                <w:sz w:val="17"/>
                <w:szCs w:val="17"/>
                <w:color w:val="auto"/>
              </w:rPr>
              <w:t>11/12/2020</w:t>
            </w:r>
          </w:p>
        </w:tc>
      </w:tr>
      <w:tr>
        <w:trPr>
          <w:trHeight w:val="1134"/>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001-39747</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60" w:type="dxa"/>
            <w:vAlign w:val="bottom"/>
          </w:tcPr>
          <w:p>
            <w:pPr>
              <w:jc w:val="center"/>
              <w:ind w:left="395"/>
              <w:spacing w:after="0"/>
              <w:rPr>
                <w:sz w:val="20"/>
                <w:szCs w:val="20"/>
                <w:color w:val="auto"/>
              </w:rPr>
            </w:pPr>
            <w:r>
              <w:rPr>
                <w:rFonts w:ascii="Times New Roman" w:cs="Times New Roman" w:eastAsia="Times New Roman" w:hAnsi="Times New Roman"/>
                <w:sz w:val="17"/>
                <w:szCs w:val="17"/>
                <w:color w:val="auto"/>
              </w:rPr>
              <w:t>10/13/2021</w:t>
            </w:r>
          </w:p>
        </w:tc>
      </w:tr>
      <w:tr>
        <w:trPr>
          <w:trHeight w:val="621"/>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001-39747</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60" w:type="dxa"/>
            <w:vAlign w:val="bottom"/>
          </w:tcPr>
          <w:p>
            <w:pPr>
              <w:jc w:val="center"/>
              <w:ind w:left="395"/>
              <w:spacing w:after="0"/>
              <w:rPr>
                <w:sz w:val="20"/>
                <w:szCs w:val="20"/>
                <w:color w:val="auto"/>
              </w:rPr>
            </w:pPr>
            <w:r>
              <w:rPr>
                <w:rFonts w:ascii="Times New Roman" w:cs="Times New Roman" w:eastAsia="Times New Roman" w:hAnsi="Times New Roman"/>
                <w:sz w:val="17"/>
                <w:szCs w:val="17"/>
                <w:color w:val="auto"/>
              </w:rPr>
              <w:t>2/18/2022</w:t>
            </w:r>
          </w:p>
        </w:tc>
      </w:tr>
      <w:tr>
        <w:trPr>
          <w:trHeight w:val="621"/>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001-39747</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60" w:type="dxa"/>
            <w:vAlign w:val="bottom"/>
          </w:tcPr>
          <w:p>
            <w:pPr>
              <w:jc w:val="center"/>
              <w:ind w:left="395"/>
              <w:spacing w:after="0"/>
              <w:rPr>
                <w:sz w:val="20"/>
                <w:szCs w:val="20"/>
                <w:color w:val="auto"/>
              </w:rPr>
            </w:pPr>
            <w:r>
              <w:rPr>
                <w:rFonts w:ascii="Times New Roman" w:cs="Times New Roman" w:eastAsia="Times New Roman" w:hAnsi="Times New Roman"/>
                <w:sz w:val="17"/>
                <w:szCs w:val="17"/>
                <w:color w:val="auto"/>
              </w:rPr>
              <w:t>3/18/2022</w:t>
            </w:r>
          </w:p>
        </w:tc>
      </w:tr>
      <w:tr>
        <w:trPr>
          <w:trHeight w:val="931"/>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001-39747</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60" w:type="dxa"/>
            <w:vAlign w:val="bottom"/>
          </w:tcPr>
          <w:p>
            <w:pPr>
              <w:jc w:val="center"/>
              <w:ind w:left="395"/>
              <w:spacing w:after="0"/>
              <w:rPr>
                <w:sz w:val="20"/>
                <w:szCs w:val="20"/>
                <w:color w:val="auto"/>
              </w:rPr>
            </w:pPr>
            <w:r>
              <w:rPr>
                <w:rFonts w:ascii="Times New Roman" w:cs="Times New Roman" w:eastAsia="Times New Roman" w:hAnsi="Times New Roman"/>
                <w:sz w:val="17"/>
                <w:szCs w:val="17"/>
                <w:color w:val="auto"/>
              </w:rPr>
              <w:t>8/26/2022</w:t>
            </w:r>
          </w:p>
        </w:tc>
      </w:tr>
    </w:tbl>
    <w:p>
      <w:pPr>
        <w:spacing w:after="0" w:line="2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w:t>
      </w:r>
    </w:p>
    <w:p>
      <w:pPr>
        <w:spacing w:after="0" w:line="2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8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175895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00" w:space="640"/>
            <w:col w:w="5260"/>
          </w:cols>
          <w:pgMar w:left="500" w:top="1440" w:right="1099" w:bottom="1440" w:gutter="0" w:footer="0" w:header="0"/>
        </w:sectPr>
      </w:pPr>
    </w:p>
    <w:bookmarkStart w:id="129" w:name="page130"/>
    <w:bookmarkEnd w:id="129"/>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Inline XBRL Taxonomy Extension Calculation</w:t>
            </w:r>
          </w:p>
        </w:tc>
      </w:tr>
      <w:tr>
        <w:trPr>
          <w:trHeight w:val="222"/>
        </w:trPr>
        <w:tc>
          <w:tcPr>
            <w:tcW w:w="780" w:type="dxa"/>
            <w:vAlign w:val="bottom"/>
          </w:tcPr>
          <w:p>
            <w:pPr>
              <w:spacing w:after="0"/>
              <w:rPr>
                <w:sz w:val="19"/>
                <w:szCs w:val="19"/>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Linkbase Document</w:t>
            </w:r>
          </w:p>
        </w:tc>
      </w:tr>
      <w:tr>
        <w:trPr>
          <w:trHeight w:val="29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Inline XBRL Taxonomy Extension Definition</w:t>
            </w:r>
          </w:p>
        </w:tc>
      </w:tr>
      <w:tr>
        <w:trPr>
          <w:trHeight w:val="222"/>
        </w:trPr>
        <w:tc>
          <w:tcPr>
            <w:tcW w:w="780" w:type="dxa"/>
            <w:vAlign w:val="bottom"/>
          </w:tcPr>
          <w:p>
            <w:pPr>
              <w:spacing w:after="0"/>
              <w:rPr>
                <w:sz w:val="19"/>
                <w:szCs w:val="19"/>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Linkbase Document</w:t>
            </w:r>
          </w:p>
        </w:tc>
      </w:tr>
      <w:tr>
        <w:trPr>
          <w:trHeight w:val="29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9"/>
              </w:rPr>
              <w:t>Inline XBRL Taxonomy Extension Label Linkbase</w:t>
            </w:r>
          </w:p>
        </w:tc>
      </w:tr>
      <w:tr>
        <w:trPr>
          <w:trHeight w:val="222"/>
        </w:trPr>
        <w:tc>
          <w:tcPr>
            <w:tcW w:w="780" w:type="dxa"/>
            <w:vAlign w:val="bottom"/>
          </w:tcPr>
          <w:p>
            <w:pPr>
              <w:spacing w:after="0"/>
              <w:rPr>
                <w:sz w:val="19"/>
                <w:szCs w:val="19"/>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Document</w:t>
            </w:r>
          </w:p>
        </w:tc>
      </w:tr>
      <w:tr>
        <w:trPr>
          <w:trHeight w:val="291"/>
        </w:trPr>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Inline XBRL Taxonomy Extension Presentation</w:t>
            </w:r>
          </w:p>
        </w:tc>
      </w:tr>
      <w:tr>
        <w:trPr>
          <w:trHeight w:val="222"/>
        </w:trPr>
        <w:tc>
          <w:tcPr>
            <w:tcW w:w="780" w:type="dxa"/>
            <w:vAlign w:val="bottom"/>
          </w:tcPr>
          <w:p>
            <w:pPr>
              <w:spacing w:after="0"/>
              <w:rPr>
                <w:sz w:val="19"/>
                <w:szCs w:val="19"/>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Linkbase Document</w:t>
            </w:r>
          </w:p>
        </w:tc>
      </w:tr>
    </w:tbl>
    <w:p>
      <w:pPr>
        <w:spacing w:after="0" w:line="88" w:lineRule="exact"/>
        <w:rPr>
          <w:sz w:val="20"/>
          <w:szCs w:val="20"/>
          <w:color w:val="auto"/>
        </w:rPr>
      </w:pPr>
    </w:p>
    <w:p>
      <w:pPr>
        <w:ind w:left="1100" w:right="6580" w:hanging="728"/>
        <w:spacing w:after="0" w:line="265" w:lineRule="auto"/>
        <w:tabs>
          <w:tab w:leader="none" w:pos="11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 embedded within the Inline XBRL document.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1" w:lineRule="exact"/>
        <w:rPr>
          <w:sz w:val="20"/>
          <w:szCs w:val="20"/>
          <w:color w:val="auto"/>
        </w:rPr>
      </w:pPr>
    </w:p>
    <w:p>
      <w:pPr>
        <w:ind w:left="340" w:hanging="332"/>
        <w:spacing w:after="0" w:line="259" w:lineRule="auto"/>
        <w:tabs>
          <w:tab w:leader="none" w:pos="12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w:t>
      </w:r>
    </w:p>
    <w:p>
      <w:pPr>
        <w:ind w:left="340"/>
        <w:spacing w:after="0"/>
        <w:rPr>
          <w:sz w:val="20"/>
          <w:szCs w:val="20"/>
          <w:color w:val="auto"/>
        </w:rPr>
      </w:pPr>
      <w:r>
        <w:rPr>
          <w:rFonts w:ascii="Times New Roman" w:cs="Times New Roman" w:eastAsia="Times New Roman" w:hAnsi="Times New Roman"/>
          <w:sz w:val="14"/>
          <w:szCs w:val="14"/>
          <w:color w:val="auto"/>
        </w:rPr>
        <w:t>after the date of this Annual Report on Form 10-K, irrespective of any general incorporation language contained in such filing.</w:t>
      </w:r>
    </w:p>
    <w:p>
      <w:pPr>
        <w:spacing w:after="0" w:line="15" w:lineRule="exact"/>
        <w:rPr>
          <w:sz w:val="20"/>
          <w:szCs w:val="20"/>
          <w:color w:val="auto"/>
        </w:rPr>
      </w:pPr>
    </w:p>
    <w:p>
      <w:pPr>
        <w:ind w:right="480" w:firstLine="8"/>
        <w:spacing w:after="0" w:line="283" w:lineRule="auto"/>
        <w:tabs>
          <w:tab w:leader="none" w:pos="10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 treatment has been requested for portions of this exhibit. These portions have been omitted and have been filed separately with the Securities and Exchange Commission. *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30" w:name="page131"/>
    <w:bookmarkEnd w:id="1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1" w:name="page132"/>
    <w:bookmarkEnd w:id="131"/>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2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37" w:lineRule="exact"/>
        <w:rPr>
          <w:sz w:val="20"/>
          <w:szCs w:val="20"/>
          <w:color w:val="auto"/>
        </w:rPr>
      </w:pPr>
    </w:p>
    <w:p>
      <w:pPr>
        <w:ind w:left="588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Omid Farokhzad, M.D.</w:t>
      </w:r>
    </w:p>
    <w:p>
      <w:pPr>
        <w:spacing w:after="0" w:line="6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180"/>
          </w:cols>
          <w:pgMar w:left="320" w:top="1440" w:right="399" w:bottom="1440" w:gutter="0" w:footer="0" w:header="0"/>
        </w:sectPr>
      </w:pPr>
    </w:p>
    <w:p>
      <w:pPr>
        <w:spacing w:after="0" w:line="14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3317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Omid Farokhzad, M.D.</w:t>
      </w:r>
    </w:p>
    <w:p>
      <w:pPr>
        <w:spacing w:after="0" w:line="200" w:lineRule="exact"/>
        <w:rPr>
          <w:sz w:val="20"/>
          <w:szCs w:val="20"/>
          <w:color w:val="auto"/>
        </w:rPr>
      </w:pPr>
    </w:p>
    <w:p>
      <w:pPr>
        <w:spacing w:after="0" w:line="2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David R. Horn</w:t>
      </w:r>
    </w:p>
    <w:p>
      <w:pPr>
        <w:spacing w:after="0" w:line="11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David Hallal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David Hallal</w:t>
      </w:r>
    </w:p>
    <w:p>
      <w:pPr>
        <w:spacing w:after="0" w:line="11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Catherine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Catherine Friedman</w:t>
      </w:r>
    </w:p>
    <w:p>
      <w:pPr>
        <w:spacing w:after="0" w:line="11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Meeta Gulyani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Meeta Gulyani</w:t>
      </w:r>
    </w:p>
    <w:p>
      <w:pPr>
        <w:spacing w:after="0" w:line="11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Rachel Haurwitz,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Rachel Haurwitz, Ph.D.</w:t>
      </w:r>
    </w:p>
    <w:p>
      <w:pPr>
        <w:spacing w:after="0" w:line="11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Robert Langer, Sc.D.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Robert Langer, Sc.D.</w:t>
      </w:r>
    </w:p>
    <w:p>
      <w:pPr>
        <w:spacing w:after="0" w:line="11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Terrance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Terrance McGuire</w:t>
      </w:r>
    </w:p>
    <w:p>
      <w:pPr>
        <w:spacing w:after="0" w:line="11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Deep Nishar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Deep Nishar</w:t>
      </w:r>
    </w:p>
    <w:p>
      <w:pPr>
        <w:spacing w:after="0" w:line="11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/s/ Mostafa Ronaghi,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317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Mostafa Ronaghi, Ph.D.</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33655</wp:posOffset>
            </wp:positionV>
            <wp:extent cx="23399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313"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jc w:val="center"/>
        <w:ind w:right="940"/>
        <w:spacing w:after="0" w:line="219" w:lineRule="auto"/>
        <w:rPr>
          <w:sz w:val="20"/>
          <w:szCs w:val="20"/>
          <w:color w:val="auto"/>
        </w:rPr>
      </w:pPr>
      <w:r>
        <w:rPr>
          <w:rFonts w:ascii="Times New Roman" w:cs="Times New Roman" w:eastAsia="Times New Roman" w:hAnsi="Times New Roman"/>
          <w:sz w:val="18"/>
          <w:szCs w:val="18"/>
          <w:color w:val="auto"/>
        </w:rPr>
        <w:t>Chair of the Board of Directors</w:t>
      </w: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940"/>
        <w:spacing w:after="0" w:line="23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 and Accounting</w:t>
      </w:r>
    </w:p>
    <w:p>
      <w:pPr>
        <w:jc w:val="center"/>
        <w:ind w:right="94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Lead Independent Director</w:t>
      </w:r>
    </w:p>
    <w:p>
      <w:pPr>
        <w:spacing w:after="0" w:line="36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33655</wp:posOffset>
            </wp:positionV>
            <wp:extent cx="23399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264795</wp:posOffset>
            </wp:positionV>
            <wp:extent cx="23399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179070</wp:posOffset>
            </wp:positionV>
            <wp:extent cx="23399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144780</wp:posOffset>
            </wp:positionV>
            <wp:extent cx="23399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144780</wp:posOffset>
            </wp:positionV>
            <wp:extent cx="23399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144780</wp:posOffset>
            </wp:positionV>
            <wp:extent cx="23399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144780</wp:posOffset>
            </wp:positionV>
            <wp:extent cx="23399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144780</wp:posOffset>
            </wp:positionV>
            <wp:extent cx="23399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144780</wp:posOffset>
            </wp:positionV>
            <wp:extent cx="23399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144780</wp:posOffset>
            </wp:positionV>
            <wp:extent cx="23399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2023</w:t>
      </w:r>
    </w:p>
    <w:p>
      <w:pPr>
        <w:spacing w:after="0" w:line="333" w:lineRule="exact"/>
        <w:rPr>
          <w:sz w:val="20"/>
          <w:szCs w:val="20"/>
          <w:color w:val="auto"/>
        </w:rPr>
      </w:pPr>
    </w:p>
    <w:p>
      <w:pPr>
        <w:sectPr>
          <w:pgSz w:w="11900" w:h="16838" w:orient="portrait"/>
          <w:cols w:equalWidth="0" w:num="3">
            <w:col w:w="3280" w:space="720"/>
            <w:col w:w="4160" w:space="720"/>
            <w:col w:w="2300"/>
          </w:cols>
          <w:pgMar w:left="320" w:top="14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80"/>
          </w:cols>
          <w:pgMar w:left="320" w:top="1440" w:right="39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EX-21.1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56"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Seer Securities Corporation (Massachusetts)</w:t>
      </w:r>
    </w:p>
    <w:p>
      <w:pPr>
        <w:spacing w:after="0" w:line="3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Seer Bio UK Limited (United Kingdom)</w:t>
      </w:r>
    </w:p>
    <w:p>
      <w:pPr>
        <w:sectPr>
          <w:pgSz w:w="11900" w:h="16838" w:orient="portrait"/>
          <w:cols w:equalWidth="0" w:num="1">
            <w:col w:w="10139"/>
          </w:cols>
          <w:pgMar w:left="320" w:top="603"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Ex. 23.1</w:t>
      </w:r>
    </w:p>
    <w:p>
      <w:pPr>
        <w:spacing w:after="0" w:line="23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263268, 333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252534</w:t>
      </w:r>
    </w:p>
    <w:p>
      <w:pPr>
        <w:spacing w:after="0" w:line="38"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and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251158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of our report dated March 6, 2023, relating to the financial statements of Seer, Inc. appearing in this Annual Report on Form 10-K for the year ended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2023</w:t>
      </w:r>
    </w:p>
    <w:p>
      <w:pPr>
        <w:sectPr>
          <w:pgSz w:w="11900" w:h="16838" w:orient="portrait"/>
          <w:cols w:equalWidth="0" w:num="1">
            <w:col w:w="11140"/>
          </w:cols>
          <w:pgMar w:left="320" w:top="1413"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Ex.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40" w:right="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Omid Farokhzad, certify that:</w:t>
      </w:r>
    </w:p>
    <w:p>
      <w:pPr>
        <w:spacing w:after="0" w:line="25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Seer,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60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Ex. 31.1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By: /s/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-19050</wp:posOffset>
            </wp:positionV>
            <wp:extent cx="15582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ind w:left="4700"/>
        <w:spacing w:after="0"/>
        <w:rPr>
          <w:sz w:val="20"/>
          <w:szCs w:val="20"/>
          <w:color w:val="auto"/>
        </w:rPr>
      </w:pPr>
      <w:r>
        <w:rPr>
          <w:rFonts w:ascii="Times New Roman" w:cs="Times New Roman" w:eastAsia="Times New Roman" w:hAnsi="Times New Roman"/>
          <w:sz w:val="18"/>
          <w:szCs w:val="18"/>
          <w:color w:val="auto"/>
        </w:rPr>
        <w:t>Omid Farokhzad</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Chief Executive Officer, President and Chair of the Board of Directors</w:t>
      </w:r>
    </w:p>
    <w:p>
      <w:pPr>
        <w:spacing w:after="0" w:line="2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139"/>
          </w:cols>
          <w:pgMar w:left="320" w:top="603"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Ex.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40" w:right="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Horn, certify that:</w:t>
      </w:r>
    </w:p>
    <w:p>
      <w:pPr>
        <w:spacing w:after="0" w:line="252"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Seer,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right="780" w:hanging="324"/>
        <w:spacing w:after="0" w:line="260" w:lineRule="auto"/>
        <w:tabs>
          <w:tab w:leader="none" w:pos="97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60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Ex. 31.2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-19050</wp:posOffset>
            </wp:positionV>
            <wp:extent cx="13296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1329690" cy="8890"/>
                    </a:xfrm>
                    <a:prstGeom prst="rect">
                      <a:avLst/>
                    </a:prstGeom>
                    <a:noFill/>
                  </pic:spPr>
                </pic:pic>
              </a:graphicData>
            </a:graphic>
          </wp:anchor>
        </w:drawing>
      </w:r>
    </w:p>
    <w:p>
      <w:pPr>
        <w:ind w:left="4700"/>
        <w:spacing w:after="0"/>
        <w:rPr>
          <w:sz w:val="20"/>
          <w:szCs w:val="20"/>
          <w:color w:val="auto"/>
        </w:rPr>
      </w:pPr>
      <w:r>
        <w:rPr>
          <w:rFonts w:ascii="Times New Roman" w:cs="Times New Roman" w:eastAsia="Times New Roman" w:hAnsi="Times New Roman"/>
          <w:sz w:val="18"/>
          <w:szCs w:val="18"/>
          <w:color w:val="auto"/>
        </w:rPr>
        <w:t>David Horn</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139"/>
          </w:cols>
          <w:pgMar w:left="320" w:top="603"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Ex.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Seer, Inc. (the “Company”) on Form 10-K for the period ended December 31, 2022 as filed with the Securities and Exchange Commission on the date hereof (the “Report”), I, Omid Farokhzad, hereby certify, pursuant to 18 U.S.C. § 1350, as adopted pursuant to § 906 of the Sarbanes-Oxley Act of 2002, that:</w:t>
      </w:r>
    </w:p>
    <w:p>
      <w:pPr>
        <w:spacing w:after="0" w:line="203"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By: /s/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-19050</wp:posOffset>
            </wp:positionV>
            <wp:extent cx="1558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ind w:left="4700"/>
        <w:spacing w:after="0"/>
        <w:rPr>
          <w:sz w:val="20"/>
          <w:szCs w:val="20"/>
          <w:color w:val="auto"/>
        </w:rPr>
      </w:pPr>
      <w:r>
        <w:rPr>
          <w:rFonts w:ascii="Times New Roman" w:cs="Times New Roman" w:eastAsia="Times New Roman" w:hAnsi="Times New Roman"/>
          <w:sz w:val="18"/>
          <w:szCs w:val="18"/>
          <w:color w:val="auto"/>
        </w:rPr>
        <w:t>Omid Farokhzad</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Chief Executive Officer, President and Chair of the Board of Directors</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20"/>
          </w:cols>
          <w:pgMar w:left="320" w:top="360"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Ex.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Seer, Inc. (the “Company”) on Form 10-K for the period ended December 31, 2022 as filed with the Securities and Exchange Commission on the date hereof (the “Report”), I, David Horn, hereby certify, pursuant to 18 U.S.C. § 1350, as adopted pursuant to § 906 of the Sarbanes-Oxley Act of 2002, that:</w:t>
      </w:r>
    </w:p>
    <w:p>
      <w:pPr>
        <w:spacing w:after="0" w:line="203" w:lineRule="exact"/>
        <w:rPr>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-19050</wp:posOffset>
            </wp:positionV>
            <wp:extent cx="132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4700"/>
        <w:spacing w:after="0"/>
        <w:rPr>
          <w:sz w:val="20"/>
          <w:szCs w:val="20"/>
          <w:color w:val="auto"/>
        </w:rPr>
      </w:pPr>
      <w:r>
        <w:rPr>
          <w:rFonts w:ascii="Times New Roman" w:cs="Times New Roman" w:eastAsia="Times New Roman" w:hAnsi="Times New Roman"/>
          <w:sz w:val="18"/>
          <w:szCs w:val="18"/>
          <w:color w:val="auto"/>
        </w:rPr>
        <w:t>David Horn</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sectPr>
      <w:pgSz w:w="11900" w:h="16838" w:orient="portrait"/>
      <w:cols w:equalWidth="0" w:num="1">
        <w:col w:w="11220"/>
      </w:cols>
      <w:pgMar w:left="320" w:top="36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lvl w:ilvl="1">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2"/>
    </w:lvl>
  </w:abstractNum>
  <w:abstractNum w:abstractNumId="43">
    <w:nsid w:val="749ABB43"/>
    <w:multiLevelType w:val="hybridMultilevel"/>
    <w:lvl w:ilvl="0">
      <w:lvlJc w:val="left"/>
      <w:lvlText w:val="%1."/>
      <w:numFmt w:val="decimal"/>
      <w:start w:val="3"/>
    </w:lvl>
  </w:abstractNum>
  <w:abstractNum w:abstractNumId="44">
    <w:nsid w:val="3DC240FB"/>
    <w:multiLevelType w:val="hybridMultilevel"/>
    <w:lvl w:ilvl="0">
      <w:lvlJc w:val="left"/>
      <w:lvlText w:val="%1."/>
      <w:numFmt w:val="decimal"/>
      <w:start w:val="5"/>
    </w:lvl>
  </w:abstractNum>
  <w:abstractNum w:abstractNumId="45">
    <w:nsid w:val="1BA026FA"/>
    <w:multiLevelType w:val="hybridMultilevel"/>
    <w:lvl w:ilvl="0">
      <w:lvlJc w:val="left"/>
      <w:lvlText w:val="%1."/>
      <w:numFmt w:val="decimal"/>
      <w:start w:val="1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04"/>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9" Type="http://schemas.openxmlformats.org/officeDocument/2006/relationships/image" Target="media/image154.png"/><Relationship Id="rId181"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161" Type="http://schemas.openxmlformats.org/officeDocument/2006/relationships/hyperlink" Target="https://www.sec.gov/Archives/edgar/data/1726445/000162828020017214/exhibit31-closing8xk.htm" TargetMode="External"/><Relationship Id="rId162" Type="http://schemas.openxmlformats.org/officeDocument/2006/relationships/hyperlink" Target="https://www.sec.gov/Archives/edgar/data/1726445/000162828020017214/exhibit32-closing8xk.htm" TargetMode="External"/><Relationship Id="rId163" Type="http://schemas.openxmlformats.org/officeDocument/2006/relationships/hyperlink" Target="https://www.sec.gov/Archives/edgar/data/1726445/000162828020016325/exhibit41-stockcertifi.htm" TargetMode="External"/><Relationship Id="rId164" Type="http://schemas.openxmlformats.org/officeDocument/2006/relationships/hyperlink" Target="https://www.sec.gov/Archives/edgar/data/1726445/000162828021000787/exhibit42-followonsx1.htm" TargetMode="External"/><Relationship Id="rId165" Type="http://schemas.openxmlformats.org/officeDocument/2006/relationships/hyperlink" Target="https://www.sec.gov/Archives/edgar/data/0001726445/000162828021005989/ex43descriptionofregistran.htm" TargetMode="External"/><Relationship Id="rId166" Type="http://schemas.openxmlformats.org/officeDocument/2006/relationships/hyperlink" Target="https://www.sec.gov/Archives/edgar/data/1726445/000162828020016325/exhibit101-sx1xformofi.htm" TargetMode="External"/><Relationship Id="rId167" Type="http://schemas.openxmlformats.org/officeDocument/2006/relationships/hyperlink" Target="https://www.sec.gov/Archives/edgar/data/1726445/000162828020016863/exhibit102-sx1a1.htm" TargetMode="External"/><Relationship Id="rId168" Type="http://schemas.openxmlformats.org/officeDocument/2006/relationships/hyperlink" Target="https://www.sec.gov/Archives/edgar/data/1726445/000162828020016863/exhibit103-sx1a1.htm" TargetMode="External"/><Relationship Id="rId170" Type="http://schemas.openxmlformats.org/officeDocument/2006/relationships/hyperlink" Target="https://www.sec.gov/Archives/edgar/data/1726445/000162828020016863/exhibit104-sx1a1.htm" TargetMode="External"/><Relationship Id="rId171" Type="http://schemas.openxmlformats.org/officeDocument/2006/relationships/hyperlink" Target="https://www.sec.gov/Archives/edgar/data/1726445/000162828022013102/amendedandrestated2020espp.htm" TargetMode="External"/><Relationship Id="rId172" Type="http://schemas.openxmlformats.org/officeDocument/2006/relationships/hyperlink" Target="https://www.sec.gov/Archives/edgar/data/1726445/000162828020016863/exhibit106-sx1a1.htm" TargetMode="External"/><Relationship Id="rId173" Type="http://schemas.openxmlformats.org/officeDocument/2006/relationships/hyperlink" Target="https://www.sec.gov/Archives/edgar/data/1726445/000162828020016863/exhibit107-sx1a1.htm" TargetMode="External"/><Relationship Id="rId174" Type="http://schemas.openxmlformats.org/officeDocument/2006/relationships/hyperlink" Target="https://www.sec.gov/Archives/edgar/data/1726445/000162828020016863/exhibit108-sx1a1.htm" TargetMode="External"/><Relationship Id="rId175" Type="http://schemas.openxmlformats.org/officeDocument/2006/relationships/hyperlink" Target="https://www.sec.gov/Archives/edgar/data/1726445/000162828020016863/exhibit109-sx1a1.htm" TargetMode="External"/><Relationship Id="rId176" Type="http://schemas.openxmlformats.org/officeDocument/2006/relationships/hyperlink" Target="https://www.sec.gov/Archives/edgar/data/1726445/000162828020016863/exhibit1010-sx1a1.htm" TargetMode="External"/><Relationship Id="rId177" Type="http://schemas.openxmlformats.org/officeDocument/2006/relationships/hyperlink" Target="https://www.sec.gov/Archives/edgar/data/1726445/000162828020016863/exhibit1011-sx1a1.htm" TargetMode="External"/><Relationship Id="rId178" Type="http://schemas.openxmlformats.org/officeDocument/2006/relationships/hyperlink" Target="https://www.sec.gov/Archives/edgar/data/1726445/000162828022021988/outsidedirectorcompensatio.htm" TargetMode="External"/><Relationship Id="rId179" Type="http://schemas.openxmlformats.org/officeDocument/2006/relationships/hyperlink" Target="https://www.sec.gov/Archives/edgar/data/1726445/000162828020016325/exhibit1014-sx1xumbrel.htm" TargetMode="External"/><Relationship Id="rId180" Type="http://schemas.openxmlformats.org/officeDocument/2006/relationships/hyperlink" Target="https://www.sec.gov/Archives/edgar/data/1726445/000162828020016325/exhibit1015-sx1xexclus.htm" TargetMode="External"/><Relationship Id="rId182" Type="http://schemas.openxmlformats.org/officeDocument/2006/relationships/hyperlink" Target="https://www.sec.gov/Archives/edgar/data/1726445/000162828020016325/exhibit1016-sx1xclassa.htm" TargetMode="External"/><Relationship Id="rId183" Type="http://schemas.openxmlformats.org/officeDocument/2006/relationships/hyperlink" Target="https://www.sec.gov/Archives/edgar/data/1726445/000162828021020013/seer-leaveofabsenceloaagre.htm" TargetMode="External"/><Relationship Id="rId184" Type="http://schemas.openxmlformats.org/officeDocument/2006/relationships/hyperlink" Target="https://www.sec.gov/Archives/edgar/data/1726445/000162828022003179/seer-ccoemploymentletteram.htm" TargetMode="External"/><Relationship Id="rId185" Type="http://schemas.openxmlformats.org/officeDocument/2006/relationships/hyperlink" Target="https://www.sec.gov/Archives/edgar/data/1726445/000162828022006720/confirmatoryemploymentlett.htm" TargetMode="External"/><Relationship Id="rId186" Type="http://schemas.openxmlformats.org/officeDocument/2006/relationships/hyperlink" Target="https://www.sec.gov/Archives/edgar/data/1726445/000162828022023754/consultan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2023-03-06T17:31:50Z</dcterms:created>
  <dcterms:modified xsi:type="dcterms:W3CDTF">2023-03-06T17:31:50Z</dcterms:modified>
</cp:coreProperties>
</file>