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2"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57"/>
        </w:trPr>
        <w:tc>
          <w:tcPr>
            <w:tcW w:w="306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57"/>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347"/>
        </w:trPr>
        <w:tc>
          <w:tcPr>
            <w:tcW w:w="4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20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6"/>
        </w:trPr>
        <w:tc>
          <w:tcPr>
            <w:tcW w:w="44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160" w:right="100" w:hanging="1133"/>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4" w:lineRule="exact"/>
        <w:rPr>
          <w:sz w:val="20"/>
          <w:szCs w:val="20"/>
          <w:color w:val="auto"/>
        </w:rPr>
      </w:pPr>
    </w:p>
    <w:p>
      <w:pPr>
        <w:ind w:left="680" w:hanging="659"/>
        <w:spacing w:after="0"/>
        <w:tabs>
          <w:tab w:leader="none" w:pos="6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Repricing of Designated Underwater Options</w:t>
      </w:r>
    </w:p>
    <w:p>
      <w:pPr>
        <w:spacing w:after="0" w:line="24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October 4, 2024 (the “Effective Date”), the Board of Directors (the “Board”) of Seer, Inc. (the “Company”) approved an option repricing. The repricing generally applied to nonstatutory stock options to purchase shares of the Company’s Class A common stock that: (i) were granted to employees under the Company’s 2020 Equity Incentive Plan, as amended (the “2020 Plan”), or the Company’s 2017 Stock Incentive Plan (together with the 2020 Plan, the “Plans”) and applicable award agreements thereunder; (ii) as of the Effective Date, were held by continuing employees; and (iii) had an exercise price per share greater than $2.00 (the “Eligible Options”). As part of the repricing, the Board determined not to make any additional awards in 2025 to executive officers of the Company with the title Senior Vice President and higher.</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repriced options include Eligible Options held by each of Omid Farokhzad, the Company’s Chief Executive Officer (options to purchase an aggregate of 2,732,470 shares with original exercise prices ranging from $2.70 to $60.15 per share) and David Horn, the Company’s President and Chief Financial Officer (options to purchase an aggregate of 1,140,454 shares with original exercise prices ranging from $2.70 to $60.15 per share).</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new exercise price for repriced options is $2.00 per share, the closing price of the Company’s Class A common stock on the Effective Date. However, if an employee exercises a repriced Eligible Option before the end of the Retention Period (as defined below), such employee will be required to pay a premium exercise price that is equal to the original exercise price per share of such Eligible Option. In addition, certain option awards granted in 2023 with a performance-based vesting condition based on the Company’s stock price were amended to have such stock price hurdle amount that is equal to or greater than one hundred fifty percent (150%) of $2.00 per share. The original stock price hurdle amount of such awards was $6.89. Such amendment applied to each such performance-based option award granted to Dr. Farokhzad to purchase 650,000 shares and to Mr. Horn to purchase 140,000 shares. There was no change to the expiration dates or service-based vesting criteria of, or number of shares underlying the Eligible Options and such options remain subject to the terms of the applicable Plans and award agreements. For the purposes of the repricing, “Retention Period” means the period that begins on the Effective Date and ends on the earliest of the following: (i) April 4, 2026; (ii) a Change in Control (as defined in the 2020 Plan); and (iii) the optionholder’s death or Disability (as defined in the 2020 Plan).</w:t>
      </w:r>
    </w:p>
    <w:p>
      <w:pPr>
        <w:spacing w:after="0" w:line="194" w:lineRule="exact"/>
        <w:rPr>
          <w:sz w:val="20"/>
          <w:szCs w:val="20"/>
          <w:color w:val="auto"/>
        </w:rPr>
      </w:pPr>
    </w:p>
    <w:p>
      <w:pPr>
        <w:jc w:val="both"/>
        <w:ind w:firstLine="571"/>
        <w:spacing w:after="0" w:line="254" w:lineRule="auto"/>
        <w:rPr>
          <w:sz w:val="20"/>
          <w:szCs w:val="20"/>
          <w:color w:val="auto"/>
        </w:rPr>
      </w:pPr>
      <w:r>
        <w:rPr>
          <w:rFonts w:ascii="Times New Roman" w:cs="Times New Roman" w:eastAsia="Times New Roman" w:hAnsi="Times New Roman"/>
          <w:sz w:val="18"/>
          <w:szCs w:val="18"/>
          <w:color w:val="auto"/>
        </w:rPr>
        <w:t>The Board approved the repricing following careful consideration of various alternatives and a review of other applicable factors, receipt of the advice of the Company’s independent compensation consultant and recommendation of the Company’s Talent and Compensation Committee of the Board. The Board designed the repricing, including the provision of the Retention Period, with the objectives of retaining and motivating the holders of the Eligible Options to continue to work in the best interests of the Company and its stockholders without incurring the stock dilution resulting from significant additional equity grants or significant additional cash expenditures resulting from additional cash compensation. As of the date of approval of the repricing, a substantial majority of the stock options held by Company employees were “underwater,” with exercise prices per share above the current market price of a share of the Company’s Class A common stock. The total number of shares underlying all repriced options was approximately 7.9 million shares. The repriced options previously had exercise prices ranging from $2.08 to $60.15 per share.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Exchange Act, which are subject to the “safe harbor” created by those sections. Forward-looking statements can be identified by words such as “expects,” “projects,” “may,” “will,” “could,” “would,” “should,” “believes,” “anticipates,” “estimates,” “intends,” “plans,” “potential,” “promise” or similar references to future periods. Forward-looking statements are statements that are not historical facts, nor assurances of future performance. Instead, they are based on the Company’s current expectations and beliefs and are subject to uncertainties and factors, all of which are difficult to predict and many of which are beyond the Company’s control and could cause actual results to differ materially and adversely from those described in the forward-looking statements. These risks and uncertainties and other factors are identified and described in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in the Company’s filings with the SEC, including its Annual Report on Form 10-K for the year ended December 31, 2023, and subsequent Quarterly Reports on Form 10-Q filed with the SEC. As a result, you should not place undue reliance on any forward-looking statements. Except to the limited extent required by applicable law, the Company does not intend to update any of the forward-looking statements to conform these statements to reflect actual results, later events or circumstances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83" w:lineRule="exact"/>
        <w:rPr>
          <w:sz w:val="20"/>
          <w:szCs w:val="20"/>
          <w:color w:val="auto"/>
        </w:rPr>
      </w:pPr>
    </w:p>
    <w:p>
      <w:pPr>
        <w:ind w:left="3260"/>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October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13" w:right="71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Seer Appoints Nicolas Roelofs to its Board of Directors</w:t>
      </w:r>
    </w:p>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Aug. 14, 2024 – Seer, Inc. (Nasdaq: SEER), a leading life sciences company commercializing a disruptive new</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for proteomics, today announced it has appointed Dr. Nicolas Roelofs to serve on its Board of Directors.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“Nick is a fantastic addition to our board, bringing over 35 years of broad operational and advisory experience with leading healthcare, life science tools, and diagnostics companies,” said Omid Farokhzad, Chair and CEO of Seer. “His extensive experience and insights will be valuable as we advance our mission of opening up a new gateway to the proteome.”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 excited to work with the Seer team and leverage my experience in the life science tools industry to drive their next phase of growth,” said Dr. Roelofs. “Seer uniquely enables deep, unbiased proteomic analysis at a scale, speed, and robustness previously not possible, and I believe they are at the leading edge of the expanding proteomics market. I look forward to sharing my insights and experience to help accelerate the adoption of the Proteograph Product Suite and transform our understanding of the proteome.”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Dr. Roelofs previously served as the President of the Life Sciences Group at Agilent Technologies, Group Operations Officer for the Life Sciences Division of Bio-Rad Inc., and Chief Operating Officer at Stratagene Inc. He has previously served on the boards of several public and private companies including Olink Holding AB. Dr. Roelofs currently serves as chairman of Sengenics Corporation LLC, a board member of Velsera, LGC Group, and an advisory board member of 908 Devices Inc.</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Dr. Roelofs holds a doctorate in organic chemistry from University of Nevada, Reno, a master’s degree in organic chemistry from Iowa State University, and a bachelor’s degree in chemistry, biology, and German from Simpson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2237740" cy="2117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7740" cy="211709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Seer</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w:t>
      </w:r>
    </w:p>
    <w:p>
      <w:pPr>
        <w:ind w:right="160"/>
        <w:spacing w:after="0" w:line="250" w:lineRule="auto"/>
        <w:rPr>
          <w:sz w:val="20"/>
          <w:szCs w:val="20"/>
          <w:color w:val="auto"/>
        </w:rPr>
      </w:pPr>
      <w:r>
        <w:rPr>
          <w:rFonts w:ascii="Arial" w:cs="Arial" w:eastAsia="Arial" w:hAnsi="Arial"/>
          <w:sz w:val="18"/>
          <w:szCs w:val="18"/>
          <w:color w:val="auto"/>
        </w:rPr>
        <w:t xml:space="preserve">Seer’s Proteograph Product Suite is for research use only and is not intended for diagnostic procedures. For more information, please visit </w:t>
      </w:r>
      <w:r>
        <w:rPr>
          <w:rFonts w:ascii="Arial" w:cs="Arial" w:eastAsia="Arial" w:hAnsi="Arial"/>
          <w:sz w:val="18"/>
          <w:szCs w:val="18"/>
          <w:color w:val="467886"/>
        </w:rPr>
        <w:t>www.seer.bio</w:t>
      </w:r>
      <w:r>
        <w:rPr>
          <w:rFonts w:ascii="Arial" w:cs="Arial" w:eastAsia="Arial" w:hAnsi="Arial"/>
          <w:sz w:val="18"/>
          <w:szCs w:val="18"/>
          <w:color w:val="000000"/>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rPr>
          <w:sz w:val="20"/>
          <w:szCs w:val="20"/>
          <w:color w:val="auto"/>
        </w:rPr>
      </w:pPr>
      <w:r>
        <w:rPr>
          <w:rFonts w:ascii="Arial" w:cs="Arial" w:eastAsia="Arial" w:hAnsi="Arial"/>
          <w:sz w:val="18"/>
          <w:szCs w:val="18"/>
          <w:color w:val="auto"/>
        </w:rPr>
        <w:t>investor@seer.bio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Schmidt</w:t>
      </w:r>
    </w:p>
    <w:p>
      <w:pPr>
        <w:spacing w:after="0"/>
        <w:rPr>
          <w:sz w:val="20"/>
          <w:szCs w:val="20"/>
          <w:color w:val="auto"/>
        </w:rPr>
      </w:pPr>
      <w:r>
        <w:rPr>
          <w:rFonts w:ascii="Arial" w:cs="Arial" w:eastAsia="Arial" w:hAnsi="Arial"/>
          <w:sz w:val="18"/>
          <w:szCs w:val="18"/>
          <w:color w:val="auto"/>
        </w:rPr>
        <w:t>pr@seer.bio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2024-10-07T05:12:28Z</dcterms:created>
  <dcterms:modified xsi:type="dcterms:W3CDTF">2024-10-07T05:12:28Z</dcterms:modified>
</cp:coreProperties>
</file>