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00" w:type="dxa"/>
            <w:vAlign w:val="bottom"/>
            <w:gridSpan w:val="21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27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8"/>
            <w:vMerge w:val="restart"/>
          </w:tcPr>
          <w:p>
            <w:pPr>
              <w:jc w:val="center"/>
              <w:ind w:left="10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  <w:vMerge w:val="restart"/>
          </w:tcPr>
          <w:p>
            <w:pPr>
              <w:jc w:val="center"/>
              <w:ind w:lef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Farokhzad Omid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Seer,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SEER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CEO and Chair of the Board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SEER,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3800 BRIDGE PARKWAY, SUITE 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7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102,915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See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301,543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-6095365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-6103620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-6078220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-5891530</wp:posOffset>
            </wp:positionV>
            <wp:extent cx="7031355" cy="5937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93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-5891530</wp:posOffset>
            </wp:positionV>
            <wp:extent cx="7031355" cy="593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93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shares are held of record by Dynamics Group LLC for which the reporting person serves as the sole member.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6350</wp:posOffset>
            </wp:positionV>
            <wp:extent cx="12985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361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8" Type="http://schemas.openxmlformats.org/officeDocument/2006/relationships/hyperlink" Target="http://www.sec.gov/cgi-bin/browse-edgar?action=getcompany&amp;CIK=0001586852" TargetMode="External"/><Relationship Id="rId9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2021-02-12T20:33:48Z</dcterms:created>
  <dcterms:modified xsi:type="dcterms:W3CDTF">2021-02-12T20:33:48Z</dcterms:modified>
</cp:coreProperties>
</file>