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$0.00001 par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81578P 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400" w:type="dxa"/>
            <w:vAlign w:val="bottom"/>
            <w:gridSpan w:val="5"/>
          </w:tcPr>
          <w:p>
            <w:pPr>
              <w:jc w:val="center"/>
              <w:ind w:right="570"/>
              <w:spacing w:after="0"/>
              <w:rPr>
                <w:sz w:val="20"/>
                <w:szCs w:val="20"/>
                <w:color w:val="auto"/>
              </w:rPr>
            </w:pPr>
            <w:r>
              <w:rPr>
                <w:rFonts w:ascii="Times New Roman" w:cs="Times New Roman" w:eastAsia="Times New Roman" w:hAnsi="Times New Roman"/>
                <w:sz w:val="18"/>
                <w:szCs w:val="18"/>
                <w:color w:val="auto"/>
              </w:rPr>
              <w:t>CUSIP No. 81578P 106</w:t>
            </w:r>
          </w:p>
        </w:tc>
        <w:tc>
          <w:tcPr>
            <w:tcW w:w="8860" w:type="dxa"/>
            <w:vAlign w:val="bottom"/>
          </w:tcPr>
          <w:p>
            <w:pPr>
              <w:ind w:left="8360"/>
              <w:spacing w:after="0"/>
              <w:rPr>
                <w:sz w:val="20"/>
                <w:szCs w:val="20"/>
                <w:color w:val="auto"/>
              </w:rPr>
            </w:pPr>
            <w:r>
              <w:rPr>
                <w:rFonts w:ascii="Times New Roman" w:cs="Times New Roman" w:eastAsia="Times New Roman" w:hAnsi="Times New Roman"/>
                <w:sz w:val="18"/>
                <w:szCs w:val="18"/>
                <w:color w:val="auto"/>
                <w:w w:val="94"/>
              </w:rPr>
              <w:t>Page 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5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0"/>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Omid Farokhzad</w:t>
            </w: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 w:type="dxa"/>
            <w:vAlign w:val="bottom"/>
            <w:tcBorders>
              <w:lef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056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right w:val="single" w:sz="8" w:color="auto"/>
            </w:tcBorders>
          </w:tcPr>
          <w:p>
            <w:pPr>
              <w:spacing w:after="0"/>
              <w:rPr>
                <w:sz w:val="13"/>
                <w:szCs w:val="13"/>
                <w:color w:val="auto"/>
              </w:rPr>
            </w:pPr>
          </w:p>
        </w:tc>
        <w:tc>
          <w:tcPr>
            <w:tcW w:w="1056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180" w:type="dxa"/>
            <w:vAlign w:val="bottom"/>
            <w:gridSpan w:val="2"/>
          </w:tcPr>
          <w:p>
            <w:pPr>
              <w:jc w:val="right"/>
              <w:ind w:right="910"/>
              <w:spacing w:after="0" w:line="181" w:lineRule="exact"/>
              <w:rPr>
                <w:sz w:val="20"/>
                <w:szCs w:val="20"/>
                <w:color w:val="auto"/>
              </w:rPr>
            </w:pPr>
            <w:r>
              <w:rPr>
                <w:rFonts w:ascii="MS PGothic" w:cs="MS PGothic" w:eastAsia="MS PGothic" w:hAnsi="MS PGothic"/>
                <w:sz w:val="18"/>
                <w:szCs w:val="18"/>
                <w:color w:val="auto"/>
                <w:w w:val="88"/>
              </w:rPr>
              <w:t>☐</w:t>
            </w:r>
          </w:p>
        </w:tc>
        <w:tc>
          <w:tcPr>
            <w:tcW w:w="8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180" w:type="dxa"/>
            <w:vAlign w:val="bottom"/>
            <w:tcBorders>
              <w:bottom w:val="single" w:sz="8" w:color="auto"/>
            </w:tcBorders>
            <w:gridSpan w:val="2"/>
          </w:tcPr>
          <w:p>
            <w:pPr>
              <w:jc w:val="right"/>
              <w:ind w:right="890"/>
              <w:spacing w:after="0" w:line="181" w:lineRule="exact"/>
              <w:rPr>
                <w:sz w:val="20"/>
                <w:szCs w:val="20"/>
                <w:color w:val="auto"/>
              </w:rPr>
            </w:pPr>
            <w:r>
              <w:rPr>
                <w:rFonts w:ascii="MS PGothic" w:cs="MS PGothic" w:eastAsia="MS PGothic" w:hAnsi="MS PGothic"/>
                <w:sz w:val="18"/>
                <w:szCs w:val="18"/>
                <w:color w:val="auto"/>
                <w:w w:val="99"/>
              </w:rPr>
              <w:t>☐</w:t>
            </w:r>
          </w:p>
        </w:tc>
        <w:tc>
          <w:tcPr>
            <w:tcW w:w="8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Borders>
              <w:right w:val="single" w:sz="8" w:color="auto"/>
            </w:tcBorders>
          </w:tcPr>
          <w:p>
            <w:pPr>
              <w:spacing w:after="0"/>
              <w:rPr>
                <w:sz w:val="20"/>
                <w:szCs w:val="20"/>
                <w:color w:val="auto"/>
              </w:rPr>
            </w:pP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8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8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0"/>
        </w:trPr>
        <w:tc>
          <w:tcPr>
            <w:tcW w:w="32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jc w:val="right"/>
              <w:ind w:right="7571"/>
              <w:spacing w:after="0"/>
              <w:rPr>
                <w:sz w:val="20"/>
                <w:szCs w:val="20"/>
                <w:color w:val="auto"/>
              </w:rPr>
            </w:pPr>
            <w:r>
              <w:rPr>
                <w:rFonts w:ascii="Times New Roman" w:cs="Times New Roman" w:eastAsia="Times New Roman" w:hAnsi="Times New Roman"/>
                <w:sz w:val="18"/>
                <w:szCs w:val="18"/>
                <w:color w:val="auto"/>
              </w:rPr>
              <w:t>3,092,639</w:t>
            </w:r>
            <w:r>
              <w:rPr>
                <w:rFonts w:ascii="Times New Roman" w:cs="Times New Roman" w:eastAsia="Times New Roman" w:hAnsi="Times New Roman"/>
                <w:sz w:val="29"/>
                <w:szCs w:val="29"/>
                <w:color w:val="auto"/>
                <w:vertAlign w:val="superscript"/>
              </w:rPr>
              <w:t>(1)(2)</w:t>
            </w: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spacing w:after="0"/>
              <w:rPr>
                <w:sz w:val="20"/>
                <w:szCs w:val="20"/>
                <w:color w:val="auto"/>
              </w:rPr>
            </w:pPr>
          </w:p>
        </w:tc>
        <w:tc>
          <w:tcPr>
            <w:tcW w:w="9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w:t>
            </w:r>
          </w:p>
        </w:tc>
        <w:tc>
          <w:tcPr>
            <w:tcW w:w="8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vMerge w:val="restart"/>
          </w:tcPr>
          <w:p>
            <w:pPr>
              <w:jc w:val="right"/>
              <w:ind w:right="7531"/>
              <w:spacing w:after="0"/>
              <w:rPr>
                <w:sz w:val="20"/>
                <w:szCs w:val="20"/>
                <w:color w:val="auto"/>
              </w:rPr>
            </w:pPr>
            <w:r>
              <w:rPr>
                <w:rFonts w:ascii="Times New Roman" w:cs="Times New Roman" w:eastAsia="Times New Roman" w:hAnsi="Times New Roman"/>
                <w:sz w:val="18"/>
                <w:szCs w:val="18"/>
                <w:color w:val="auto"/>
              </w:rPr>
              <w:t xml:space="preserve">3,420,616 </w:t>
            </w:r>
            <w:r>
              <w:rPr>
                <w:rFonts w:ascii="Times New Roman" w:cs="Times New Roman" w:eastAsia="Times New Roman" w:hAnsi="Times New Roman"/>
                <w:sz w:val="29"/>
                <w:szCs w:val="29"/>
                <w:color w:val="auto"/>
                <w:vertAlign w:val="superscript"/>
              </w:rPr>
              <w:t>(2)(3)</w:t>
            </w: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8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0" w:type="dxa"/>
            <w:vAlign w:val="bottom"/>
            <w:tcBorders>
              <w:left w:val="single" w:sz="8" w:color="auto"/>
            </w:tcBorders>
          </w:tcPr>
          <w:p>
            <w:pPr>
              <w:spacing w:after="0"/>
              <w:rPr>
                <w:sz w:val="15"/>
                <w:szCs w:val="15"/>
                <w:color w:val="auto"/>
              </w:rPr>
            </w:pPr>
          </w:p>
        </w:tc>
        <w:tc>
          <w:tcPr>
            <w:tcW w:w="900" w:type="dxa"/>
            <w:vAlign w:val="bottom"/>
            <w:gridSpan w:val="2"/>
          </w:tcPr>
          <w:p>
            <w:pPr>
              <w:jc w:val="center"/>
              <w:ind w:left="11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right"/>
              <w:ind w:right="29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8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auto"/>
            </w:tcBorders>
          </w:tcPr>
          <w:p>
            <w:pPr>
              <w:spacing w:after="0"/>
              <w:rPr>
                <w:sz w:val="20"/>
                <w:szCs w:val="20"/>
                <w:color w:val="auto"/>
              </w:rPr>
            </w:pPr>
          </w:p>
        </w:tc>
        <w:tc>
          <w:tcPr>
            <w:tcW w:w="9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jc w:val="right"/>
              <w:ind w:right="7571"/>
              <w:spacing w:after="0" w:line="235" w:lineRule="exact"/>
              <w:rPr>
                <w:sz w:val="20"/>
                <w:szCs w:val="20"/>
                <w:color w:val="auto"/>
              </w:rPr>
            </w:pPr>
            <w:r>
              <w:rPr>
                <w:rFonts w:ascii="Times New Roman" w:cs="Times New Roman" w:eastAsia="Times New Roman" w:hAnsi="Times New Roman"/>
                <w:sz w:val="17"/>
                <w:szCs w:val="17"/>
                <w:color w:val="auto"/>
              </w:rPr>
              <w:t xml:space="preserve">3,092,639 </w:t>
            </w:r>
            <w:r>
              <w:rPr>
                <w:rFonts w:ascii="Times New Roman" w:cs="Times New Roman" w:eastAsia="Times New Roman" w:hAnsi="Times New Roman"/>
                <w:sz w:val="27"/>
                <w:szCs w:val="27"/>
                <w:color w:val="auto"/>
                <w:vertAlign w:val="superscript"/>
              </w:rPr>
              <w:t>(1)(2)</w:t>
            </w:r>
          </w:p>
        </w:tc>
        <w:tc>
          <w:tcPr>
            <w:tcW w:w="0" w:type="dxa"/>
            <w:vAlign w:val="bottom"/>
          </w:tcPr>
          <w:p>
            <w:pPr>
              <w:spacing w:after="0"/>
              <w:rPr>
                <w:sz w:val="1"/>
                <w:szCs w:val="1"/>
                <w:color w:val="auto"/>
              </w:rPr>
            </w:pPr>
          </w:p>
        </w:tc>
      </w:tr>
      <w:tr>
        <w:trPr>
          <w:trHeight w:val="54"/>
        </w:trPr>
        <w:tc>
          <w:tcPr>
            <w:tcW w:w="320" w:type="dxa"/>
            <w:vAlign w:val="bottom"/>
            <w:tcBorders>
              <w:left w:val="single" w:sz="8" w:color="auto"/>
            </w:tcBorders>
          </w:tcPr>
          <w:p>
            <w:pPr>
              <w:spacing w:after="0"/>
              <w:rPr>
                <w:sz w:val="4"/>
                <w:szCs w:val="4"/>
                <w:color w:val="auto"/>
              </w:rPr>
            </w:pPr>
          </w:p>
        </w:tc>
        <w:tc>
          <w:tcPr>
            <w:tcW w:w="9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w:t>
            </w:r>
          </w:p>
        </w:tc>
        <w:tc>
          <w:tcPr>
            <w:tcW w:w="88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76"/>
        </w:trPr>
        <w:tc>
          <w:tcPr>
            <w:tcW w:w="320" w:type="dxa"/>
            <w:vAlign w:val="bottom"/>
            <w:tcBorders>
              <w:lef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jc w:val="right"/>
              <w:ind w:right="7531"/>
              <w:spacing w:after="0"/>
              <w:rPr>
                <w:sz w:val="20"/>
                <w:szCs w:val="20"/>
                <w:color w:val="auto"/>
              </w:rPr>
            </w:pPr>
            <w:r>
              <w:rPr>
                <w:rFonts w:ascii="Times New Roman" w:cs="Times New Roman" w:eastAsia="Times New Roman" w:hAnsi="Times New Roman"/>
                <w:sz w:val="18"/>
                <w:szCs w:val="18"/>
                <w:color w:val="auto"/>
              </w:rPr>
              <w:t xml:space="preserve">3,420,616 </w:t>
            </w:r>
            <w:r>
              <w:rPr>
                <w:rFonts w:ascii="Times New Roman" w:cs="Times New Roman" w:eastAsia="Times New Roman" w:hAnsi="Times New Roman"/>
                <w:sz w:val="29"/>
                <w:szCs w:val="29"/>
                <w:color w:val="auto"/>
                <w:vertAlign w:val="superscript"/>
              </w:rPr>
              <w:t>(2)(3)</w:t>
            </w: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w w:val="99"/>
              </w:rPr>
              <w:t xml:space="preserve">6,513,255 </w:t>
            </w:r>
            <w:r>
              <w:rPr>
                <w:rFonts w:ascii="Times New Roman" w:cs="Times New Roman" w:eastAsia="Times New Roman" w:hAnsi="Times New Roman"/>
                <w:sz w:val="29"/>
                <w:szCs w:val="29"/>
                <w:color w:val="auto"/>
                <w:w w:val="99"/>
                <w:vertAlign w:val="superscript"/>
              </w:rPr>
              <w:t>(1)(2)(3)</w:t>
            </w: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80" w:type="dxa"/>
            <w:vAlign w:val="bottom"/>
            <w:tcBorders>
              <w:right w:val="single" w:sz="8" w:color="auto"/>
            </w:tcBorders>
          </w:tcPr>
          <w:p>
            <w:pPr>
              <w:spacing w:after="0"/>
              <w:rPr>
                <w:sz w:val="24"/>
                <w:szCs w:val="24"/>
                <w:color w:val="auto"/>
              </w:rPr>
            </w:pPr>
          </w:p>
        </w:tc>
        <w:tc>
          <w:tcPr>
            <w:tcW w:w="10560" w:type="dxa"/>
            <w:vAlign w:val="bottom"/>
            <w:tcBorders>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9"/>
        </w:trPr>
        <w:tc>
          <w:tcPr>
            <w:tcW w:w="32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3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35"/>
                <w:szCs w:val="35"/>
                <w:color w:val="auto"/>
                <w:vertAlign w:val="subscript"/>
              </w:rPr>
              <w:t>9.9</w:t>
            </w:r>
            <w:r>
              <w:rPr>
                <w:rFonts w:ascii="Times New Roman" w:cs="Times New Roman" w:eastAsia="Times New Roman" w:hAnsi="Times New Roman"/>
                <w:sz w:val="15"/>
                <w:szCs w:val="15"/>
                <w:color w:val="auto"/>
              </w:rPr>
              <w:t xml:space="preserve"> (2)(4)(5)</w:t>
            </w: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0"/>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jc w:val="both"/>
        <w:ind w:left="340" w:right="20" w:hanging="332"/>
        <w:spacing w:after="0" w:line="193"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633,968 shares of Class A common stock and 134,579 shares of Class B common stock held of record by Omid Farokhzad (the “Reporting Person”); (ii) 2,163,092 shares of Class A common stock subject to options exercisable within 60 days of December 31, 2023 and</w:t>
      </w:r>
    </w:p>
    <w:p>
      <w:pPr>
        <w:spacing w:after="0" w:line="1" w:lineRule="exact"/>
        <w:rPr>
          <w:rFonts w:ascii="Times New Roman" w:cs="Times New Roman" w:eastAsia="Times New Roman" w:hAnsi="Times New Roman"/>
          <w:sz w:val="30"/>
          <w:szCs w:val="30"/>
          <w:color w:val="auto"/>
          <w:vertAlign w:val="superscript"/>
        </w:rPr>
      </w:pPr>
    </w:p>
    <w:p>
      <w:pPr>
        <w:ind w:left="640" w:hanging="308"/>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161,000 shares of Class A common stock issuable upon vesting of RSUs within 60 days of December 31, 2023.</w:t>
      </w:r>
    </w:p>
    <w:p>
      <w:pPr>
        <w:spacing w:after="0" w:line="9" w:lineRule="exact"/>
        <w:rPr>
          <w:rFonts w:ascii="Times New Roman" w:cs="Times New Roman" w:eastAsia="Times New Roman" w:hAnsi="Times New Roman"/>
          <w:sz w:val="18"/>
          <w:szCs w:val="18"/>
          <w:color w:val="auto"/>
        </w:rPr>
      </w:pPr>
    </w:p>
    <w:p>
      <w:pPr>
        <w:ind w:left="340" w:hanging="332"/>
        <w:spacing w:after="0" w:line="181" w:lineRule="auto"/>
        <w:tabs>
          <w:tab w:leader="none" w:pos="34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Each share of Class B common stock is convertible at any time into one share of Class A common stock.</w:t>
      </w:r>
    </w:p>
    <w:p>
      <w:pPr>
        <w:spacing w:after="0" w:line="28" w:lineRule="exact"/>
        <w:rPr>
          <w:rFonts w:ascii="Times New Roman" w:cs="Times New Roman" w:eastAsia="Times New Roman" w:hAnsi="Times New Roman"/>
          <w:sz w:val="28"/>
          <w:szCs w:val="28"/>
          <w:color w:val="auto"/>
          <w:vertAlign w:val="superscript"/>
        </w:rPr>
      </w:pPr>
    </w:p>
    <w:p>
      <w:pPr>
        <w:jc w:val="both"/>
        <w:ind w:left="340" w:right="20" w:hanging="332"/>
        <w:spacing w:after="0" w:line="204"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1,303,478 shares of Class B common stock held of record by Dynamics Group LLC for which the Reporting Person serves as the sole member and (ii) 2,117,138 shares of Class B common stock held of record by SAF-BND Trust for which the Reporting Person’s spouse serves as trustee. The Reporting Person disclaims beneficial ownership of the shares held by the SAF-BND Trust.</w:t>
      </w:r>
    </w:p>
    <w:p>
      <w:pPr>
        <w:spacing w:after="0" w:line="9" w:lineRule="exact"/>
        <w:rPr>
          <w:rFonts w:ascii="Times New Roman" w:cs="Times New Roman" w:eastAsia="Times New Roman" w:hAnsi="Times New Roman"/>
          <w:sz w:val="30"/>
          <w:szCs w:val="30"/>
          <w:color w:val="auto"/>
          <w:vertAlign w:val="superscript"/>
        </w:rPr>
      </w:pPr>
    </w:p>
    <w:p>
      <w:pPr>
        <w:jc w:val="both"/>
        <w:ind w:left="340" w:right="20" w:hanging="332"/>
        <w:spacing w:after="0" w:line="210"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the quotient obtained by dividing (a) the aggregate amount beneficially owned by the Reporting Person as set forth in Row 9 by (b) the sum of (i) 59,780,244 shares of Class A common stock outstanding as of November 3, 2023, as reported in the Issuer’s Quarterly Report on Form 10-Q for the quarterly period ended September 30, 2023, filed with the Securities and Exchange Commission on November 7, 2023 (the “Form 10-Q”);</w:t>
      </w:r>
    </w:p>
    <w:p>
      <w:pPr>
        <w:spacing w:after="0" w:line="2" w:lineRule="exact"/>
        <w:rPr>
          <w:rFonts w:ascii="Times New Roman" w:cs="Times New Roman" w:eastAsia="Times New Roman" w:hAnsi="Times New Roman"/>
          <w:sz w:val="30"/>
          <w:szCs w:val="30"/>
          <w:color w:val="auto"/>
          <w:vertAlign w:val="superscript"/>
        </w:rPr>
      </w:pPr>
    </w:p>
    <w:p>
      <w:pPr>
        <w:jc w:val="both"/>
        <w:ind w:left="340" w:right="20" w:hanging="8"/>
        <w:spacing w:after="0" w:line="252" w:lineRule="auto"/>
        <w:tabs>
          <w:tab w:leader="none" w:pos="6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3,555,195 shares of Class B common stock beneficially owned by the Reporting Person; (iii) 2,163,092 shares of Class A common stock subject to options exercisable within 60 days of December 31, 2023 and (iv) 161,000 shares of Class A common stock issuable upon vesting of RSUs within 60 days of December 31, 2023. The aggregate number of shares of Class B common stock beneficially owned by the Reporting Person as set forth in clause “(a)” of this footnote are treated as converted into Class A common stock only for the purpose of computing the percentage ownership of the Reporting Person.</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19"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share of Class A common stock is entitled to one vote and each share of Class B common stock is entitled to ten votes. There were 4,044,969 shares of Class B common stock outstanding as of November 3, 2023, as reported in the Form 10-Q, including the 3,555,195 shares of Class B common stock beneficially owned by the Reporting Person as set forth in footnote “(4)” above. The percentage reported does not reflect the ten for one voting power of the Class B common stock because these shares are treated as converted into Class A common stock for the purpose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60" w:right="8259" w:hanging="328"/>
        <w:spacing w:after="0" w:line="530" w:lineRule="auto"/>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Seer, Inc.</w:t>
      </w: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660" w:right="7719" w:hanging="328"/>
        <w:spacing w:after="0" w:line="530"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Person Filing: </w:t>
      </w:r>
      <w:r>
        <w:rPr>
          <w:rFonts w:ascii="Times New Roman" w:cs="Times New Roman" w:eastAsia="Times New Roman" w:hAnsi="Times New Roman"/>
          <w:sz w:val="17"/>
          <w:szCs w:val="17"/>
          <w:color w:val="auto"/>
        </w:rPr>
        <w:t>Omid Farokhzad</w:t>
      </w:r>
    </w:p>
    <w:p>
      <w:pPr>
        <w:ind w:left="660" w:right="4819" w:hanging="328"/>
        <w:spacing w:after="0" w:line="532"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Address or principal business office or, if none, residence: </w:t>
      </w:r>
      <w:r>
        <w:rPr>
          <w:rFonts w:ascii="Times New Roman" w:cs="Times New Roman" w:eastAsia="Times New Roman" w:hAnsi="Times New Roman"/>
          <w:sz w:val="17"/>
          <w:szCs w:val="17"/>
          <w:color w:val="auto"/>
        </w:rPr>
        <w:t>The address for the principal business office of Dr. Farokhzad is:</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 Seer, Inc.</w:t>
      </w:r>
    </w:p>
    <w:p>
      <w:pPr>
        <w:spacing w:after="0" w:line="27" w:lineRule="exact"/>
        <w:rPr>
          <w:rFonts w:ascii="Times New Roman" w:cs="Times New Roman" w:eastAsia="Times New Roman" w:hAnsi="Times New Roman"/>
          <w:sz w:val="17"/>
          <w:szCs w:val="17"/>
          <w:b w:val="1"/>
          <w:bCs w:val="1"/>
          <w:color w:val="auto"/>
        </w:rPr>
      </w:pPr>
    </w:p>
    <w:p>
      <w:pPr>
        <w:jc w:val="both"/>
        <w:ind w:left="660" w:right="7139"/>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3800 Bridge Parkway, Suite 102 Redwood City, California 94065</w:t>
      </w:r>
    </w:p>
    <w:p>
      <w:pPr>
        <w:spacing w:after="0" w:line="153" w:lineRule="exact"/>
        <w:rPr>
          <w:rFonts w:ascii="Times New Roman" w:cs="Times New Roman" w:eastAsia="Times New Roman" w:hAnsi="Times New Roman"/>
          <w:sz w:val="17"/>
          <w:szCs w:val="17"/>
          <w:b w:val="1"/>
          <w:bCs w:val="1"/>
          <w:color w:val="auto"/>
        </w:rPr>
      </w:pPr>
    </w:p>
    <w:p>
      <w:pPr>
        <w:jc w:val="both"/>
        <w:ind w:left="660" w:right="8519" w:hanging="328"/>
        <w:spacing w:after="0" w:line="530"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w:t>
      </w:r>
      <w:r>
        <w:rPr>
          <w:rFonts w:ascii="Times New Roman" w:cs="Times New Roman" w:eastAsia="Times New Roman" w:hAnsi="Times New Roman"/>
          <w:sz w:val="17"/>
          <w:szCs w:val="17"/>
          <w:color w:val="auto"/>
        </w:rPr>
        <w:t>United States</w:t>
      </w: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common stock, par value, $0.00001 per share.</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81578P 106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If this statement is filed pursuant to Rules 13d-1(b) or 13d-2(b) or (c), check whether the person filing is a:</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6,513,255</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w:t>
      </w:r>
      <w:r>
        <w:rPr>
          <w:rFonts w:ascii="Times New Roman" w:cs="Times New Roman" w:eastAsia="Times New Roman" w:hAnsi="Times New Roman"/>
          <w:sz w:val="18"/>
          <w:szCs w:val="18"/>
          <w:color w:val="auto"/>
        </w:rPr>
        <w:t>9.9</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12"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Sole power to direct the vote: 3,092,639 </w:t>
      </w:r>
      <w:r>
        <w:rPr>
          <w:rFonts w:ascii="Times New Roman" w:cs="Times New Roman" w:eastAsia="Times New Roman" w:hAnsi="Times New Roman"/>
          <w:sz w:val="29"/>
          <w:szCs w:val="29"/>
          <w:color w:val="auto"/>
          <w:vertAlign w:val="superscript"/>
        </w:rPr>
        <w:t>(1)(2)</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line="229" w:lineRule="auto"/>
        <w:tabs>
          <w:tab w:leader="none" w:pos="980" w:val="left"/>
        </w:tabs>
        <w:numPr>
          <w:ilvl w:val="1"/>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Shared power to direct the vote: 3,420,616 </w:t>
      </w:r>
      <w:r>
        <w:rPr>
          <w:rFonts w:ascii="Times New Roman" w:cs="Times New Roman" w:eastAsia="Times New Roman" w:hAnsi="Times New Roman"/>
          <w:sz w:val="29"/>
          <w:szCs w:val="29"/>
          <w:color w:val="auto"/>
          <w:vertAlign w:val="superscript"/>
        </w:rPr>
        <w:t>(2)(3)</w:t>
      </w:r>
    </w:p>
    <w:p>
      <w:pPr>
        <w:spacing w:after="0" w:line="78"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1"/>
          <w:numId w:val="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 xml:space="preserve">Sole power to dispose or to direct the disposition of: 3,092,639 </w:t>
      </w:r>
      <w:r>
        <w:rPr>
          <w:rFonts w:ascii="Times New Roman" w:cs="Times New Roman" w:eastAsia="Times New Roman" w:hAnsi="Times New Roman"/>
          <w:sz w:val="26"/>
          <w:szCs w:val="26"/>
          <w:color w:val="auto"/>
          <w:vertAlign w:val="superscript"/>
        </w:rPr>
        <w:t>(1)(2)</w:t>
      </w:r>
    </w:p>
    <w:p>
      <w:pPr>
        <w:spacing w:after="0" w:line="104" w:lineRule="exact"/>
        <w:rPr>
          <w:rFonts w:ascii="Times New Roman" w:cs="Times New Roman" w:eastAsia="Times New Roman" w:hAnsi="Times New Roman"/>
          <w:sz w:val="32"/>
          <w:szCs w:val="32"/>
          <w:color w:val="auto"/>
          <w:vertAlign w:val="superscript"/>
        </w:rPr>
      </w:pPr>
    </w:p>
    <w:p>
      <w:pPr>
        <w:ind w:left="980" w:hanging="324"/>
        <w:spacing w:after="0"/>
        <w:tabs>
          <w:tab w:leader="none" w:pos="980" w:val="left"/>
        </w:tabs>
        <w:numPr>
          <w:ilvl w:val="1"/>
          <w:numId w:val="8"/>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 xml:space="preserve">Shared power to dispose or to direct the disposition of: 3,420,616 </w:t>
      </w:r>
      <w:r>
        <w:rPr>
          <w:rFonts w:ascii="Times New Roman" w:cs="Times New Roman" w:eastAsia="Times New Roman" w:hAnsi="Times New Roman"/>
          <w:sz w:val="27"/>
          <w:szCs w:val="27"/>
          <w:color w:val="auto"/>
          <w:vertAlign w:val="superscript"/>
        </w:rPr>
        <w:t>(2)(3)</w:t>
      </w:r>
    </w:p>
    <w:p>
      <w:pPr>
        <w:spacing w:after="0" w:line="92" w:lineRule="exact"/>
        <w:rPr>
          <w:sz w:val="20"/>
          <w:szCs w:val="20"/>
          <w:color w:val="auto"/>
        </w:rPr>
      </w:pPr>
    </w:p>
    <w:p>
      <w:pPr>
        <w:jc w:val="both"/>
        <w:ind w:left="660" w:hanging="328"/>
        <w:spacing w:after="0" w:line="209"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633,968 shares of Class A common stock and 134,579 shares of Class B common stock held of record by Omid Farokhzad (the “Reporting Person”); (ii) 2,163,092 shares of Class A common stock subject to options exercisable within 60 days of December 31, 2023 and (iii) 161,000 shares of Class A common stock issuable upon vesting of RSUs within 60 days of December 31, 2023.</w:t>
      </w:r>
    </w:p>
    <w:p>
      <w:pPr>
        <w:spacing w:after="0" w:line="90" w:lineRule="exact"/>
        <w:rPr>
          <w:rFonts w:ascii="Times New Roman" w:cs="Times New Roman" w:eastAsia="Times New Roman" w:hAnsi="Times New Roman"/>
          <w:sz w:val="30"/>
          <w:szCs w:val="30"/>
          <w:color w:val="auto"/>
          <w:vertAlign w:val="superscript"/>
        </w:rPr>
      </w:pPr>
    </w:p>
    <w:p>
      <w:pPr>
        <w:ind w:left="660" w:hanging="328"/>
        <w:spacing w:after="0"/>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share of Class B common stock is convertible at any time into one share of Class A common stock.</w:t>
      </w:r>
    </w:p>
    <w:p>
      <w:pPr>
        <w:spacing w:after="0" w:line="197" w:lineRule="exact"/>
        <w:rPr>
          <w:rFonts w:ascii="Times New Roman" w:cs="Times New Roman" w:eastAsia="Times New Roman" w:hAnsi="Times New Roman"/>
          <w:sz w:val="30"/>
          <w:szCs w:val="30"/>
          <w:color w:val="auto"/>
          <w:vertAlign w:val="superscript"/>
        </w:rPr>
      </w:pPr>
    </w:p>
    <w:p>
      <w:pPr>
        <w:jc w:val="both"/>
        <w:ind w:left="660" w:hanging="328"/>
        <w:spacing w:after="0" w:line="210"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(i) 1,303,478 shares of Class B common stock held of record by Dynamics Group LLC for which the Reporting Person serves as the sole member and (ii) 2,117,138 shares of Class B common stock held of record by SAF-BND Trust for which the Reporting Person’s spouse serves as trustee. The Reporting Person disclaims beneficial ownership of the shares held by the SAF-BND Trust.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Roman"/>
      <w:start w:val="3"/>
    </w:lvl>
  </w:abstractNum>
  <w:abstractNum w:abstractNumId="3">
    <w:nsid w:val="2EB141F2"/>
    <w:multiLevelType w:val="hybridMultilevel"/>
    <w:lvl w:ilvl="0">
      <w:lvlJc w:val="left"/>
      <w:lvlText w:val="%1"/>
      <w:numFmt w:val="decimal"/>
      <w:start w:val="1"/>
    </w:lvl>
    <w:lvl w:ilvl="1">
      <w:lvlJc w:val="left"/>
      <w:lvlText w:val="(%2)"/>
      <w:numFmt w:val="lowerRoman"/>
      <w:start w:val="2"/>
    </w:lvl>
  </w:abstractNum>
  <w:abstractNum w:abstractNumId="4">
    <w:nsid w:val="41B71EFB"/>
    <w:multiLevelType w:val="hybridMultilevel"/>
    <w:lvl w:ilvl="0">
      <w:lvlJc w:val="left"/>
      <w:lvlText w:val="(%1)"/>
      <w:numFmt w:val="decimal"/>
      <w:start w:val="5"/>
    </w:lvl>
    <w:lvl w:ilvl="1">
      <w:lvlJc w:val="left"/>
      <w:lvlText w:val="%2"/>
      <w:numFmt w:val="lowerRoman"/>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2024-02-14T20:07:22Z</dcterms:created>
  <dcterms:modified xsi:type="dcterms:W3CDTF">2024-02-14T20:07:22Z</dcterms:modified>
</cp:coreProperties>
</file>