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620"/>
        <w:spacing w:after="0"/>
        <w:rPr>
          <w:sz w:val="20"/>
          <w:szCs w:val="20"/>
          <w:color w:val="auto"/>
        </w:rPr>
      </w:pPr>
      <w:r>
        <w:rPr>
          <w:rFonts w:ascii="Arial" w:cs="Arial" w:eastAsia="Arial" w:hAnsi="Arial"/>
          <w:sz w:val="14"/>
          <w:szCs w:val="14"/>
          <w:color w:val="auto"/>
        </w:rPr>
        <w:t>650 Page Mill Road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-52705</wp:posOffset>
            </wp:positionV>
            <wp:extent cx="1114425"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4425" cy="420370"/>
                    </a:xfrm>
                    <a:prstGeom prst="rect">
                      <a:avLst/>
                    </a:prstGeom>
                    <a:noFill/>
                  </pic:spPr>
                </pic:pic>
              </a:graphicData>
            </a:graphic>
          </wp:anchor>
        </w:drawing>
      </w:r>
    </w:p>
    <w:p>
      <w:pPr>
        <w:spacing w:after="0" w:line="22" w:lineRule="exact"/>
        <w:rPr>
          <w:sz w:val="24"/>
          <w:szCs w:val="24"/>
          <w:color w:val="auto"/>
        </w:rPr>
      </w:pPr>
    </w:p>
    <w:p>
      <w:pPr>
        <w:ind w:left="9180"/>
        <w:spacing w:after="0"/>
        <w:rPr>
          <w:sz w:val="20"/>
          <w:szCs w:val="20"/>
          <w:color w:val="auto"/>
        </w:rPr>
      </w:pPr>
      <w:r>
        <w:rPr>
          <w:rFonts w:ascii="Arial" w:cs="Arial" w:eastAsia="Arial" w:hAnsi="Arial"/>
          <w:sz w:val="15"/>
          <w:szCs w:val="15"/>
          <w:color w:val="auto"/>
        </w:rPr>
        <w:t>Palo Alto, CA 94304-1050</w:t>
      </w:r>
    </w:p>
    <w:p>
      <w:pPr>
        <w:spacing w:after="0" w:line="70" w:lineRule="exact"/>
        <w:rPr>
          <w:sz w:val="24"/>
          <w:szCs w:val="24"/>
          <w:color w:val="auto"/>
        </w:rPr>
      </w:pPr>
    </w:p>
    <w:p>
      <w:pPr>
        <w:jc w:val="right"/>
        <w:ind w:right="320"/>
        <w:spacing w:after="0"/>
        <w:rPr>
          <w:sz w:val="20"/>
          <w:szCs w:val="20"/>
          <w:color w:val="auto"/>
        </w:rPr>
      </w:pPr>
      <w:r>
        <w:rPr>
          <w:rFonts w:ascii="Arial" w:cs="Arial" w:eastAsia="Arial" w:hAnsi="Arial"/>
          <w:sz w:val="13"/>
          <w:szCs w:val="13"/>
          <w:color w:val="auto"/>
        </w:rPr>
        <w:t xml:space="preserve">PHONE </w:t>
      </w:r>
      <w:r>
        <w:rPr>
          <w:rFonts w:ascii="Arial" w:cs="Arial" w:eastAsia="Arial" w:hAnsi="Arial"/>
          <w:sz w:val="16"/>
          <w:szCs w:val="16"/>
          <w:color w:val="auto"/>
        </w:rPr>
        <w:t>650.493.9300</w:t>
      </w:r>
    </w:p>
    <w:p>
      <w:pPr>
        <w:spacing w:after="0" w:line="19" w:lineRule="exact"/>
        <w:rPr>
          <w:sz w:val="24"/>
          <w:szCs w:val="24"/>
          <w:color w:val="auto"/>
        </w:rPr>
      </w:pPr>
    </w:p>
    <w:p>
      <w:pPr>
        <w:jc w:val="right"/>
        <w:ind w:right="320"/>
        <w:spacing w:after="0"/>
        <w:rPr>
          <w:sz w:val="20"/>
          <w:szCs w:val="20"/>
          <w:color w:val="auto"/>
        </w:rPr>
      </w:pPr>
      <w:r>
        <w:rPr>
          <w:rFonts w:ascii="Arial" w:cs="Arial" w:eastAsia="Arial" w:hAnsi="Arial"/>
          <w:sz w:val="13"/>
          <w:szCs w:val="13"/>
          <w:color w:val="auto"/>
        </w:rPr>
        <w:t xml:space="preserve">FAX </w:t>
      </w:r>
      <w:r>
        <w:rPr>
          <w:rFonts w:ascii="Arial" w:cs="Arial" w:eastAsia="Arial" w:hAnsi="Arial"/>
          <w:sz w:val="16"/>
          <w:szCs w:val="16"/>
          <w:color w:val="auto"/>
        </w:rPr>
        <w:t>650.493.6811</w:t>
      </w:r>
    </w:p>
    <w:p>
      <w:pPr>
        <w:spacing w:after="0" w:line="5" w:lineRule="exact"/>
        <w:rPr>
          <w:sz w:val="24"/>
          <w:szCs w:val="24"/>
          <w:color w:val="auto"/>
        </w:rPr>
      </w:pPr>
    </w:p>
    <w:p>
      <w:pPr>
        <w:jc w:val="right"/>
        <w:ind w:right="320"/>
        <w:spacing w:after="0"/>
        <w:rPr>
          <w:sz w:val="20"/>
          <w:szCs w:val="20"/>
          <w:color w:val="auto"/>
        </w:rPr>
      </w:pPr>
      <w:r>
        <w:rPr>
          <w:rFonts w:ascii="Arial" w:cs="Arial" w:eastAsia="Arial" w:hAnsi="Arial"/>
          <w:sz w:val="16"/>
          <w:szCs w:val="16"/>
          <w:color w:val="auto"/>
        </w:rPr>
        <w:t>www.wsgr.com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November 12, 2020</w:t>
      </w:r>
    </w:p>
    <w:p>
      <w:pPr>
        <w:spacing w:after="0" w:line="210"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222" w:lineRule="exact"/>
        <w:rPr>
          <w:sz w:val="24"/>
          <w:szCs w:val="24"/>
          <w:color w:val="auto"/>
        </w:rPr>
      </w:pPr>
    </w:p>
    <w:p>
      <w:pPr>
        <w:spacing w:after="0"/>
        <w:rPr>
          <w:sz w:val="20"/>
          <w:szCs w:val="20"/>
          <w:color w:val="auto"/>
        </w:rPr>
      </w:pPr>
      <w:r>
        <w:rPr>
          <w:rFonts w:ascii="Arial" w:cs="Arial" w:eastAsia="Arial" w:hAnsi="Arial"/>
          <w:sz w:val="20"/>
          <w:szCs w:val="20"/>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Office of Life Sciences</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20549-3720</w:t>
      </w:r>
    </w:p>
    <w:p>
      <w:pPr>
        <w:sectPr>
          <w:pgSz w:w="11900" w:h="16838" w:orient="portrait"/>
          <w:cols w:equalWidth="0" w:num="1">
            <w:col w:w="11240"/>
          </w:cols>
          <w:pgMar w:left="320" w:top="292" w:right="339" w:bottom="1440" w:gutter="0" w:footer="0" w:header="0"/>
        </w:sectPr>
      </w:pP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Attention: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20"/>
          <w:szCs w:val="20"/>
          <w:color w:val="auto"/>
        </w:rPr>
        <w:t>Al Pavot</w:t>
      </w:r>
    </w:p>
    <w:p>
      <w:pPr>
        <w:spacing w:after="0" w:line="16" w:lineRule="exact"/>
        <w:rPr>
          <w:sz w:val="24"/>
          <w:szCs w:val="24"/>
          <w:color w:val="auto"/>
        </w:rPr>
      </w:pPr>
    </w:p>
    <w:p>
      <w:pPr>
        <w:spacing w:after="0"/>
        <w:rPr>
          <w:sz w:val="20"/>
          <w:szCs w:val="20"/>
          <w:color w:val="auto"/>
        </w:rPr>
      </w:pPr>
      <w:r>
        <w:rPr>
          <w:rFonts w:ascii="Arial" w:cs="Arial" w:eastAsia="Arial" w:hAnsi="Arial"/>
          <w:sz w:val="19"/>
          <w:szCs w:val="19"/>
          <w:color w:val="auto"/>
        </w:rPr>
        <w:t>Tracie Mariner</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Celeste Murphy</w:t>
      </w:r>
    </w:p>
    <w:p>
      <w:pPr>
        <w:spacing w:after="0" w:line="23" w:lineRule="exact"/>
        <w:rPr>
          <w:sz w:val="24"/>
          <w:szCs w:val="24"/>
          <w:color w:val="auto"/>
        </w:rPr>
      </w:pPr>
    </w:p>
    <w:p>
      <w:pPr>
        <w:spacing w:after="0"/>
        <w:rPr>
          <w:sz w:val="20"/>
          <w:szCs w:val="20"/>
          <w:color w:val="auto"/>
        </w:rPr>
      </w:pPr>
      <w:r>
        <w:rPr>
          <w:rFonts w:ascii="Arial" w:cs="Arial" w:eastAsia="Arial" w:hAnsi="Arial"/>
          <w:sz w:val="19"/>
          <w:szCs w:val="19"/>
          <w:color w:val="auto"/>
        </w:rPr>
        <w:t>Chris Edwards</w:t>
      </w:r>
    </w:p>
    <w:p>
      <w:pPr>
        <w:spacing w:after="0" w:line="200" w:lineRule="exact"/>
        <w:rPr>
          <w:sz w:val="24"/>
          <w:szCs w:val="24"/>
          <w:color w:val="auto"/>
        </w:rPr>
      </w:pPr>
    </w:p>
    <w:p>
      <w:pPr>
        <w:sectPr>
          <w:pgSz w:w="11900" w:h="16838" w:orient="portrait"/>
          <w:cols w:equalWidth="0" w:num="2">
            <w:col w:w="820" w:space="480"/>
            <w:col w:w="9940"/>
          </w:cols>
          <w:pgMar w:left="320" w:top="292" w:right="339" w:bottom="1440" w:gutter="0" w:footer="0" w:header="0"/>
          <w:type w:val="continuous"/>
        </w:sectPr>
      </w:pPr>
    </w:p>
    <w:p>
      <w:pPr>
        <w:spacing w:after="0" w:line="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0"/>
          <w:szCs w:val="20"/>
          <w:b w:val="1"/>
          <w:bCs w:val="1"/>
          <w:color w:val="auto"/>
        </w:rPr>
        <w:t>Seer, Inc.</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Amendment No. 1 to Draft Registration Statement on Form S-1</w:t>
      </w:r>
    </w:p>
    <w:p>
      <w:pPr>
        <w:spacing w:after="0" w:line="2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Submitted October 30, 2020</w:t>
      </w:r>
    </w:p>
    <w:p>
      <w:pPr>
        <w:spacing w:after="0"/>
        <w:rPr>
          <w:sz w:val="20"/>
          <w:szCs w:val="20"/>
          <w:color w:val="auto"/>
        </w:rPr>
      </w:pPr>
      <w:r>
        <w:rPr>
          <w:rFonts w:ascii="Arial" w:cs="Arial" w:eastAsia="Arial" w:hAnsi="Arial"/>
          <w:sz w:val="20"/>
          <w:szCs w:val="20"/>
          <w:b w:val="1"/>
          <w:bCs w:val="1"/>
          <w:color w:val="auto"/>
        </w:rPr>
        <w:t>CIK No. 0001726445</w:t>
      </w:r>
    </w:p>
    <w:p>
      <w:pPr>
        <w:spacing w:after="0" w:line="200" w:lineRule="exact"/>
        <w:rPr>
          <w:sz w:val="24"/>
          <w:szCs w:val="24"/>
          <w:color w:val="auto"/>
        </w:rPr>
      </w:pPr>
    </w:p>
    <w:p>
      <w:pPr>
        <w:sectPr>
          <w:pgSz w:w="11900" w:h="16838" w:orient="portrait"/>
          <w:cols w:equalWidth="0" w:num="2">
            <w:col w:w="960" w:space="340"/>
            <w:col w:w="9940"/>
          </w:cols>
          <w:pgMar w:left="320" w:top="292" w:right="339" w:bottom="1440" w:gutter="0" w:footer="0" w:header="0"/>
          <w:type w:val="continuous"/>
        </w:sectPr>
      </w:pPr>
    </w:p>
    <w:p>
      <w:pPr>
        <w:spacing w:after="0"/>
        <w:rPr>
          <w:sz w:val="20"/>
          <w:szCs w:val="20"/>
          <w:color w:val="auto"/>
        </w:rPr>
      </w:pPr>
      <w:r>
        <w:rPr>
          <w:rFonts w:ascii="Arial" w:cs="Arial" w:eastAsia="Arial" w:hAnsi="Arial"/>
          <w:sz w:val="20"/>
          <w:szCs w:val="20"/>
          <w:color w:val="auto"/>
        </w:rPr>
        <w:t>Ladies and Gentlemen:</w:t>
      </w:r>
    </w:p>
    <w:p>
      <w:pPr>
        <w:spacing w:after="0" w:line="210" w:lineRule="exact"/>
        <w:rPr>
          <w:sz w:val="24"/>
          <w:szCs w:val="24"/>
          <w:color w:val="auto"/>
        </w:rPr>
      </w:pPr>
    </w:p>
    <w:p>
      <w:pPr>
        <w:jc w:val="both"/>
        <w:ind w:firstLine="648"/>
        <w:spacing w:after="0" w:line="246" w:lineRule="auto"/>
        <w:rPr>
          <w:sz w:val="20"/>
          <w:szCs w:val="20"/>
          <w:color w:val="auto"/>
        </w:rPr>
      </w:pPr>
      <w:r>
        <w:rPr>
          <w:rFonts w:ascii="Arial" w:cs="Arial" w:eastAsia="Arial" w:hAnsi="Arial"/>
          <w:sz w:val="20"/>
          <w:szCs w:val="20"/>
          <w:color w:val="auto"/>
        </w:rPr>
        <w:t>On behalf of our client, Seer, Inc. (the “</w:t>
      </w:r>
      <w:r>
        <w:rPr>
          <w:rFonts w:ascii="Arial" w:cs="Arial" w:eastAsia="Arial" w:hAnsi="Arial"/>
          <w:sz w:val="20"/>
          <w:szCs w:val="20"/>
          <w:b w:val="1"/>
          <w:bCs w:val="1"/>
          <w:color w:val="auto"/>
        </w:rPr>
        <w:t>Company</w:t>
      </w:r>
      <w:r>
        <w:rPr>
          <w:rFonts w:ascii="Arial" w:cs="Arial" w:eastAsia="Arial" w:hAnsi="Arial"/>
          <w:sz w:val="20"/>
          <w:szCs w:val="20"/>
          <w:color w:val="auto"/>
        </w:rPr>
        <w:t>”), we submit this letter in response to a comment from the staff (the “</w:t>
      </w:r>
      <w:r>
        <w:rPr>
          <w:rFonts w:ascii="Arial" w:cs="Arial" w:eastAsia="Arial" w:hAnsi="Arial"/>
          <w:sz w:val="20"/>
          <w:szCs w:val="20"/>
          <w:b w:val="1"/>
          <w:bCs w:val="1"/>
          <w:color w:val="auto"/>
        </w:rPr>
        <w:t>Staff</w:t>
      </w:r>
      <w:r>
        <w:rPr>
          <w:rFonts w:ascii="Arial" w:cs="Arial" w:eastAsia="Arial" w:hAnsi="Arial"/>
          <w:sz w:val="20"/>
          <w:szCs w:val="20"/>
          <w:color w:val="auto"/>
        </w:rPr>
        <w:t>”) of the U.S. Securities and Exchange Commission (the “</w:t>
      </w:r>
      <w:r>
        <w:rPr>
          <w:rFonts w:ascii="Arial" w:cs="Arial" w:eastAsia="Arial" w:hAnsi="Arial"/>
          <w:sz w:val="20"/>
          <w:szCs w:val="20"/>
          <w:b w:val="1"/>
          <w:bCs w:val="1"/>
          <w:color w:val="auto"/>
        </w:rPr>
        <w:t>Commission</w:t>
      </w:r>
      <w:r>
        <w:rPr>
          <w:rFonts w:ascii="Arial" w:cs="Arial" w:eastAsia="Arial" w:hAnsi="Arial"/>
          <w:sz w:val="20"/>
          <w:szCs w:val="20"/>
          <w:color w:val="auto"/>
        </w:rPr>
        <w:t>”) contained in its letter dated November 9, 2020 (the “</w:t>
      </w:r>
      <w:r>
        <w:rPr>
          <w:rFonts w:ascii="Arial" w:cs="Arial" w:eastAsia="Arial" w:hAnsi="Arial"/>
          <w:sz w:val="20"/>
          <w:szCs w:val="20"/>
          <w:b w:val="1"/>
          <w:bCs w:val="1"/>
          <w:color w:val="auto"/>
        </w:rPr>
        <w:t>Comment Letter</w:t>
      </w:r>
      <w:r>
        <w:rPr>
          <w:rFonts w:ascii="Arial" w:cs="Arial" w:eastAsia="Arial" w:hAnsi="Arial"/>
          <w:sz w:val="20"/>
          <w:szCs w:val="20"/>
          <w:color w:val="auto"/>
        </w:rPr>
        <w:t>”), relating to the above referenced Amendment No. 1 to Draft Registration Statement on Form S-1 (the “</w:t>
      </w:r>
      <w:r>
        <w:rPr>
          <w:rFonts w:ascii="Arial" w:cs="Arial" w:eastAsia="Arial" w:hAnsi="Arial"/>
          <w:sz w:val="20"/>
          <w:szCs w:val="20"/>
          <w:b w:val="1"/>
          <w:bCs w:val="1"/>
          <w:color w:val="auto"/>
        </w:rPr>
        <w:t>Amendment No. 1</w:t>
      </w:r>
      <w:r>
        <w:rPr>
          <w:rFonts w:ascii="Arial" w:cs="Arial" w:eastAsia="Arial" w:hAnsi="Arial"/>
          <w:sz w:val="20"/>
          <w:szCs w:val="20"/>
          <w:color w:val="auto"/>
        </w:rPr>
        <w:t>”). In response to the comment set forth in the Comment Letter, the Company has revised Amendment No. 1 and is concurrently filing via EDGAR this letter and a Registration Statement on Form S-1 (the “</w:t>
      </w:r>
      <w:r>
        <w:rPr>
          <w:rFonts w:ascii="Arial" w:cs="Arial" w:eastAsia="Arial" w:hAnsi="Arial"/>
          <w:sz w:val="20"/>
          <w:szCs w:val="20"/>
          <w:b w:val="1"/>
          <w:bCs w:val="1"/>
          <w:color w:val="auto"/>
        </w:rPr>
        <w:t>Registration Statement</w:t>
      </w:r>
      <w:r>
        <w:rPr>
          <w:rFonts w:ascii="Arial" w:cs="Arial" w:eastAsia="Arial" w:hAnsi="Arial"/>
          <w:sz w:val="20"/>
          <w:szCs w:val="20"/>
          <w:color w:val="auto"/>
        </w:rPr>
        <w:t>”).</w:t>
      </w:r>
    </w:p>
    <w:p>
      <w:pPr>
        <w:spacing w:after="0" w:line="191"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this letter, we have recited the comment from the Staff in italicized, bold type and have followed the comment with the Company’s response. Except for the page references contained in the comment of the Staff, or as otherwise specifically indicated, page references herein correspond to the page numbers of the Registration Statement.</w:t>
      </w:r>
    </w:p>
    <w:p>
      <w:pPr>
        <w:spacing w:after="0" w:line="180"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Amendment No. 1 to Draft Registration Statement on Form S-1</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Description of Capital Stock</w:t>
      </w:r>
    </w:p>
    <w:p>
      <w:pPr>
        <w:spacing w:after="0" w:line="22"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Exclusive Forum, page 165</w:t>
      </w:r>
    </w:p>
    <w:p>
      <w:pPr>
        <w:spacing w:after="0" w:line="200" w:lineRule="exact"/>
        <w:rPr>
          <w:sz w:val="24"/>
          <w:szCs w:val="24"/>
          <w:color w:val="auto"/>
        </w:rPr>
      </w:pPr>
    </w:p>
    <w:p>
      <w:pPr>
        <w:jc w:val="both"/>
        <w:ind w:left="660" w:right="20" w:hanging="652"/>
        <w:spacing w:after="0" w:line="250" w:lineRule="auto"/>
        <w:tabs>
          <w:tab w:leader="none" w:pos="6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We note your response to prior comment 11. Please further revise to state that there is uncertainty as to whether a court would enforce the provision relating to Securities Act claims and that investors cannot waive compliance with the federal securities laws and the rules and regulations thereunder.</w:t>
      </w:r>
    </w:p>
    <w:p>
      <w:pPr>
        <w:spacing w:after="0" w:line="18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In response to the Staff’s comment, the Company has revised its disclosure on page 166 of the Registration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tabs>
          <w:tab w:leader="none" w:pos="200" w:val="left"/>
          <w:tab w:leader="none" w:pos="180" w:val="left"/>
          <w:tab w:leader="none" w:pos="200" w:val="left"/>
          <w:tab w:leader="none" w:pos="200" w:val="left"/>
          <w:tab w:leader="none" w:pos="180" w:val="left"/>
          <w:tab w:leader="none" w:pos="200" w:val="left"/>
          <w:tab w:leader="none" w:pos="200" w:val="left"/>
        </w:tabs>
        <w:rPr>
          <w:sz w:val="20"/>
          <w:szCs w:val="20"/>
          <w:color w:val="auto"/>
        </w:rPr>
      </w:pPr>
      <w:r>
        <w:rPr>
          <w:rFonts w:ascii="Arial" w:cs="Arial" w:eastAsia="Arial" w:hAnsi="Arial"/>
          <w:sz w:val="14"/>
          <w:szCs w:val="14"/>
          <w:color w:val="auto"/>
        </w:rPr>
        <w:t>AUSTIN</w:t>
        <w:tab/>
        <w:t>BEIJING</w:t>
        <w:tab/>
        <w:t>BOSTON</w:t>
        <w:tab/>
        <w:t>BRUSSELS</w:t>
        <w:tab/>
        <w:t>HONG KONG</w:t>
        <w:tab/>
        <w:t>LONDON</w:t>
        <w:tab/>
        <w:t>LOS ANGELES</w:t>
      </w:r>
      <w:r>
        <w:rPr>
          <w:sz w:val="20"/>
          <w:szCs w:val="20"/>
          <w:color w:val="auto"/>
        </w:rPr>
        <w:tab/>
      </w:r>
      <w:r>
        <w:rPr>
          <w:rFonts w:ascii="Arial" w:cs="Arial" w:eastAsia="Arial" w:hAnsi="Arial"/>
          <w:sz w:val="13"/>
          <w:szCs w:val="13"/>
          <w:color w:val="auto"/>
        </w:rPr>
        <w:t>NEW YORK</w:t>
      </w:r>
    </w:p>
    <w:p>
      <w:pPr>
        <w:spacing w:after="0" w:line="28" w:lineRule="exact"/>
        <w:rPr>
          <w:sz w:val="24"/>
          <w:szCs w:val="24"/>
          <w:color w:val="auto"/>
        </w:rPr>
      </w:pPr>
    </w:p>
    <w:p>
      <w:pPr>
        <w:jc w:val="center"/>
        <w:spacing w:after="0"/>
        <w:tabs>
          <w:tab w:leader="none" w:pos="180" w:val="left"/>
          <w:tab w:leader="none" w:pos="200" w:val="left"/>
          <w:tab w:leader="none" w:pos="200" w:val="left"/>
          <w:tab w:leader="none" w:pos="200" w:val="left"/>
          <w:tab w:leader="none" w:pos="180" w:val="left"/>
          <w:tab w:leader="none" w:pos="200" w:val="left"/>
        </w:tabs>
        <w:rPr>
          <w:sz w:val="20"/>
          <w:szCs w:val="20"/>
          <w:color w:val="auto"/>
        </w:rPr>
      </w:pPr>
      <w:r>
        <w:rPr>
          <w:rFonts w:ascii="Arial" w:cs="Arial" w:eastAsia="Arial" w:hAnsi="Arial"/>
          <w:sz w:val="14"/>
          <w:szCs w:val="14"/>
          <w:color w:val="auto"/>
        </w:rPr>
        <w:t>PALO ALTO</w:t>
        <w:tab/>
        <w:t>SAN DIEGO</w:t>
        <w:tab/>
        <w:t>SAN FRANCISCO</w:t>
        <w:tab/>
        <w:t>SEATTLE</w:t>
        <w:tab/>
        <w:t>SHANGHAI</w:t>
        <w:tab/>
        <w:t>WASHINGTON, DC</w:t>
        <w:tab/>
        <w:t>WILMINGTON, DE</w:t>
      </w:r>
    </w:p>
    <w:p>
      <w:pPr>
        <w:sectPr>
          <w:pgSz w:w="11900" w:h="16838" w:orient="portrait"/>
          <w:cols w:equalWidth="0" w:num="1">
            <w:col w:w="11240"/>
          </w:cols>
          <w:pgMar w:left="320" w:top="29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14425"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14425" cy="42037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November 12, 2020</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37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Please direct any questions with respect to this letter and the response set forth above to me at (650) 849-3223 or tjeffries@wsgr.com or Christina Poulsen at (650) 849-3245 or cpoulsen@wsgr.com.</w:t>
      </w:r>
    </w:p>
    <w:p>
      <w:pPr>
        <w:spacing w:after="0" w:line="200" w:lineRule="exact"/>
        <w:rPr>
          <w:sz w:val="20"/>
          <w:szCs w:val="20"/>
          <w:color w:val="auto"/>
        </w:rPr>
      </w:pPr>
    </w:p>
    <w:p>
      <w:pPr>
        <w:spacing w:after="0" w:line="247"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Sincerely,</w:t>
      </w:r>
    </w:p>
    <w:p>
      <w:pPr>
        <w:spacing w:after="0" w:line="324"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WILSON SONSINI GOODRICH &amp; ROSATI</w:t>
      </w:r>
    </w:p>
    <w:p>
      <w:pPr>
        <w:spacing w:after="0" w:line="54"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Professional Corporation</w:t>
      </w:r>
    </w:p>
    <w:p>
      <w:pPr>
        <w:spacing w:after="0" w:line="324"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/s/ Tony Jeffries</w:t>
      </w:r>
    </w:p>
    <w:p>
      <w:pPr>
        <w:spacing w:after="0" w:line="54" w:lineRule="exact"/>
        <w:rPr>
          <w:sz w:val="20"/>
          <w:szCs w:val="20"/>
          <w:color w:val="auto"/>
        </w:rPr>
      </w:pPr>
    </w:p>
    <w:p>
      <w:pPr>
        <w:ind w:left="6100"/>
        <w:spacing w:after="0"/>
        <w:rPr>
          <w:sz w:val="20"/>
          <w:szCs w:val="20"/>
          <w:color w:val="auto"/>
        </w:rPr>
      </w:pPr>
      <w:r>
        <w:rPr>
          <w:rFonts w:ascii="Arial" w:cs="Arial" w:eastAsia="Arial" w:hAnsi="Arial"/>
          <w:sz w:val="20"/>
          <w:szCs w:val="20"/>
          <w:color w:val="auto"/>
        </w:rPr>
        <w:t>Tony Jeffries</w:t>
      </w:r>
    </w:p>
    <w:p>
      <w:pPr>
        <w:spacing w:after="0" w:line="200" w:lineRule="exact"/>
        <w:rPr>
          <w:sz w:val="20"/>
          <w:szCs w:val="20"/>
          <w:color w:val="auto"/>
        </w:rPr>
      </w:pPr>
    </w:p>
    <w:p>
      <w:pPr>
        <w:spacing w:after="0" w:line="259" w:lineRule="exact"/>
        <w:rPr>
          <w:sz w:val="20"/>
          <w:szCs w:val="20"/>
          <w:color w:val="auto"/>
        </w:rPr>
      </w:pPr>
    </w:p>
    <w:p>
      <w:pPr>
        <w:ind w:left="660" w:right="7900" w:hanging="652"/>
        <w:spacing w:after="0" w:line="247" w:lineRule="auto"/>
        <w:tabs>
          <w:tab w:leader="none" w:pos="638" w:val="left"/>
        </w:tabs>
        <w:numPr>
          <w:ilvl w:val="0"/>
          <w:numId w:val="2"/>
        </w:numPr>
        <w:rPr>
          <w:rFonts w:ascii="Arial" w:cs="Arial" w:eastAsia="Arial" w:hAnsi="Arial"/>
          <w:sz w:val="20"/>
          <w:szCs w:val="20"/>
          <w:color w:val="auto"/>
        </w:rPr>
      </w:pPr>
      <w:r>
        <w:rPr>
          <w:rFonts w:ascii="Arial" w:cs="Arial" w:eastAsia="Arial" w:hAnsi="Arial"/>
          <w:sz w:val="20"/>
          <w:szCs w:val="20"/>
          <w:color w:val="auto"/>
        </w:rPr>
        <w:t>Omid Farokhzad, M.D., Seer, Inc. David Horn, Seer, Inc.</w:t>
      </w:r>
    </w:p>
    <w:p>
      <w:pPr>
        <w:spacing w:after="0" w:line="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Erin Baucom, Deloitte &amp; Touche LLP</w:t>
      </w:r>
    </w:p>
    <w:p>
      <w:pPr>
        <w:ind w:left="660"/>
        <w:spacing w:after="0"/>
        <w:rPr>
          <w:rFonts w:ascii="Arial" w:cs="Arial" w:eastAsia="Arial" w:hAnsi="Arial"/>
          <w:sz w:val="20"/>
          <w:szCs w:val="20"/>
          <w:color w:val="auto"/>
        </w:rPr>
      </w:pPr>
      <w:r>
        <w:rPr>
          <w:rFonts w:ascii="Arial" w:cs="Arial" w:eastAsia="Arial" w:hAnsi="Arial"/>
          <w:sz w:val="20"/>
          <w:szCs w:val="20"/>
          <w:color w:val="auto"/>
        </w:rPr>
        <w:t>Alan Denenberg, Davis Polk &amp; Wardwell LLP</w:t>
      </w:r>
    </w:p>
    <w:p>
      <w:pPr>
        <w:ind w:left="660"/>
        <w:spacing w:after="0"/>
        <w:rPr>
          <w:rFonts w:ascii="Arial" w:cs="Arial" w:eastAsia="Arial" w:hAnsi="Arial"/>
          <w:sz w:val="20"/>
          <w:szCs w:val="20"/>
          <w:color w:val="auto"/>
        </w:rPr>
      </w:pPr>
      <w:r>
        <w:rPr>
          <w:rFonts w:ascii="Arial" w:cs="Arial" w:eastAsia="Arial" w:hAnsi="Arial"/>
          <w:sz w:val="20"/>
          <w:szCs w:val="20"/>
          <w:color w:val="auto"/>
        </w:rPr>
        <w:t>Christina Poulsen, Wilson Sonsini Goodrich &amp; Rosati, P.C.</w:t>
      </w:r>
    </w:p>
    <w:sectPr>
      <w:pgSz w:w="11900" w:h="16838" w:orient="portrait"/>
      <w:cols w:equalWidth="0" w:num="1">
        <w:col w:w="11220"/>
      </w:cols>
      <w:pgMar w:left="320" w:top="7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2021-08-15T20:23:55Z</dcterms:created>
  <dcterms:modified xsi:type="dcterms:W3CDTF">2021-08-15T20:23:55Z</dcterms:modified>
</cp:coreProperties>
</file>