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10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Farokhzad Omid</w:t>
              </w:r>
            </w:hyperlink>
          </w:p>
        </w:tc>
        <w:tc>
          <w:tcPr>
            <w:tcW w:w="106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8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 SEER, INC.</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96"/>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REDWOOD CITY CA</w:t>
            </w:r>
          </w:p>
        </w:tc>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Seer,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SEER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4"/>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5"/>
        </w:trPr>
        <w:tc>
          <w:tcPr>
            <w:tcW w:w="16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X</w:t>
            </w:r>
          </w:p>
        </w:tc>
        <w:tc>
          <w:tcPr>
            <w:tcW w:w="1260" w:type="dxa"/>
            <w:vAlign w:val="bottom"/>
            <w:vMerge w:val="restart"/>
          </w:tcPr>
          <w:p>
            <w:pPr>
              <w:ind w:left="1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4"/>
        </w:trPr>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300" w:type="dxa"/>
            <w:vAlign w:val="bottom"/>
          </w:tcPr>
          <w:p>
            <w:pPr>
              <w:spacing w:after="0"/>
              <w:rPr>
                <w:sz w:val="8"/>
                <w:szCs w:val="8"/>
                <w:color w:val="auto"/>
              </w:rPr>
            </w:pPr>
          </w:p>
        </w:tc>
        <w:tc>
          <w:tcPr>
            <w:tcW w:w="1260" w:type="dxa"/>
            <w:vAlign w:val="bottom"/>
            <w:vMerge w:val="restart"/>
          </w:tcPr>
          <w:p>
            <w:pPr>
              <w:ind w:left="1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40" w:type="dxa"/>
        <w:tblCellMar>
          <w:top w:w="0" w:type="dxa"/>
          <w:left w:w="0" w:type="dxa"/>
          <w:bottom w:w="0" w:type="dxa"/>
          <w:right w:w="0" w:type="dxa"/>
        </w:tblCellMar>
      </w:tblPr>
      <w:tr>
        <w:trPr>
          <w:trHeight w:val="15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0000FF"/>
              </w:rPr>
              <w:t>CEO and Chair of the Board</w:t>
            </w:r>
          </w:p>
        </w:tc>
        <w:tc>
          <w:tcPr>
            <w:tcW w:w="2780" w:type="dxa"/>
            <w:vAlign w:val="bottom"/>
            <w:vMerge w:val="restart"/>
          </w:tcPr>
          <w:p>
            <w:pPr>
              <w:ind w:left="700"/>
              <w:spacing w:after="0"/>
              <w:rPr>
                <w:sz w:val="20"/>
                <w:szCs w:val="20"/>
                <w:color w:val="auto"/>
              </w:rPr>
            </w:pPr>
            <w:r>
              <w:rPr>
                <w:rFonts w:ascii="Arial" w:cs="Arial" w:eastAsia="Arial" w:hAnsi="Arial"/>
                <w:sz w:val="10"/>
                <w:szCs w:val="10"/>
                <w:color w:val="auto"/>
                <w:w w:val="99"/>
              </w:rPr>
              <w:t>Form filed by More than One Reporting Person</w:t>
            </w: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2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6"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3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41"/>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3"/>
                <w:szCs w:val="13"/>
                <w:color w:val="0000FF"/>
              </w:rPr>
              <w:t>279,223</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tcBorders>
              <w:bottom w:val="single" w:sz="8" w:color="2C2C2C"/>
            </w:tcBorders>
            <w:vMerge w:val="continue"/>
          </w:tcPr>
          <w:p>
            <w:pPr>
              <w:spacing w:after="0"/>
              <w:rPr>
                <w:sz w:val="13"/>
                <w:szCs w:val="13"/>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Series A Convertible Preferred Stock</w:t>
            </w:r>
          </w:p>
        </w:tc>
        <w:tc>
          <w:tcPr>
            <w:tcW w:w="1520" w:type="dxa"/>
            <w:vAlign w:val="bottom"/>
            <w:tcBorders>
              <w:bottom w:val="single" w:sz="8" w:color="2C2C2C"/>
            </w:tcBorders>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8"/>
                <w:szCs w:val="8"/>
                <w:color w:val="008000"/>
              </w:rPr>
              <w:t>(1)</w:t>
            </w:r>
          </w:p>
        </w:tc>
        <w:tc>
          <w:tcPr>
            <w:tcW w:w="21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9"/>
              </w:rPr>
              <w:t>102,915</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8"/>
                <w:szCs w:val="8"/>
                <w:color w:val="008000"/>
              </w:rPr>
              <w:t>(1)</w:t>
            </w:r>
          </w:p>
        </w:tc>
        <w:tc>
          <w:tcPr>
            <w:tcW w:w="84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3"/>
                <w:szCs w:val="13"/>
                <w:color w:val="0000FF"/>
                <w:w w:val="91"/>
              </w:rPr>
              <w:t>I</w:t>
            </w:r>
          </w:p>
        </w:tc>
        <w:tc>
          <w:tcPr>
            <w:tcW w:w="1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See footnote</w:t>
            </w:r>
            <w:r>
              <w:rPr>
                <w:rFonts w:ascii="Times New Roman" w:cs="Times New Roman" w:eastAsia="Times New Roman" w:hAnsi="Times New Roman"/>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B Common Stock</w:t>
            </w:r>
          </w:p>
        </w:tc>
        <w:tc>
          <w:tcPr>
            <w:tcW w:w="1520" w:type="dxa"/>
            <w:vAlign w:val="bottom"/>
            <w:tcBorders>
              <w:bottom w:val="single" w:sz="8" w:color="2C2C2C"/>
            </w:tcBorders>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8"/>
                <w:szCs w:val="8"/>
                <w:color w:val="008000"/>
              </w:rPr>
              <w:t>(3)</w:t>
            </w:r>
          </w:p>
        </w:tc>
        <w:tc>
          <w:tcPr>
            <w:tcW w:w="21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9"/>
              </w:rPr>
              <w:t>2,591,124</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8"/>
                <w:szCs w:val="8"/>
                <w:color w:val="008000"/>
              </w:rPr>
              <w:t>(3)</w:t>
            </w:r>
          </w:p>
        </w:tc>
        <w:tc>
          <w:tcPr>
            <w:tcW w:w="84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3"/>
                <w:szCs w:val="13"/>
                <w:color w:val="0000FF"/>
                <w:w w:val="91"/>
              </w:rPr>
              <w:t>I</w:t>
            </w:r>
          </w:p>
        </w:tc>
        <w:tc>
          <w:tcPr>
            <w:tcW w:w="1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See footnote</w:t>
            </w:r>
            <w:r>
              <w:rPr>
                <w:rFonts w:ascii="Times New Roman" w:cs="Times New Roman" w:eastAsia="Times New Roman" w:hAnsi="Times New Roman"/>
                <w:sz w:val="16"/>
                <w:szCs w:val="16"/>
                <w:color w:val="008000"/>
                <w:vertAlign w:val="superscript"/>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B Common Stock</w:t>
            </w:r>
          </w:p>
        </w:tc>
        <w:tc>
          <w:tcPr>
            <w:tcW w:w="152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8"/>
                <w:szCs w:val="8"/>
                <w:color w:val="008000"/>
              </w:rPr>
              <w:t>(3)</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2,803,737</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8"/>
                <w:szCs w:val="8"/>
                <w:color w:val="008000"/>
              </w:rPr>
              <w:t>(3)</w:t>
            </w:r>
          </w:p>
        </w:tc>
        <w:tc>
          <w:tcPr>
            <w:tcW w:w="840" w:type="dxa"/>
            <w:vAlign w:val="bottom"/>
          </w:tcPr>
          <w:p>
            <w:pPr>
              <w:jc w:val="center"/>
              <w:ind w:left="61"/>
              <w:spacing w:after="0"/>
              <w:rPr>
                <w:sz w:val="20"/>
                <w:szCs w:val="20"/>
                <w:color w:val="auto"/>
              </w:rPr>
            </w:pPr>
            <w:r>
              <w:rPr>
                <w:rFonts w:ascii="Times New Roman" w:cs="Times New Roman" w:eastAsia="Times New Roman" w:hAnsi="Times New Roman"/>
                <w:sz w:val="13"/>
                <w:szCs w:val="13"/>
                <w:color w:val="0000FF"/>
                <w:w w:val="91"/>
              </w:rPr>
              <w:t>I</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See footnote</w:t>
            </w:r>
            <w:r>
              <w:rPr>
                <w:rFonts w:ascii="Times New Roman" w:cs="Times New Roman" w:eastAsia="Times New Roman" w:hAnsi="Times New Roman"/>
                <w:sz w:val="16"/>
                <w:szCs w:val="16"/>
                <w:color w:val="008000"/>
                <w:vertAlign w:val="superscript"/>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20" w:type="dxa"/>
            <w:vAlign w:val="bottom"/>
            <w:tcBorders>
              <w:top w:val="single" w:sz="8" w:color="2C2C2C"/>
            </w:tcBorders>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(5)</w:t>
            </w:r>
          </w:p>
        </w:tc>
        <w:tc>
          <w:tcPr>
            <w:tcW w:w="5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05/17/2028</w:t>
            </w:r>
          </w:p>
        </w:tc>
        <w:tc>
          <w:tcPr>
            <w:tcW w:w="2120" w:type="dxa"/>
            <w:vAlign w:val="bottom"/>
            <w:tcBorders>
              <w:top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99"/>
              </w:rPr>
              <w:t>520,248</w:t>
            </w:r>
          </w:p>
        </w:tc>
        <w:tc>
          <w:tcPr>
            <w:tcW w:w="720" w:type="dxa"/>
            <w:vAlign w:val="bottom"/>
            <w:tcBorders>
              <w:top w:val="single" w:sz="8" w:color="2C2C2C"/>
            </w:tcBorders>
          </w:tcPr>
          <w:p>
            <w:pPr>
              <w:jc w:val="center"/>
              <w:ind w:left="8"/>
              <w:spacing w:after="0"/>
              <w:rPr>
                <w:sz w:val="20"/>
                <w:szCs w:val="20"/>
                <w:color w:val="auto"/>
              </w:rPr>
            </w:pPr>
            <w:r>
              <w:rPr>
                <w:rFonts w:ascii="Times New Roman" w:cs="Times New Roman" w:eastAsia="Times New Roman" w:hAnsi="Times New Roman"/>
                <w:sz w:val="13"/>
                <w:szCs w:val="13"/>
                <w:color w:val="0000FF"/>
                <w:w w:val="96"/>
              </w:rPr>
              <w:t>0.05</w:t>
            </w:r>
          </w:p>
        </w:tc>
        <w:tc>
          <w:tcPr>
            <w:tcW w:w="840" w:type="dxa"/>
            <w:vAlign w:val="bottom"/>
            <w:tcBorders>
              <w:top w:val="single" w:sz="8" w:color="2C2C2C"/>
            </w:tcBorders>
          </w:tcPr>
          <w:p>
            <w:pPr>
              <w:jc w:val="center"/>
              <w:ind w:left="81"/>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2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01/27/2030</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915,524</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8"/>
              </w:rPr>
              <w:t>2.7</w:t>
            </w:r>
          </w:p>
        </w:tc>
        <w:tc>
          <w:tcPr>
            <w:tcW w:w="840" w:type="dxa"/>
            <w:vAlign w:val="bottom"/>
          </w:tcPr>
          <w:p>
            <w:pPr>
              <w:jc w:val="center"/>
              <w:ind w:left="81"/>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Employee Stock Option (right to buy)</w:t>
            </w:r>
          </w:p>
        </w:tc>
        <w:tc>
          <w:tcPr>
            <w:tcW w:w="1520" w:type="dxa"/>
            <w:vAlign w:val="bottom"/>
            <w:gridSpan w:val="2"/>
          </w:tcPr>
          <w:p>
            <w:pPr>
              <w:jc w:val="right"/>
              <w:ind w:right="227"/>
              <w:spacing w:after="0"/>
              <w:rPr>
                <w:sz w:val="20"/>
                <w:szCs w:val="20"/>
                <w:color w:val="auto"/>
              </w:rPr>
            </w:pPr>
            <w:r>
              <w:rPr>
                <w:rFonts w:ascii="Times New Roman" w:cs="Times New Roman" w:eastAsia="Times New Roman" w:hAnsi="Times New Roman"/>
                <w:sz w:val="8"/>
                <w:szCs w:val="8"/>
                <w:color w:val="008000"/>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07/28/2030</w:t>
            </w:r>
          </w:p>
        </w:tc>
        <w:tc>
          <w:tcPr>
            <w:tcW w:w="21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Class A Common 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532,718</w:t>
            </w:r>
          </w:p>
        </w:tc>
        <w:tc>
          <w:tcPr>
            <w:tcW w:w="720" w:type="dxa"/>
            <w:vAlign w:val="bottom"/>
          </w:tcPr>
          <w:p>
            <w:pPr>
              <w:jc w:val="center"/>
              <w:ind w:left="8"/>
              <w:spacing w:after="0"/>
              <w:rPr>
                <w:sz w:val="20"/>
                <w:szCs w:val="20"/>
                <w:color w:val="auto"/>
              </w:rPr>
            </w:pPr>
            <w:r>
              <w:rPr>
                <w:rFonts w:ascii="Times New Roman" w:cs="Times New Roman" w:eastAsia="Times New Roman" w:hAnsi="Times New Roman"/>
                <w:sz w:val="13"/>
                <w:szCs w:val="13"/>
                <w:color w:val="0000FF"/>
                <w:w w:val="96"/>
              </w:rPr>
              <w:t>3.47</w:t>
            </w:r>
          </w:p>
        </w:tc>
        <w:tc>
          <w:tcPr>
            <w:tcW w:w="840" w:type="dxa"/>
            <w:vAlign w:val="bottom"/>
          </w:tcPr>
          <w:p>
            <w:pPr>
              <w:jc w:val="center"/>
              <w:ind w:left="81"/>
              <w:spacing w:after="0"/>
              <w:rPr>
                <w:sz w:val="20"/>
                <w:szCs w:val="20"/>
                <w:color w:val="auto"/>
              </w:rPr>
            </w:pPr>
            <w:r>
              <w:rPr>
                <w:rFonts w:ascii="Times New Roman" w:cs="Times New Roman" w:eastAsia="Times New Roman" w:hAnsi="Times New Roman"/>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-1903730</wp:posOffset>
            </wp:positionV>
            <wp:extent cx="6997700" cy="180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805305"/>
                    </a:xfrm>
                    <a:prstGeom prst="rect">
                      <a:avLst/>
                    </a:prstGeom>
                    <a:noFill/>
                  </pic:spPr>
                </pic:pic>
              </a:graphicData>
            </a:graphic>
          </wp:anchor>
        </w:drawing>
      </w: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share of Series A Convertible Preferred Stock shall automatically convert into Class A Common Stock on a one-to-one basis immediately prior to the completion of the Issuer's initial public offering of Class A Common Stock and has no expiration date.</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reported shares are held of record by Dynamics Group LLC for which the reporting person serves as the sole member.</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share of Class B Common Stock is convertible at any time into Class A Common Stock on a one-to-one basis at the reporting person's election and has no expiration date.</w:t>
      </w:r>
    </w:p>
    <w:p>
      <w:pPr>
        <w:spacing w:after="0" w:line="35" w:lineRule="exact"/>
        <w:rPr>
          <w:rFonts w:ascii="Times New Roman" w:cs="Times New Roman" w:eastAsia="Times New Roman" w:hAnsi="Times New Roman"/>
          <w:sz w:val="10"/>
          <w:szCs w:val="10"/>
          <w:color w:val="008000"/>
        </w:rPr>
      </w:pPr>
    </w:p>
    <w:p>
      <w:pPr>
        <w:ind w:left="40" w:right="1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12"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underlying the option are subject to an early exercise provision and are immediately exercisable. One-fourth of the shares underlying the option vested on March 23, 2019 and 1/48th of the shares vest monthly thereafter.</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underlying the option are subject to an early exercise provision and are immediately exercisable. One-fourth of the shares underlying the option vest on January 28, 2021 and 1/48th of the shares vest monthly thereafter.</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underlying the option are subject to an early exercise provision and are immediately exercisable. One-fourth of the shares underlying the option vest on July 28, 2021 and 1/48th of the shares vest monthly thereafter.</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24 - Power of Attorney</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Elona Kogan, by power of attorney</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12/03/2020</w:t>
            </w:r>
          </w:p>
        </w:tc>
      </w:tr>
      <w:tr>
        <w:trPr>
          <w:trHeight w:val="172"/>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2" w:lineRule="exact"/>
        <w:rPr>
          <w:rFonts w:ascii="Courier New" w:cs="Courier New" w:eastAsia="Courier New" w:hAnsi="Courier New"/>
          <w:sz w:val="13"/>
          <w:szCs w:val="13"/>
          <w:color w:val="auto"/>
        </w:rPr>
      </w:pPr>
    </w:p>
    <w:p>
      <w:pPr>
        <w:jc w:val="both"/>
        <w:spacing w:after="0" w:line="529"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23rd day of November, 2020.</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Omid Farokhzad</w:t>
      </w:r>
    </w:p>
    <w:p>
      <w:pPr>
        <w:spacing w:after="0" w:line="27" w:lineRule="exact"/>
        <w:rPr>
          <w:sz w:val="20"/>
          <w:szCs w:val="20"/>
          <w:color w:val="auto"/>
        </w:rPr>
      </w:pPr>
    </w:p>
    <w:p>
      <w:pPr>
        <w:ind w:left="860"/>
        <w:spacing w:after="0"/>
        <w:rPr>
          <w:sz w:val="20"/>
          <w:szCs w:val="20"/>
          <w:color w:val="auto"/>
        </w:rPr>
      </w:pPr>
      <w:r>
        <w:rPr>
          <w:rFonts w:ascii="Courier New" w:cs="Courier New" w:eastAsia="Courier New" w:hAnsi="Courier New"/>
          <w:sz w:val="13"/>
          <w:szCs w:val="13"/>
          <w:color w:val="auto"/>
        </w:rPr>
        <w:t>__________________</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Omid Farokhzad</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86852"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2020-12-03T18:51:43Z</dcterms:created>
  <dcterms:modified xsi:type="dcterms:W3CDTF">2020-12-03T18:51:43Z</dcterms:modified>
</cp:coreProperties>
</file>