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67945</wp:posOffset>
            </wp:positionV>
            <wp:extent cx="230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43815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8"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4"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June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64770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4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30480</wp:posOffset>
            </wp:positionV>
            <wp:extent cx="2305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7" w:lineRule="exact"/>
        <w:rPr>
          <w:sz w:val="24"/>
          <w:szCs w:val="24"/>
          <w:color w:val="auto"/>
        </w:rPr>
      </w:pPr>
    </w:p>
    <w:tbl>
      <w:tblPr>
        <w:tblLayout w:type="fixed"/>
        <w:tblInd w:w="894" w:type="dxa"/>
        <w:tblCellMar>
          <w:top w:w="0" w:type="dxa"/>
          <w:left w:w="0" w:type="dxa"/>
          <w:bottom w:w="0" w:type="dxa"/>
          <w:right w:w="0" w:type="dxa"/>
        </w:tblCellMar>
      </w:tblPr>
      <w:tr>
        <w:trPr>
          <w:trHeight w:val="190"/>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4"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31"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57" w:lineRule="exact"/>
        <w:rPr>
          <w:sz w:val="24"/>
          <w:szCs w:val="24"/>
          <w:color w:val="auto"/>
        </w:rPr>
      </w:pPr>
    </w:p>
    <w:p>
      <w:pPr>
        <w:ind w:left="13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8"/>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left="634" w:right="80"/>
        <w:spacing w:after="0" w:line="305"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ind w:left="634"/>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09" w:lineRule="exact"/>
        <w:rPr>
          <w:sz w:val="24"/>
          <w:szCs w:val="24"/>
          <w:color w:val="auto"/>
        </w:rPr>
      </w:pPr>
    </w:p>
    <w:p>
      <w:pPr>
        <w:ind w:left="634" w:right="160"/>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1146810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45085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19050</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338"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64"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On June 15, 2022, Seer, Inc. (the “Company”) held its 2022 Annual Meeting of Stockholders (the “Annual Meeting”). Present at the meeting in person or by proxy were holders of the Company's Class A and Class B common stock, representing 81,010,611, or approximately 81.9%, of the 98,935,780 eligible votes, constituting a quorum for the transaction of business.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of the Company voted on the following items at the Meeting:</w:t>
      </w:r>
    </w:p>
    <w:p>
      <w:pPr>
        <w:spacing w:after="0" w:line="239" w:lineRule="exact"/>
        <w:rPr>
          <w:sz w:val="20"/>
          <w:szCs w:val="20"/>
          <w:color w:val="auto"/>
        </w:rPr>
      </w:pPr>
    </w:p>
    <w:p>
      <w:pPr>
        <w:ind w:left="660" w:right="300" w:hanging="328"/>
        <w:spacing w:after="0" w:line="24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serve until the 2025 Annual Meeting of stockholders or until their respective successors are duly elected and qualified;</w:t>
      </w:r>
    </w:p>
    <w:p>
      <w:pPr>
        <w:ind w:left="660" w:right="28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2022;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on frequency of advisory votes on executive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24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the voting results of the election of the three Class II directors to the Company’s Board of Directors by the Company’s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0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 of Voted</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Borders>
              <w:bottom w:val="single" w:sz="8" w:color="B6DDE8"/>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B6DDE8"/>
          </w:tcPr>
          <w:p>
            <w:pPr>
              <w:ind w:left="180"/>
              <w:spacing w:after="0"/>
              <w:rPr>
                <w:sz w:val="20"/>
                <w:szCs w:val="20"/>
                <w:color w:val="auto"/>
              </w:rPr>
            </w:pPr>
            <w:r>
              <w:rPr>
                <w:rFonts w:ascii="Times New Roman" w:cs="Times New Roman" w:eastAsia="Times New Roman" w:hAnsi="Times New Roman"/>
                <w:sz w:val="18"/>
                <w:szCs w:val="18"/>
                <w:color w:val="auto"/>
              </w:rPr>
              <w:t>Robert S. Langer Sc.D.</w:t>
            </w:r>
          </w:p>
        </w:tc>
        <w:tc>
          <w:tcPr>
            <w:tcW w:w="100" w:type="dxa"/>
            <w:vAlign w:val="bottom"/>
            <w:shd w:val="clear" w:color="auto" w:fill="B6DDE8"/>
          </w:tcPr>
          <w:p>
            <w:pPr>
              <w:spacing w:after="0"/>
              <w:rPr>
                <w:sz w:val="21"/>
                <w:szCs w:val="21"/>
                <w:color w:val="auto"/>
              </w:rPr>
            </w:pPr>
          </w:p>
        </w:tc>
        <w:tc>
          <w:tcPr>
            <w:tcW w:w="1900" w:type="dxa"/>
            <w:vAlign w:val="bottom"/>
            <w:shd w:val="clear" w:color="auto" w:fill="B6DDE8"/>
          </w:tcPr>
          <w:p>
            <w:pPr>
              <w:jc w:val="right"/>
              <w:ind w:right="70"/>
              <w:spacing w:after="0"/>
              <w:rPr>
                <w:sz w:val="20"/>
                <w:szCs w:val="20"/>
                <w:color w:val="auto"/>
              </w:rPr>
            </w:pPr>
            <w:r>
              <w:rPr>
                <w:rFonts w:ascii="Times New Roman" w:cs="Times New Roman" w:eastAsia="Times New Roman" w:hAnsi="Times New Roman"/>
                <w:sz w:val="18"/>
                <w:szCs w:val="18"/>
                <w:color w:val="auto"/>
              </w:rPr>
              <w:t>63,252,395</w:t>
            </w:r>
          </w:p>
        </w:tc>
        <w:tc>
          <w:tcPr>
            <w:tcW w:w="100" w:type="dxa"/>
            <w:vAlign w:val="bottom"/>
            <w:shd w:val="clear" w:color="auto" w:fill="B6DDE8"/>
          </w:tcPr>
          <w:p>
            <w:pPr>
              <w:spacing w:after="0"/>
              <w:rPr>
                <w:sz w:val="21"/>
                <w:szCs w:val="21"/>
                <w:color w:val="auto"/>
              </w:rPr>
            </w:pPr>
          </w:p>
        </w:tc>
        <w:tc>
          <w:tcPr>
            <w:tcW w:w="1960" w:type="dxa"/>
            <w:vAlign w:val="bottom"/>
            <w:shd w:val="clear" w:color="auto" w:fill="B6DDE8"/>
          </w:tcPr>
          <w:p>
            <w:pPr>
              <w:jc w:val="right"/>
              <w:ind w:right="90"/>
              <w:spacing w:after="0"/>
              <w:rPr>
                <w:sz w:val="20"/>
                <w:szCs w:val="20"/>
                <w:color w:val="auto"/>
              </w:rPr>
            </w:pPr>
            <w:r>
              <w:rPr>
                <w:rFonts w:ascii="Times New Roman" w:cs="Times New Roman" w:eastAsia="Times New Roman" w:hAnsi="Times New Roman"/>
                <w:sz w:val="18"/>
                <w:szCs w:val="18"/>
                <w:color w:val="auto"/>
              </w:rPr>
              <w:t>13,786,108</w:t>
            </w:r>
          </w:p>
        </w:tc>
        <w:tc>
          <w:tcPr>
            <w:tcW w:w="180" w:type="dxa"/>
            <w:vAlign w:val="bottom"/>
            <w:shd w:val="clear" w:color="auto" w:fill="B6DDE8"/>
          </w:tcPr>
          <w:p>
            <w:pPr>
              <w:spacing w:after="0"/>
              <w:rPr>
                <w:sz w:val="21"/>
                <w:szCs w:val="21"/>
                <w:color w:val="auto"/>
              </w:rPr>
            </w:pPr>
          </w:p>
        </w:tc>
        <w:tc>
          <w:tcPr>
            <w:tcW w:w="1840" w:type="dxa"/>
            <w:vAlign w:val="bottom"/>
            <w:shd w:val="clear" w:color="auto" w:fill="B6DDE8"/>
          </w:tcPr>
          <w:p>
            <w:pPr>
              <w:jc w:val="right"/>
              <w:ind w:right="150"/>
              <w:spacing w:after="0"/>
              <w:rPr>
                <w:sz w:val="20"/>
                <w:szCs w:val="20"/>
                <w:color w:val="auto"/>
              </w:rPr>
            </w:pPr>
            <w:r>
              <w:rPr>
                <w:rFonts w:ascii="Times New Roman" w:cs="Times New Roman" w:eastAsia="Times New Roman" w:hAnsi="Times New Roman"/>
                <w:sz w:val="18"/>
                <w:szCs w:val="18"/>
                <w:color w:val="auto"/>
              </w:rPr>
              <w:t>82.1 %</w:t>
            </w:r>
          </w:p>
        </w:tc>
        <w:tc>
          <w:tcPr>
            <w:tcW w:w="1800" w:type="dxa"/>
            <w:vAlign w:val="bottom"/>
            <w:shd w:val="clear" w:color="auto" w:fill="B6DDE8"/>
          </w:tcPr>
          <w:p>
            <w:pPr>
              <w:jc w:val="right"/>
              <w:spacing w:after="0"/>
              <w:rPr>
                <w:sz w:val="20"/>
                <w:szCs w:val="20"/>
                <w:color w:val="auto"/>
              </w:rPr>
            </w:pPr>
            <w:r>
              <w:rPr>
                <w:rFonts w:ascii="Times New Roman" w:cs="Times New Roman" w:eastAsia="Times New Roman" w:hAnsi="Times New Roman"/>
                <w:sz w:val="18"/>
                <w:szCs w:val="18"/>
                <w:color w:val="auto"/>
              </w:rPr>
              <w:t>3,972,108</w:t>
            </w:r>
          </w:p>
        </w:tc>
        <w:tc>
          <w:tcPr>
            <w:tcW w:w="80" w:type="dxa"/>
            <w:vAlign w:val="bottom"/>
            <w:shd w:val="clear" w:color="auto" w:fill="CCEEFF"/>
          </w:tcPr>
          <w:p>
            <w:pPr>
              <w:spacing w:after="0"/>
              <w:rPr>
                <w:sz w:val="21"/>
                <w:szCs w:val="21"/>
                <w:color w:val="auto"/>
              </w:rPr>
            </w:pPr>
          </w:p>
        </w:tc>
      </w:tr>
      <w:tr>
        <w:trPr>
          <w:trHeight w:val="257"/>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Rachel Haurwitz Ph.D.</w:t>
            </w: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76,897,910</w:t>
            </w:r>
          </w:p>
        </w:tc>
        <w:tc>
          <w:tcPr>
            <w:tcW w:w="100" w:type="dxa"/>
            <w:vAlign w:val="bottom"/>
          </w:tcPr>
          <w:p>
            <w:pPr>
              <w:spacing w:after="0"/>
              <w:rPr>
                <w:sz w:val="22"/>
                <w:szCs w:val="22"/>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140,593</w:t>
            </w:r>
          </w:p>
        </w:tc>
        <w:tc>
          <w:tcPr>
            <w:tcW w:w="180" w:type="dxa"/>
            <w:vAlign w:val="bottom"/>
          </w:tcPr>
          <w:p>
            <w:pPr>
              <w:spacing w:after="0"/>
              <w:rPr>
                <w:sz w:val="22"/>
                <w:szCs w:val="22"/>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99.8 %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3,972,108</w:t>
            </w:r>
          </w:p>
        </w:tc>
        <w:tc>
          <w:tcPr>
            <w:tcW w:w="80" w:type="dxa"/>
            <w:vAlign w:val="bottom"/>
          </w:tcPr>
          <w:p>
            <w:pPr>
              <w:spacing w:after="0"/>
              <w:rPr>
                <w:sz w:val="22"/>
                <w:szCs w:val="22"/>
                <w:color w:val="auto"/>
              </w:rPr>
            </w:pPr>
          </w:p>
        </w:tc>
      </w:tr>
      <w:tr>
        <w:trPr>
          <w:trHeight w:val="257"/>
        </w:trPr>
        <w:tc>
          <w:tcPr>
            <w:tcW w:w="3280" w:type="dxa"/>
            <w:vAlign w:val="bottom"/>
            <w:gridSpan w:val="2"/>
            <w:shd w:val="clear" w:color="auto" w:fill="B6DDE8"/>
          </w:tcPr>
          <w:p>
            <w:pPr>
              <w:ind w:left="180"/>
              <w:spacing w:after="0"/>
              <w:rPr>
                <w:sz w:val="20"/>
                <w:szCs w:val="20"/>
                <w:color w:val="auto"/>
              </w:rPr>
            </w:pPr>
            <w:r>
              <w:rPr>
                <w:rFonts w:ascii="Times New Roman" w:cs="Times New Roman" w:eastAsia="Times New Roman" w:hAnsi="Times New Roman"/>
                <w:sz w:val="18"/>
                <w:szCs w:val="18"/>
                <w:color w:val="auto"/>
              </w:rPr>
              <w:t>Dipchand (Deep) Nishar</w:t>
            </w:r>
          </w:p>
        </w:tc>
        <w:tc>
          <w:tcPr>
            <w:tcW w:w="1900" w:type="dxa"/>
            <w:vAlign w:val="bottom"/>
            <w:shd w:val="clear" w:color="auto" w:fill="B6DDE8"/>
          </w:tcPr>
          <w:p>
            <w:pPr>
              <w:jc w:val="right"/>
              <w:ind w:right="70"/>
              <w:spacing w:after="0"/>
              <w:rPr>
                <w:sz w:val="20"/>
                <w:szCs w:val="20"/>
                <w:color w:val="auto"/>
              </w:rPr>
            </w:pPr>
            <w:r>
              <w:rPr>
                <w:rFonts w:ascii="Times New Roman" w:cs="Times New Roman" w:eastAsia="Times New Roman" w:hAnsi="Times New Roman"/>
                <w:sz w:val="18"/>
                <w:szCs w:val="18"/>
                <w:color w:val="auto"/>
              </w:rPr>
              <w:t>75,642,034</w:t>
            </w:r>
          </w:p>
        </w:tc>
        <w:tc>
          <w:tcPr>
            <w:tcW w:w="100" w:type="dxa"/>
            <w:vAlign w:val="bottom"/>
            <w:shd w:val="clear" w:color="auto" w:fill="B6DDE8"/>
          </w:tcPr>
          <w:p>
            <w:pPr>
              <w:spacing w:after="0"/>
              <w:rPr>
                <w:sz w:val="22"/>
                <w:szCs w:val="22"/>
                <w:color w:val="auto"/>
              </w:rPr>
            </w:pPr>
          </w:p>
        </w:tc>
        <w:tc>
          <w:tcPr>
            <w:tcW w:w="1960" w:type="dxa"/>
            <w:vAlign w:val="bottom"/>
            <w:shd w:val="clear" w:color="auto" w:fill="B6DDE8"/>
          </w:tcPr>
          <w:p>
            <w:pPr>
              <w:jc w:val="right"/>
              <w:ind w:right="90"/>
              <w:spacing w:after="0"/>
              <w:rPr>
                <w:sz w:val="20"/>
                <w:szCs w:val="20"/>
                <w:color w:val="auto"/>
              </w:rPr>
            </w:pPr>
            <w:r>
              <w:rPr>
                <w:rFonts w:ascii="Times New Roman" w:cs="Times New Roman" w:eastAsia="Times New Roman" w:hAnsi="Times New Roman"/>
                <w:sz w:val="18"/>
                <w:szCs w:val="18"/>
                <w:color w:val="auto"/>
              </w:rPr>
              <w:t>1,396,469</w:t>
            </w:r>
          </w:p>
        </w:tc>
        <w:tc>
          <w:tcPr>
            <w:tcW w:w="180" w:type="dxa"/>
            <w:vAlign w:val="bottom"/>
            <w:shd w:val="clear" w:color="auto" w:fill="B6DDE8"/>
          </w:tcPr>
          <w:p>
            <w:pPr>
              <w:spacing w:after="0"/>
              <w:rPr>
                <w:sz w:val="22"/>
                <w:szCs w:val="22"/>
                <w:color w:val="auto"/>
              </w:rPr>
            </w:pPr>
          </w:p>
        </w:tc>
        <w:tc>
          <w:tcPr>
            <w:tcW w:w="1840" w:type="dxa"/>
            <w:vAlign w:val="bottom"/>
            <w:shd w:val="clear" w:color="auto" w:fill="B6DDE8"/>
          </w:tcPr>
          <w:p>
            <w:pPr>
              <w:jc w:val="right"/>
              <w:ind w:right="150"/>
              <w:spacing w:after="0"/>
              <w:rPr>
                <w:sz w:val="20"/>
                <w:szCs w:val="20"/>
                <w:color w:val="auto"/>
              </w:rPr>
            </w:pPr>
            <w:r>
              <w:rPr>
                <w:rFonts w:ascii="Times New Roman" w:cs="Times New Roman" w:eastAsia="Times New Roman" w:hAnsi="Times New Roman"/>
                <w:sz w:val="18"/>
                <w:szCs w:val="18"/>
                <w:color w:val="auto"/>
              </w:rPr>
              <w:t>98.2 %</w:t>
            </w:r>
          </w:p>
        </w:tc>
        <w:tc>
          <w:tcPr>
            <w:tcW w:w="1800" w:type="dxa"/>
            <w:vAlign w:val="bottom"/>
            <w:shd w:val="clear" w:color="auto" w:fill="B6DDE8"/>
          </w:tcPr>
          <w:p>
            <w:pPr>
              <w:jc w:val="right"/>
              <w:spacing w:after="0"/>
              <w:rPr>
                <w:sz w:val="20"/>
                <w:szCs w:val="20"/>
                <w:color w:val="auto"/>
              </w:rPr>
            </w:pPr>
            <w:r>
              <w:rPr>
                <w:rFonts w:ascii="Times New Roman" w:cs="Times New Roman" w:eastAsia="Times New Roman" w:hAnsi="Times New Roman"/>
                <w:sz w:val="18"/>
                <w:szCs w:val="18"/>
                <w:color w:val="auto"/>
              </w:rPr>
              <w:t>3,972,108</w:t>
            </w:r>
          </w:p>
        </w:tc>
        <w:tc>
          <w:tcPr>
            <w:tcW w:w="80" w:type="dxa"/>
            <w:vAlign w:val="bottom"/>
          </w:tcPr>
          <w:p>
            <w:pPr>
              <w:spacing w:after="0"/>
              <w:rPr>
                <w:sz w:val="22"/>
                <w:szCs w:val="2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Appointment of Independent Registered Public Accounting Firm</w:t>
      </w:r>
    </w:p>
    <w:p>
      <w:pPr>
        <w:spacing w:after="0" w:line="24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2022 by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0" w:type="dxa"/>
            <w:vAlign w:val="bottom"/>
            <w:tcBorders>
              <w:bottom w:val="single" w:sz="8" w:color="B6DDE8"/>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3"/>
        </w:trPr>
        <w:tc>
          <w:tcPr>
            <w:tcW w:w="2480" w:type="dxa"/>
            <w:vAlign w:val="bottom"/>
            <w:shd w:val="clear" w:color="auto" w:fill="B6DDE8"/>
          </w:tcPr>
          <w:p>
            <w:pPr>
              <w:jc w:val="right"/>
              <w:ind w:right="750"/>
              <w:spacing w:after="0"/>
              <w:rPr>
                <w:sz w:val="20"/>
                <w:szCs w:val="20"/>
                <w:color w:val="auto"/>
              </w:rPr>
            </w:pPr>
            <w:r>
              <w:rPr>
                <w:rFonts w:ascii="Times New Roman" w:cs="Times New Roman" w:eastAsia="Times New Roman" w:hAnsi="Times New Roman"/>
                <w:sz w:val="18"/>
                <w:szCs w:val="18"/>
                <w:color w:val="auto"/>
              </w:rPr>
              <w:t>81,003,353</w:t>
            </w:r>
          </w:p>
        </w:tc>
        <w:tc>
          <w:tcPr>
            <w:tcW w:w="100" w:type="dxa"/>
            <w:vAlign w:val="bottom"/>
            <w:shd w:val="clear" w:color="auto" w:fill="B6DDE8"/>
          </w:tcPr>
          <w:p>
            <w:pPr>
              <w:spacing w:after="0"/>
              <w:rPr>
                <w:sz w:val="19"/>
                <w:szCs w:val="19"/>
                <w:color w:val="auto"/>
              </w:rPr>
            </w:pPr>
          </w:p>
        </w:tc>
        <w:tc>
          <w:tcPr>
            <w:tcW w:w="2740" w:type="dxa"/>
            <w:vAlign w:val="bottom"/>
            <w:shd w:val="clear" w:color="auto" w:fill="B6DDE8"/>
          </w:tcPr>
          <w:p>
            <w:pPr>
              <w:jc w:val="right"/>
              <w:ind w:right="107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shd w:val="clear" w:color="auto" w:fill="B6DDE8"/>
          </w:tcPr>
          <w:p>
            <w:pPr>
              <w:spacing w:after="0"/>
              <w:rPr>
                <w:sz w:val="19"/>
                <w:szCs w:val="19"/>
                <w:color w:val="auto"/>
              </w:rPr>
            </w:pPr>
          </w:p>
        </w:tc>
        <w:tc>
          <w:tcPr>
            <w:tcW w:w="2440" w:type="dxa"/>
            <w:vAlign w:val="bottom"/>
            <w:shd w:val="clear" w:color="auto" w:fill="B6DDE8"/>
          </w:tcPr>
          <w:p>
            <w:pPr>
              <w:jc w:val="right"/>
              <w:ind w:right="990"/>
              <w:spacing w:after="0"/>
              <w:rPr>
                <w:sz w:val="20"/>
                <w:szCs w:val="20"/>
                <w:color w:val="auto"/>
              </w:rPr>
            </w:pPr>
            <w:r>
              <w:rPr>
                <w:rFonts w:ascii="Times New Roman" w:cs="Times New Roman" w:eastAsia="Times New Roman" w:hAnsi="Times New Roman"/>
                <w:sz w:val="18"/>
                <w:szCs w:val="18"/>
                <w:color w:val="auto"/>
              </w:rPr>
              <w:t>5,006</w:t>
            </w:r>
          </w:p>
        </w:tc>
        <w:tc>
          <w:tcPr>
            <w:tcW w:w="180" w:type="dxa"/>
            <w:vAlign w:val="bottom"/>
            <w:shd w:val="clear" w:color="auto" w:fill="B6DDE8"/>
          </w:tcPr>
          <w:p>
            <w:pPr>
              <w:spacing w:after="0"/>
              <w:rPr>
                <w:sz w:val="19"/>
                <w:szCs w:val="19"/>
                <w:color w:val="auto"/>
              </w:rPr>
            </w:pPr>
          </w:p>
        </w:tc>
        <w:tc>
          <w:tcPr>
            <w:tcW w:w="2420" w:type="dxa"/>
            <w:vAlign w:val="bottom"/>
            <w:shd w:val="clear" w:color="auto" w:fill="B6DDE8"/>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Three – Non-binding, Advisory Vote on Frequency of Advisory Votes on Executive Compensation</w:t>
      </w:r>
    </w:p>
    <w:p>
      <w:pPr>
        <w:spacing w:after="0" w:line="243" w:lineRule="exact"/>
        <w:rPr>
          <w:sz w:val="20"/>
          <w:szCs w:val="20"/>
          <w:color w:val="auto"/>
        </w:rPr>
      </w:pPr>
    </w:p>
    <w:p>
      <w:pPr>
        <w:ind w:right="520" w:firstLine="648"/>
        <w:spacing w:after="0" w:line="263" w:lineRule="auto"/>
        <w:rPr>
          <w:sz w:val="20"/>
          <w:szCs w:val="20"/>
          <w:color w:val="auto"/>
        </w:rPr>
      </w:pPr>
      <w:r>
        <w:rPr>
          <w:rFonts w:ascii="Times New Roman" w:cs="Times New Roman" w:eastAsia="Times New Roman" w:hAnsi="Times New Roman"/>
          <w:sz w:val="18"/>
          <w:szCs w:val="18"/>
          <w:color w:val="auto"/>
        </w:rPr>
        <w:t>The Company’s stockholders elected to approve, on a non-binding advisory basis, the frequency of future stockholder advisory votes on the compensation Company’s named executive officers. The voting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20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B6DD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B6DD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3"/>
        </w:trPr>
        <w:tc>
          <w:tcPr>
            <w:tcW w:w="1760" w:type="dxa"/>
            <w:vAlign w:val="bottom"/>
            <w:shd w:val="clear" w:color="auto" w:fill="B6DDE8"/>
          </w:tcPr>
          <w:p>
            <w:pPr>
              <w:jc w:val="right"/>
              <w:ind w:right="390"/>
              <w:spacing w:after="0"/>
              <w:rPr>
                <w:sz w:val="20"/>
                <w:szCs w:val="20"/>
                <w:color w:val="auto"/>
              </w:rPr>
            </w:pPr>
            <w:r>
              <w:rPr>
                <w:rFonts w:ascii="Times New Roman" w:cs="Times New Roman" w:eastAsia="Times New Roman" w:hAnsi="Times New Roman"/>
                <w:sz w:val="18"/>
                <w:szCs w:val="18"/>
                <w:color w:val="auto"/>
              </w:rPr>
              <w:t>24,429,117</w:t>
            </w:r>
          </w:p>
        </w:tc>
        <w:tc>
          <w:tcPr>
            <w:tcW w:w="100" w:type="dxa"/>
            <w:vAlign w:val="bottom"/>
            <w:shd w:val="clear" w:color="auto" w:fill="B6DDE8"/>
          </w:tcPr>
          <w:p>
            <w:pPr>
              <w:spacing w:after="0"/>
              <w:rPr>
                <w:sz w:val="19"/>
                <w:szCs w:val="19"/>
                <w:color w:val="auto"/>
              </w:rPr>
            </w:pPr>
          </w:p>
        </w:tc>
        <w:tc>
          <w:tcPr>
            <w:tcW w:w="1960" w:type="dxa"/>
            <w:vAlign w:val="bottom"/>
            <w:shd w:val="clear" w:color="auto" w:fill="B6DDE8"/>
          </w:tcPr>
          <w:p>
            <w:pPr>
              <w:jc w:val="right"/>
              <w:ind w:right="530"/>
              <w:spacing w:after="0"/>
              <w:rPr>
                <w:sz w:val="20"/>
                <w:szCs w:val="20"/>
                <w:color w:val="auto"/>
              </w:rPr>
            </w:pPr>
            <w:r>
              <w:rPr>
                <w:rFonts w:ascii="Times New Roman" w:cs="Times New Roman" w:eastAsia="Times New Roman" w:hAnsi="Times New Roman"/>
                <w:sz w:val="18"/>
                <w:szCs w:val="18"/>
                <w:color w:val="auto"/>
              </w:rPr>
              <w:t>4,389,871</w:t>
            </w:r>
          </w:p>
        </w:tc>
        <w:tc>
          <w:tcPr>
            <w:tcW w:w="100" w:type="dxa"/>
            <w:vAlign w:val="bottom"/>
            <w:shd w:val="clear" w:color="auto" w:fill="B6DDE8"/>
          </w:tcPr>
          <w:p>
            <w:pPr>
              <w:spacing w:after="0"/>
              <w:rPr>
                <w:sz w:val="19"/>
                <w:szCs w:val="19"/>
                <w:color w:val="auto"/>
              </w:rPr>
            </w:pPr>
          </w:p>
        </w:tc>
        <w:tc>
          <w:tcPr>
            <w:tcW w:w="1980" w:type="dxa"/>
            <w:vAlign w:val="bottom"/>
            <w:shd w:val="clear" w:color="auto" w:fill="B6DDE8"/>
          </w:tcPr>
          <w:p>
            <w:pPr>
              <w:jc w:val="right"/>
              <w:ind w:right="490"/>
              <w:spacing w:after="0"/>
              <w:rPr>
                <w:sz w:val="20"/>
                <w:szCs w:val="20"/>
                <w:color w:val="auto"/>
              </w:rPr>
            </w:pPr>
            <w:r>
              <w:rPr>
                <w:rFonts w:ascii="Times New Roman" w:cs="Times New Roman" w:eastAsia="Times New Roman" w:hAnsi="Times New Roman"/>
                <w:sz w:val="18"/>
                <w:szCs w:val="18"/>
                <w:color w:val="auto"/>
              </w:rPr>
              <w:t>48,204,382</w:t>
            </w:r>
          </w:p>
        </w:tc>
        <w:tc>
          <w:tcPr>
            <w:tcW w:w="80" w:type="dxa"/>
            <w:vAlign w:val="bottom"/>
            <w:shd w:val="clear" w:color="auto" w:fill="B6DDE8"/>
          </w:tcPr>
          <w:p>
            <w:pPr>
              <w:spacing w:after="0"/>
              <w:rPr>
                <w:sz w:val="19"/>
                <w:szCs w:val="19"/>
                <w:color w:val="auto"/>
              </w:rPr>
            </w:pPr>
          </w:p>
        </w:tc>
        <w:tc>
          <w:tcPr>
            <w:tcW w:w="1820" w:type="dxa"/>
            <w:vAlign w:val="bottom"/>
            <w:shd w:val="clear" w:color="auto" w:fill="B6DDE8"/>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DDE8"/>
          </w:tcPr>
          <w:p>
            <w:pPr>
              <w:spacing w:after="0"/>
              <w:rPr>
                <w:sz w:val="19"/>
                <w:szCs w:val="19"/>
                <w:color w:val="auto"/>
              </w:rPr>
            </w:pPr>
          </w:p>
        </w:tc>
        <w:tc>
          <w:tcPr>
            <w:tcW w:w="2400" w:type="dxa"/>
            <w:vAlign w:val="bottom"/>
            <w:shd w:val="clear" w:color="auto" w:fill="B6DDE8"/>
          </w:tcPr>
          <w:p>
            <w:pPr>
              <w:jc w:val="right"/>
              <w:ind w:right="830"/>
              <w:spacing w:after="0"/>
              <w:rPr>
                <w:sz w:val="20"/>
                <w:szCs w:val="20"/>
                <w:color w:val="auto"/>
              </w:rPr>
            </w:pPr>
            <w:r>
              <w:rPr>
                <w:rFonts w:ascii="Times New Roman" w:cs="Times New Roman" w:eastAsia="Times New Roman" w:hAnsi="Times New Roman"/>
                <w:sz w:val="18"/>
                <w:szCs w:val="18"/>
                <w:color w:val="auto"/>
              </w:rPr>
              <w:t>3,987,241</w:t>
            </w: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frequency of three years received the highest number of votes cast by stockholders at the Annual Meeting. Based on the recommendation of the board of directors of the Company in the proxy statement for the Annual Meeting and these advisory vote results, the Company will hold future Say-on-Pay votes every three years until the next required non-binding advisory vote on the frequency of Say-on-Pay votes, which is required to occur no later than the Company’s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57"/>
        </w:trPr>
        <w:tc>
          <w:tcPr>
            <w:tcW w:w="14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60" w:type="dxa"/>
            <w:vAlign w:val="bottom"/>
          </w:tcPr>
          <w:p>
            <w:pPr>
              <w:spacing w:after="0"/>
              <w:rPr>
                <w:sz w:val="22"/>
                <w:szCs w:val="22"/>
                <w:color w:val="auto"/>
              </w:rPr>
            </w:pPr>
          </w:p>
        </w:tc>
        <w:tc>
          <w:tcPr>
            <w:tcW w:w="916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63"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8"/>
          <w:szCs w:val="18"/>
          <w:color w:val="auto"/>
        </w:rPr>
        <w:t>104</w:t>
        <w:tab/>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4427855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97" w:lineRule="exact"/>
        <w:rPr>
          <w:sz w:val="20"/>
          <w:szCs w:val="20"/>
          <w:color w:val="auto"/>
        </w:rPr>
      </w:pPr>
    </w:p>
    <w:p>
      <w:pPr>
        <w:ind w:left="3180"/>
        <w:spacing w:after="0"/>
        <w:tabs>
          <w:tab w:leader="none" w:pos="5740" w:val="left"/>
          <w:tab w:leader="none" w:pos="6660" w:val="left"/>
        </w:tabs>
        <w:rPr>
          <w:sz w:val="20"/>
          <w:szCs w:val="20"/>
          <w:color w:val="auto"/>
        </w:rPr>
      </w:pPr>
      <w:r>
        <w:rPr>
          <w:rFonts w:ascii="Times New Roman" w:cs="Times New Roman" w:eastAsia="Times New Roman" w:hAnsi="Times New Roman"/>
          <w:sz w:val="18"/>
          <w:szCs w:val="18"/>
          <w:color w:val="auto"/>
        </w:rPr>
        <w:t>Date: June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80"/>
      </w:cols>
      <w:pgMar w:left="32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2022-06-17T15:41:44Z</dcterms:created>
  <dcterms:modified xsi:type="dcterms:W3CDTF">2022-06-17T15:41:44Z</dcterms:modified>
</cp:coreProperties>
</file>