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0001726445</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Seer Biosciences,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Seer Biosciences,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 FOLEY HOAG LLP</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BOSTON</w:t>
      </w:r>
      <w:r>
        <w:rPr>
          <w:sz w:val="20"/>
          <w:szCs w:val="20"/>
          <w:color w:val="auto"/>
        </w:rPr>
        <w:tab/>
      </w:r>
      <w:r>
        <w:rPr>
          <w:rFonts w:ascii="Arial" w:cs="Arial" w:eastAsia="Arial" w:hAnsi="Arial"/>
          <w:sz w:val="22"/>
          <w:szCs w:val="22"/>
          <w:color w:val="auto"/>
        </w:rPr>
        <w:t>MASSACHUSETTS</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155 SEAPORT BLVD</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02210</w:t>
      </w:r>
      <w:r>
        <w:rPr>
          <w:sz w:val="20"/>
          <w:szCs w:val="20"/>
          <w:color w:val="auto"/>
        </w:rPr>
        <w:tab/>
      </w:r>
      <w:r>
        <w:rPr>
          <w:rFonts w:ascii="Arial" w:cs="Arial" w:eastAsia="Arial" w:hAnsi="Arial"/>
          <w:sz w:val="22"/>
          <w:szCs w:val="22"/>
          <w:color w:val="auto"/>
        </w:rPr>
        <w:t>408-307-1702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Farokhzad</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Omid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Foley Hoag LLP</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155 Seaport Boulevard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Boston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02210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Langer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Foley Hoag LLP</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155 Seaport Boulevard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Boston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02210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McGuire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Terrance</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Foley Hoag LLP</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155 Seaport Boulevard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Boston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02210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Singer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Foley Hoag LLP</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155 Seaport Boulevard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Boston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02210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Philip</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Foley Hoag LLP</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155 Seaport Boulevard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Boston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02210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Aryanpour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Shadi</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Foley Hoag LLP</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155 Seaport Boulevard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Boston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02210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2017-12-20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4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80" w:type="dxa"/>
            <w:vAlign w:val="bottom"/>
          </w:tcPr>
          <w:p>
            <w:pPr>
              <w:spacing w:after="0"/>
              <w:rPr>
                <w:sz w:val="23"/>
                <w:szCs w:val="23"/>
                <w:color w:val="auto"/>
              </w:rPr>
            </w:pPr>
          </w:p>
        </w:tc>
      </w:tr>
      <w:tr>
        <w:trPr>
          <w:trHeight w:val="540"/>
        </w:trPr>
        <w:tc>
          <w:tcPr>
            <w:tcW w:w="564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3180" w:type="dxa"/>
            <w:vAlign w:val="bottom"/>
          </w:tcPr>
          <w:p>
            <w:pPr>
              <w:ind w:left="140"/>
              <w:spacing w:after="0"/>
              <w:rPr>
                <w:sz w:val="20"/>
                <w:szCs w:val="20"/>
                <w:color w:val="auto"/>
              </w:rPr>
            </w:pPr>
            <w:r>
              <w:rPr>
                <w:rFonts w:ascii="Arial" w:cs="Arial" w:eastAsia="Arial" w:hAnsi="Arial"/>
                <w:sz w:val="22"/>
                <w:szCs w:val="22"/>
                <w:color w:val="auto"/>
              </w:rPr>
              <w:t>Yes X No</w:t>
            </w: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4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80" w:type="dxa"/>
            <w:vAlign w:val="bottom"/>
          </w:tcPr>
          <w:p>
            <w:pPr>
              <w:spacing w:after="0"/>
              <w:rPr>
                <w:sz w:val="24"/>
                <w:szCs w:val="24"/>
                <w:color w:val="auto"/>
              </w:rPr>
            </w:pPr>
          </w:p>
        </w:tc>
      </w:tr>
      <w:tr>
        <w:trPr>
          <w:trHeight w:val="500"/>
        </w:trPr>
        <w:tc>
          <w:tcPr>
            <w:tcW w:w="564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80" w:type="dxa"/>
            <w:vAlign w:val="bottom"/>
          </w:tcPr>
          <w:p>
            <w:pPr>
              <w:ind w:left="28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Debt</w:t>
            </w:r>
          </w:p>
        </w:tc>
        <w:tc>
          <w:tcPr>
            <w:tcW w:w="3180" w:type="dxa"/>
            <w:vAlign w:val="bottom"/>
          </w:tcPr>
          <w:p>
            <w:pPr>
              <w:ind w:left="28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w w:val="93"/>
              </w:rPr>
              <w:t>Option, Warrant or Other Right to Acquire Another Security</w:t>
            </w:r>
          </w:p>
        </w:tc>
        <w:tc>
          <w:tcPr>
            <w:tcW w:w="3180" w:type="dxa"/>
            <w:vAlign w:val="bottom"/>
          </w:tcPr>
          <w:p>
            <w:pPr>
              <w:ind w:left="280"/>
              <w:spacing w:after="0"/>
              <w:rPr>
                <w:sz w:val="20"/>
                <w:szCs w:val="20"/>
                <w:color w:val="auto"/>
              </w:rPr>
            </w:pPr>
            <w:r>
              <w:rPr>
                <w:rFonts w:ascii="Arial" w:cs="Arial" w:eastAsia="Arial" w:hAnsi="Arial"/>
                <w:sz w:val="22"/>
                <w:szCs w:val="22"/>
                <w:color w:val="auto"/>
              </w:rPr>
              <w:t>Mineral Property Securities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10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80" w:type="dxa"/>
            <w:vAlign w:val="bottom"/>
            <w:gridSpan w:val="2"/>
          </w:tcPr>
          <w:p>
            <w:pPr>
              <w:ind w:left="80"/>
              <w:spacing w:after="0"/>
              <w:rPr>
                <w:sz w:val="20"/>
                <w:szCs w:val="20"/>
                <w:color w:val="auto"/>
              </w:rPr>
            </w:pPr>
            <w:r>
              <w:rPr>
                <w:rFonts w:ascii="Arial" w:cs="Arial" w:eastAsia="Arial" w:hAnsi="Arial"/>
                <w:sz w:val="22"/>
                <w:szCs w:val="22"/>
                <w:color w:val="auto"/>
                <w:w w:val="91"/>
              </w:rPr>
              <w:t>(Associated) Broker or Dealer X None</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2"/>
              </w:rPr>
              <w:t>Street Address 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25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3"/>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566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566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$6,000,000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56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$6,000,000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56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43"/>
              <w:spacing w:after="0" w:line="179" w:lineRule="exact"/>
              <w:rPr>
                <w:sz w:val="20"/>
                <w:szCs w:val="20"/>
                <w:color w:val="auto"/>
              </w:rPr>
            </w:pPr>
            <w:r>
              <w:rPr>
                <w:rFonts w:ascii="Arial" w:cs="Arial" w:eastAsia="Arial" w:hAnsi="Arial"/>
                <w:sz w:val="19"/>
                <w:szCs w:val="19"/>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$425,000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Some of the directors and officers of the Issuer listed in Item 3 will receive compensation in connection with their service or employment with the Issuer.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636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63627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38" w:orient="portrait"/>
          <w:cols w:equalWidth="0" w:num="1">
            <w:col w:w="11380"/>
          </w:cols>
          <w:pgMar w:left="240" w:top="118" w:right="279" w:bottom="0" w:gutter="0" w:footer="0" w:header="0"/>
          <w:type w:val="continuous"/>
        </w:sectPr>
      </w:pPr>
    </w:p>
    <w:bookmarkStart w:id="4" w:name="page5"/>
    <w:bookmarkEnd w:id="4"/>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-1563370</wp:posOffset>
            </wp:positionV>
            <wp:extent cx="7246620" cy="2152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pacing w:after="0" w:line="14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46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46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2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4080" w:type="dxa"/>
            <w:vAlign w:val="bottom"/>
            <w:tcBorders>
              <w:top w:val="single" w:sz="8" w:color="2C2C2C"/>
              <w:bottom w:val="single" w:sz="8" w:color="808080"/>
            </w:tcBorders>
          </w:tcPr>
          <w:p>
            <w:pPr>
              <w:ind w:left="18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Seer Biosciences, Inc.</w:t>
            </w:r>
          </w:p>
        </w:tc>
        <w:tc>
          <w:tcPr>
            <w:tcW w:w="40" w:type="dxa"/>
            <w:vAlign w:val="bottom"/>
          </w:tcPr>
          <w:p>
            <w:pPr>
              <w:spacing w:after="0"/>
              <w:rPr>
                <w:sz w:val="22"/>
                <w:szCs w:val="22"/>
                <w:color w:val="auto"/>
              </w:rPr>
            </w:pPr>
          </w:p>
        </w:tc>
        <w:tc>
          <w:tcPr>
            <w:tcW w:w="14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Philip Ma</w:t>
            </w:r>
          </w:p>
        </w:tc>
        <w:tc>
          <w:tcPr>
            <w:tcW w:w="4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Philip Ma</w:t>
            </w:r>
          </w:p>
        </w:tc>
        <w:tc>
          <w:tcPr>
            <w:tcW w:w="20" w:type="dxa"/>
            <w:vAlign w:val="bottom"/>
          </w:tcPr>
          <w:p>
            <w:pPr>
              <w:spacing w:after="0"/>
              <w:rPr>
                <w:sz w:val="22"/>
                <w:szCs w:val="22"/>
                <w:color w:val="auto"/>
              </w:rPr>
            </w:pPr>
          </w:p>
        </w:tc>
        <w:tc>
          <w:tcPr>
            <w:tcW w:w="4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 and Chief Business Officer</w:t>
            </w:r>
          </w:p>
        </w:tc>
        <w:tc>
          <w:tcPr>
            <w:tcW w:w="2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2018-01-04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2"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2020-01-13T21:38:34Z</dcterms:created>
  <dcterms:modified xsi:type="dcterms:W3CDTF">2020-01-13T21:38:34Z</dcterms:modified>
</cp:coreProperties>
</file>