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SCHEDULE 14A</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(Rule 14a-101)</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INFORMATION REQUIRED IN PROXY STATEMENT</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SCHEDULE 14A INFORMATION</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color w:val="auto"/>
        </w:rPr>
        <w:t>Proxy Statement Pursuant to Section 14(a) of the Securities Exchange Act of 1934</w:t>
      </w:r>
    </w:p>
    <w:p>
      <w:pPr>
        <w:spacing w:after="0" w:line="16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2"/>
          <w:szCs w:val="12"/>
          <w:color w:val="auto"/>
        </w:rPr>
        <w:t>(Amendment No. )</w:t>
      </w:r>
    </w:p>
    <w:p>
      <w:pPr>
        <w:spacing w:after="0" w:line="12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15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50" w:lineRule="exact"/>
        <w:rPr>
          <w:sz w:val="24"/>
          <w:szCs w:val="24"/>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150" w:lineRule="exact"/>
        <w:rPr>
          <w:rFonts w:ascii="MS PGothic" w:cs="MS PGothic" w:eastAsia="MS PGothic" w:hAnsi="MS PGothic"/>
          <w:sz w:val="12"/>
          <w:szCs w:val="12"/>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150" w:lineRule="exact"/>
        <w:rPr>
          <w:rFonts w:ascii="MS PGothic" w:cs="MS PGothic" w:eastAsia="MS PGothic" w:hAnsi="MS PGothic"/>
          <w:sz w:val="12"/>
          <w:szCs w:val="12"/>
          <w:color w:val="auto"/>
        </w:rPr>
      </w:pPr>
    </w:p>
    <w:p>
      <w:pPr>
        <w:ind w:left="860" w:hanging="436"/>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150" w:lineRule="exact"/>
        <w:rPr>
          <w:sz w:val="24"/>
          <w:szCs w:val="24"/>
          <w:color w:val="auto"/>
        </w:rPr>
      </w:pPr>
    </w:p>
    <w:p>
      <w:pPr>
        <w:ind w:left="860" w:hanging="436"/>
        <w:spacing w:after="0"/>
        <w:tabs>
          <w:tab w:leader="none" w:pos="8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168" w:lineRule="exact"/>
        <w:rPr>
          <w:sz w:val="24"/>
          <w:szCs w:val="24"/>
          <w:color w:val="auto"/>
        </w:rPr>
      </w:pPr>
    </w:p>
    <w:p>
      <w:pPr>
        <w:ind w:left="860" w:hanging="436"/>
        <w:spacing w:after="0"/>
        <w:tabs>
          <w:tab w:leader="none" w:pos="86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Under § 240.14a-12</w:t>
      </w:r>
    </w:p>
    <w:p>
      <w:pPr>
        <w:spacing w:after="0" w:line="1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BRADLEY L. RADOFF</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THE RADOFF FAMILY FOUNDATION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JEC II ASSOCIATES, LLC</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THE MOS TRUST</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MOS PTC, LLC</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MICHAEL TOROK</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HOWARD H. BERMAN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JOSHUA S. HOROWITZ</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ind w:left="3880"/>
        <w:spacing w:after="0"/>
        <w:rPr>
          <w:sz w:val="20"/>
          <w:szCs w:val="20"/>
          <w:color w:val="auto"/>
        </w:rPr>
      </w:pPr>
      <w:r>
        <w:rPr>
          <w:rFonts w:ascii="Times New Roman" w:cs="Times New Roman" w:eastAsia="Times New Roman" w:hAnsi="Times New Roman"/>
          <w:sz w:val="12"/>
          <w:szCs w:val="12"/>
          <w:color w:val="auto"/>
        </w:rPr>
        <w:t>(Name of Persons(s) Filing Proxy Statement, if other than the Registrant)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50" w:lineRule="exact"/>
        <w:rPr>
          <w:sz w:val="24"/>
          <w:szCs w:val="24"/>
          <w:color w:val="auto"/>
        </w:rPr>
      </w:pPr>
    </w:p>
    <w:p>
      <w:pPr>
        <w:ind w:left="860" w:hanging="436"/>
        <w:spacing w:after="0"/>
        <w:tabs>
          <w:tab w:leader="none" w:pos="86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68" w:lineRule="exact"/>
        <w:rPr>
          <w:sz w:val="24"/>
          <w:szCs w:val="24"/>
          <w:color w:val="auto"/>
        </w:rPr>
      </w:pPr>
    </w:p>
    <w:p>
      <w:pPr>
        <w:ind w:left="860" w:hanging="436"/>
        <w:spacing w:after="0"/>
        <w:tabs>
          <w:tab w:leader="none" w:pos="86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168" w:lineRule="exact"/>
        <w:rPr>
          <w:rFonts w:ascii="MS PGothic" w:cs="MS PGothic" w:eastAsia="MS PGothic" w:hAnsi="MS PGothic"/>
          <w:sz w:val="12"/>
          <w:szCs w:val="12"/>
          <w:color w:val="auto"/>
        </w:rPr>
      </w:pPr>
    </w:p>
    <w:p>
      <w:pPr>
        <w:ind w:left="860" w:hanging="436"/>
        <w:spacing w:after="0"/>
        <w:tabs>
          <w:tab w:leader="none" w:pos="86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7" w:right="1440" w:bottom="1440" w:gutter="0" w:footer="0" w:header="0"/>
        </w:sectPr>
      </w:pPr>
    </w:p>
    <w:bookmarkStart w:id="1" w:name="page2"/>
    <w:bookmarkEnd w:id="1"/>
    <w:p>
      <w:pPr>
        <w:ind w:left="8" w:firstLine="432"/>
        <w:spacing w:after="0" w:line="286" w:lineRule="auto"/>
        <w:rPr>
          <w:sz w:val="20"/>
          <w:szCs w:val="20"/>
          <w:color w:val="auto"/>
        </w:rPr>
      </w:pPr>
      <w:r>
        <w:rPr>
          <w:rFonts w:ascii="Times New Roman" w:cs="Times New Roman" w:eastAsia="Times New Roman" w:hAnsi="Times New Roman"/>
          <w:sz w:val="12"/>
          <w:szCs w:val="12"/>
          <w:color w:val="auto"/>
        </w:rPr>
        <w:t xml:space="preserve">Bradley L. Radoff, Michael Torok and the other participants named herein (collectively, the “Radoff-JEC Group”) have filed a definitive proxy statement and accompanying </w:t>
      </w:r>
      <w:r>
        <w:rPr>
          <w:rFonts w:ascii="Times New Roman" w:cs="Times New Roman" w:eastAsia="Times New Roman" w:hAnsi="Times New Roman"/>
          <w:sz w:val="12"/>
          <w:szCs w:val="12"/>
          <w:b w:val="1"/>
          <w:bCs w:val="1"/>
          <w:color w:val="auto"/>
        </w:rPr>
        <w:t>WHITE</w:t>
      </w:r>
      <w:r>
        <w:rPr>
          <w:rFonts w:ascii="Times New Roman" w:cs="Times New Roman" w:eastAsia="Times New Roman" w:hAnsi="Times New Roman"/>
          <w:sz w:val="12"/>
          <w:szCs w:val="12"/>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Item 1: On June 29, 2026, the Radoff-JEC Group issued the following press release:</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The Radoff-JEC Group Releases Presentation Highlighting Why Seer, Inc. Stockholders Should Vote for Boardroom Change</w:t>
      </w:r>
    </w:p>
    <w:p>
      <w:pPr>
        <w:spacing w:after="0" w:line="151" w:lineRule="exact"/>
        <w:rPr>
          <w:sz w:val="20"/>
          <w:szCs w:val="20"/>
          <w:color w:val="auto"/>
        </w:rPr>
      </w:pPr>
    </w:p>
    <w:p>
      <w:pPr>
        <w:jc w:val="center"/>
        <w:ind w:right="12"/>
        <w:spacing w:after="0" w:line="283" w:lineRule="auto"/>
        <w:rPr>
          <w:sz w:val="20"/>
          <w:szCs w:val="20"/>
          <w:color w:val="auto"/>
        </w:rPr>
      </w:pPr>
      <w:r>
        <w:rPr>
          <w:rFonts w:ascii="Times New Roman" w:cs="Times New Roman" w:eastAsia="Times New Roman" w:hAnsi="Times New Roman"/>
          <w:sz w:val="12"/>
          <w:szCs w:val="12"/>
          <w:i w:val="1"/>
          <w:iCs w:val="1"/>
          <w:color w:val="auto"/>
        </w:rPr>
        <w:t>Details How Chair and CEO Omid Farokhzad, M.D., Compensation Committee Chair Terrance McGuire and Director Deep Nishar Have Burned More Than $310 Million in Cash, Adopted an Anti-Stockholder Poison Pill and Paid Themselves Excessively While Overseeing a 97% Decline in Seer’s Share Price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Urges Stockholders to Elect Howard H. Berman, Ph.D., Joshua S. Horowitz and Luis E. Rinaldini to Help Prevent Further Value Destruction</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HOUSTON--(BUSINESS WIRE)--Bradley L. Radoff and Michael Torok (together with certain of their affiliates, the “Radoff-JEC Group” or “we”), who collectively own approximately 7.7% of the outstanding shares of Seer, Inc.</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(NASDAQ: SEER) (“Seer” or the “Company”), today released </w:t>
      </w:r>
      <w:r>
        <w:rPr>
          <w:rFonts w:ascii="Times New Roman" w:cs="Times New Roman" w:eastAsia="Times New Roman" w:hAnsi="Times New Roman"/>
          <w:sz w:val="12"/>
          <w:szCs w:val="12"/>
          <w:b w:val="1"/>
          <w:bCs w:val="1"/>
          <w:u w:val="single" w:color="auto"/>
          <w:color w:val="0000FF"/>
        </w:rPr>
        <w:t>a presentation</w:t>
      </w:r>
      <w:r>
        <w:rPr>
          <w:rFonts w:ascii="Times New Roman" w:cs="Times New Roman" w:eastAsia="Times New Roman" w:hAnsi="Times New Roman"/>
          <w:sz w:val="12"/>
          <w:szCs w:val="12"/>
          <w:color w:val="auto"/>
        </w:rPr>
        <w:t xml:space="preserve"> detailing the urgent case for boardroom change at Seer.</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presentation highlights why stockholders should replace Chair and CEO Omid Farokhzad, M.D., Terrance McGuire and Deep Nishar by electing Howard H. Berman, Ph.D., Joshua S. Horowitz and Luis E. Rinaldini to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Company’s Board of Directors (the “Board”) at the upcoming annual meeting scheduled to be held on July 28, 2026:</w:t>
      </w:r>
    </w:p>
    <w:p>
      <w:pPr>
        <w:spacing w:after="0" w:line="139" w:lineRule="exact"/>
        <w:rPr>
          <w:sz w:val="20"/>
          <w:szCs w:val="20"/>
          <w:color w:val="auto"/>
        </w:rPr>
      </w:pPr>
    </w:p>
    <w:p>
      <w:pPr>
        <w:jc w:val="both"/>
        <w:ind w:left="428" w:hanging="212"/>
        <w:spacing w:after="0" w:line="278" w:lineRule="auto"/>
        <w:tabs>
          <w:tab w:leader="none" w:pos="428"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 xml:space="preserve">Dr. Farokhzad has been the Chair and CEO of Seer since its IPO. Until December of 2025, Dr. Farokhzad effectively had control of Seer through his ownership of nearly 40% of Seer’s total voting power through his then super-voting Class B shares. As such, we believe that Dr. Farokhzad is accountable for </w:t>
      </w:r>
      <w:r>
        <w:rPr>
          <w:rFonts w:ascii="Times New Roman" w:cs="Times New Roman" w:eastAsia="Times New Roman" w:hAnsi="Times New Roman"/>
          <w:sz w:val="12"/>
          <w:szCs w:val="12"/>
          <w:b w:val="1"/>
          <w:bCs w:val="1"/>
          <w:color w:val="auto"/>
        </w:rPr>
        <w:t>ALL</w:t>
      </w:r>
      <w:r>
        <w:rPr>
          <w:rFonts w:ascii="Times New Roman" w:cs="Times New Roman" w:eastAsia="Times New Roman" w:hAnsi="Times New Roman"/>
          <w:sz w:val="12"/>
          <w:szCs w:val="12"/>
          <w:color w:val="auto"/>
        </w:rPr>
        <w:t xml:space="preserve"> of the failures at Seer – from its failed strategy to its operating losses and cash burn, and ultimately, to the 97% decline in Seer’s share price.</w:t>
      </w:r>
      <w:r>
        <w:rPr>
          <w:rFonts w:ascii="Times New Roman" w:cs="Times New Roman" w:eastAsia="Times New Roman" w:hAnsi="Times New Roman"/>
          <w:sz w:val="19"/>
          <w:szCs w:val="19"/>
          <w:color w:val="auto"/>
          <w:vertAlign w:val="superscript"/>
        </w:rPr>
        <w:t>1</w:t>
      </w:r>
    </w:p>
    <w:p>
      <w:pPr>
        <w:spacing w:after="0" w:line="29" w:lineRule="exact"/>
        <w:rPr>
          <w:rFonts w:ascii="Arial" w:cs="Arial" w:eastAsia="Arial" w:hAnsi="Arial"/>
          <w:sz w:val="12"/>
          <w:szCs w:val="12"/>
          <w:b w:val="1"/>
          <w:bCs w:val="1"/>
          <w:color w:val="auto"/>
        </w:rPr>
      </w:pPr>
    </w:p>
    <w:p>
      <w:pPr>
        <w:ind w:left="428" w:right="20" w:hanging="212"/>
        <w:spacing w:after="0" w:line="278" w:lineRule="auto"/>
        <w:tabs>
          <w:tab w:leader="none" w:pos="428" w:val="left"/>
        </w:tabs>
        <w:numPr>
          <w:ilvl w:val="0"/>
          <w:numId w:val="6"/>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We believe Messrs. McGuire and Nishar have supported the value destruction at Seer by, among other things, failing to hold Dr. Farokhzad accountable as CEO despite witnessing more than five years of his failing strategy and supporting the adoption of a unilateral poison pill seemingly to protect Dr. Farokhzad’s position by weakening the rights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48133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1330" cy="31115"/>
                    </a:xfrm>
                    <a:prstGeom prst="rect">
                      <a:avLst/>
                    </a:prstGeom>
                    <a:noFill/>
                  </pic:spPr>
                </pic:pic>
              </a:graphicData>
            </a:graphic>
          </wp:anchor>
        </w:drawing>
      </w:r>
    </w:p>
    <w:p>
      <w:pPr>
        <w:spacing w:after="0" w:line="279" w:lineRule="exact"/>
        <w:rPr>
          <w:sz w:val="20"/>
          <w:szCs w:val="20"/>
          <w:color w:val="auto"/>
        </w:rPr>
      </w:pPr>
    </w:p>
    <w:p>
      <w:pPr>
        <w:ind w:left="68" w:hanging="68"/>
        <w:spacing w:after="0"/>
        <w:tabs>
          <w:tab w:leader="none" w:pos="68"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Share price decline from December 4, 2020 through April 10, 2026, the trading day immediately prior to the Radoff-JEC Group’s submission of its initial proposal to acquire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2" w:name="page3"/>
    <w:bookmarkEnd w:id="2"/>
    <w:p>
      <w:pPr>
        <w:ind w:left="428" w:hanging="212"/>
        <w:spacing w:after="0"/>
        <w:tabs>
          <w:tab w:leader="none" w:pos="428"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As shown in slide 15 of our presentation, since Seer’s IPO, Dr. Farokhzad has sold over $103 million worth of Seer shares.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Seer’s current market capitalization is only $92.4 million!</w:t>
      </w:r>
      <w:r>
        <w:rPr>
          <w:rFonts w:ascii="Times New Roman" w:cs="Times New Roman" w:eastAsia="Times New Roman" w:hAnsi="Times New Roman"/>
          <w:sz w:val="19"/>
          <w:szCs w:val="19"/>
          <w:color w:val="auto"/>
          <w:vertAlign w:val="superscript"/>
        </w:rPr>
        <w:t>3</w:t>
      </w:r>
    </w:p>
    <w:p>
      <w:pPr>
        <w:spacing w:after="0" w:line="94" w:lineRule="exact"/>
        <w:rPr>
          <w:rFonts w:ascii="Arial" w:cs="Arial" w:eastAsia="Arial" w:hAnsi="Arial"/>
          <w:sz w:val="12"/>
          <w:szCs w:val="12"/>
          <w:b w:val="1"/>
          <w:bCs w:val="1"/>
          <w:color w:val="auto"/>
        </w:rPr>
      </w:pPr>
    </w:p>
    <w:p>
      <w:pPr>
        <w:jc w:val="both"/>
        <w:ind w:left="428" w:hanging="212"/>
        <w:spacing w:after="0" w:line="242" w:lineRule="auto"/>
        <w:tabs>
          <w:tab w:leader="none" w:pos="428"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Slide 37 of our presentation highlights that while Seer stockholders were suffering significant losses and the Company was floundering, Dr. Farokhzad – who was being paid millions of dollars by Seer – was spending significant time running a different company (Dynamics Special Purpose Corp.).</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2"/>
          <w:szCs w:val="12"/>
          <w:color w:val="auto"/>
        </w:rPr>
        <w:t xml:space="preserve"> Rather than demand Dr. Farokhzad’s resignation or termination as CEO, Messrs. McGuire and Nishar joined Dr. Farokhzad at the SPAC, enjoying fees and other compensation. Similar to Seer, shares of the publicly traded SPAC (NASDAQ: SNTI) have lost 98.3% of their value since Dr. Farokhzad took it public!</w:t>
      </w:r>
      <w:r>
        <w:rPr>
          <w:rFonts w:ascii="Times New Roman" w:cs="Times New Roman" w:eastAsia="Times New Roman" w:hAnsi="Times New Roman"/>
          <w:sz w:val="19"/>
          <w:szCs w:val="19"/>
          <w:color w:val="auto"/>
          <w:vertAlign w:val="superscript"/>
        </w:rPr>
        <w:t>5</w:t>
      </w:r>
    </w:p>
    <w:p>
      <w:pPr>
        <w:spacing w:after="0" w:line="49" w:lineRule="exact"/>
        <w:rPr>
          <w:rFonts w:ascii="Arial" w:cs="Arial" w:eastAsia="Arial" w:hAnsi="Arial"/>
          <w:sz w:val="12"/>
          <w:szCs w:val="12"/>
          <w:b w:val="1"/>
          <w:bCs w:val="1"/>
          <w:color w:val="auto"/>
        </w:rPr>
      </w:pPr>
    </w:p>
    <w:p>
      <w:pPr>
        <w:ind w:left="428" w:hanging="212"/>
        <w:spacing w:after="0" w:line="278" w:lineRule="auto"/>
        <w:tabs>
          <w:tab w:leader="none" w:pos="428" w:val="left"/>
        </w:tabs>
        <w:numPr>
          <w:ilvl w:val="0"/>
          <w:numId w:val="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nominees are three independent public company directors who would bring the requisite biotechnology, corporate governance, capital allocation and M&amp;A expertise that we believe is required to unlock value at Seer and oversee a robust strategic review for the benefit of all stockholders.</w:t>
      </w:r>
    </w:p>
    <w:p>
      <w:pPr>
        <w:spacing w:after="0" w:line="112" w:lineRule="exact"/>
        <w:rPr>
          <w:sz w:val="20"/>
          <w:szCs w:val="20"/>
          <w:color w:val="auto"/>
        </w:rPr>
      </w:pPr>
    </w:p>
    <w:p>
      <w:pPr>
        <w:ind w:left="868" w:hanging="220"/>
        <w:spacing w:after="0"/>
        <w:tabs>
          <w:tab w:leader="none" w:pos="868" w:val="left"/>
        </w:tabs>
        <w:numPr>
          <w:ilvl w:val="0"/>
          <w:numId w:val="9"/>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Crucially, Dr. Berman and Messrs. Horowitz and Rinaldini have track records of creating value for stockholders of other companies, are independent of Dr. Farokhzad and would bring objectivity to the boardroom.</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the Radoff-JEC Group’s Nominees – Howard H. Berman, Ph.D., Joshua S. Horowitz and Luis E. Rinaldini – Today to Help Prevent Further Value Destruction</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Do </w:t>
      </w:r>
      <w:r>
        <w:rPr>
          <w:rFonts w:ascii="Times New Roman" w:cs="Times New Roman" w:eastAsia="Times New Roman" w:hAnsi="Times New Roman"/>
          <w:sz w:val="12"/>
          <w:szCs w:val="12"/>
          <w:b w:val="1"/>
          <w:bCs w:val="1"/>
          <w:u w:val="single" w:color="auto"/>
          <w:color w:val="auto"/>
        </w:rPr>
        <w:t>NOT</w:t>
      </w:r>
      <w:r>
        <w:rPr>
          <w:rFonts w:ascii="Times New Roman" w:cs="Times New Roman" w:eastAsia="Times New Roman" w:hAnsi="Times New Roman"/>
          <w:sz w:val="12"/>
          <w:szCs w:val="12"/>
          <w:b w:val="1"/>
          <w:bCs w:val="1"/>
          <w:color w:val="auto"/>
        </w:rPr>
        <w:t xml:space="preserve"> Vote for Omid Farokhzad, M.D., Terrance McGuire or Dipchand (Deep) Nishar</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Questions about how to vote? Contact (888) 368-0379 or </w:t>
      </w:r>
      <w:r>
        <w:rPr>
          <w:rFonts w:ascii="Times New Roman" w:cs="Times New Roman" w:eastAsia="Times New Roman" w:hAnsi="Times New Roman"/>
          <w:sz w:val="12"/>
          <w:szCs w:val="12"/>
          <w:u w:val="single" w:color="auto"/>
          <w:color w:val="0000FF"/>
        </w:rPr>
        <w:t>info@saratogaproxy.com</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Visit </w:t>
      </w:r>
      <w:r>
        <w:rPr>
          <w:rFonts w:ascii="Times New Roman" w:cs="Times New Roman" w:eastAsia="Times New Roman" w:hAnsi="Times New Roman"/>
          <w:sz w:val="12"/>
          <w:szCs w:val="12"/>
          <w:u w:val="single" w:color="auto"/>
          <w:color w:val="0000FF"/>
        </w:rPr>
        <w:t>www.SaratogaProxy.com/SEER</w:t>
      </w:r>
      <w:r>
        <w:rPr>
          <w:rFonts w:ascii="Times New Roman" w:cs="Times New Roman" w:eastAsia="Times New Roman" w:hAnsi="Times New Roman"/>
          <w:sz w:val="12"/>
          <w:szCs w:val="12"/>
          <w:color w:val="auto"/>
        </w:rPr>
        <w:t xml:space="preserve"> to learn more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Greg Lempel</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0000FF"/>
        </w:rPr>
        <w:t>greg@fondrenlp.com</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Saratoga Proxy Consulting LLC</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John Ferguson / Joseph Mills, 212-257-1311</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0000FF"/>
        </w:rPr>
        <w:t>info@saratogaproxy.com</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Item 2: Also on June 29, 2026, the Radoff-JEC Group issued the following Investor Presentation titled “The Urgent Case for Change at Seer, Inc.,” a copy of which is also attached hereto as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48133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1330" cy="31115"/>
                    </a:xfrm>
                    <a:prstGeom prst="rect">
                      <a:avLst/>
                    </a:prstGeom>
                    <a:noFill/>
                  </pic:spPr>
                </pic:pic>
              </a:graphicData>
            </a:graphic>
          </wp:anchor>
        </w:drawing>
      </w:r>
    </w:p>
    <w:p>
      <w:pPr>
        <w:spacing w:after="0" w:line="317" w:lineRule="exact"/>
        <w:rPr>
          <w:sz w:val="20"/>
          <w:szCs w:val="20"/>
          <w:color w:val="auto"/>
        </w:rPr>
      </w:pPr>
    </w:p>
    <w:p>
      <w:pPr>
        <w:ind w:left="68" w:hanging="68"/>
        <w:spacing w:after="0"/>
        <w:tabs>
          <w:tab w:leader="none" w:pos="68"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Dr. Farokhzad’s Form 4 filings.</w:t>
      </w:r>
    </w:p>
    <w:p>
      <w:pPr>
        <w:ind w:left="68" w:hanging="68"/>
        <w:spacing w:after="0" w:line="187" w:lineRule="auto"/>
        <w:tabs>
          <w:tab w:leader="none" w:pos="6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Market capitalization per FactSet as of market close on May 20, 2026, the day before the Radoff-JEC Group filed its preliminary proxy statement.</w:t>
      </w:r>
    </w:p>
    <w:p>
      <w:pPr>
        <w:ind w:left="68" w:hanging="68"/>
        <w:spacing w:after="0" w:line="188" w:lineRule="auto"/>
        <w:tabs>
          <w:tab w:leader="none" w:pos="68"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Dynamics Special Purpose Corp. filings. Complaint filed by Bruce Taylor, on behalf of himself and all other similarly situated stockholders of the Company, in the Delaware Court of Chancery on March 2, 2026.</w:t>
      </w:r>
    </w:p>
    <w:p>
      <w:pPr>
        <w:spacing w:after="0" w:line="34" w:lineRule="exact"/>
        <w:rPr>
          <w:rFonts w:ascii="Times New Roman" w:cs="Times New Roman" w:eastAsia="Times New Roman" w:hAnsi="Times New Roman"/>
          <w:sz w:val="18"/>
          <w:szCs w:val="18"/>
          <w:color w:val="auto"/>
          <w:vertAlign w:val="superscript"/>
        </w:rPr>
      </w:pPr>
    </w:p>
    <w:p>
      <w:pPr>
        <w:ind w:left="8"/>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7"/>
          <w:szCs w:val="17"/>
          <w:color w:val="auto"/>
          <w:vertAlign w:val="superscript"/>
        </w:rPr>
        <w:t>5</w:t>
      </w:r>
      <w:r>
        <w:rPr>
          <w:rFonts w:ascii="Times New Roman" w:cs="Times New Roman" w:eastAsia="Times New Roman" w:hAnsi="Times New Roman"/>
          <w:sz w:val="11"/>
          <w:szCs w:val="11"/>
          <w:color w:val="auto"/>
        </w:rPr>
        <w:t xml:space="preserve"> FactSet. Share price decline from June 9, 2022 through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6" w:right="2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283210</wp:posOffset>
            </wp:positionV>
            <wp:extent cx="7218680" cy="411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o"/>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2026-06-29T17:19:05Z</dcterms:created>
  <dcterms:modified xsi:type="dcterms:W3CDTF">2026-06-29T17:19:05Z</dcterms:modified>
</cp:coreProperties>
</file>