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eer_s-8_2023.htm"/>
      <w:bookmarkStart w:id="1" w:name="ksseer_s8_2023"/>
      <w:bookmarkEnd w:id="0"/>
      <w:bookmarkEnd w:id="1"/>
      <w:r>
        <w:rPr/>
        <w:t> </w:t>
      </w:r>
    </w:p>
    <w:p>
      <w:pPr>
        <w:pStyle w:val="TextBody"/>
        <w:bidi w:val="0"/>
        <w:jc w:val="center"/>
        <w:rPr>
          <w:rFonts w:ascii="Times New Roman" w:hAnsi="Times New Roman"/>
          <w:b/>
          <w:color w:val="000000"/>
          <w:sz w:val="16"/>
        </w:rPr>
      </w:pPr>
      <w:r>
        <w:rPr>
          <w:rFonts w:ascii="Times New Roman" w:hAnsi="Times New Roman"/>
          <w:b/>
          <w:color w:val="000000"/>
          <w:sz w:val="16"/>
        </w:rPr>
        <w:t>As filed with the Securities and Exchange Commission on March 6, 2024</w:t>
      </w:r>
    </w:p>
    <w:p>
      <w:pPr>
        <w:pStyle w:val="TextBody"/>
        <w:bidi w:val="0"/>
        <w:jc w:val="right"/>
        <w:rPr>
          <w:rFonts w:ascii="Times New Roman" w:hAnsi="Times New Roman"/>
          <w:sz w:val="20"/>
        </w:rPr>
      </w:pPr>
      <w:r>
        <w:rPr>
          <w:rFonts w:ascii="Times New Roman" w:hAnsi="Times New Roman"/>
          <w:b/>
          <w:color w:val="000000"/>
          <w:sz w:val="16"/>
        </w:rPr>
        <w:t>Registration No. 333-</w:t>
      </w:r>
      <w:r>
        <w:rPr>
          <w:rFonts w:ascii="Times New Roman" w:hAnsi="Times New Roman"/>
          <w:color w:val="000000"/>
          <w:sz w:val="20"/>
        </w:rPr>
        <w:t xml:space="preserve"> </w:t>
      </w:r>
    </w:p>
    <w:p>
      <w:pPr>
        <w:pStyle w:val="TextBody"/>
        <w:pBdr>
          <w:bottom w:val="double" w:sz="6" w:space="1" w:color="000000"/>
        </w:pBdr>
        <w:bidi w:val="0"/>
        <w:jc w:val="right"/>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spacing w:before="0" w:after="4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6" w:space="1" w:color="000000"/>
        </w:pBdr>
        <w:bidi w:val="0"/>
        <w:spacing w:before="0" w:after="8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S-8</w:t>
      </w:r>
    </w:p>
    <w:p>
      <w:pPr>
        <w:pStyle w:val="TextBody"/>
        <w:bidi w:val="0"/>
        <w:jc w:val="center"/>
        <w:rPr>
          <w:rFonts w:ascii="Times New Roman" w:hAnsi="Times New Roman"/>
          <w:b/>
          <w:color w:val="000000"/>
          <w:sz w:val="32"/>
        </w:rPr>
      </w:pPr>
      <w:r>
        <w:rPr>
          <w:rFonts w:ascii="Times New Roman" w:hAnsi="Times New Roman"/>
          <w:b/>
          <w:color w:val="000000"/>
          <w:sz w:val="32"/>
        </w:rPr>
        <w:t>REGISTRATION STATEMENT</w:t>
      </w:r>
    </w:p>
    <w:p>
      <w:pPr>
        <w:pStyle w:val="TextBody"/>
        <w:bidi w:val="0"/>
        <w:jc w:val="center"/>
        <w:rPr>
          <w:rFonts w:ascii="Times New Roman" w:hAnsi="Times New Roman"/>
          <w:b/>
          <w:i/>
          <w:color w:val="000000"/>
          <w:sz w:val="22"/>
        </w:rPr>
      </w:pPr>
      <w:r>
        <w:rPr>
          <w:rFonts w:ascii="Times New Roman" w:hAnsi="Times New Roman"/>
          <w:b/>
          <w:i/>
          <w:color w:val="000000"/>
          <w:sz w:val="22"/>
        </w:rPr>
        <w:t>Under</w:t>
      </w:r>
    </w:p>
    <w:p>
      <w:pPr>
        <w:pStyle w:val="TextBody"/>
        <w:bidi w:val="0"/>
        <w:jc w:val="center"/>
        <w:rPr>
          <w:rFonts w:ascii="Times New Roman" w:hAnsi="Times New Roman"/>
          <w:b/>
          <w:i/>
          <w:color w:val="000000"/>
          <w:sz w:val="22"/>
        </w:rPr>
      </w:pPr>
      <w:r>
        <w:rPr>
          <w:rFonts w:ascii="Times New Roman" w:hAnsi="Times New Roman"/>
          <w:b/>
          <w:i/>
          <w:color w:val="000000"/>
          <w:sz w:val="22"/>
        </w:rPr>
        <w:t>The Securities Act of 1933</w:t>
      </w:r>
    </w:p>
    <w:p>
      <w:pPr>
        <w:pStyle w:val="TextBody"/>
        <w:pBdr>
          <w:bottom w:val="single" w:sz="6" w:space="1" w:color="000000"/>
        </w:pBdr>
        <w:bidi w:val="0"/>
        <w:spacing w:before="0" w:after="80"/>
        <w:jc w:val="center"/>
        <w:rPr/>
      </w:pPr>
      <w:r>
        <w:rPr/>
        <w:t> </w:t>
      </w:r>
    </w:p>
    <w:p>
      <w:pPr>
        <w:pStyle w:val="TextBody"/>
        <w:bidi w:val="0"/>
        <w:jc w:val="center"/>
        <w:rPr>
          <w:rFonts w:ascii="Times New Roman" w:hAnsi="Times New Roman"/>
          <w:b/>
          <w:color w:val="000000"/>
          <w:sz w:val="44"/>
        </w:rPr>
      </w:pPr>
      <w:r>
        <w:rPr>
          <w:rFonts w:ascii="Times New Roman" w:hAnsi="Times New Roman"/>
          <w:b/>
          <w:color w:val="000000"/>
          <w:sz w:val="44"/>
        </w:rPr>
        <w:t>SEER, INC.</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p>
      <w:pPr>
        <w:pStyle w:val="TextBody"/>
        <w:pBdr>
          <w:bottom w:val="single" w:sz="6" w:space="1" w:color="000000"/>
        </w:pBdr>
        <w:bidi w:val="0"/>
        <w:jc w:val="center"/>
        <w:rPr/>
      </w:pPr>
      <w:r>
        <w:rPr/>
        <w:t> </w:t>
      </w:r>
    </w:p>
    <w:p>
      <w:pPr>
        <w:pStyle w:val="TextBody"/>
        <w:bidi w:val="0"/>
        <w:jc w:val="center"/>
        <w:rPr/>
      </w:pPr>
      <w:r>
        <w:rPr/>
        <w:t> </w:t>
      </w:r>
    </w:p>
    <w:tbl>
      <w:tblPr>
        <w:tblW w:w="4187" w:type="dxa"/>
        <w:jc w:val="left"/>
        <w:tblInd w:w="0" w:type="dxa"/>
        <w:tblLayout w:type="fixed"/>
        <w:tblCellMar>
          <w:top w:w="28" w:type="dxa"/>
          <w:left w:w="28" w:type="dxa"/>
          <w:bottom w:w="28" w:type="dxa"/>
          <w:right w:w="28" w:type="dxa"/>
        </w:tblCellMar>
      </w:tblPr>
      <w:tblGrid>
        <w:gridCol w:w="2371"/>
        <w:gridCol w:w="1816"/>
      </w:tblGrid>
      <w:tr>
        <w:trPr/>
        <w:tc>
          <w:tcPr>
            <w:tcW w:w="2371"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237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1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82-1153150</w:t>
            </w:r>
          </w:p>
        </w:tc>
      </w:tr>
      <w:tr>
        <w:trPr/>
        <w:tc>
          <w:tcPr>
            <w:tcW w:w="2371"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81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Number)</w:t>
            </w:r>
          </w:p>
        </w:tc>
      </w:tr>
    </w:tbl>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1"/>
        </w:rPr>
      </w:pPr>
      <w:r>
        <w:rPr>
          <w:rFonts w:ascii="Times New Roman" w:hAnsi="Times New Roman"/>
          <w:b/>
          <w:color w:val="000000"/>
          <w:sz w:val="21"/>
        </w:rPr>
        <w:t>3800 Bridge Parkway, Suite 102</w:t>
      </w:r>
    </w:p>
    <w:p>
      <w:pPr>
        <w:pStyle w:val="TextBody"/>
        <w:bidi w:val="0"/>
        <w:jc w:val="center"/>
        <w:rPr>
          <w:rFonts w:ascii="Times New Roman" w:hAnsi="Times New Roman"/>
          <w:b/>
          <w:color w:val="000000"/>
          <w:sz w:val="21"/>
        </w:rPr>
      </w:pPr>
      <w:r>
        <w:rPr>
          <w:rFonts w:ascii="Times New Roman" w:hAnsi="Times New Roman"/>
          <w:b/>
          <w:color w:val="000000"/>
          <w:sz w:val="21"/>
        </w:rPr>
        <w:t>Redwood City, California 94065</w:t>
      </w:r>
    </w:p>
    <w:p>
      <w:pPr>
        <w:pStyle w:val="TextBody"/>
        <w:bidi w:val="0"/>
        <w:jc w:val="center"/>
        <w:rPr>
          <w:rFonts w:ascii="Times New Roman" w:hAnsi="Times New Roman"/>
          <w:b/>
          <w:color w:val="000000"/>
          <w:sz w:val="16"/>
        </w:rPr>
      </w:pPr>
      <w:r>
        <w:rPr>
          <w:rFonts w:ascii="Times New Roman" w:hAnsi="Times New Roman"/>
          <w:b/>
          <w:color w:val="000000"/>
          <w:sz w:val="16"/>
        </w:rPr>
        <w:t>(Address of principal executive offices, including zip code)</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1"/>
        </w:rPr>
      </w:pPr>
      <w:r>
        <w:rPr>
          <w:rFonts w:ascii="Times New Roman" w:hAnsi="Times New Roman"/>
          <w:b/>
          <w:color w:val="000000"/>
          <w:sz w:val="21"/>
        </w:rPr>
        <w:t>2020 Equity Incentive Plan</w:t>
      </w:r>
    </w:p>
    <w:p>
      <w:pPr>
        <w:pStyle w:val="TextBody"/>
        <w:bidi w:val="0"/>
        <w:jc w:val="center"/>
        <w:rPr>
          <w:rFonts w:ascii="Times New Roman" w:hAnsi="Times New Roman"/>
          <w:b/>
          <w:color w:val="000000"/>
          <w:sz w:val="21"/>
        </w:rPr>
      </w:pPr>
      <w:r>
        <w:rPr>
          <w:rFonts w:ascii="Times New Roman" w:hAnsi="Times New Roman"/>
          <w:b/>
          <w:color w:val="000000"/>
          <w:sz w:val="21"/>
        </w:rPr>
        <w:t>2020 Employee Stock Purchase Plan</w:t>
      </w:r>
    </w:p>
    <w:p>
      <w:pPr>
        <w:pStyle w:val="TextBody"/>
        <w:bidi w:val="0"/>
        <w:spacing w:before="0" w:after="80"/>
        <w:jc w:val="center"/>
        <w:rPr>
          <w:rFonts w:ascii="Times New Roman" w:hAnsi="Times New Roman"/>
          <w:b/>
          <w:color w:val="000000"/>
          <w:sz w:val="16"/>
        </w:rPr>
      </w:pPr>
      <w:r>
        <w:rPr>
          <w:rFonts w:ascii="Times New Roman" w:hAnsi="Times New Roman"/>
          <w:b/>
          <w:color w:val="000000"/>
          <w:sz w:val="16"/>
        </w:rPr>
        <w:t>(Full title of plan)</w:t>
      </w:r>
    </w:p>
    <w:p>
      <w:pPr>
        <w:pStyle w:val="TextBody"/>
        <w:bidi w:val="0"/>
        <w:jc w:val="center"/>
        <w:rPr>
          <w:rFonts w:ascii="Times New Roman" w:hAnsi="Times New Roman"/>
          <w:b/>
          <w:color w:val="000000"/>
          <w:sz w:val="20"/>
        </w:rPr>
      </w:pPr>
      <w:r>
        <w:rPr>
          <w:rFonts w:ascii="Times New Roman" w:hAnsi="Times New Roman"/>
          <w:b/>
          <w:color w:val="000000"/>
          <w:sz w:val="20"/>
        </w:rPr>
        <w:t>Omid Farokhzad, M.D.</w:t>
      </w:r>
    </w:p>
    <w:p>
      <w:pPr>
        <w:pStyle w:val="TextBody"/>
        <w:bidi w:val="0"/>
        <w:jc w:val="center"/>
        <w:rPr>
          <w:rFonts w:ascii="Times New Roman" w:hAnsi="Times New Roman"/>
          <w:b/>
          <w:color w:val="000000"/>
          <w:sz w:val="20"/>
        </w:rPr>
      </w:pPr>
      <w:r>
        <w:rPr>
          <w:rFonts w:ascii="Times New Roman" w:hAnsi="Times New Roman"/>
          <w:b/>
          <w:color w:val="000000"/>
          <w:sz w:val="20"/>
        </w:rPr>
        <w:t>Chief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Seer, Inc.</w:t>
      </w:r>
    </w:p>
    <w:p>
      <w:pPr>
        <w:pStyle w:val="TextBody"/>
        <w:bidi w:val="0"/>
        <w:jc w:val="center"/>
        <w:rPr>
          <w:rFonts w:ascii="Times New Roman" w:hAnsi="Times New Roman"/>
          <w:b/>
          <w:color w:val="000000"/>
          <w:sz w:val="20"/>
        </w:rPr>
      </w:pPr>
      <w:r>
        <w:rPr>
          <w:rFonts w:ascii="Times New Roman" w:hAnsi="Times New Roman"/>
          <w:b/>
          <w:color w:val="000000"/>
          <w:sz w:val="20"/>
        </w:rPr>
        <w:t>3800 Bridge Parkway, Suite 102</w:t>
      </w:r>
    </w:p>
    <w:p>
      <w:pPr>
        <w:pStyle w:val="TextBody"/>
        <w:bidi w:val="0"/>
        <w:jc w:val="center"/>
        <w:rPr>
          <w:rFonts w:ascii="Times New Roman" w:hAnsi="Times New Roman"/>
          <w:b/>
          <w:color w:val="000000"/>
          <w:sz w:val="20"/>
        </w:rPr>
      </w:pPr>
      <w:r>
        <w:rPr>
          <w:rFonts w:ascii="Times New Roman" w:hAnsi="Times New Roman"/>
          <w:b/>
          <w:color w:val="000000"/>
          <w:sz w:val="20"/>
        </w:rPr>
        <w:t>Redwood City, California 94065</w:t>
      </w:r>
    </w:p>
    <w:p>
      <w:pPr>
        <w:pStyle w:val="TextBody"/>
        <w:bidi w:val="0"/>
        <w:jc w:val="center"/>
        <w:rPr>
          <w:rFonts w:ascii="Times New Roman" w:hAnsi="Times New Roman"/>
          <w:b/>
          <w:color w:val="000000"/>
          <w:sz w:val="20"/>
        </w:rPr>
      </w:pPr>
      <w:r>
        <w:rPr>
          <w:rFonts w:ascii="Times New Roman" w:hAnsi="Times New Roman"/>
          <w:b/>
          <w:color w:val="000000"/>
          <w:sz w:val="20"/>
        </w:rPr>
        <w:t>650-453-0000</w:t>
      </w:r>
    </w:p>
    <w:p>
      <w:pPr>
        <w:pStyle w:val="TextBody"/>
        <w:bidi w:val="0"/>
        <w:spacing w:before="0" w:after="80"/>
        <w:jc w:val="center"/>
        <w:rPr>
          <w:rFonts w:ascii="Times New Roman" w:hAnsi="Times New Roman"/>
          <w:b/>
          <w:color w:val="000000"/>
          <w:sz w:val="16"/>
        </w:rPr>
      </w:pPr>
      <w:r>
        <w:rPr>
          <w:rFonts w:ascii="Times New Roman" w:hAnsi="Times New Roman"/>
          <w:b/>
          <w:color w:val="000000"/>
          <w:sz w:val="16"/>
        </w:rPr>
        <w:t>(Name, address and telephone number, including area code of agent for service)</w:t>
      </w:r>
    </w:p>
    <w:p>
      <w:pPr>
        <w:pStyle w:val="TextBody"/>
        <w:bidi w:val="0"/>
        <w:spacing w:before="0" w:after="80"/>
        <w:jc w:val="center"/>
        <w:rPr>
          <w:rFonts w:ascii="Times New Roman" w:hAnsi="Times New Roman"/>
          <w:i/>
          <w:color w:val="000000"/>
          <w:sz w:val="20"/>
        </w:rPr>
      </w:pPr>
      <w:r>
        <w:rPr>
          <w:rFonts w:ascii="Times New Roman" w:hAnsi="Times New Roman"/>
          <w:i/>
          <w:color w:val="000000"/>
          <w:sz w:val="20"/>
        </w:rPr>
        <w:t>Copies to:</w:t>
      </w:r>
    </w:p>
    <w:p>
      <w:pPr>
        <w:pStyle w:val="TextBody"/>
        <w:bidi w:val="0"/>
        <w:jc w:val="center"/>
        <w:rPr>
          <w:rFonts w:ascii="Times New Roman" w:hAnsi="Times New Roman"/>
          <w:b/>
          <w:color w:val="000000"/>
          <w:sz w:val="20"/>
        </w:rPr>
      </w:pPr>
      <w:r>
        <w:rPr>
          <w:rFonts w:ascii="Times New Roman" w:hAnsi="Times New Roman"/>
          <w:b/>
          <w:color w:val="000000"/>
          <w:sz w:val="20"/>
        </w:rPr>
        <w:t>Tony Jeffries</w:t>
      </w:r>
    </w:p>
    <w:p>
      <w:pPr>
        <w:pStyle w:val="TextBody"/>
        <w:bidi w:val="0"/>
        <w:jc w:val="center"/>
        <w:rPr>
          <w:rFonts w:ascii="Times New Roman" w:hAnsi="Times New Roman"/>
          <w:b/>
          <w:color w:val="000000"/>
          <w:sz w:val="20"/>
        </w:rPr>
      </w:pPr>
      <w:r>
        <w:rPr>
          <w:rFonts w:ascii="Times New Roman" w:hAnsi="Times New Roman"/>
          <w:b/>
          <w:color w:val="000000"/>
          <w:sz w:val="20"/>
        </w:rPr>
        <w:t>Christina L. Poulsen</w:t>
      </w:r>
    </w:p>
    <w:p>
      <w:pPr>
        <w:pStyle w:val="TextBody"/>
        <w:bidi w:val="0"/>
        <w:jc w:val="center"/>
        <w:rPr>
          <w:rFonts w:ascii="Times New Roman" w:hAnsi="Times New Roman"/>
          <w:b/>
          <w:color w:val="000000"/>
          <w:sz w:val="20"/>
        </w:rPr>
      </w:pPr>
      <w:r>
        <w:rPr>
          <w:rFonts w:ascii="Times New Roman" w:hAnsi="Times New Roman"/>
          <w:b/>
          <w:color w:val="000000"/>
          <w:sz w:val="20"/>
        </w:rPr>
        <w:t>Wilson Sonsini Goodrich &amp; Rosati, P.C.</w:t>
      </w:r>
    </w:p>
    <w:p>
      <w:pPr>
        <w:pStyle w:val="TextBody"/>
        <w:bidi w:val="0"/>
        <w:jc w:val="center"/>
        <w:rPr>
          <w:rFonts w:ascii="Times New Roman" w:hAnsi="Times New Roman"/>
          <w:b/>
          <w:color w:val="000000"/>
          <w:sz w:val="20"/>
        </w:rPr>
      </w:pPr>
      <w:r>
        <w:rPr>
          <w:rFonts w:ascii="Times New Roman" w:hAnsi="Times New Roman"/>
          <w:b/>
          <w:color w:val="000000"/>
          <w:sz w:val="20"/>
        </w:rPr>
        <w:t>650 Page Mill Road</w:t>
      </w:r>
    </w:p>
    <w:p>
      <w:pPr>
        <w:pStyle w:val="TextBody"/>
        <w:bidi w:val="0"/>
        <w:jc w:val="center"/>
        <w:rPr>
          <w:rFonts w:ascii="Times New Roman" w:hAnsi="Times New Roman"/>
          <w:b/>
          <w:color w:val="000000"/>
          <w:sz w:val="20"/>
        </w:rPr>
      </w:pPr>
      <w:r>
        <w:rPr>
          <w:rFonts w:ascii="Times New Roman" w:hAnsi="Times New Roman"/>
          <w:b/>
          <w:color w:val="000000"/>
          <w:sz w:val="20"/>
        </w:rPr>
        <w:t>Palo Alto, California 94304</w:t>
      </w:r>
    </w:p>
    <w:p>
      <w:pPr>
        <w:pStyle w:val="TextBody"/>
        <w:bidi w:val="0"/>
        <w:spacing w:before="0" w:after="80"/>
        <w:jc w:val="center"/>
        <w:rPr>
          <w:rFonts w:ascii="Times New Roman" w:hAnsi="Times New Roman"/>
          <w:b/>
          <w:color w:val="000000"/>
          <w:sz w:val="20"/>
        </w:rPr>
      </w:pPr>
      <w:r>
        <w:rPr>
          <w:rFonts w:ascii="Times New Roman" w:hAnsi="Times New Roman"/>
          <w:b/>
          <w:color w:val="000000"/>
          <w:sz w:val="20"/>
        </w:rPr>
        <w:t>650-493-9300</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055" w:type="dxa"/>
        <w:jc w:val="left"/>
        <w:tblInd w:w="0" w:type="dxa"/>
        <w:tblLayout w:type="fixed"/>
        <w:tblCellMar>
          <w:top w:w="28" w:type="dxa"/>
          <w:left w:w="28" w:type="dxa"/>
          <w:bottom w:w="28" w:type="dxa"/>
          <w:right w:w="28" w:type="dxa"/>
        </w:tblCellMar>
      </w:tblPr>
      <w:tblGrid>
        <w:gridCol w:w="1921"/>
        <w:gridCol w:w="316"/>
        <w:gridCol w:w="146"/>
        <w:gridCol w:w="2311"/>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316" w:type="dxa"/>
            <w:tcBorders/>
            <w:vAlign w:val="center"/>
          </w:tcPr>
          <w:p>
            <w:pPr>
              <w:pStyle w:val="TableContents"/>
              <w:bidi w:val="0"/>
              <w:spacing w:before="0" w:after="283"/>
              <w:jc w:val="righ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23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361" w:type="dxa"/>
            <w:tcBorders/>
            <w:vAlign w:val="center"/>
          </w:tcPr>
          <w:p>
            <w:pPr>
              <w:pStyle w:val="TableContents"/>
              <w:bidi w:val="0"/>
              <w:spacing w:before="0" w:after="283"/>
              <w:jc w:val="right"/>
              <w:rPr>
                <w:color w:val="000000"/>
              </w:rPr>
            </w:pPr>
            <w:r>
              <w:rPr>
                <w:color w:val="000000"/>
              </w:rPr>
              <w:t>☐</w:t>
            </w:r>
          </w:p>
        </w:tc>
      </w:tr>
      <w:tr>
        <w:trPr/>
        <w:tc>
          <w:tcPr>
            <w:tcW w:w="1921" w:type="dxa"/>
            <w:tcBorders/>
            <w:vAlign w:val="center"/>
          </w:tcPr>
          <w:p>
            <w:pPr>
              <w:pStyle w:val="TableContents"/>
              <w:bidi w:val="0"/>
              <w:spacing w:before="80" w:after="283"/>
              <w:jc w:val="left"/>
              <w:rPr>
                <w:rFonts w:ascii="Times New Roman" w:hAnsi="Times New Roman"/>
                <w:color w:val="000000"/>
                <w:sz w:val="20"/>
              </w:rPr>
            </w:pPr>
            <w:r>
              <w:rPr>
                <w:rFonts w:ascii="Times New Roman" w:hAnsi="Times New Roman"/>
                <w:color w:val="000000"/>
                <w:sz w:val="20"/>
              </w:rPr>
              <w:t>Non-accelerated filer</w:t>
            </w:r>
          </w:p>
        </w:tc>
        <w:tc>
          <w:tcPr>
            <w:tcW w:w="316" w:type="dxa"/>
            <w:tcBorders/>
            <w:vAlign w:val="center"/>
          </w:tcPr>
          <w:p>
            <w:pPr>
              <w:pStyle w:val="TableContents"/>
              <w:bidi w:val="0"/>
              <w:spacing w:before="80" w:after="283"/>
              <w:jc w:val="right"/>
              <w:rPr>
                <w:color w:val="000000"/>
              </w:rPr>
            </w:pPr>
            <w:r>
              <w:rPr>
                <w:color w:val="000000"/>
              </w:rPr>
              <w:t>☒</w:t>
            </w:r>
          </w:p>
        </w:tc>
        <w:tc>
          <w:tcPr>
            <w:tcW w:w="146" w:type="dxa"/>
            <w:tcBorders/>
            <w:vAlign w:val="center"/>
          </w:tcPr>
          <w:p>
            <w:pPr>
              <w:pStyle w:val="TableContents"/>
              <w:bidi w:val="0"/>
              <w:spacing w:before="80" w:after="283"/>
              <w:jc w:val="left"/>
              <w:rPr/>
            </w:pPr>
            <w:r>
              <w:rPr/>
              <w:t> </w:t>
            </w:r>
          </w:p>
        </w:tc>
        <w:tc>
          <w:tcPr>
            <w:tcW w:w="2311" w:type="dxa"/>
            <w:tcBorders/>
            <w:vAlign w:val="center"/>
          </w:tcPr>
          <w:p>
            <w:pPr>
              <w:pStyle w:val="TableContents"/>
              <w:bidi w:val="0"/>
              <w:spacing w:before="80" w:after="283"/>
              <w:jc w:val="left"/>
              <w:rPr>
                <w:rFonts w:ascii="Times New Roman" w:hAnsi="Times New Roman"/>
                <w:color w:val="000000"/>
                <w:sz w:val="20"/>
              </w:rPr>
            </w:pPr>
            <w:r>
              <w:rPr>
                <w:rFonts w:ascii="Times New Roman" w:hAnsi="Times New Roman"/>
                <w:color w:val="000000"/>
                <w:sz w:val="20"/>
              </w:rPr>
              <w:t>Smaller reporting company</w:t>
            </w:r>
          </w:p>
        </w:tc>
        <w:tc>
          <w:tcPr>
            <w:tcW w:w="361" w:type="dxa"/>
            <w:tcBorders/>
            <w:vAlign w:val="center"/>
          </w:tcPr>
          <w:p>
            <w:pPr>
              <w:pStyle w:val="TableContents"/>
              <w:bidi w:val="0"/>
              <w:spacing w:before="80" w:after="283"/>
              <w:jc w:val="right"/>
              <w:rPr>
                <w:color w:val="000000"/>
              </w:rPr>
            </w:pPr>
            <w:r>
              <w:rPr>
                <w:color w:val="000000"/>
              </w:rPr>
              <w:t>☒</w:t>
            </w:r>
          </w:p>
        </w:tc>
      </w:tr>
      <w:tr>
        <w:trPr/>
        <w:tc>
          <w:tcPr>
            <w:tcW w:w="1921" w:type="dxa"/>
            <w:tcBorders/>
            <w:vAlign w:val="center"/>
          </w:tcPr>
          <w:p>
            <w:pPr>
              <w:pStyle w:val="TableContents"/>
              <w:bidi w:val="0"/>
              <w:spacing w:before="80" w:after="283"/>
              <w:jc w:val="left"/>
              <w:rPr/>
            </w:pPr>
            <w:r>
              <w:rPr/>
              <w:t> </w:t>
            </w:r>
          </w:p>
        </w:tc>
        <w:tc>
          <w:tcPr>
            <w:tcW w:w="316" w:type="dxa"/>
            <w:tcBorders/>
            <w:vAlign w:val="center"/>
          </w:tcPr>
          <w:p>
            <w:pPr>
              <w:pStyle w:val="TableContents"/>
              <w:bidi w:val="0"/>
              <w:spacing w:before="80" w:after="283"/>
              <w:jc w:val="right"/>
              <w:rPr/>
            </w:pPr>
            <w:r>
              <w:rPr/>
              <w:t> </w:t>
            </w:r>
          </w:p>
        </w:tc>
        <w:tc>
          <w:tcPr>
            <w:tcW w:w="146" w:type="dxa"/>
            <w:tcBorders/>
            <w:vAlign w:val="center"/>
          </w:tcPr>
          <w:p>
            <w:pPr>
              <w:pStyle w:val="TableContents"/>
              <w:bidi w:val="0"/>
              <w:spacing w:before="80" w:after="283"/>
              <w:jc w:val="left"/>
              <w:rPr/>
            </w:pPr>
            <w:r>
              <w:rPr/>
              <w:t> </w:t>
            </w:r>
          </w:p>
        </w:tc>
        <w:tc>
          <w:tcPr>
            <w:tcW w:w="2311" w:type="dxa"/>
            <w:tcBorders/>
            <w:vAlign w:val="center"/>
          </w:tcPr>
          <w:p>
            <w:pPr>
              <w:pStyle w:val="TableContents"/>
              <w:bidi w:val="0"/>
              <w:spacing w:before="80" w:after="283"/>
              <w:jc w:val="left"/>
              <w:rPr>
                <w:rFonts w:ascii="Times New Roman" w:hAnsi="Times New Roman"/>
                <w:color w:val="000000"/>
                <w:sz w:val="20"/>
              </w:rPr>
            </w:pPr>
            <w:r>
              <w:rPr>
                <w:rFonts w:ascii="Times New Roman" w:hAnsi="Times New Roman"/>
                <w:color w:val="000000"/>
                <w:sz w:val="20"/>
              </w:rPr>
              <w:t>Emerging growth company</w:t>
            </w:r>
          </w:p>
        </w:tc>
        <w:tc>
          <w:tcPr>
            <w:tcW w:w="361" w:type="dxa"/>
            <w:tcBorders/>
            <w:vAlign w:val="center"/>
          </w:tcPr>
          <w:p>
            <w:pPr>
              <w:pStyle w:val="TableContents"/>
              <w:bidi w:val="0"/>
              <w:spacing w:before="80" w:after="283"/>
              <w:jc w:val="righ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pBdr>
          <w:bottom w:val="double" w:sz="6" w:space="1" w:color="000000"/>
        </w:pBdr>
        <w:bidi w:val="0"/>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center"/>
        <w:rPr>
          <w:rFonts w:ascii="Times New Roman" w:hAnsi="Times New Roman"/>
          <w:b/>
          <w:color w:val="000000"/>
          <w:sz w:val="20"/>
        </w:rPr>
      </w:pPr>
      <w:r>
        <w:rPr>
          <w:rFonts w:ascii="Times New Roman" w:hAnsi="Times New Roman"/>
          <w:b/>
          <w:color w:val="000000"/>
          <w:sz w:val="20"/>
        </w:rPr>
        <w:t>EXPLANATORY NOTE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This Registration Statement on Form S-8 (the “Registration Statement”) registers additional shares of Class A Common Stock (“Shares”) of Seer, Inc. (the “Registrant”) reserved for issuance under the Registrant’s 2020 Equity Incentive Plan (the “2020 Plan”) and 2020 Employee Stock Purchase Plan (the “2020 ESPP”). The number of Shares available for grant and issuance under the 2020 Plan is subject to an annual increase on the first day of each fiscal year, by an amount equal to the least of (i) 9,037,149 Shares, (ii) five percent (5%) of the outstanding shares of all classes of the Registrant’s common stock on the last day of the immediately preceding fiscal year or (iii) such number of Shares determined by the Registrant’s board of directors. The number of Shares available for grant and issuance under the 2020 ESPP is subject to an annual increase on the first day of each fiscal year, by an amount equal to the least of (i) 1,807,476 Shares, (ii) one percent (1%) of the outstanding shares of all classes of the Registrant’s common stock on the last day of the immediately preceding fiscal year or (iii) such number of Shares determined by the Registrant’s board of directors.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This Registration Statement registers (1) 3,214,933 additional shares of common stock available for grant and issuance under the 2020 Plan, which became available for grant and issuance pursuant to the provision of the 2020 Plan providing for an automatic annual increase in the number of shares reserved for issuance on January 1, 2024, and (2) 642,986 additional shares of common stock available for issuance under the 2020 ESPP, which became available for grant and issuance pursuant to the provision of the 2020 ESPP providing for an automatic annual increase in the number of shares reserved for issuance on January 1, 2024.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section2"/>
      <w:bookmarkEnd w:id="2"/>
      <w:r>
        <w:rPr>
          <w:rFonts w:ascii="Times New Roman" w:hAnsi="Times New Roman"/>
          <w:b/>
          <w:color w:val="000000"/>
          <w:sz w:val="20"/>
        </w:rPr>
        <w:t>PART I</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INFORMATION REQUIRED IN THE PROSPECTUS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information specified in Item 1 and Item 2 of Part I of Form S-8 is omitted from this Registration Statement in accordance with the provisions of Rule 428 under the Securities Act of 1933, as amended (the “Securities Act”) and the introductory note to Part I of Form S-8. The documents containing the information specified in Part I of Form S-8 will be delivered to the participants in the equity benefit plans covered by this Registration Statement as specified by Rule 428(b)(1) under the Securities Act.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 w:name="section3"/>
      <w:bookmarkEnd w:id="3"/>
      <w:r>
        <w:rPr>
          <w:rFonts w:ascii="Times New Roman" w:hAnsi="Times New Roman"/>
          <w:b/>
          <w:color w:val="000000"/>
          <w:sz w:val="20"/>
        </w:rPr>
        <w:t>PART II</w:t>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INFORMATION REQUIRED IN REGISTRATION STATEMENT</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Item 3. Incorporation of Documents by Reference.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Registrant hereby incorporates by reference into this Registration Statement the following documents previously filed with the Securities and Exchange Commission (the “Commission”):</w:t>
      </w:r>
    </w:p>
    <w:p>
      <w:pPr>
        <w:pStyle w:val="TextBody"/>
        <w:bidi w:val="0"/>
        <w:spacing w:before="180" w:after="283"/>
        <w:jc w:val="left"/>
        <w:rPr/>
      </w:pPr>
      <w:r>
        <w:rPr>
          <w:rFonts w:ascii="Times New Roman" w:hAnsi="Times New Roman"/>
          <w:color w:val="000000"/>
          <w:sz w:val="20"/>
        </w:rPr>
        <w:t>(1) The Registrant’s Annual Report on Form 10-K for the fiscal year ended December 31, 2023, filed with the Commission on</w:t>
      </w:r>
      <w:r>
        <w:rPr>
          <w:rFonts w:ascii="Times New Roman" w:hAnsi="Times New Roman"/>
          <w:color w:val="0000FF"/>
          <w:sz w:val="20"/>
        </w:rPr>
        <w:t xml:space="preserve"> </w:t>
      </w:r>
      <w:hyperlink r:id="rId2">
        <w:r>
          <w:rPr>
            <w:rStyle w:val="InternetLink"/>
            <w:rFonts w:ascii="Times New Roman" w:hAnsi="Times New Roman"/>
            <w:color w:val="0000FF"/>
            <w:sz w:val="20"/>
            <w:u w:val="single"/>
          </w:rPr>
          <w:t>March 4, 2024</w:t>
        </w:r>
      </w:hyperlink>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(2) All other reports filed pursuant to Section 13(a) or 15(d) of the Securities Exchange Act of 1934, as amended (the “Exchange Act”) since the end of the fiscal year covered by the Registrant’s Annual Report referred to in (a) above (other than the portions of these documents not deemed to be filed); and</w:t>
      </w:r>
    </w:p>
    <w:p>
      <w:pPr>
        <w:pStyle w:val="TextBody"/>
        <w:bidi w:val="0"/>
        <w:spacing w:before="180" w:after="283"/>
        <w:jc w:val="left"/>
        <w:rPr/>
      </w:pPr>
      <w:r>
        <w:rPr>
          <w:rFonts w:ascii="Times New Roman" w:hAnsi="Times New Roman"/>
          <w:color w:val="000000"/>
          <w:sz w:val="20"/>
        </w:rPr>
        <w:t xml:space="preserve">(3) The description of the Registrant’s common stock contained in the Company’s Registration Statement on Form 8-A (File No. 001-39747) filed with the Commission on </w:t>
      </w:r>
      <w:hyperlink r:id="rId3">
        <w:r>
          <w:rPr>
            <w:rStyle w:val="InternetLink"/>
            <w:rFonts w:ascii="Times New Roman" w:hAnsi="Times New Roman"/>
            <w:color w:val="0000FF"/>
            <w:sz w:val="20"/>
            <w:u w:val="single"/>
          </w:rPr>
          <w:t>November 30, 2020</w:t>
        </w:r>
      </w:hyperlink>
      <w:r>
        <w:rPr>
          <w:rFonts w:ascii="Times New Roman" w:hAnsi="Times New Roman"/>
          <w:color w:val="000000"/>
          <w:sz w:val="20"/>
        </w:rPr>
        <w:t>, pursuant to Section 12(b) of the Exchange Act, including any amendment or report filed for the purpose of updating such description.</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xml:space="preserve">, that documents or information deemed to have been furnished and not filed in accordance with the rules of the Commission shall not be deemed incorporated by reference into this Registration Statement.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Item 4. Description of Securities.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Item 5. Interests of Named Experts and Counsel.</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Item 6. Indemnification of Directors and Officers.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Section 145 of the Delaware General Corporation Law, or DGCL, empowers a corporation to indemnify its directors and officers and to purchase insurance with respect to liability arising out of their capacity or status as directors and officers, provided that the person acted in good faith and in a manner the person reasonably believed to be in our best interests, and, with respect to any criminal action, had no reasonable cause to believe the person’s actions were unlawful. The DGCL further provides that the indemnification permitted thereunder shall not be deemed exclusive of any other rights to which the directors and officers may be entitled under the corporation’s bylaws, any agreement, a vote of stockholders or otherwise. The certificate of incorporation of the registrant to be in effect upon the completion of this offering provides for the indemnification of the registrant’s directors and officers to the fullest extent permitted under the DGCL. In addition, the bylaws of the registrant to be in effect upon the completion of this offering require the registrant to fully indemnify any person who was or is a party or is threatened to be made a party to any threatened, pending or completed action, suit or proceeding (whether civil, criminal, administrative or investigative) by reason of the fact that such person is or was a director or officer of the registrant, or is or was a director or officer of the registrant serving at the registrant’s request as a director, officer, employee or agent of another corporation, partnership, joint venture, trust or other enterprise, against expenses (including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attorney’s fees), judgments, fines and amounts paid in settlement actually and reasonably incurred by such person in connection with such action, suit or proceeding, to the fullest extent permitted by applicable law.</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Section 102(b)(7) of the DGCL permits a corporation to provide in its certificate of incorporation that a director of the corporation shall not be personally liable to the corporation or its stockholders for monetary damages for breach of fiduciary duty as a director, except (1) for any breach of the director’s duty of loyalty to the corporation or its stockholders, (2) for acts or omissions not in good faith or which involve intentional misconduct or a knowing violation of law, (3) for payments of unlawful dividends or unlawful stock repurchases or redemptions or (4) for any transaction from which the director derived an improper personal benefit. The registrant’s certificate of incorporation to be in effect upon the completion of this offering provides that the registrant’s directors shall not be personally liable to it or its stockholders for monetary damages for breach of fiduciary duty as a director and that if the DGCL is amended to authorize corporate action further eliminating or limiting the personal liability of directors, then the liability of the registrant’s directors shall be eliminated or limited to the fullest extent permitted by the DGCL, as so amended.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Section 174 of the DGCL provides, among other things, that a director who willfully or negligently approves of an unlawful payment of dividends or an unlawful stock purchase or redemption may be held liable for such actions. A director who was either absent when the unlawful actions were approved, or dissented at the time, may avoid liability by causing his or her dissent to such actions to be entered in the books containing minutes of the meetings of the board of directors at the time such action occurred or immediately after such absent director receives notice of the unlawful acts.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As permitted by the DGCL, the registrant intends to enter into separate indemnification agreements with each of the registrant’s directors and certain of the registrant’s officers which would require the registrant, among other things, to indemnify them against certain liabilities which may arise by reason of their status as directors, officers or certain other employees.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registrant expects to obtain and maintain insurance policies under which its directors and officers are insured, within the limits and subject to the limitations of those policies, against certain expenses in connection with the defense of, and certain liabilities which might be imposed as a result of, actions, suits or proceedings to which they are parties by reason of being or having been directors or officers. The coverage provided by these policies may apply whether or not the registrant would have the power to indemnify such person against such liability under the provisions of the DGCL.</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These indemnification provisions and the indemnification agreements intended to be entered into between the registrant and the registrant’s officers and directors may be sufficiently broad to permit indemnification of the registrant’s officers and directors for liabilities (including reimbursement of expenses incurred) arising under the Securities Act.</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Item 7. Exemption from Registration Claimed.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Item 8. Exhibits.</w:t>
      </w:r>
    </w:p>
    <w:p>
      <w:pPr>
        <w:pStyle w:val="TextBody"/>
        <w:bidi w:val="0"/>
        <w:jc w:val="left"/>
        <w:rPr/>
      </w:pPr>
      <w:r>
        <w:rPr/>
        <w:t> </w:t>
      </w:r>
    </w:p>
    <w:tbl>
      <w:tblPr>
        <w:tblW w:w="8263" w:type="dxa"/>
        <w:jc w:val="left"/>
        <w:tblInd w:w="0" w:type="dxa"/>
        <w:tblLayout w:type="fixed"/>
        <w:tblCellMar>
          <w:top w:w="28" w:type="dxa"/>
          <w:left w:w="28" w:type="dxa"/>
          <w:bottom w:w="28" w:type="dxa"/>
          <w:right w:w="28" w:type="dxa"/>
        </w:tblCellMar>
      </w:tblPr>
      <w:tblGrid>
        <w:gridCol w:w="706"/>
        <w:gridCol w:w="146"/>
        <w:gridCol w:w="7411"/>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11"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8" w:space="0" w:color="000000"/>
            </w:tcBorders>
            <w:tcMar>
              <w:top w:w="0" w:type="dxa"/>
              <w:left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41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4.1</w:t>
            </w:r>
            <w:r>
              <w:rPr>
                <w:rFonts w:ascii="Times New Roman" w:hAnsi="Times New Roman"/>
                <w:color w:val="000000"/>
                <w:sz w:val="13"/>
              </w:rPr>
              <w:t>(1)</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11"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Form of common stock certificate of the Registrant.</w:t>
              </w:r>
            </w:hyperlink>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4.2</w:t>
            </w:r>
            <w:r>
              <w:rPr>
                <w:rFonts w:ascii="Times New Roman" w:hAnsi="Times New Roman"/>
                <w:color w:val="000000"/>
                <w:sz w:val="13"/>
              </w:rPr>
              <w:t>(2)</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11"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2020 Equity Incentive Plan and related form agreements.</w:t>
              </w:r>
            </w:hyperlink>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11"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Amended and Restated 2020 Employee Stock Purchase Plan and related form agreements.</w:t>
              </w:r>
            </w:hyperlink>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11" w:type="dxa"/>
            <w:tcBorders/>
            <w:tcMar>
              <w:top w:w="0" w:type="dxa"/>
              <w:left w:w="0" w:type="dxa"/>
              <w:bottom w:w="0" w:type="dxa"/>
              <w:right w:w="0" w:type="dxa"/>
            </w:tcMar>
            <w:vAlign w:val="center"/>
          </w:tcPr>
          <w:p>
            <w:pPr>
              <w:pStyle w:val="TableContents"/>
              <w:bidi w:val="0"/>
              <w:spacing w:before="0" w:after="283"/>
              <w:jc w:val="left"/>
              <w:rPr/>
            </w:pPr>
            <w:hyperlink w:anchor="ck0001726445-ex5_1.htm">
              <w:r>
                <w:rPr>
                  <w:rStyle w:val="InternetLink"/>
                  <w:rFonts w:ascii="Times New Roman" w:hAnsi="Times New Roman"/>
                  <w:color w:val="0000FF"/>
                  <w:sz w:val="20"/>
                  <w:u w:val="single"/>
                </w:rPr>
                <w:t>Opinion of Wilson Sonsini Goodrich &amp; Rosati, P.C.</w:t>
              </w:r>
            </w:hyperlink>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11" w:type="dxa"/>
            <w:tcBorders/>
            <w:tcMar>
              <w:top w:w="0" w:type="dxa"/>
              <w:left w:w="0" w:type="dxa"/>
              <w:bottom w:w="0" w:type="dxa"/>
              <w:right w:w="0" w:type="dxa"/>
            </w:tcMar>
            <w:vAlign w:val="center"/>
          </w:tcPr>
          <w:p>
            <w:pPr>
              <w:pStyle w:val="TableContents"/>
              <w:bidi w:val="0"/>
              <w:spacing w:before="0" w:after="283"/>
              <w:jc w:val="left"/>
              <w:rPr/>
            </w:pPr>
            <w:hyperlink w:anchor="ck0001726445-ex23_1.htm">
              <w:r>
                <w:rPr>
                  <w:rStyle w:val="InternetLink"/>
                  <w:rFonts w:ascii="Times New Roman" w:hAnsi="Times New Roman"/>
                  <w:color w:val="0000FF"/>
                  <w:sz w:val="20"/>
                  <w:u w:val="single"/>
                </w:rPr>
                <w:t>Consent of Deloitte &amp; Touche LLP, independent registered public accounting firm.</w:t>
              </w:r>
            </w:hyperlink>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Consent of Wilson Sonsini Goodrich &amp; Rosati, P.C. (included in Exhibit 5.1).</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11" w:type="dxa"/>
            <w:tcBorders/>
            <w:tcMar>
              <w:top w:w="0" w:type="dxa"/>
              <w:left w:w="0" w:type="dxa"/>
              <w:bottom w:w="0" w:type="dxa"/>
              <w:right w:w="0" w:type="dxa"/>
            </w:tcMar>
            <w:vAlign w:val="center"/>
          </w:tcPr>
          <w:p>
            <w:pPr>
              <w:pStyle w:val="TableContents"/>
              <w:bidi w:val="0"/>
              <w:spacing w:before="0" w:after="283"/>
              <w:jc w:val="left"/>
              <w:rPr/>
            </w:pPr>
            <w:hyperlink w:anchor="section5">
              <w:r>
                <w:rPr>
                  <w:rStyle w:val="InternetLink"/>
                  <w:rFonts w:ascii="Times New Roman" w:hAnsi="Times New Roman"/>
                  <w:color w:val="0000FF"/>
                  <w:sz w:val="20"/>
                  <w:u w:val="single"/>
                </w:rPr>
                <w:t>Power of Attorney (contained on signature page hereto).</w:t>
              </w:r>
            </w:hyperlink>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11" w:type="dxa"/>
            <w:tcBorders/>
            <w:tcMar>
              <w:top w:w="0" w:type="dxa"/>
              <w:left w:w="0" w:type="dxa"/>
              <w:bottom w:w="0" w:type="dxa"/>
              <w:right w:w="0" w:type="dxa"/>
            </w:tcMar>
            <w:vAlign w:val="center"/>
          </w:tcPr>
          <w:p>
            <w:pPr>
              <w:pStyle w:val="TableContents"/>
              <w:bidi w:val="0"/>
              <w:spacing w:before="0" w:after="283"/>
              <w:jc w:val="left"/>
              <w:rPr/>
            </w:pPr>
            <w:hyperlink w:anchor="ck0001726445-exfiling_fees.htm">
              <w:r>
                <w:rPr>
                  <w:rStyle w:val="InternetLink"/>
                  <w:rFonts w:ascii="Times New Roman" w:hAnsi="Times New Roman"/>
                  <w:color w:val="0000FF"/>
                  <w:sz w:val="20"/>
                  <w:u w:val="single"/>
                </w:rPr>
                <w:t>Filing Fee Table.</w:t>
              </w:r>
            </w:hyperlink>
            <w:r>
              <w:rPr>
                <w:rFonts w:ascii="Times New Roman" w:hAnsi="Times New Roman"/>
                <w:color w:val="000000"/>
                <w:sz w:val="20"/>
              </w:rPr>
              <w:t xml:space="preserve"> </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 xml:space="preserve">Incorporated by reference to Exhibit 4.1 filed with the Registrant’s Registration Statement on Form S-1 (Registration No. 333-250035), filed with the Commission on November 12, 2020. </w:t>
      </w:r>
    </w:p>
    <w:p>
      <w:pPr>
        <w:pStyle w:val="TextBody"/>
        <w:bidi w:val="0"/>
        <w:spacing w:before="40" w:after="283"/>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jc w:val="left"/>
        <w:rPr>
          <w:rFonts w:ascii="Times New Roman" w:hAnsi="Times New Roman"/>
          <w:color w:val="000000"/>
          <w:sz w:val="16"/>
        </w:rPr>
      </w:pPr>
      <w:r>
        <w:rPr>
          <w:rFonts w:ascii="Times New Roman" w:hAnsi="Times New Roman"/>
          <w:color w:val="000000"/>
          <w:sz w:val="16"/>
        </w:rPr>
        <w:t xml:space="preserve">Incorporated by reference to Exhibit 10.2 filed with the Registrant’s Registration Statement on Form S-1/A (Registration No. 333-250035), filed with the Commission on November 30, 2020.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9. Undertakings.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undersigned Registrant hereby undertakes: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To file, during any period in which offers or sales are being made, a post-effective amendment to this Registration Statement: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To include any prospectus required by Section 10(a)(3) of the Securities Act;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(iii)</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To include any material information with respect to the plan of distribution not previously disclosed in the Registration Statement or any material change to such information in the Registration Statement. </w:t>
      </w:r>
    </w:p>
    <w:p>
      <w:pPr>
        <w:pStyle w:val="TextBody"/>
        <w:bidi w:val="0"/>
        <w:spacing w:before="180" w:after="283"/>
        <w:jc w:val="left"/>
        <w:rPr>
          <w:rFonts w:ascii="Times New Roman" w:hAnsi="Times New Roman"/>
          <w:sz w:val="20"/>
        </w:rPr>
      </w:pPr>
      <w:r>
        <w:rPr>
          <w:rFonts w:ascii="Times New Roman" w:hAnsi="Times New Roman"/>
          <w:i/>
          <w:color w:val="000000"/>
          <w:sz w:val="20"/>
        </w:rPr>
        <w:t>Provided, however</w:t>
      </w:r>
      <w:r>
        <w:rPr>
          <w:rFonts w:ascii="Times New Roman" w:hAnsi="Times New Roman"/>
          <w:color w:val="000000"/>
          <w:sz w:val="20"/>
        </w:rPr>
        <w:t>, that paragraphs (A)(1)(i) and (A)(1)(ii)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this Registration Statement.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It will remove from registration by means of a post-effective amendment any of the securities being registered which remain unsold at the termination of the offering.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center"/>
        <w:rPr>
          <w:rFonts w:ascii="Times New Roman" w:hAnsi="Times New Roman"/>
          <w:b/>
          <w:color w:val="000000"/>
          <w:sz w:val="20"/>
        </w:rPr>
      </w:pPr>
      <w:bookmarkStart w:id="4" w:name="section4"/>
      <w:bookmarkEnd w:id="4"/>
      <w:r>
        <w:rPr>
          <w:rFonts w:ascii="Times New Roman" w:hAnsi="Times New Roman"/>
          <w:b/>
          <w:color w:val="000000"/>
          <w:sz w:val="20"/>
        </w:rPr>
        <w:t>SIGNATURES</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Redwood City, California, on March 6, 2024.</w:t>
      </w:r>
    </w:p>
    <w:p>
      <w:pPr>
        <w:pStyle w:val="TextBody"/>
        <w:bidi w:val="0"/>
        <w:jc w:val="left"/>
        <w:rPr/>
      </w:pPr>
      <w:r>
        <w:rPr/>
        <w:t> </w:t>
      </w:r>
    </w:p>
    <w:tbl>
      <w:tblPr>
        <w:tblW w:w="2657" w:type="dxa"/>
        <w:jc w:val="left"/>
        <w:tblInd w:w="0" w:type="dxa"/>
        <w:tblLayout w:type="fixed"/>
        <w:tblCellMar>
          <w:top w:w="28" w:type="dxa"/>
          <w:left w:w="28" w:type="dxa"/>
          <w:bottom w:w="28" w:type="dxa"/>
          <w:right w:w="28" w:type="dxa"/>
        </w:tblCellMar>
      </w:tblPr>
      <w:tblGrid>
        <w:gridCol w:w="421"/>
        <w:gridCol w:w="2236"/>
      </w:tblGrid>
      <w:tr>
        <w:trPr/>
        <w:tc>
          <w:tcPr>
            <w:tcW w:w="421"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r>
      <w:tr>
        <w:trPr/>
        <w:tc>
          <w:tcPr>
            <w:tcW w:w="2657" w:type="dxa"/>
            <w:gridSpan w:val="2"/>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SEER, INC.</w:t>
            </w:r>
          </w:p>
        </w:tc>
      </w:tr>
      <w:tr>
        <w:trPr/>
        <w:tc>
          <w:tcPr>
            <w:tcW w:w="421" w:type="dxa"/>
            <w:tcBorders/>
            <w:vAlign w:val="center"/>
          </w:tcPr>
          <w:p>
            <w:pPr>
              <w:pStyle w:val="TableContents"/>
              <w:bidi w:val="0"/>
              <w:spacing w:before="0" w:after="283"/>
              <w:jc w:val="left"/>
              <w:rPr/>
            </w:pPr>
            <w:r>
              <w:rPr/>
              <w:t> </w:t>
            </w:r>
          </w:p>
        </w:tc>
        <w:tc>
          <w:tcPr>
            <w:tcW w:w="2236" w:type="dxa"/>
            <w:tcBorders/>
            <w:vAlign w:val="center"/>
          </w:tcPr>
          <w:p>
            <w:pPr>
              <w:pStyle w:val="TableContents"/>
              <w:bidi w:val="0"/>
              <w:spacing w:before="0" w:after="283"/>
              <w:jc w:val="left"/>
              <w:rPr/>
            </w:pPr>
            <w:r>
              <w:rPr/>
              <w:t> </w:t>
            </w:r>
          </w:p>
        </w:tc>
      </w:tr>
      <w:tr>
        <w:trPr/>
        <w:tc>
          <w:tcPr>
            <w:tcW w:w="421" w:type="dxa"/>
            <w:tcBorders/>
            <w:vAlign w:val="center"/>
          </w:tcPr>
          <w:p>
            <w:pPr>
              <w:pStyle w:val="TableContents"/>
              <w:bidi w:val="0"/>
              <w:spacing w:before="20" w:after="283"/>
              <w:jc w:val="left"/>
              <w:rPr>
                <w:rFonts w:ascii="Times New Roman" w:hAnsi="Times New Roman"/>
                <w:color w:val="000000"/>
                <w:sz w:val="20"/>
              </w:rPr>
            </w:pPr>
            <w:r>
              <w:rPr>
                <w:rFonts w:ascii="Times New Roman" w:hAnsi="Times New Roman"/>
                <w:color w:val="000000"/>
                <w:sz w:val="20"/>
              </w:rPr>
              <w:t>By:</w:t>
            </w:r>
          </w:p>
        </w:tc>
        <w:tc>
          <w:tcPr>
            <w:tcW w:w="2236" w:type="dxa"/>
            <w:tcBorders>
              <w:bottom w:val="single" w:sz="8" w:space="0" w:color="000000"/>
            </w:tcBorders>
            <w:tcMar>
              <w:top w:w="0" w:type="dxa"/>
              <w:left w:w="0" w:type="dxa"/>
              <w:right w:w="0" w:type="dxa"/>
            </w:tcMar>
            <w:vAlign w:val="center"/>
          </w:tcPr>
          <w:p>
            <w:pPr>
              <w:pStyle w:val="TableContents"/>
              <w:bidi w:val="0"/>
              <w:spacing w:before="20" w:after="283"/>
              <w:jc w:val="left"/>
              <w:rPr>
                <w:rFonts w:ascii="Times New Roman" w:hAnsi="Times New Roman"/>
                <w:color w:val="000000"/>
                <w:sz w:val="20"/>
              </w:rPr>
            </w:pPr>
            <w:r>
              <w:rPr>
                <w:rFonts w:ascii="Times New Roman" w:hAnsi="Times New Roman"/>
                <w:color w:val="000000"/>
                <w:sz w:val="20"/>
              </w:rPr>
              <w:t>/s/ Omid Farokhzad, M.D.</w:t>
            </w:r>
          </w:p>
        </w:tc>
      </w:tr>
      <w:tr>
        <w:trPr/>
        <w:tc>
          <w:tcPr>
            <w:tcW w:w="421" w:type="dxa"/>
            <w:tcBorders/>
            <w:vAlign w:val="center"/>
          </w:tcPr>
          <w:p>
            <w:pPr>
              <w:pStyle w:val="TableContents"/>
              <w:bidi w:val="0"/>
              <w:spacing w:before="20" w:after="283"/>
              <w:jc w:val="left"/>
              <w:rPr/>
            </w:pPr>
            <w:r>
              <w:rPr/>
              <w:t> </w:t>
            </w:r>
          </w:p>
        </w:tc>
        <w:tc>
          <w:tcPr>
            <w:tcW w:w="2236" w:type="dxa"/>
            <w:tcBorders/>
            <w:vAlign w:val="center"/>
          </w:tcPr>
          <w:p>
            <w:pPr>
              <w:pStyle w:val="TableContents"/>
              <w:bidi w:val="0"/>
              <w:spacing w:before="20" w:after="283"/>
              <w:jc w:val="left"/>
              <w:rPr>
                <w:rFonts w:ascii="Times New Roman" w:hAnsi="Times New Roman"/>
                <w:color w:val="000000"/>
                <w:sz w:val="20"/>
              </w:rPr>
            </w:pPr>
            <w:r>
              <w:rPr>
                <w:rFonts w:ascii="Times New Roman" w:hAnsi="Times New Roman"/>
                <w:color w:val="000000"/>
                <w:sz w:val="20"/>
              </w:rPr>
              <w:t>Omid Farokhzad, M.D.</w:t>
            </w:r>
          </w:p>
        </w:tc>
      </w:tr>
      <w:tr>
        <w:trPr/>
        <w:tc>
          <w:tcPr>
            <w:tcW w:w="421" w:type="dxa"/>
            <w:tcBorders/>
            <w:vAlign w:val="center"/>
          </w:tcPr>
          <w:p>
            <w:pPr>
              <w:pStyle w:val="TableContents"/>
              <w:bidi w:val="0"/>
              <w:spacing w:before="20" w:after="283"/>
              <w:jc w:val="left"/>
              <w:rPr/>
            </w:pPr>
            <w:r>
              <w:rPr/>
              <w:t> </w:t>
            </w:r>
          </w:p>
        </w:tc>
        <w:tc>
          <w:tcPr>
            <w:tcW w:w="2236" w:type="dxa"/>
            <w:tcBorders/>
            <w:vAlign w:val="center"/>
          </w:tcPr>
          <w:p>
            <w:pPr>
              <w:pStyle w:val="TableContents"/>
              <w:bidi w:val="0"/>
              <w:spacing w:before="2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center"/>
        <w:rPr>
          <w:rFonts w:ascii="Times New Roman" w:hAnsi="Times New Roman"/>
          <w:b/>
          <w:color w:val="000000"/>
          <w:sz w:val="20"/>
        </w:rPr>
      </w:pPr>
      <w:bookmarkStart w:id="5" w:name="section5"/>
      <w:bookmarkEnd w:id="5"/>
      <w:r>
        <w:rPr>
          <w:rFonts w:ascii="Times New Roman" w:hAnsi="Times New Roman"/>
          <w:b/>
          <w:color w:val="000000"/>
          <w:sz w:val="20"/>
        </w:rPr>
        <w:t>POWER OF ATTORNEY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KNOW ALL PERSONS BY THESE PRESENTS, that each person whose signature appears below hereby constitutes and appoints Omid Farokhzad, M.D. and David Horn as his or her lawful attorney-in-fact and agent with full power of substitution, for him or her in any and all capacities, to sign any and all amendments to this registration statement on Form S-8 (including post-effective amendments), and to file the same, with all exhibits thereto and other documents in connection therewith, with the Securities and Exchange Commission, granting unto said attorney in fact, proxy and agent full power and authority to do and perform each and every act and thing requisite and necessary to be done in connection therewith, as fully for all intents and purposes as he might or could do in person, hereby ratifying and confirming all that said attorney-in-fact, proxy and agent, or his substitute, may lawfully do or cause to be done by virtue hereof.</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Act of 1933, as amended, this Registration Statement on Form S-8 has been signed by the following persons in the capacities and on the dates indicated:</w:t>
      </w:r>
    </w:p>
    <w:p>
      <w:pPr>
        <w:pStyle w:val="TextBody"/>
        <w:bidi w:val="0"/>
        <w:jc w:val="left"/>
        <w:rPr/>
      </w:pPr>
      <w:r>
        <w:rPr/>
        <w:t> </w:t>
      </w:r>
    </w:p>
    <w:tbl>
      <w:tblPr>
        <w:tblW w:w="8305" w:type="dxa"/>
        <w:jc w:val="left"/>
        <w:tblInd w:w="0" w:type="dxa"/>
        <w:tblLayout w:type="fixed"/>
        <w:tblCellMar>
          <w:top w:w="28" w:type="dxa"/>
          <w:left w:w="28" w:type="dxa"/>
          <w:bottom w:w="28" w:type="dxa"/>
          <w:right w:w="28" w:type="dxa"/>
        </w:tblCellMar>
      </w:tblPr>
      <w:tblGrid>
        <w:gridCol w:w="2236"/>
        <w:gridCol w:w="146"/>
        <w:gridCol w:w="4441"/>
        <w:gridCol w:w="146"/>
        <w:gridCol w:w="1336"/>
      </w:tblGrid>
      <w:tr>
        <w:trPr/>
        <w:tc>
          <w:tcPr>
            <w:tcW w:w="2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236" w:type="dxa"/>
            <w:tcBorders>
              <w:bottom w:val="single" w:sz="8" w:space="0" w:color="000000"/>
            </w:tcBorders>
            <w:tcMar>
              <w:top w:w="0" w:type="dxa"/>
              <w:left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SIGNATURE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441" w:type="dxa"/>
            <w:tcBorders>
              <w:bottom w:val="single" w:sz="8" w:space="0" w:color="000000"/>
            </w:tcBorders>
            <w:tcMar>
              <w:top w:w="0" w:type="dxa"/>
              <w:left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TITLE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336" w:type="dxa"/>
            <w:tcBorders>
              <w:bottom w:val="single" w:sz="8" w:space="0" w:color="000000"/>
            </w:tcBorders>
            <w:tcMar>
              <w:top w:w="0" w:type="dxa"/>
              <w:left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DATE</w:t>
            </w:r>
          </w:p>
        </w:tc>
      </w:tr>
      <w:tr>
        <w:trPr/>
        <w:tc>
          <w:tcPr>
            <w:tcW w:w="2236" w:type="dxa"/>
            <w:tcBorders/>
            <w:tcMar>
              <w:top w:w="0" w:type="dxa"/>
              <w:left w:w="0" w:type="dxa"/>
              <w:bottom w:w="0" w:type="dxa"/>
              <w:right w:w="0" w:type="dxa"/>
            </w:tcMar>
            <w:vAlign w:val="center"/>
          </w:tcPr>
          <w:p>
            <w:pPr>
              <w:pStyle w:val="TableContents"/>
              <w:bidi w:val="0"/>
              <w:spacing w:before="53" w:after="30"/>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vMerge w:val="restart"/>
            <w:tcBorders/>
            <w:tcMar>
              <w:top w:w="0" w:type="dxa"/>
              <w:left w:w="0" w:type="dxa"/>
              <w:bottom w:w="0" w:type="dxa"/>
              <w:right w:w="0" w:type="dxa"/>
            </w:tcMar>
            <w:vAlign w:val="center"/>
          </w:tcPr>
          <w:p>
            <w:pPr>
              <w:pStyle w:val="TableContents"/>
              <w:bidi w:val="0"/>
              <w:spacing w:before="33" w:after="283"/>
              <w:jc w:val="center"/>
              <w:rPr>
                <w:rFonts w:ascii="Times New Roman" w:hAnsi="Times New Roman"/>
                <w:color w:val="000000"/>
                <w:sz w:val="20"/>
              </w:rPr>
            </w:pPr>
            <w:r>
              <w:rPr>
                <w:rFonts w:ascii="Times New Roman" w:hAnsi="Times New Roman"/>
                <w:color w:val="000000"/>
                <w:sz w:val="20"/>
              </w:rPr>
              <w:t>Chief Executive Officer and</w:t>
            </w:r>
          </w:p>
          <w:p>
            <w:pPr>
              <w:pStyle w:val="TableContents"/>
              <w:bidi w:val="0"/>
              <w:jc w:val="center"/>
              <w:rPr>
                <w:rFonts w:ascii="Times New Roman" w:hAnsi="Times New Roman"/>
                <w:color w:val="000000"/>
                <w:sz w:val="20"/>
              </w:rPr>
            </w:pPr>
            <w:r>
              <w:rPr>
                <w:rFonts w:ascii="Times New Roman" w:hAnsi="Times New Roman"/>
                <w:color w:val="000000"/>
                <w:sz w:val="20"/>
              </w:rPr>
              <w:t>Chair of the Board of Directors</w:t>
            </w:r>
          </w:p>
          <w:p>
            <w:pPr>
              <w:pStyle w:val="TableContents"/>
              <w:bidi w:val="0"/>
              <w:spacing w:before="0" w:after="30"/>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Executive Officer</w:t>
            </w: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6, 2024</w:t>
            </w:r>
          </w:p>
        </w:tc>
      </w:tr>
      <w:tr>
        <w:trPr/>
        <w:tc>
          <w:tcPr>
            <w:tcW w:w="2236" w:type="dxa"/>
            <w:tcBorders>
              <w:bottom w:val="single" w:sz="8" w:space="0" w:color="000000"/>
            </w:tcBorders>
            <w:tcMar>
              <w:top w:w="0" w:type="dxa"/>
              <w:left w:w="0" w:type="dxa"/>
              <w:right w:w="0"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/s/ Omid Farokhzad, M.D.</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44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336" w:type="dxa"/>
            <w:vMerge w:val="continue"/>
            <w:tcBorders/>
            <w:tcMar>
              <w:top w:w="0" w:type="dxa"/>
              <w:left w:w="0" w:type="dxa"/>
              <w:bottom w:w="0" w:type="dxa"/>
              <w:right w:w="0" w:type="dxa"/>
            </w:tcMar>
            <w:vAlign w:val="center"/>
          </w:tcPr>
          <w:p>
            <w:pPr>
              <w:pStyle w:val="Normal"/>
              <w:bidi w:val="0"/>
              <w:jc w:val="left"/>
              <w:rPr/>
            </w:pPr>
            <w:r>
              <w:rPr/>
            </w:r>
          </w:p>
        </w:tc>
      </w:tr>
      <w:tr>
        <w:trPr/>
        <w:tc>
          <w:tcPr>
            <w:tcW w:w="2236" w:type="dxa"/>
            <w:tcBorders/>
            <w:tcMar>
              <w:top w:w="0" w:type="dxa"/>
              <w:left w:w="0" w:type="dxa"/>
              <w:bottom w:w="0" w:type="dxa"/>
              <w:right w:w="0"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Omid Farokhzad, M.D.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336" w:type="dxa"/>
            <w:vMerge w:val="continue"/>
            <w:tcBorders/>
            <w:tcMar>
              <w:top w:w="0" w:type="dxa"/>
              <w:left w:w="0" w:type="dxa"/>
              <w:bottom w:w="0" w:type="dxa"/>
              <w:right w:w="0" w:type="dxa"/>
            </w:tcMar>
            <w:vAlign w:val="center"/>
          </w:tcPr>
          <w:p>
            <w:pPr>
              <w:pStyle w:val="Normal"/>
              <w:bidi w:val="0"/>
              <w:jc w:val="left"/>
              <w:rPr/>
            </w:pPr>
            <w:r>
              <w:rPr/>
            </w:r>
          </w:p>
        </w:tc>
      </w:tr>
      <w:tr>
        <w:trPr/>
        <w:tc>
          <w:tcPr>
            <w:tcW w:w="22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36" w:type="dxa"/>
            <w:tcBorders>
              <w:bottom w:val="single" w:sz="8" w:space="0" w:color="000000"/>
            </w:tcBorders>
            <w:tcMar>
              <w:top w:w="0" w:type="dxa"/>
              <w:left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/s/ David R. Horn</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441" w:type="dxa"/>
            <w:vMerge w:val="restart"/>
            <w:tcBorders/>
            <w:tcMar>
              <w:top w:w="0" w:type="dxa"/>
              <w:left w:w="0" w:type="dxa"/>
              <w:bottom w:w="0" w:type="dxa"/>
              <w:right w:w="0" w:type="dxa"/>
            </w:tcMar>
            <w:vAlign w:val="center"/>
          </w:tcPr>
          <w:p>
            <w:pPr>
              <w:pStyle w:val="TableContents"/>
              <w:bidi w:val="0"/>
              <w:spacing w:before="53" w:after="283"/>
              <w:jc w:val="center"/>
              <w:rPr>
                <w:rFonts w:ascii="Times New Roman" w:hAnsi="Times New Roman"/>
                <w:color w:val="000000"/>
                <w:sz w:val="20"/>
              </w:rPr>
            </w:pPr>
            <w:r>
              <w:rPr>
                <w:rFonts w:ascii="Times New Roman" w:hAnsi="Times New Roman"/>
                <w:color w:val="000000"/>
                <w:sz w:val="20"/>
              </w:rPr>
              <w:t>Chief Financial Officer and President</w:t>
            </w:r>
          </w:p>
          <w:p>
            <w:pPr>
              <w:pStyle w:val="TableContents"/>
              <w:bidi w:val="0"/>
              <w:spacing w:before="0" w:after="30"/>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Financial Officer and Accounting Officer</w:t>
            </w: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6, 2024</w:t>
            </w:r>
          </w:p>
        </w:tc>
      </w:tr>
      <w:tr>
        <w:trPr/>
        <w:tc>
          <w:tcPr>
            <w:tcW w:w="2236" w:type="dxa"/>
            <w:tcBorders/>
            <w:tcMar>
              <w:top w:w="0" w:type="dxa"/>
              <w:left w:w="0" w:type="dxa"/>
              <w:bottom w:w="0" w:type="dxa"/>
              <w:right w:w="0"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David R. Horn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vMerge w:val="continue"/>
            <w:tcBorders/>
            <w:tcMar>
              <w:top w:w="0" w:type="dxa"/>
              <w:left w:w="0" w:type="dxa"/>
              <w:bottom w:w="0" w:type="dxa"/>
              <w:right w:w="0" w:type="dxa"/>
            </w:tcMar>
            <w:vAlign w:val="center"/>
          </w:tcPr>
          <w:p>
            <w:pPr>
              <w:pStyle w:val="Normal"/>
              <w:bidi w:val="0"/>
              <w:jc w:val="left"/>
              <w:rPr/>
            </w:pPr>
            <w:r>
              <w:rPr/>
            </w:r>
          </w:p>
        </w:tc>
      </w:tr>
      <w:tr>
        <w:trPr/>
        <w:tc>
          <w:tcPr>
            <w:tcW w:w="22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36" w:type="dxa"/>
            <w:tcBorders>
              <w:bottom w:val="single" w:sz="8" w:space="0" w:color="000000"/>
            </w:tcBorders>
            <w:tcMar>
              <w:top w:w="0" w:type="dxa"/>
              <w:left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/s/ David Hallal</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441"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Lead Independent 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6, 2024</w:t>
            </w:r>
          </w:p>
        </w:tc>
      </w:tr>
      <w:tr>
        <w:trPr/>
        <w:tc>
          <w:tcPr>
            <w:tcW w:w="2236" w:type="dxa"/>
            <w:tcBorders/>
            <w:tcMar>
              <w:top w:w="0" w:type="dxa"/>
              <w:left w:w="0" w:type="dxa"/>
              <w:bottom w:w="0" w:type="dxa"/>
              <w:right w:w="0"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David Hallal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vMerge w:val="continue"/>
            <w:tcBorders/>
            <w:tcMar>
              <w:top w:w="0" w:type="dxa"/>
              <w:left w:w="0" w:type="dxa"/>
              <w:bottom w:w="0" w:type="dxa"/>
              <w:right w:w="0" w:type="dxa"/>
            </w:tcMar>
            <w:vAlign w:val="center"/>
          </w:tcPr>
          <w:p>
            <w:pPr>
              <w:pStyle w:val="Normal"/>
              <w:bidi w:val="0"/>
              <w:jc w:val="left"/>
              <w:rPr/>
            </w:pPr>
            <w:r>
              <w:rPr/>
            </w:r>
          </w:p>
        </w:tc>
      </w:tr>
      <w:tr>
        <w:trPr/>
        <w:tc>
          <w:tcPr>
            <w:tcW w:w="22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36" w:type="dxa"/>
            <w:tcBorders>
              <w:bottom w:val="single" w:sz="8" w:space="0" w:color="000000"/>
            </w:tcBorders>
            <w:tcMar>
              <w:top w:w="0" w:type="dxa"/>
              <w:left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/s/ Meeta Gulyani</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441"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6, 2024</w:t>
            </w:r>
          </w:p>
        </w:tc>
      </w:tr>
      <w:tr>
        <w:trPr/>
        <w:tc>
          <w:tcPr>
            <w:tcW w:w="2236" w:type="dxa"/>
            <w:tcBorders/>
            <w:tcMar>
              <w:top w:w="0" w:type="dxa"/>
              <w:left w:w="0" w:type="dxa"/>
              <w:bottom w:w="0" w:type="dxa"/>
              <w:right w:w="0"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Meeta Gulyani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vMerge w:val="continue"/>
            <w:tcBorders/>
            <w:tcMar>
              <w:top w:w="0" w:type="dxa"/>
              <w:left w:w="0" w:type="dxa"/>
              <w:bottom w:w="0" w:type="dxa"/>
              <w:right w:w="0" w:type="dxa"/>
            </w:tcMar>
            <w:vAlign w:val="center"/>
          </w:tcPr>
          <w:p>
            <w:pPr>
              <w:pStyle w:val="Normal"/>
              <w:bidi w:val="0"/>
              <w:jc w:val="left"/>
              <w:rPr/>
            </w:pPr>
            <w:r>
              <w:rPr/>
            </w:r>
          </w:p>
        </w:tc>
      </w:tr>
      <w:tr>
        <w:trPr/>
        <w:tc>
          <w:tcPr>
            <w:tcW w:w="22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36" w:type="dxa"/>
            <w:tcBorders>
              <w:bottom w:val="single" w:sz="8" w:space="0" w:color="000000"/>
            </w:tcBorders>
            <w:tcMar>
              <w:top w:w="0" w:type="dxa"/>
              <w:left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/s/ Rachel Haurwitz, Ph.D.</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441"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6, 2024</w:t>
            </w:r>
          </w:p>
        </w:tc>
      </w:tr>
      <w:tr>
        <w:trPr/>
        <w:tc>
          <w:tcPr>
            <w:tcW w:w="2236" w:type="dxa"/>
            <w:tcBorders/>
            <w:tcMar>
              <w:top w:w="0" w:type="dxa"/>
              <w:left w:w="0" w:type="dxa"/>
              <w:bottom w:w="0" w:type="dxa"/>
              <w:right w:w="0"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Rachel Haurwitz, Ph.D.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vMerge w:val="continue"/>
            <w:tcBorders/>
            <w:tcMar>
              <w:top w:w="0" w:type="dxa"/>
              <w:left w:w="0" w:type="dxa"/>
              <w:bottom w:w="0" w:type="dxa"/>
              <w:right w:w="0" w:type="dxa"/>
            </w:tcMar>
            <w:vAlign w:val="center"/>
          </w:tcPr>
          <w:p>
            <w:pPr>
              <w:pStyle w:val="Normal"/>
              <w:bidi w:val="0"/>
              <w:jc w:val="left"/>
              <w:rPr/>
            </w:pPr>
            <w:r>
              <w:rPr/>
            </w:r>
          </w:p>
        </w:tc>
      </w:tr>
      <w:tr>
        <w:trPr/>
        <w:tc>
          <w:tcPr>
            <w:tcW w:w="22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36" w:type="dxa"/>
            <w:tcBorders>
              <w:bottom w:val="single" w:sz="8" w:space="0" w:color="000000"/>
            </w:tcBorders>
            <w:tcMar>
              <w:top w:w="0" w:type="dxa"/>
              <w:left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/s/ Robert Langer, Sc.D.</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441"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6, 2024</w:t>
            </w:r>
          </w:p>
        </w:tc>
      </w:tr>
      <w:tr>
        <w:trPr/>
        <w:tc>
          <w:tcPr>
            <w:tcW w:w="2236" w:type="dxa"/>
            <w:tcBorders/>
            <w:tcMar>
              <w:top w:w="0" w:type="dxa"/>
              <w:left w:w="0" w:type="dxa"/>
              <w:bottom w:w="0" w:type="dxa"/>
              <w:right w:w="0"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Robert Langer, Sc.D.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vMerge w:val="continue"/>
            <w:tcBorders/>
            <w:tcMar>
              <w:top w:w="0" w:type="dxa"/>
              <w:left w:w="0" w:type="dxa"/>
              <w:bottom w:w="0" w:type="dxa"/>
              <w:right w:w="0" w:type="dxa"/>
            </w:tcMar>
            <w:vAlign w:val="center"/>
          </w:tcPr>
          <w:p>
            <w:pPr>
              <w:pStyle w:val="Normal"/>
              <w:bidi w:val="0"/>
              <w:jc w:val="left"/>
              <w:rPr/>
            </w:pPr>
            <w:r>
              <w:rPr/>
            </w:r>
          </w:p>
        </w:tc>
      </w:tr>
      <w:tr>
        <w:trPr/>
        <w:tc>
          <w:tcPr>
            <w:tcW w:w="22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36" w:type="dxa"/>
            <w:tcBorders>
              <w:bottom w:val="single" w:sz="8" w:space="0" w:color="000000"/>
            </w:tcBorders>
            <w:tcMar>
              <w:top w:w="0" w:type="dxa"/>
              <w:left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/s/ Terrance McGuire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441"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6, 2024</w:t>
            </w:r>
          </w:p>
        </w:tc>
      </w:tr>
      <w:tr>
        <w:trPr/>
        <w:tc>
          <w:tcPr>
            <w:tcW w:w="2236" w:type="dxa"/>
            <w:tcBorders/>
            <w:tcMar>
              <w:top w:w="0" w:type="dxa"/>
              <w:left w:w="0" w:type="dxa"/>
              <w:bottom w:w="0" w:type="dxa"/>
              <w:right w:w="0"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Terrance McGuire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vMerge w:val="continue"/>
            <w:tcBorders/>
            <w:tcMar>
              <w:top w:w="0" w:type="dxa"/>
              <w:left w:w="0" w:type="dxa"/>
              <w:bottom w:w="0" w:type="dxa"/>
              <w:right w:w="0" w:type="dxa"/>
            </w:tcMar>
            <w:vAlign w:val="center"/>
          </w:tcPr>
          <w:p>
            <w:pPr>
              <w:pStyle w:val="Normal"/>
              <w:bidi w:val="0"/>
              <w:jc w:val="left"/>
              <w:rPr/>
            </w:pPr>
            <w:r>
              <w:rPr/>
            </w:r>
          </w:p>
        </w:tc>
      </w:tr>
      <w:tr>
        <w:trPr/>
        <w:tc>
          <w:tcPr>
            <w:tcW w:w="22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36" w:type="dxa"/>
            <w:tcBorders>
              <w:bottom w:val="single" w:sz="8" w:space="0" w:color="000000"/>
            </w:tcBorders>
            <w:tcMar>
              <w:top w:w="0" w:type="dxa"/>
              <w:left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/s/ Deep Nishar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441"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6, 2024</w:t>
            </w:r>
          </w:p>
        </w:tc>
      </w:tr>
      <w:tr>
        <w:trPr/>
        <w:tc>
          <w:tcPr>
            <w:tcW w:w="2236" w:type="dxa"/>
            <w:tcBorders/>
            <w:tcMar>
              <w:top w:w="0" w:type="dxa"/>
              <w:left w:w="0" w:type="dxa"/>
              <w:bottom w:w="0" w:type="dxa"/>
              <w:right w:w="0"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Deep Nishar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60" w:after="283"/>
        <w:jc w:val="right"/>
        <w:rPr>
          <w:rFonts w:ascii="Times New Roman" w:hAnsi="Times New Roman"/>
          <w:b/>
          <w:color w:val="000000"/>
          <w:sz w:val="22"/>
        </w:rPr>
      </w:pPr>
      <w:bookmarkStart w:id="6" w:name="ck0001726445-ex5_1.htm"/>
      <w:bookmarkStart w:id="7" w:name="ksck0001726445ex5_1"/>
      <w:bookmarkEnd w:id="6"/>
      <w:bookmarkEnd w:id="7"/>
      <w:r>
        <w:rPr>
          <w:rFonts w:ascii="Times New Roman" w:hAnsi="Times New Roman"/>
          <w:b/>
          <w:color w:val="000000"/>
          <w:sz w:val="22"/>
        </w:rPr>
        <w:t>Exhibit 5.1</w:t>
      </w:r>
      <w:r>
        <w:br w:type="page"/>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March 6, 2024</w:t>
      </w:r>
    </w:p>
    <w:p>
      <w:pPr>
        <w:pStyle w:val="TextBody"/>
        <w:bidi w:val="0"/>
        <w:spacing w:before="24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Seer, Inc.</w:t>
      </w:r>
    </w:p>
    <w:p>
      <w:pPr>
        <w:pStyle w:val="TextBody"/>
        <w:bidi w:val="0"/>
        <w:jc w:val="left"/>
        <w:rPr>
          <w:rFonts w:ascii="Times New Roman" w:hAnsi="Times New Roman"/>
          <w:color w:val="000000"/>
          <w:sz w:val="20"/>
        </w:rPr>
      </w:pPr>
      <w:r>
        <w:rPr>
          <w:rFonts w:ascii="Times New Roman" w:hAnsi="Times New Roman"/>
          <w:color w:val="000000"/>
          <w:sz w:val="20"/>
        </w:rPr>
        <w:t>3800 Bridge Parkway, Suite 102</w:t>
      </w:r>
    </w:p>
    <w:p>
      <w:pPr>
        <w:pStyle w:val="TextBody"/>
        <w:bidi w:val="0"/>
        <w:jc w:val="left"/>
        <w:rPr>
          <w:rFonts w:ascii="Times New Roman" w:hAnsi="Times New Roman"/>
          <w:color w:val="000000"/>
          <w:sz w:val="20"/>
        </w:rPr>
      </w:pPr>
      <w:r>
        <w:rPr>
          <w:rFonts w:ascii="Times New Roman" w:hAnsi="Times New Roman"/>
          <w:color w:val="000000"/>
          <w:sz w:val="20"/>
        </w:rPr>
        <w:t>Redwood City, CA 94065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 Registration Statement on Form S</w:t>
        <w:noBreakHyphen/>
        <w:t>8</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Ladies and Gentlemen: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We have examined the Registration Statement on Form S-8 (the “</w:t>
      </w:r>
      <w:r>
        <w:rPr>
          <w:rFonts w:ascii="Times New Roman" w:hAnsi="Times New Roman"/>
          <w:b/>
          <w:color w:val="000000"/>
          <w:sz w:val="20"/>
        </w:rPr>
        <w:t>Registration Statement</w:t>
      </w:r>
      <w:r>
        <w:rPr>
          <w:rFonts w:ascii="Times New Roman" w:hAnsi="Times New Roman"/>
          <w:color w:val="000000"/>
          <w:sz w:val="20"/>
        </w:rPr>
        <w:t>”) to be filed by Seer, Inc., a Delaware corporation (the “Company”), with the Securities and Exchange Commission on or about the date hereof, relating to the registration under the Securities Act of 1933, as amended, of (i) 3,214,933 shares of Class A common stock, par value $0.00001 per share (“</w:t>
      </w:r>
      <w:r>
        <w:rPr>
          <w:rFonts w:ascii="Times New Roman" w:hAnsi="Times New Roman"/>
          <w:b/>
          <w:color w:val="000000"/>
          <w:sz w:val="20"/>
        </w:rPr>
        <w:t>Common Stock</w:t>
      </w:r>
      <w:r>
        <w:rPr>
          <w:rFonts w:ascii="Times New Roman" w:hAnsi="Times New Roman"/>
          <w:color w:val="000000"/>
          <w:sz w:val="20"/>
        </w:rPr>
        <w:t>”), reserved for issuance pursuant to the Company’s 2020 Equity Incentive Plan, and (ii) 642,986 shares of Common Stock reserved for issuance pursuant to the Company’s 2020 Employee Stock Purchase Plan (which plans are referred to herein as the “</w:t>
      </w:r>
      <w:r>
        <w:rPr>
          <w:rFonts w:ascii="Times New Roman" w:hAnsi="Times New Roman"/>
          <w:b/>
          <w:color w:val="000000"/>
          <w:sz w:val="20"/>
        </w:rPr>
        <w:t>Plans</w:t>
      </w:r>
      <w:r>
        <w:rPr>
          <w:rFonts w:ascii="Times New Roman" w:hAnsi="Times New Roman"/>
          <w:color w:val="000000"/>
          <w:sz w:val="20"/>
        </w:rPr>
        <w:t>” and which shares of Common Stock are referred to herein as the “</w:t>
      </w:r>
      <w:r>
        <w:rPr>
          <w:rFonts w:ascii="Times New Roman" w:hAnsi="Times New Roman"/>
          <w:b/>
          <w:color w:val="000000"/>
          <w:sz w:val="20"/>
        </w:rPr>
        <w:t>Shares</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the basis of the foregoing, and in reliance thereon, we are of the opinion that the Shares, when issued and sold in the manner referred to in the Plans and pursuant to the agreements that accompany the Plans, will be validly issued, fully paid, and nonassessable.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consent to the use of this opinion as an exhibit to the Registration Statement and further consent to the use of our name wherever appearing in the Registration Statement and any amendments thereto.</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 *</w:t>
      </w:r>
    </w:p>
    <w:p>
      <w:pPr>
        <w:pStyle w:val="TextBody"/>
        <w:bidi w:val="0"/>
        <w:jc w:val="left"/>
        <w:rPr>
          <w:rFonts w:ascii="Times New Roman" w:hAnsi="Times New Roman"/>
          <w:color w:val="000000"/>
          <w:sz w:val="20"/>
        </w:rPr>
      </w:pPr>
      <w:r>
        <w:rPr>
          <w:rFonts w:ascii="Times New Roman" w:hAnsi="Times New Roman"/>
          <w:color w:val="000000"/>
          <w:sz w:val="20"/>
        </w:rPr>
        <w:br/>
        <w:t>Very truly yours,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 Wilson Sonsini Goodrich &amp; Rosati, P.C.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WILSON SONSINI GOODRICH &amp; ROSATI</w:t>
      </w:r>
    </w:p>
    <w:p>
      <w:pPr>
        <w:pStyle w:val="TextBody"/>
        <w:bidi w:val="0"/>
        <w:jc w:val="left"/>
        <w:rPr>
          <w:rFonts w:ascii="Times New Roman" w:hAnsi="Times New Roman"/>
          <w:color w:val="000000"/>
          <w:sz w:val="20"/>
        </w:rPr>
      </w:pPr>
      <w:r>
        <w:rPr>
          <w:rFonts w:ascii="Times New Roman" w:hAnsi="Times New Roman"/>
          <w:color w:val="000000"/>
          <w:sz w:val="20"/>
        </w:rPr>
        <w:t>Professional Corporation</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60" w:after="6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8" w:name="ck0001726445-ex23_1.htm"/>
      <w:bookmarkStart w:id="9" w:name="ksck0001726445ex23_1"/>
      <w:bookmarkEnd w:id="8"/>
      <w:bookmarkEnd w:id="9"/>
      <w:r>
        <w:rPr>
          <w:rFonts w:ascii="Times New Roman" w:hAnsi="Times New Roman"/>
          <w:b/>
          <w:color w:val="000000"/>
          <w:sz w:val="22"/>
        </w:rPr>
        <w:t>Exhibit 23.1</w:t>
      </w:r>
      <w:r>
        <w:br w:type="page"/>
      </w:r>
    </w:p>
    <w:p>
      <w:pPr>
        <w:pStyle w:val="TextBody"/>
        <w:bidi w:val="0"/>
        <w:spacing w:before="0" w:after="200"/>
        <w:jc w:val="left"/>
        <w:rPr>
          <w:rFonts w:ascii="Times New Roman" w:hAnsi="Times New Roman"/>
          <w:b/>
          <w:color w:val="000000"/>
          <w:sz w:val="22"/>
        </w:rPr>
      </w:pPr>
      <w:r>
        <w:rPr>
          <w:rFonts w:ascii="Times New Roman" w:hAnsi="Times New Roman"/>
          <w:b/>
          <w:color w:val="000000"/>
          <w:sz w:val="22"/>
        </w:rPr>
        <w:t>CONSENT OF INDEPENDENT REGISTERED PUBLIC ACCOUNTING FIRM</w:t>
      </w:r>
    </w:p>
    <w:p>
      <w:pPr>
        <w:pStyle w:val="TextBody"/>
        <w:bidi w:val="0"/>
        <w:spacing w:before="0" w:after="200"/>
        <w:jc w:val="both"/>
        <w:rPr>
          <w:rFonts w:ascii="Times New Roman" w:hAnsi="Times New Roman"/>
          <w:color w:val="000000"/>
          <w:sz w:val="22"/>
        </w:rPr>
      </w:pPr>
      <w:r>
        <w:rPr>
          <w:rFonts w:ascii="Times New Roman" w:hAnsi="Times New Roman"/>
          <w:color w:val="000000"/>
          <w:sz w:val="22"/>
        </w:rPr>
        <w:t>We consent to the incorporation by reference in this Registration Statement on Form S-8 of our report dated March 4, 2024, relating to the financial statements of Seer, Inc. appearing in the Annual Report on Form 10-K of Seer, Inc. for the year ended December 31, 2023.</w:t>
      </w:r>
    </w:p>
    <w:p>
      <w:pPr>
        <w:pStyle w:val="TextBody"/>
        <w:bidi w:val="0"/>
        <w:spacing w:before="0" w:after="200"/>
        <w:jc w:val="left"/>
        <w:rPr>
          <w:rFonts w:ascii="Times New Roman" w:hAnsi="Times New Roman"/>
          <w:color w:val="000000"/>
          <w:sz w:val="22"/>
        </w:rPr>
      </w:pPr>
      <w:r>
        <w:rPr>
          <w:rFonts w:ascii="Times New Roman" w:hAnsi="Times New Roman"/>
          <w:color w:val="000000"/>
          <w:sz w:val="22"/>
        </w:rPr>
        <w:t>/s/ Deloitte &amp; Touche LLP</w:t>
      </w:r>
    </w:p>
    <w:p>
      <w:pPr>
        <w:pStyle w:val="TextBody"/>
        <w:bidi w:val="0"/>
        <w:jc w:val="left"/>
        <w:rPr>
          <w:rFonts w:ascii="Times New Roman" w:hAnsi="Times New Roman"/>
          <w:color w:val="000000"/>
          <w:sz w:val="22"/>
        </w:rPr>
      </w:pPr>
      <w:r>
        <w:rPr>
          <w:rFonts w:ascii="Times New Roman" w:hAnsi="Times New Roman"/>
          <w:color w:val="000000"/>
          <w:sz w:val="22"/>
        </w:rPr>
        <w:t>San Francisco, California</w:t>
      </w:r>
    </w:p>
    <w:p>
      <w:pPr>
        <w:pStyle w:val="TextBody"/>
        <w:bidi w:val="0"/>
        <w:jc w:val="left"/>
        <w:rPr>
          <w:rFonts w:ascii="Times New Roman" w:hAnsi="Times New Roman"/>
          <w:color w:val="000000"/>
          <w:sz w:val="22"/>
        </w:rPr>
      </w:pPr>
      <w:r>
        <w:rPr>
          <w:rFonts w:ascii="Times New Roman" w:hAnsi="Times New Roman"/>
          <w:color w:val="000000"/>
          <w:sz w:val="22"/>
        </w:rPr>
        <w:t>March 6, 2024</w:t>
      </w:r>
    </w:p>
    <w:p>
      <w:pPr>
        <w:pStyle w:val="HorizontalLine"/>
        <w:pBdr>
          <w:bottom w:val="double" w:sz="2" w:space="0" w:color="808080"/>
        </w:pBdr>
        <w:bidi w:val="0"/>
        <w:spacing w:before="0" w:after="283"/>
        <w:jc w:val="left"/>
        <w:rPr/>
      </w:pPr>
      <w:r>
        <w:rPr/>
      </w:r>
    </w:p>
    <w:p>
      <w:pPr>
        <w:pStyle w:val="TextBody"/>
        <w:bidi w:val="0"/>
        <w:ind w:left="0" w:right="72" w:hanging="0"/>
        <w:jc w:val="right"/>
        <w:rPr/>
      </w:pPr>
      <w:bookmarkStart w:id="10" w:name="ck0001726445-exfiling_fees.htm"/>
      <w:bookmarkStart w:id="11" w:name="ksck0001726445exfiling_fees"/>
      <w:bookmarkEnd w:id="10"/>
      <w:bookmarkEnd w:id="11"/>
      <w:r>
        <w:rPr/>
        <w:t> </w:t>
      </w:r>
      <w:r>
        <w:br w:type="page"/>
      </w:r>
    </w:p>
    <w:p>
      <w:pPr>
        <w:pStyle w:val="TextBody"/>
        <w:bidi w:val="0"/>
        <w:ind w:left="0" w:right="72" w:hanging="0"/>
        <w:jc w:val="left"/>
        <w:rPr/>
      </w:pPr>
      <w:r>
        <w:rPr/>
        <w:t> </w:t>
      </w:r>
    </w:p>
    <w:p>
      <w:pPr>
        <w:pStyle w:val="TextBody"/>
        <w:bidi w:val="0"/>
        <w:jc w:val="right"/>
        <w:rPr>
          <w:rFonts w:ascii="Times New Roman" w:hAnsi="Times New Roman"/>
          <w:b/>
          <w:color w:val="000000"/>
          <w:sz w:val="20"/>
        </w:rPr>
      </w:pPr>
      <w:bookmarkStart w:id="12" w:name="section1"/>
      <w:bookmarkEnd w:id="12"/>
      <w:r>
        <w:rPr>
          <w:rFonts w:ascii="Times New Roman" w:hAnsi="Times New Roman"/>
          <w:b/>
          <w:color w:val="000000"/>
          <w:sz w:val="20"/>
        </w:rPr>
        <w:t>Exhibit 107</w:t>
      </w:r>
    </w:p>
    <w:p>
      <w:pPr>
        <w:pStyle w:val="TextBody"/>
        <w:bidi w:val="0"/>
        <w:jc w:val="center"/>
        <w:rPr/>
      </w:pPr>
      <w:r>
        <w:rPr/>
        <w:t> </w:t>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CALCULATION OF REGISTRATION FEE TABLE</w:t>
      </w:r>
    </w:p>
    <w:p>
      <w:pPr>
        <w:pStyle w:val="TextBody"/>
        <w:bidi w:val="0"/>
        <w:jc w:val="center"/>
        <w:rPr>
          <w:rFonts w:ascii="Times New Roman" w:hAnsi="Times New Roman"/>
          <w:color w:val="000000"/>
          <w:sz w:val="20"/>
        </w:rPr>
      </w:pPr>
      <w:r>
        <w:rPr>
          <w:rFonts w:ascii="Times New Roman" w:hAnsi="Times New Roman"/>
          <w:color w:val="000000"/>
          <w:sz w:val="20"/>
        </w:rPr>
        <w:t>Form S-8</w:t>
      </w:r>
    </w:p>
    <w:p>
      <w:pPr>
        <w:pStyle w:val="TextBody"/>
        <w:bidi w:val="0"/>
        <w:jc w:val="center"/>
        <w:rPr>
          <w:rFonts w:ascii="Times New Roman" w:hAnsi="Times New Roman"/>
          <w:color w:val="000000"/>
          <w:sz w:val="20"/>
        </w:rPr>
      </w:pPr>
      <w:r>
        <w:rPr>
          <w:rFonts w:ascii="Times New Roman" w:hAnsi="Times New Roman"/>
          <w:color w:val="000000"/>
          <w:sz w:val="20"/>
        </w:rPr>
        <w:t>(Form Type)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Seer, Inc.</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spacing w:before="180" w:after="180"/>
        <w:jc w:val="center"/>
        <w:rPr>
          <w:rFonts w:ascii="Times New Roman" w:hAnsi="Times New Roman"/>
          <w:color w:val="000000"/>
          <w:sz w:val="20"/>
        </w:rPr>
      </w:pPr>
      <w:r>
        <w:rPr>
          <w:rFonts w:ascii="Times New Roman" w:hAnsi="Times New Roman"/>
          <w:color w:val="000000"/>
          <w:sz w:val="20"/>
        </w:rPr>
        <w:t>Table 1 – Newly Registered Securities</w:t>
      </w:r>
    </w:p>
    <w:tbl>
      <w:tblPr>
        <w:tblW w:w="10205" w:type="dxa"/>
        <w:jc w:val="left"/>
        <w:tblInd w:w="0" w:type="dxa"/>
        <w:tblLayout w:type="fixed"/>
        <w:tblCellMar>
          <w:top w:w="28" w:type="dxa"/>
          <w:left w:w="28" w:type="dxa"/>
          <w:bottom w:w="28" w:type="dxa"/>
          <w:right w:w="28" w:type="dxa"/>
        </w:tblCellMar>
      </w:tblPr>
      <w:tblGrid>
        <w:gridCol w:w="797"/>
        <w:gridCol w:w="1122"/>
        <w:gridCol w:w="1122"/>
        <w:gridCol w:w="1080"/>
        <w:gridCol w:w="1140"/>
        <w:gridCol w:w="1240"/>
        <w:gridCol w:w="1217"/>
        <w:gridCol w:w="1261"/>
        <w:gridCol w:w="282"/>
        <w:gridCol w:w="282"/>
        <w:gridCol w:w="282"/>
        <w:gridCol w:w="380"/>
      </w:tblGrid>
      <w:tr>
        <w:trPr/>
        <w:tc>
          <w:tcPr>
            <w:tcW w:w="79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79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2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2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8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4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24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8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8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8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38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97" w:type="dxa"/>
            <w:tcBorders>
              <w:left w:val="single" w:sz="8" w:space="0" w:color="000000"/>
              <w:bottom w:val="single" w:sz="8" w:space="0" w:color="000000"/>
              <w:right w:val="single" w:sz="8" w:space="0" w:color="000000"/>
            </w:tcBorders>
            <w:tcMar>
              <w:top w:w="0" w:type="dxa"/>
              <w:left w:w="53" w:type="dxa"/>
              <w:right w:w="53" w:type="dxa"/>
            </w:tcMar>
            <w:vAlign w:val="center"/>
          </w:tcPr>
          <w:p>
            <w:pPr>
              <w:pStyle w:val="TableContents"/>
              <w:bidi w:val="0"/>
              <w:spacing w:before="33" w:after="30"/>
              <w:jc w:val="center"/>
              <w:rPr>
                <w:rFonts w:ascii="Times New Roman" w:hAnsi="Times New Roman"/>
                <w:b/>
                <w:color w:val="000000"/>
                <w:sz w:val="16"/>
              </w:rPr>
            </w:pPr>
            <w:r>
              <w:rPr>
                <w:rFonts w:ascii="Times New Roman" w:hAnsi="Times New Roman"/>
                <w:b/>
                <w:color w:val="000000"/>
                <w:sz w:val="16"/>
              </w:rPr>
              <w:t>Security Type</w:t>
            </w:r>
          </w:p>
        </w:tc>
        <w:tc>
          <w:tcPr>
            <w:tcW w:w="2244" w:type="dxa"/>
            <w:gridSpan w:val="2"/>
            <w:tcBorders>
              <w:bottom w:val="single" w:sz="8" w:space="0" w:color="000000"/>
            </w:tcBorders>
            <w:tcMar>
              <w:top w:w="0" w:type="dxa"/>
              <w:left w:w="0" w:type="dxa"/>
              <w:right w:w="0" w:type="dxa"/>
            </w:tcMar>
            <w:vAlign w:val="center"/>
          </w:tcPr>
          <w:p>
            <w:pPr>
              <w:pStyle w:val="TableContents"/>
              <w:bidi w:val="0"/>
              <w:spacing w:before="33" w:after="283"/>
              <w:jc w:val="center"/>
              <w:rPr>
                <w:rFonts w:ascii="Times New Roman" w:hAnsi="Times New Roman"/>
                <w:b/>
                <w:color w:val="000000"/>
                <w:sz w:val="16"/>
              </w:rPr>
            </w:pPr>
            <w:r>
              <w:rPr>
                <w:rFonts w:ascii="Times New Roman" w:hAnsi="Times New Roman"/>
                <w:b/>
                <w:color w:val="000000"/>
                <w:sz w:val="16"/>
              </w:rPr>
              <w:t>Securities</w:t>
            </w:r>
          </w:p>
          <w:p>
            <w:pPr>
              <w:pStyle w:val="TableContents"/>
              <w:bidi w:val="0"/>
              <w:spacing w:before="0" w:after="30"/>
              <w:jc w:val="center"/>
              <w:rPr>
                <w:rFonts w:ascii="Times New Roman" w:hAnsi="Times New Roman"/>
                <w:b/>
                <w:color w:val="000000"/>
                <w:sz w:val="16"/>
              </w:rPr>
            </w:pPr>
            <w:r>
              <w:rPr>
                <w:rFonts w:ascii="Times New Roman" w:hAnsi="Times New Roman"/>
                <w:b/>
                <w:color w:val="000000"/>
                <w:sz w:val="16"/>
              </w:rPr>
              <w:t>Class Type</w:t>
            </w:r>
          </w:p>
        </w:tc>
        <w:tc>
          <w:tcPr>
            <w:tcW w:w="1080" w:type="dxa"/>
            <w:tcBorders>
              <w:left w:val="single" w:sz="8" w:space="0" w:color="000000"/>
              <w:bottom w:val="single" w:sz="8" w:space="0" w:color="000000"/>
            </w:tcBorders>
            <w:tcMar>
              <w:top w:w="0" w:type="dxa"/>
              <w:left w:w="53" w:type="dxa"/>
              <w:right w:w="0" w:type="dxa"/>
            </w:tcMar>
            <w:vAlign w:val="center"/>
          </w:tcPr>
          <w:p>
            <w:pPr>
              <w:pStyle w:val="TableContents"/>
              <w:bidi w:val="0"/>
              <w:spacing w:before="33" w:after="283"/>
              <w:jc w:val="center"/>
              <w:rPr/>
            </w:pPr>
            <w:r>
              <w:rPr/>
              <w:t> </w:t>
            </w:r>
          </w:p>
          <w:p>
            <w:pPr>
              <w:pStyle w:val="TableContents"/>
              <w:bidi w:val="0"/>
              <w:jc w:val="center"/>
              <w:rPr/>
            </w:pPr>
            <w:r>
              <w:rPr/>
              <w:t> </w:t>
            </w:r>
          </w:p>
          <w:p>
            <w:pPr>
              <w:pStyle w:val="TableContents"/>
              <w:bidi w:val="0"/>
              <w:spacing w:before="0" w:after="30"/>
              <w:jc w:val="center"/>
              <w:rPr>
                <w:rFonts w:ascii="Times New Roman" w:hAnsi="Times New Roman"/>
                <w:b/>
                <w:color w:val="000000"/>
                <w:sz w:val="16"/>
              </w:rPr>
            </w:pPr>
            <w:r>
              <w:rPr>
                <w:rFonts w:ascii="Times New Roman" w:hAnsi="Times New Roman"/>
                <w:b/>
                <w:color w:val="000000"/>
                <w:sz w:val="16"/>
              </w:rPr>
              <w:t>Fee Calculation Rule</w:t>
            </w:r>
          </w:p>
        </w:tc>
        <w:tc>
          <w:tcPr>
            <w:tcW w:w="1140" w:type="dxa"/>
            <w:tcBorders>
              <w:left w:val="single" w:sz="8" w:space="0" w:color="000000"/>
              <w:bottom w:val="single" w:sz="8" w:space="0" w:color="000000"/>
            </w:tcBorders>
            <w:tcMar>
              <w:top w:w="0" w:type="dxa"/>
              <w:left w:w="53" w:type="dxa"/>
              <w:right w:w="0" w:type="dxa"/>
            </w:tcMar>
            <w:vAlign w:val="center"/>
          </w:tcPr>
          <w:p>
            <w:pPr>
              <w:pStyle w:val="TableContents"/>
              <w:bidi w:val="0"/>
              <w:spacing w:before="33" w:after="283"/>
              <w:jc w:val="center"/>
              <w:rPr>
                <w:rFonts w:ascii="Times New Roman" w:hAnsi="Times New Roman"/>
                <w:b/>
                <w:color w:val="000000"/>
                <w:sz w:val="16"/>
              </w:rPr>
            </w:pPr>
            <w:r>
              <w:rPr>
                <w:rFonts w:ascii="Times New Roman" w:hAnsi="Times New Roman"/>
                <w:b/>
                <w:color w:val="000000"/>
                <w:sz w:val="16"/>
              </w:rPr>
              <w:t>Amount</w:t>
            </w:r>
          </w:p>
          <w:p>
            <w:pPr>
              <w:pStyle w:val="TableContents"/>
              <w:bidi w:val="0"/>
              <w:spacing w:before="0" w:after="30"/>
              <w:jc w:val="center"/>
              <w:rPr>
                <w:rFonts w:ascii="Times New Roman" w:hAnsi="Times New Roman"/>
                <w:b/>
                <w:color w:val="000000"/>
                <w:sz w:val="16"/>
              </w:rPr>
            </w:pPr>
            <w:r>
              <w:rPr>
                <w:rFonts w:ascii="Times New Roman" w:hAnsi="Times New Roman"/>
                <w:b/>
                <w:color w:val="000000"/>
                <w:sz w:val="16"/>
              </w:rPr>
              <w:t>to be Registered(1)</w:t>
            </w:r>
          </w:p>
        </w:tc>
        <w:tc>
          <w:tcPr>
            <w:tcW w:w="1240" w:type="dxa"/>
            <w:tcBorders>
              <w:left w:val="single" w:sz="8" w:space="0" w:color="000000"/>
              <w:bottom w:val="single" w:sz="8" w:space="0" w:color="000000"/>
            </w:tcBorders>
            <w:tcMar>
              <w:top w:w="0" w:type="dxa"/>
              <w:left w:w="53" w:type="dxa"/>
              <w:right w:w="0" w:type="dxa"/>
            </w:tcMar>
            <w:vAlign w:val="center"/>
          </w:tcPr>
          <w:p>
            <w:pPr>
              <w:pStyle w:val="TableContents"/>
              <w:bidi w:val="0"/>
              <w:spacing w:before="33" w:after="283"/>
              <w:jc w:val="center"/>
              <w:rPr>
                <w:rFonts w:ascii="Times New Roman" w:hAnsi="Times New Roman"/>
                <w:b/>
                <w:color w:val="000000"/>
                <w:sz w:val="16"/>
              </w:rPr>
            </w:pPr>
            <w:r>
              <w:rPr>
                <w:rFonts w:ascii="Times New Roman" w:hAnsi="Times New Roman"/>
                <w:b/>
                <w:color w:val="000000"/>
                <w:sz w:val="16"/>
              </w:rPr>
              <w:t>Proposed</w:t>
            </w:r>
          </w:p>
          <w:p>
            <w:pPr>
              <w:pStyle w:val="TableContents"/>
              <w:bidi w:val="0"/>
              <w:jc w:val="center"/>
              <w:rPr>
                <w:rFonts w:ascii="Times New Roman" w:hAnsi="Times New Roman"/>
                <w:b/>
                <w:color w:val="000000"/>
                <w:sz w:val="16"/>
              </w:rPr>
            </w:pPr>
            <w:r>
              <w:rPr>
                <w:rFonts w:ascii="Times New Roman" w:hAnsi="Times New Roman"/>
                <w:b/>
                <w:color w:val="000000"/>
                <w:sz w:val="16"/>
              </w:rPr>
              <w:t>Maximum Offering</w:t>
            </w:r>
          </w:p>
          <w:p>
            <w:pPr>
              <w:pStyle w:val="TableContents"/>
              <w:bidi w:val="0"/>
              <w:spacing w:before="0" w:after="30"/>
              <w:jc w:val="center"/>
              <w:rPr>
                <w:rFonts w:ascii="Times New Roman" w:hAnsi="Times New Roman"/>
                <w:b/>
                <w:color w:val="000000"/>
                <w:sz w:val="16"/>
              </w:rPr>
            </w:pPr>
            <w:r>
              <w:rPr>
                <w:rFonts w:ascii="Times New Roman" w:hAnsi="Times New Roman"/>
                <w:b/>
                <w:color w:val="000000"/>
                <w:sz w:val="16"/>
              </w:rPr>
              <w:t>Price Per Share</w:t>
            </w:r>
          </w:p>
        </w:tc>
        <w:tc>
          <w:tcPr>
            <w:tcW w:w="1217" w:type="dxa"/>
            <w:tcBorders>
              <w:left w:val="single" w:sz="8" w:space="0" w:color="000000"/>
              <w:bottom w:val="single" w:sz="8" w:space="0" w:color="000000"/>
            </w:tcBorders>
            <w:tcMar>
              <w:top w:w="0" w:type="dxa"/>
              <w:left w:w="53" w:type="dxa"/>
              <w:right w:w="0" w:type="dxa"/>
            </w:tcMar>
            <w:vAlign w:val="center"/>
          </w:tcPr>
          <w:p>
            <w:pPr>
              <w:pStyle w:val="TableContents"/>
              <w:bidi w:val="0"/>
              <w:spacing w:before="33" w:after="283"/>
              <w:jc w:val="center"/>
              <w:rPr>
                <w:rFonts w:ascii="Times New Roman" w:hAnsi="Times New Roman"/>
                <w:b/>
                <w:color w:val="000000"/>
                <w:sz w:val="16"/>
              </w:rPr>
            </w:pPr>
            <w:r>
              <w:rPr>
                <w:rFonts w:ascii="Times New Roman" w:hAnsi="Times New Roman"/>
                <w:b/>
                <w:color w:val="000000"/>
                <w:sz w:val="16"/>
              </w:rPr>
              <w:t>Proposed</w:t>
            </w:r>
          </w:p>
          <w:p>
            <w:pPr>
              <w:pStyle w:val="TableContents"/>
              <w:bidi w:val="0"/>
              <w:jc w:val="center"/>
              <w:rPr>
                <w:rFonts w:ascii="Times New Roman" w:hAnsi="Times New Roman"/>
                <w:b/>
                <w:color w:val="000000"/>
                <w:sz w:val="16"/>
              </w:rPr>
            </w:pPr>
            <w:r>
              <w:rPr>
                <w:rFonts w:ascii="Times New Roman" w:hAnsi="Times New Roman"/>
                <w:b/>
                <w:color w:val="000000"/>
                <w:sz w:val="16"/>
              </w:rPr>
              <w:t>Maximum</w:t>
            </w:r>
          </w:p>
          <w:p>
            <w:pPr>
              <w:pStyle w:val="TableContents"/>
              <w:bidi w:val="0"/>
              <w:jc w:val="center"/>
              <w:rPr>
                <w:rFonts w:ascii="Times New Roman" w:hAnsi="Times New Roman"/>
                <w:b/>
                <w:color w:val="000000"/>
                <w:sz w:val="16"/>
              </w:rPr>
            </w:pPr>
            <w:r>
              <w:rPr>
                <w:rFonts w:ascii="Times New Roman" w:hAnsi="Times New Roman"/>
                <w:b/>
                <w:color w:val="000000"/>
                <w:sz w:val="16"/>
              </w:rPr>
              <w:t>Aggregate Offering</w:t>
            </w:r>
          </w:p>
          <w:p>
            <w:pPr>
              <w:pStyle w:val="TableContents"/>
              <w:bidi w:val="0"/>
              <w:spacing w:before="0" w:after="30"/>
              <w:jc w:val="center"/>
              <w:rPr>
                <w:rFonts w:ascii="Times New Roman" w:hAnsi="Times New Roman"/>
                <w:b/>
                <w:color w:val="000000"/>
                <w:sz w:val="16"/>
              </w:rPr>
            </w:pPr>
            <w:r>
              <w:rPr>
                <w:rFonts w:ascii="Times New Roman" w:hAnsi="Times New Roman"/>
                <w:b/>
                <w:color w:val="000000"/>
                <w:sz w:val="16"/>
              </w:rPr>
              <w:t>Price</w:t>
            </w:r>
          </w:p>
        </w:tc>
        <w:tc>
          <w:tcPr>
            <w:tcW w:w="1261" w:type="dxa"/>
            <w:tcBorders>
              <w:left w:val="single" w:sz="8" w:space="0" w:color="000000"/>
              <w:bottom w:val="single" w:sz="8" w:space="0" w:color="000000"/>
              <w:right w:val="single" w:sz="8" w:space="0" w:color="000000"/>
            </w:tcBorders>
            <w:tcMar>
              <w:top w:w="0" w:type="dxa"/>
              <w:left w:w="53" w:type="dxa"/>
              <w:right w:w="53" w:type="dxa"/>
            </w:tcMar>
            <w:vAlign w:val="center"/>
          </w:tcPr>
          <w:p>
            <w:pPr>
              <w:pStyle w:val="TableContents"/>
              <w:bidi w:val="0"/>
              <w:spacing w:before="33" w:after="283"/>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30"/>
              <w:jc w:val="center"/>
              <w:rPr>
                <w:rFonts w:ascii="Times New Roman" w:hAnsi="Times New Roman"/>
                <w:b/>
                <w:color w:val="000000"/>
                <w:sz w:val="16"/>
              </w:rPr>
            </w:pPr>
            <w:r>
              <w:rPr>
                <w:rFonts w:ascii="Times New Roman" w:hAnsi="Times New Roman"/>
                <w:b/>
                <w:color w:val="000000"/>
                <w:sz w:val="16"/>
              </w:rPr>
              <w:t>Fee Rate</w:t>
            </w:r>
          </w:p>
        </w:tc>
        <w:tc>
          <w:tcPr>
            <w:tcW w:w="1226" w:type="dxa"/>
            <w:gridSpan w:val="4"/>
            <w:tcBorders>
              <w:bottom w:val="single" w:sz="8" w:space="0" w:color="000000"/>
              <w:right w:val="single" w:sz="8" w:space="0" w:color="000000"/>
            </w:tcBorders>
            <w:tcMar>
              <w:top w:w="0" w:type="dxa"/>
              <w:left w:w="0" w:type="dxa"/>
              <w:right w:w="53" w:type="dxa"/>
            </w:tcMar>
            <w:vAlign w:val="center"/>
          </w:tcPr>
          <w:p>
            <w:pPr>
              <w:pStyle w:val="TableContents"/>
              <w:bidi w:val="0"/>
              <w:spacing w:before="33" w:after="283"/>
              <w:jc w:val="center"/>
              <w:rPr>
                <w:rFonts w:ascii="Times New Roman" w:hAnsi="Times New Roman"/>
                <w:b/>
                <w:color w:val="000000"/>
                <w:sz w:val="16"/>
              </w:rPr>
            </w:pPr>
            <w:r>
              <w:rPr>
                <w:rFonts w:ascii="Times New Roman" w:hAnsi="Times New Roman"/>
                <w:b/>
                <w:color w:val="000000"/>
                <w:sz w:val="16"/>
              </w:rPr>
              <w:t>Amount of</w:t>
            </w:r>
          </w:p>
          <w:p>
            <w:pPr>
              <w:pStyle w:val="TableContents"/>
              <w:bidi w:val="0"/>
              <w:spacing w:before="0" w:after="30"/>
              <w:ind w:left="0" w:right="0" w:firstLine="115"/>
              <w:jc w:val="center"/>
              <w:rPr>
                <w:rFonts w:ascii="Times New Roman" w:hAnsi="Times New Roman"/>
                <w:b/>
                <w:color w:val="000000"/>
                <w:sz w:val="16"/>
              </w:rPr>
            </w:pPr>
            <w:r>
              <w:rPr>
                <w:rFonts w:ascii="Times New Roman" w:hAnsi="Times New Roman"/>
                <w:b/>
                <w:color w:val="000000"/>
                <w:sz w:val="16"/>
              </w:rPr>
              <w:t>Registration Fee</w:t>
            </w:r>
          </w:p>
        </w:tc>
      </w:tr>
      <w:tr>
        <w:trPr/>
        <w:tc>
          <w:tcPr>
            <w:tcW w:w="797" w:type="dxa"/>
            <w:tcBorders>
              <w:left w:val="single" w:sz="8" w:space="0" w:color="000000"/>
              <w:bottom w:val="single" w:sz="8" w:space="0" w:color="000000"/>
              <w:right w:val="single" w:sz="8" w:space="0" w:color="000000"/>
            </w:tcBorders>
            <w:tcMar>
              <w:top w:w="0" w:type="dxa"/>
              <w:left w:w="53" w:type="dxa"/>
              <w:right w:w="53" w:type="dxa"/>
            </w:tcMar>
            <w:vAlign w:val="center"/>
          </w:tcPr>
          <w:p>
            <w:pPr>
              <w:pStyle w:val="TableContents"/>
              <w:pBdr/>
              <w:bidi w:val="0"/>
              <w:spacing w:before="33" w:after="30"/>
              <w:ind w:left="0" w:right="0" w:firstLine="115"/>
              <w:jc w:val="center"/>
              <w:rPr>
                <w:rFonts w:ascii="Times New Roman" w:hAnsi="Times New Roman"/>
                <w:color w:val="000000"/>
                <w:sz w:val="16"/>
              </w:rPr>
            </w:pPr>
            <w:r>
              <w:rPr>
                <w:rFonts w:ascii="Times New Roman" w:hAnsi="Times New Roman"/>
                <w:color w:val="000000"/>
                <w:sz w:val="16"/>
              </w:rPr>
              <w:t xml:space="preserve">Equity </w:t>
            </w:r>
          </w:p>
        </w:tc>
        <w:tc>
          <w:tcPr>
            <w:tcW w:w="2244" w:type="dxa"/>
            <w:gridSpan w:val="2"/>
            <w:tcBorders>
              <w:bottom w:val="single" w:sz="8" w:space="0" w:color="000000"/>
            </w:tcBorders>
            <w:tcMar>
              <w:top w:w="0" w:type="dxa"/>
              <w:left w:w="0" w:type="dxa"/>
              <w:right w:w="0" w:type="dxa"/>
            </w:tcMar>
            <w:vAlign w:val="center"/>
          </w:tcPr>
          <w:p>
            <w:pPr>
              <w:pStyle w:val="TableContents"/>
              <w:pBdr/>
              <w:bidi w:val="0"/>
              <w:spacing w:before="33" w:after="30"/>
              <w:ind w:left="0" w:right="115" w:hanging="115"/>
              <w:jc w:val="left"/>
              <w:rPr>
                <w:rFonts w:ascii="Times New Roman" w:hAnsi="Times New Roman"/>
                <w:color w:val="000000"/>
                <w:sz w:val="16"/>
              </w:rPr>
            </w:pPr>
            <w:r>
              <w:rPr>
                <w:rFonts w:ascii="Times New Roman" w:hAnsi="Times New Roman"/>
                <w:color w:val="000000"/>
                <w:sz w:val="16"/>
              </w:rPr>
              <w:t>Class A common stock, $0.00001 par value per share, reserved for issuance pursuant to the 2020 Equity Incentive Plan</w:t>
            </w:r>
          </w:p>
        </w:tc>
        <w:tc>
          <w:tcPr>
            <w:tcW w:w="1080" w:type="dxa"/>
            <w:tcBorders>
              <w:left w:val="single" w:sz="8" w:space="0" w:color="000000"/>
              <w:bottom w:val="single" w:sz="8" w:space="0" w:color="000000"/>
            </w:tcBorders>
            <w:tcMar>
              <w:top w:w="0" w:type="dxa"/>
              <w:left w:w="53" w:type="dxa"/>
              <w:right w:w="0" w:type="dxa"/>
            </w:tcMar>
            <w:vAlign w:val="center"/>
          </w:tcPr>
          <w:p>
            <w:pPr>
              <w:pStyle w:val="TableContents"/>
              <w:bidi w:val="0"/>
              <w:spacing w:before="33" w:after="283"/>
              <w:jc w:val="left"/>
              <w:rPr/>
            </w:pPr>
            <w:r>
              <w:rPr/>
              <w:t> </w:t>
            </w:r>
          </w:p>
          <w:p>
            <w:pPr>
              <w:pStyle w:val="TableContents"/>
              <w:bidi w:val="0"/>
              <w:jc w:val="left"/>
              <w:rPr/>
            </w:pPr>
            <w:r>
              <w:rPr/>
              <w:t> </w:t>
            </w:r>
          </w:p>
          <w:p>
            <w:pPr>
              <w:pStyle w:val="TableContents"/>
              <w:bidi w:val="0"/>
              <w:spacing w:before="0" w:after="30"/>
              <w:ind w:left="0" w:right="0" w:firstLine="115"/>
              <w:jc w:val="center"/>
              <w:rPr>
                <w:rFonts w:ascii="Times New Roman" w:hAnsi="Times New Roman"/>
                <w:color w:val="000000"/>
                <w:sz w:val="16"/>
              </w:rPr>
            </w:pPr>
            <w:r>
              <w:rPr>
                <w:rFonts w:ascii="Times New Roman" w:hAnsi="Times New Roman"/>
                <w:color w:val="000000"/>
                <w:sz w:val="16"/>
              </w:rPr>
              <w:t>Rules 457(c) and (h)</w:t>
            </w:r>
          </w:p>
        </w:tc>
        <w:tc>
          <w:tcPr>
            <w:tcW w:w="1140" w:type="dxa"/>
            <w:tcBorders>
              <w:left w:val="single" w:sz="8" w:space="0" w:color="000000"/>
              <w:bottom w:val="single" w:sz="8" w:space="0" w:color="000000"/>
            </w:tcBorders>
            <w:tcMar>
              <w:top w:w="0" w:type="dxa"/>
              <w:left w:w="53" w:type="dxa"/>
              <w:right w:w="0" w:type="dxa"/>
            </w:tcMar>
            <w:vAlign w:val="center"/>
          </w:tcPr>
          <w:p>
            <w:pPr>
              <w:pStyle w:val="TableContents"/>
              <w:pBdr/>
              <w:bidi w:val="0"/>
              <w:spacing w:before="0" w:after="283"/>
              <w:ind w:left="0" w:right="0" w:firstLine="115"/>
              <w:jc w:val="center"/>
              <w:rPr>
                <w:color w:val="000000"/>
              </w:rPr>
            </w:pPr>
            <w:r>
              <w:rPr>
                <w:color w:val="000000"/>
              </w:rPr>
              <w:t>  </w:t>
            </w:r>
            <w:r>
              <w:rPr>
                <w:rFonts w:ascii="Times New Roman" w:hAnsi="Times New Roman"/>
                <w:color w:val="000000"/>
                <w:sz w:val="16"/>
              </w:rPr>
              <w:t>3,214,933 (2)</w:t>
            </w:r>
          </w:p>
        </w:tc>
        <w:tc>
          <w:tcPr>
            <w:tcW w:w="1240" w:type="dxa"/>
            <w:tcBorders>
              <w:left w:val="single" w:sz="8" w:space="0" w:color="000000"/>
              <w:bottom w:val="single" w:sz="8" w:space="0" w:color="000000"/>
            </w:tcBorders>
            <w:tcMar>
              <w:top w:w="0" w:type="dxa"/>
              <w:left w:w="53" w:type="dxa"/>
              <w:right w:w="0" w:type="dxa"/>
            </w:tcMar>
            <w:vAlign w:val="center"/>
          </w:tcPr>
          <w:p>
            <w:pPr>
              <w:pStyle w:val="TableContents"/>
              <w:pBdr/>
              <w:bidi w:val="0"/>
              <w:spacing w:before="0" w:after="283"/>
              <w:ind w:left="0" w:right="115" w:hanging="115"/>
              <w:jc w:val="left"/>
              <w:rPr>
                <w:color w:val="000000"/>
              </w:rPr>
            </w:pPr>
            <w:r>
              <w:rPr>
                <w:color w:val="000000"/>
              </w:rPr>
              <w:t>          </w:t>
            </w:r>
            <w:r>
              <w:rPr>
                <w:rFonts w:ascii="Times New Roman" w:hAnsi="Times New Roman"/>
                <w:color w:val="000000"/>
                <w:sz w:val="16"/>
              </w:rPr>
              <w:t>$1.85 (4)</w:t>
            </w:r>
          </w:p>
        </w:tc>
        <w:tc>
          <w:tcPr>
            <w:tcW w:w="1217" w:type="dxa"/>
            <w:tcBorders>
              <w:left w:val="single" w:sz="8" w:space="0" w:color="000000"/>
              <w:bottom w:val="single" w:sz="8" w:space="0" w:color="000000"/>
            </w:tcBorders>
            <w:tcMar>
              <w:top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$5,947,626.05</w:t>
            </w:r>
          </w:p>
        </w:tc>
        <w:tc>
          <w:tcPr>
            <w:tcW w:w="1261" w:type="dxa"/>
            <w:tcBorders>
              <w:left w:val="single" w:sz="8" w:space="0" w:color="000000"/>
              <w:bottom w:val="single" w:sz="8" w:space="0" w:color="000000"/>
              <w:right w:val="single" w:sz="8" w:space="0" w:color="000000"/>
            </w:tcBorders>
            <w:tcMar>
              <w:top w:w="0" w:type="dxa"/>
              <w:left w:w="53" w:type="dxa"/>
              <w:right w:w="53"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$0.0001476</w:t>
            </w:r>
          </w:p>
        </w:tc>
        <w:tc>
          <w:tcPr>
            <w:tcW w:w="1226"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firstLine="115"/>
              <w:jc w:val="right"/>
              <w:rPr>
                <w:rFonts w:ascii="Times New Roman" w:hAnsi="Times New Roman"/>
                <w:color w:val="000000"/>
                <w:sz w:val="16"/>
              </w:rPr>
            </w:pPr>
            <w:r>
              <w:rPr>
                <w:rFonts w:ascii="Times New Roman" w:hAnsi="Times New Roman"/>
                <w:color w:val="000000"/>
                <w:sz w:val="16"/>
              </w:rPr>
              <w:t>$877.87</w:t>
            </w:r>
          </w:p>
        </w:tc>
      </w:tr>
      <w:tr>
        <w:trPr/>
        <w:tc>
          <w:tcPr>
            <w:tcW w:w="797" w:type="dxa"/>
            <w:tcBorders>
              <w:left w:val="single" w:sz="8" w:space="0" w:color="000000"/>
              <w:bottom w:val="single" w:sz="8" w:space="0" w:color="000000"/>
              <w:right w:val="single" w:sz="8" w:space="0" w:color="000000"/>
            </w:tcBorders>
            <w:tcMar>
              <w:top w:w="0" w:type="dxa"/>
              <w:left w:w="53" w:type="dxa"/>
              <w:right w:w="53" w:type="dxa"/>
            </w:tcMar>
            <w:vAlign w:val="center"/>
          </w:tcPr>
          <w:p>
            <w:pPr>
              <w:pStyle w:val="TableContents"/>
              <w:pBdr/>
              <w:bidi w:val="0"/>
              <w:spacing w:before="33" w:after="30"/>
              <w:ind w:left="0" w:right="0" w:firstLine="115"/>
              <w:jc w:val="center"/>
              <w:rPr>
                <w:rFonts w:ascii="Times New Roman" w:hAnsi="Times New Roman"/>
                <w:color w:val="000000"/>
                <w:sz w:val="16"/>
              </w:rPr>
            </w:pPr>
            <w:r>
              <w:rPr>
                <w:rFonts w:ascii="Times New Roman" w:hAnsi="Times New Roman"/>
                <w:color w:val="000000"/>
                <w:sz w:val="16"/>
              </w:rPr>
              <w:t xml:space="preserve">Equity </w:t>
            </w:r>
          </w:p>
        </w:tc>
        <w:tc>
          <w:tcPr>
            <w:tcW w:w="2244" w:type="dxa"/>
            <w:gridSpan w:val="2"/>
            <w:tcBorders>
              <w:bottom w:val="single" w:sz="8" w:space="0" w:color="000000"/>
            </w:tcBorders>
            <w:tcMar>
              <w:top w:w="0" w:type="dxa"/>
              <w:left w:w="0" w:type="dxa"/>
              <w:right w:w="0" w:type="dxa"/>
            </w:tcMar>
            <w:vAlign w:val="center"/>
          </w:tcPr>
          <w:p>
            <w:pPr>
              <w:pStyle w:val="TableContents"/>
              <w:pBdr/>
              <w:bidi w:val="0"/>
              <w:spacing w:before="33" w:after="30"/>
              <w:ind w:left="0" w:right="115" w:hanging="115"/>
              <w:jc w:val="left"/>
              <w:rPr>
                <w:rFonts w:ascii="Times New Roman" w:hAnsi="Times New Roman"/>
                <w:color w:val="000000"/>
                <w:sz w:val="16"/>
              </w:rPr>
            </w:pPr>
            <w:r>
              <w:rPr>
                <w:rFonts w:ascii="Times New Roman" w:hAnsi="Times New Roman"/>
                <w:color w:val="000000"/>
                <w:sz w:val="16"/>
              </w:rPr>
              <w:t>Class A common stock, $0.00001 par value per share, reserved for issuance pursuant to the 2020 Equity Incentive Plan</w:t>
            </w:r>
          </w:p>
        </w:tc>
        <w:tc>
          <w:tcPr>
            <w:tcW w:w="1080" w:type="dxa"/>
            <w:tcBorders>
              <w:left w:val="single" w:sz="8" w:space="0" w:color="000000"/>
              <w:bottom w:val="single" w:sz="8" w:space="0" w:color="000000"/>
            </w:tcBorders>
            <w:tcMar>
              <w:top w:w="0" w:type="dxa"/>
              <w:left w:w="53" w:type="dxa"/>
              <w:right w:w="0" w:type="dxa"/>
            </w:tcMar>
            <w:vAlign w:val="center"/>
          </w:tcPr>
          <w:p>
            <w:pPr>
              <w:pStyle w:val="TableContents"/>
              <w:bidi w:val="0"/>
              <w:spacing w:before="33" w:after="283"/>
              <w:jc w:val="left"/>
              <w:rPr/>
            </w:pPr>
            <w:r>
              <w:rPr/>
              <w:t> </w:t>
            </w:r>
          </w:p>
          <w:p>
            <w:pPr>
              <w:pStyle w:val="TableContents"/>
              <w:bidi w:val="0"/>
              <w:jc w:val="left"/>
              <w:rPr/>
            </w:pPr>
            <w:r>
              <w:rPr/>
              <w:t> </w:t>
            </w:r>
          </w:p>
          <w:p>
            <w:pPr>
              <w:pStyle w:val="TableContents"/>
              <w:bidi w:val="0"/>
              <w:jc w:val="left"/>
              <w:rPr/>
            </w:pPr>
            <w:r>
              <w:rPr/>
              <w:t> </w:t>
            </w:r>
          </w:p>
          <w:p>
            <w:pPr>
              <w:pStyle w:val="TableContents"/>
              <w:bidi w:val="0"/>
              <w:spacing w:before="0" w:after="30"/>
              <w:ind w:left="0" w:right="0" w:firstLine="115"/>
              <w:jc w:val="center"/>
              <w:rPr>
                <w:rFonts w:ascii="Times New Roman" w:hAnsi="Times New Roman"/>
                <w:color w:val="000000"/>
                <w:sz w:val="16"/>
              </w:rPr>
            </w:pPr>
            <w:r>
              <w:rPr>
                <w:rFonts w:ascii="Times New Roman" w:hAnsi="Times New Roman"/>
                <w:color w:val="000000"/>
                <w:sz w:val="16"/>
              </w:rPr>
              <w:t>Rules 457(c) and (h)</w:t>
            </w:r>
          </w:p>
        </w:tc>
        <w:tc>
          <w:tcPr>
            <w:tcW w:w="1140" w:type="dxa"/>
            <w:tcBorders>
              <w:left w:val="single" w:sz="8" w:space="0" w:color="000000"/>
              <w:bottom w:val="single" w:sz="8" w:space="0" w:color="000000"/>
            </w:tcBorders>
            <w:tcMar>
              <w:top w:w="0" w:type="dxa"/>
              <w:left w:w="53" w:type="dxa"/>
              <w:right w:w="0" w:type="dxa"/>
            </w:tcMar>
            <w:vAlign w:val="center"/>
          </w:tcPr>
          <w:p>
            <w:pPr>
              <w:pStyle w:val="TableContents"/>
              <w:pBdr/>
              <w:bidi w:val="0"/>
              <w:spacing w:before="0" w:after="283"/>
              <w:ind w:left="0" w:right="0" w:firstLine="115"/>
              <w:jc w:val="center"/>
              <w:rPr>
                <w:color w:val="000000"/>
              </w:rPr>
            </w:pPr>
            <w:r>
              <w:rPr>
                <w:color w:val="000000"/>
              </w:rPr>
              <w:t>    </w:t>
            </w:r>
            <w:r>
              <w:rPr>
                <w:rFonts w:ascii="Times New Roman" w:hAnsi="Times New Roman"/>
                <w:color w:val="000000"/>
                <w:sz w:val="16"/>
              </w:rPr>
              <w:t>642,986 (3)</w:t>
            </w:r>
          </w:p>
        </w:tc>
        <w:tc>
          <w:tcPr>
            <w:tcW w:w="1240" w:type="dxa"/>
            <w:tcBorders>
              <w:left w:val="single" w:sz="8" w:space="0" w:color="000000"/>
              <w:bottom w:val="single" w:sz="8" w:space="0" w:color="000000"/>
            </w:tcBorders>
            <w:tcMar>
              <w:top w:w="0" w:type="dxa"/>
              <w:left w:w="53" w:type="dxa"/>
              <w:right w:w="0" w:type="dxa"/>
            </w:tcMar>
            <w:vAlign w:val="center"/>
          </w:tcPr>
          <w:p>
            <w:pPr>
              <w:pStyle w:val="TableContents"/>
              <w:pBdr/>
              <w:bidi w:val="0"/>
              <w:spacing w:before="0" w:after="283"/>
              <w:ind w:left="0" w:right="115" w:hanging="115"/>
              <w:jc w:val="left"/>
              <w:rPr>
                <w:color w:val="000000"/>
              </w:rPr>
            </w:pPr>
            <w:r>
              <w:rPr>
                <w:color w:val="000000"/>
              </w:rPr>
              <w:t>           </w:t>
            </w:r>
            <w:r>
              <w:rPr>
                <w:rFonts w:ascii="Times New Roman" w:hAnsi="Times New Roman"/>
                <w:color w:val="000000"/>
                <w:sz w:val="16"/>
              </w:rPr>
              <w:t>$1.57 (5)</w:t>
            </w:r>
          </w:p>
        </w:tc>
        <w:tc>
          <w:tcPr>
            <w:tcW w:w="1217" w:type="dxa"/>
            <w:tcBorders>
              <w:left w:val="single" w:sz="8" w:space="0" w:color="000000"/>
              <w:bottom w:val="single" w:sz="8" w:space="0" w:color="000000"/>
            </w:tcBorders>
            <w:tcMar>
              <w:top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$1,009,488.02</w:t>
            </w:r>
          </w:p>
        </w:tc>
        <w:tc>
          <w:tcPr>
            <w:tcW w:w="1261" w:type="dxa"/>
            <w:tcBorders>
              <w:left w:val="single" w:sz="8" w:space="0" w:color="000000"/>
              <w:bottom w:val="single" w:sz="8" w:space="0" w:color="000000"/>
              <w:right w:val="single" w:sz="8" w:space="0" w:color="000000"/>
            </w:tcBorders>
            <w:tcMar>
              <w:top w:w="0" w:type="dxa"/>
              <w:left w:w="53" w:type="dxa"/>
              <w:right w:w="53"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$0.0001476</w:t>
            </w:r>
          </w:p>
        </w:tc>
        <w:tc>
          <w:tcPr>
            <w:tcW w:w="1226"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$149.00</w:t>
            </w:r>
          </w:p>
        </w:tc>
      </w:tr>
      <w:tr>
        <w:trPr/>
        <w:tc>
          <w:tcPr>
            <w:tcW w:w="4121" w:type="dxa"/>
            <w:gridSpan w:val="4"/>
            <w:tcBorders>
              <w:left w:val="single" w:sz="8" w:space="0" w:color="000000"/>
              <w:bottom w:val="single" w:sz="8" w:space="0" w:color="000000"/>
            </w:tcBorders>
            <w:tcMar>
              <w:top w:w="0" w:type="dxa"/>
              <w:left w:w="53" w:type="dxa"/>
              <w:right w:w="0" w:type="dxa"/>
            </w:tcMar>
            <w:vAlign w:val="center"/>
          </w:tcPr>
          <w:p>
            <w:pPr>
              <w:pStyle w:val="TableContents"/>
              <w:bidi w:val="0"/>
              <w:spacing w:before="33" w:after="283"/>
              <w:jc w:val="left"/>
              <w:rPr/>
            </w:pPr>
            <w:r>
              <w:rPr/>
              <w:t> </w:t>
            </w:r>
          </w:p>
          <w:p>
            <w:pPr>
              <w:pStyle w:val="TableContents"/>
              <w:bidi w:val="0"/>
              <w:jc w:val="left"/>
              <w:rPr/>
            </w:pPr>
            <w:r>
              <w:rPr/>
              <w:t> </w:t>
            </w:r>
          </w:p>
          <w:p>
            <w:pPr>
              <w:pStyle w:val="TableContents"/>
              <w:bidi w:val="0"/>
              <w:jc w:val="left"/>
              <w:rPr/>
            </w:pPr>
            <w:r>
              <w:rPr/>
              <w:t> </w:t>
            </w:r>
          </w:p>
          <w:p>
            <w:pPr>
              <w:pStyle w:val="TableContents"/>
              <w:bidi w:val="0"/>
              <w:spacing w:before="0" w:after="30"/>
              <w:jc w:val="left"/>
              <w:rPr>
                <w:rFonts w:ascii="Times New Roman" w:hAnsi="Times New Roman"/>
                <w:b/>
                <w:color w:val="000000"/>
                <w:sz w:val="16"/>
              </w:rPr>
            </w:pPr>
            <w:r>
              <w:rPr>
                <w:rFonts w:ascii="Times New Roman" w:hAnsi="Times New Roman"/>
                <w:b/>
                <w:color w:val="000000"/>
                <w:sz w:val="16"/>
              </w:rPr>
              <w:t>TOTAL OFFERING AMOUNT</w:t>
            </w:r>
          </w:p>
        </w:tc>
        <w:tc>
          <w:tcPr>
            <w:tcW w:w="1140" w:type="dxa"/>
            <w:tcBorders>
              <w:left w:val="single" w:sz="8" w:space="0" w:color="000000"/>
              <w:bottom w:val="single" w:sz="8" w:space="0" w:color="000000"/>
            </w:tcBorders>
            <w:tcMar>
              <w:top w:w="0" w:type="dxa"/>
              <w:left w:w="53" w:type="dxa"/>
              <w:right w:w="0" w:type="dxa"/>
            </w:tcMar>
            <w:vAlign w:val="center"/>
          </w:tcPr>
          <w:p>
            <w:pPr>
              <w:pStyle w:val="TableContents"/>
              <w:bidi w:val="0"/>
              <w:spacing w:before="33" w:after="30"/>
              <w:jc w:val="center"/>
              <w:rPr>
                <w:rFonts w:ascii="Times New Roman" w:hAnsi="Times New Roman"/>
                <w:color w:val="000000"/>
                <w:sz w:val="16"/>
              </w:rPr>
            </w:pPr>
            <w:r>
              <w:rPr>
                <w:rFonts w:ascii="Times New Roman" w:hAnsi="Times New Roman"/>
                <w:color w:val="000000"/>
                <w:sz w:val="16"/>
              </w:rPr>
              <w:t>3,857,919</w:t>
            </w:r>
          </w:p>
        </w:tc>
        <w:tc>
          <w:tcPr>
            <w:tcW w:w="1240" w:type="dxa"/>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pPr>
            <w:r>
              <w:rPr/>
              <w:t> </w:t>
            </w:r>
          </w:p>
        </w:tc>
        <w:tc>
          <w:tcPr>
            <w:tcW w:w="1217" w:type="dxa"/>
            <w:tcBorders>
              <w:left w:val="single" w:sz="8" w:space="0" w:color="000000"/>
              <w:bottom w:val="single" w:sz="8" w:space="0" w:color="000000"/>
            </w:tcBorders>
            <w:tcMar>
              <w:top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$6,957,114.07</w:t>
            </w:r>
          </w:p>
        </w:tc>
        <w:tc>
          <w:tcPr>
            <w:tcW w:w="1261" w:type="dxa"/>
            <w:tcBorders>
              <w:left w:val="single" w:sz="8" w:space="0" w:color="000000"/>
              <w:bottom w:val="single" w:sz="8" w:space="0" w:color="000000"/>
            </w:tcBorders>
            <w:tcMar>
              <w:top w:w="0" w:type="dxa"/>
              <w:left w:w="53" w:type="dxa"/>
              <w:right w:w="0" w:type="dxa"/>
            </w:tcMar>
            <w:vAlign w:val="center"/>
          </w:tcPr>
          <w:p>
            <w:pPr>
              <w:pStyle w:val="TableContents"/>
              <w:bidi w:val="0"/>
              <w:spacing w:before="33" w:after="30"/>
              <w:jc w:val="center"/>
              <w:rPr/>
            </w:pPr>
            <w:r>
              <w:rPr/>
              <w:t> </w:t>
            </w:r>
          </w:p>
        </w:tc>
        <w:tc>
          <w:tcPr>
            <w:tcW w:w="1226" w:type="dxa"/>
            <w:gridSpan w:val="4"/>
            <w:tcBorders>
              <w:left w:val="single" w:sz="8" w:space="0" w:color="000000"/>
              <w:bottom w:val="single" w:sz="8" w:space="0" w:color="000000"/>
              <w:right w:val="single" w:sz="8" w:space="0" w:color="000000"/>
            </w:tcBorders>
            <w:tcMar>
              <w:top w:w="0" w:type="dxa"/>
            </w:tcMar>
            <w:vAlign w:val="center"/>
          </w:tcPr>
          <w:p>
            <w:pPr>
              <w:pStyle w:val="TableContents"/>
              <w:bidi w:val="0"/>
              <w:spacing w:before="33" w:after="30"/>
              <w:jc w:val="right"/>
              <w:rPr>
                <w:rFonts w:ascii="Times New Roman" w:hAnsi="Times New Roman"/>
                <w:color w:val="000000"/>
                <w:sz w:val="16"/>
              </w:rPr>
            </w:pPr>
            <w:r>
              <w:rPr>
                <w:rFonts w:ascii="Times New Roman" w:hAnsi="Times New Roman"/>
                <w:color w:val="000000"/>
                <w:sz w:val="16"/>
              </w:rPr>
              <w:t>$1,026.87</w:t>
            </w:r>
          </w:p>
        </w:tc>
      </w:tr>
      <w:tr>
        <w:trPr/>
        <w:tc>
          <w:tcPr>
            <w:tcW w:w="4121" w:type="dxa"/>
            <w:gridSpan w:val="4"/>
            <w:tcBorders>
              <w:left w:val="single" w:sz="8" w:space="0" w:color="000000"/>
              <w:bottom w:val="single" w:sz="8" w:space="0" w:color="000000"/>
            </w:tcBorders>
            <w:tcMar>
              <w:top w:w="0" w:type="dxa"/>
              <w:left w:w="53" w:type="dxa"/>
              <w:right w:w="0" w:type="dxa"/>
            </w:tcMar>
            <w:vAlign w:val="center"/>
          </w:tcPr>
          <w:p>
            <w:pPr>
              <w:pStyle w:val="TableContents"/>
              <w:bidi w:val="0"/>
              <w:spacing w:before="33" w:after="283"/>
              <w:jc w:val="left"/>
              <w:rPr/>
            </w:pPr>
            <w:r>
              <w:rPr/>
              <w:t> </w:t>
            </w:r>
          </w:p>
          <w:p>
            <w:pPr>
              <w:pStyle w:val="TableContents"/>
              <w:bidi w:val="0"/>
              <w:jc w:val="left"/>
              <w:rPr/>
            </w:pPr>
            <w:r>
              <w:rPr/>
              <w:t> </w:t>
            </w:r>
          </w:p>
          <w:p>
            <w:pPr>
              <w:pStyle w:val="TableContents"/>
              <w:bidi w:val="0"/>
              <w:spacing w:before="0" w:after="30"/>
              <w:jc w:val="left"/>
              <w:rPr>
                <w:rFonts w:ascii="Times New Roman" w:hAnsi="Times New Roman"/>
                <w:b/>
                <w:color w:val="000000"/>
                <w:sz w:val="16"/>
              </w:rPr>
            </w:pPr>
            <w:r>
              <w:rPr>
                <w:rFonts w:ascii="Times New Roman" w:hAnsi="Times New Roman"/>
                <w:b/>
                <w:color w:val="000000"/>
                <w:sz w:val="16"/>
              </w:rPr>
              <w:t>TOTAL FEE OFFSETS</w:t>
            </w:r>
          </w:p>
        </w:tc>
        <w:tc>
          <w:tcPr>
            <w:tcW w:w="1140" w:type="dxa"/>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pPr>
            <w:r>
              <w:rPr/>
              <w:t> </w:t>
            </w:r>
          </w:p>
        </w:tc>
        <w:tc>
          <w:tcPr>
            <w:tcW w:w="1240" w:type="dxa"/>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pPr>
            <w:r>
              <w:rPr/>
              <w:t> </w:t>
            </w:r>
          </w:p>
        </w:tc>
        <w:tc>
          <w:tcPr>
            <w:tcW w:w="1217" w:type="dxa"/>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pPr>
            <w:r>
              <w:rPr/>
              <w:t> </w:t>
            </w:r>
          </w:p>
        </w:tc>
        <w:tc>
          <w:tcPr>
            <w:tcW w:w="1261" w:type="dxa"/>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pPr>
            <w:r>
              <w:rPr/>
              <w:t> </w:t>
            </w:r>
          </w:p>
        </w:tc>
        <w:tc>
          <w:tcPr>
            <w:tcW w:w="1226" w:type="dxa"/>
            <w:gridSpan w:val="4"/>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r>
      <w:tr>
        <w:trPr/>
        <w:tc>
          <w:tcPr>
            <w:tcW w:w="4121" w:type="dxa"/>
            <w:gridSpan w:val="4"/>
            <w:tcBorders>
              <w:left w:val="single" w:sz="8" w:space="0" w:color="000000"/>
              <w:bottom w:val="single" w:sz="8" w:space="0" w:color="000000"/>
            </w:tcBorders>
            <w:tcMar>
              <w:top w:w="0" w:type="dxa"/>
              <w:left w:w="53" w:type="dxa"/>
              <w:right w:w="0" w:type="dxa"/>
            </w:tcMar>
            <w:vAlign w:val="center"/>
          </w:tcPr>
          <w:p>
            <w:pPr>
              <w:pStyle w:val="TableContents"/>
              <w:bidi w:val="0"/>
              <w:spacing w:before="33" w:after="283"/>
              <w:jc w:val="left"/>
              <w:rPr/>
            </w:pPr>
            <w:r>
              <w:rPr/>
              <w:t> </w:t>
            </w:r>
          </w:p>
          <w:p>
            <w:pPr>
              <w:pStyle w:val="TableContents"/>
              <w:bidi w:val="0"/>
              <w:spacing w:before="0" w:after="30"/>
              <w:jc w:val="left"/>
              <w:rPr>
                <w:rFonts w:ascii="Times New Roman" w:hAnsi="Times New Roman"/>
                <w:b/>
                <w:color w:val="000000"/>
                <w:sz w:val="16"/>
              </w:rPr>
            </w:pPr>
            <w:r>
              <w:rPr>
                <w:rFonts w:ascii="Times New Roman" w:hAnsi="Times New Roman"/>
                <w:b/>
                <w:color w:val="000000"/>
                <w:sz w:val="16"/>
              </w:rPr>
              <w:t>NET FEE DUE</w:t>
            </w:r>
          </w:p>
        </w:tc>
        <w:tc>
          <w:tcPr>
            <w:tcW w:w="1140" w:type="dxa"/>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pPr>
            <w:r>
              <w:rPr/>
              <w:t> </w:t>
            </w:r>
          </w:p>
        </w:tc>
        <w:tc>
          <w:tcPr>
            <w:tcW w:w="1240" w:type="dxa"/>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pPr>
            <w:r>
              <w:rPr/>
              <w:t> </w:t>
            </w:r>
          </w:p>
        </w:tc>
        <w:tc>
          <w:tcPr>
            <w:tcW w:w="1217" w:type="dxa"/>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pPr>
            <w:r>
              <w:rPr/>
              <w:t> </w:t>
            </w:r>
          </w:p>
        </w:tc>
        <w:tc>
          <w:tcPr>
            <w:tcW w:w="1261" w:type="dxa"/>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pPr>
            <w:r>
              <w:rPr/>
              <w:t> </w:t>
            </w:r>
          </w:p>
        </w:tc>
        <w:tc>
          <w:tcPr>
            <w:tcW w:w="1226" w:type="dxa"/>
            <w:gridSpan w:val="4"/>
            <w:tcBorders>
              <w:left w:val="single" w:sz="8" w:space="0" w:color="000000"/>
              <w:bottom w:val="single" w:sz="8" w:space="0" w:color="000000"/>
              <w:right w:val="single" w:sz="8" w:space="0" w:color="000000"/>
            </w:tcBorders>
            <w:tcMar>
              <w:top w:w="0" w:type="dxa"/>
            </w:tcMar>
            <w:vAlign w:val="center"/>
          </w:tcPr>
          <w:p>
            <w:pPr>
              <w:pStyle w:val="TableContents"/>
              <w:bidi w:val="0"/>
              <w:spacing w:before="33" w:after="30"/>
              <w:jc w:val="right"/>
              <w:rPr>
                <w:rFonts w:ascii="Times New Roman" w:hAnsi="Times New Roman"/>
                <w:color w:val="000000"/>
                <w:sz w:val="16"/>
              </w:rPr>
            </w:pPr>
            <w:r>
              <w:rPr>
                <w:rFonts w:ascii="Times New Roman" w:hAnsi="Times New Roman"/>
                <w:color w:val="000000"/>
                <w:sz w:val="16"/>
              </w:rPr>
              <w:t>$1,026.87</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Pursuant to Rule 416(a) of the Securities Act of 1933, as amended (the “Securities Act”), this Registration Statement covers any additional shares of the Registrant’s Class A common stock (“Class A common stock”) that become issuable under the Registrant’s 2020 Equity Incentive Plan (the “2020 Plan”) and the Registrant’s 2020 Employee Stock Purchase Plan (the “2020 ESPP”), by reason of any stock dividend, stock split, recapitalization or other similar transaction effected without the Registrant’s receipt of consideration that results in an increase in the number of outstanding shares of Class A common stock.</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Represents an automatic increase of 3,214,933 shares of the Registrant’s Class A common stock reserved for issuance under, and which annual increase is provided for in, the 2020 Plan as of January 1, 2024.</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(3)</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Represents an automatic increase of 642,986 shares of the Registrant’s Class A common stock reserved for issuance under, and which annual increase is provided for in, the 2020 ESPP as of January 1, 2024.</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(4)</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Estimated in accordance with Rules 457(c) and (h) of the Securities Act solely for the purpose of calculating the registration fee on the basis of $1.85 per share, which represents the average of the high and low prices of the Registrant’s Class A common stock as reported on the Nasdaq Global Select Market on March 4, 2024.</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(5)</w:t>
      </w:r>
    </w:p>
    <w:p>
      <w:pPr>
        <w:pStyle w:val="TextBody"/>
        <w:bidi w:val="0"/>
        <w:jc w:val="left"/>
        <w:rPr>
          <w:rFonts w:ascii="Times New Roman" w:hAnsi="Times New Roman"/>
          <w:color w:val="000000"/>
          <w:sz w:val="16"/>
        </w:rPr>
      </w:pPr>
      <w:r>
        <w:rPr>
          <w:rFonts w:ascii="Times New Roman" w:hAnsi="Times New Roman"/>
          <w:color w:val="000000"/>
          <w:sz w:val="16"/>
        </w:rPr>
        <w:t>Estimated in accordance with Rules 457(c) and (h) of the Securities Act solely for the purpose of calculating the registration fee on the basis of $1.57 per share, which represents 85% the average of the high and low prices of the Registrant’s Class A common stock as reported on the Nasdaq Global Select Market on March 4, 2024. Pursuant to the 2020 ESPP, the purchase price of the shares of common stock reserved for issuance thereunder will be 85% of the lower of the fair market value of common stock on an Offering Period's Enrollment Date or Exercise Date (as such terms are defined in the 2020 ESPP).</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726445/000095017024024967/ck0001726445-20231231.htm" TargetMode="External"/><Relationship Id="rId3" Type="http://schemas.openxmlformats.org/officeDocument/2006/relationships/hyperlink" Target="https://www.sec.gov/Archives/edgar/data/1726445/000162828020016900/seer-form8xa.htm" TargetMode="External"/><Relationship Id="rId4" Type="http://schemas.openxmlformats.org/officeDocument/2006/relationships/hyperlink" Target="https://www.sec.gov/Archives/edgar/data/1726445/000162828020016325/exhibit41-stockcertifi.htm" TargetMode="External"/><Relationship Id="rId5" Type="http://schemas.openxmlformats.org/officeDocument/2006/relationships/hyperlink" Target="https://www.sec.gov/Archives/edgar/data/1726445/000162828020016863/exhibit102-sx1a1.htm" TargetMode="External"/><Relationship Id="rId6" Type="http://schemas.openxmlformats.org/officeDocument/2006/relationships/hyperlink" Target="https://www.sec.gov/Archives/edgar/data/1726445/000162828023006976/exhibit43-2020employeestoc.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3722</Words>
  <Characters>19830</Characters>
  <CharactersWithSpaces>23572</CharactersWithSpaces>
  <Paragraphs>455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