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59"/>
        <w:spacing w:after="0"/>
        <w:rPr>
          <w:sz w:val="20"/>
          <w:szCs w:val="20"/>
          <w:color w:val="auto"/>
        </w:rPr>
      </w:pPr>
      <w:r>
        <w:rPr>
          <w:rFonts w:ascii="Times New Roman" w:cs="Times New Roman" w:eastAsia="Times New Roman" w:hAnsi="Times New Roman"/>
          <w:sz w:val="22"/>
          <w:szCs w:val="22"/>
          <w:color w:val="auto"/>
        </w:rPr>
        <w:t>TEXAS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550,000.00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2,920,000.00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2,920,000.00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3800 Bridge Parkway, Suite 102, Redwood City, California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hanging="912"/>
        <w:spacing w:after="0" w:line="201"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statement is filed by The Radoff Family Foundation, a Texas non-profit corporation ("Radoff Foundation"), and Bradley L. Radoff. Each of the foregoing is referred to as a "Reporting Person" and collectively as the "Reporting Persons." Mr. Radoff serves as a director of Radoff Foundation and may be deemed to beneficially own the shares of Class A common stock, $0.00001 par value per share (the "Shares") owned directly by Radoff Foundation.</w:t>
      </w:r>
    </w:p>
    <w:p>
      <w:pPr>
        <w:spacing w:after="0" w:line="14"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20" w:right="2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office of each of the Reporting Persons is 2727 Kirby Drive, Unit 29L, Houston, Texas 77098.</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Radoff Foundation is organized under the laws of the State of Texas and Mr. Radoff is a citizen of the United States of America.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81578P106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date hereof: (i) Radoff Foundation directly owned 550,000 Shares; and (ii) Mr. Radoff directly owned 2,370,000 Shares. Mr. Radoff, as a director of Radoff Foundation, may also be deemed the beneficial owner of the 550,000 Shares owned by Radoff Foundation, which, together with the 2,370,000 Shares he directly owns, constitutes an aggregate of 2,920,000 Shares beneficially owned by Mr. Radoff. The filing of this Schedule 13G shall not be deemed an admission that the Reporting Persons are, for purposes of Section 13(d) of the Securities Exchange Act of</w:t>
      </w:r>
    </w:p>
    <w:p>
      <w:pPr>
        <w:sectPr>
          <w:pgSz w:w="11900" w:h="16838" w:orient="portrait"/>
          <w:cols w:equalWidth="0" w:num="1">
            <w:col w:w="11120"/>
          </w:cols>
          <w:pgMar w:left="360" w:top="111" w:right="419" w:bottom="0" w:gutter="0" w:footer="0" w:header="0"/>
        </w:sectPr>
      </w:pPr>
    </w:p>
    <w:bookmarkStart w:id="3" w:name="page4"/>
    <w:bookmarkEnd w:id="3"/>
    <w:p>
      <w:pPr>
        <w:ind w:left="920" w:right="60"/>
        <w:spacing w:after="0" w:line="244" w:lineRule="auto"/>
        <w:rPr>
          <w:sz w:val="20"/>
          <w:szCs w:val="20"/>
          <w:color w:val="auto"/>
        </w:rPr>
      </w:pPr>
      <w:r>
        <w:rPr>
          <w:rFonts w:ascii="Times New Roman" w:cs="Times New Roman" w:eastAsia="Times New Roman" w:hAnsi="Times New Roman"/>
          <w:sz w:val="22"/>
          <w:szCs w:val="22"/>
          <w:color w:val="auto"/>
        </w:rPr>
        <w:t>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following percentages are based on 54,921,591 Shares outstanding as of November 4, 2024, which is the total</w:t>
      </w:r>
    </w:p>
    <w:p>
      <w:pPr>
        <w:spacing w:after="0" w:line="14" w:lineRule="exact"/>
        <w:rPr>
          <w:sz w:val="20"/>
          <w:szCs w:val="20"/>
          <w:color w:val="auto"/>
        </w:rPr>
      </w:pPr>
    </w:p>
    <w:p>
      <w:pPr>
        <w:ind w:left="920" w:right="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outstanding as disclosed in the Issuer's Quarterly Report on Form 10-Q filed with the Securities and Exchange Commission on November 6, 2024. As of the date hereof, (i) Radoff Foundation beneficially owns approximately 1.0% of the outstanding Shares and (ii) Mr. Radoff may be deemed to beneficially own approximately 5.3% of the outstanding Shares.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Bradley L. Radoff, Director</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120"/>
        <w:spacing w:after="0"/>
        <w:rPr>
          <w:sz w:val="20"/>
          <w:szCs w:val="20"/>
          <w:color w:val="auto"/>
        </w:rPr>
      </w:pPr>
      <w:r>
        <w:rPr>
          <w:rFonts w:ascii="Times New Roman" w:cs="Times New Roman" w:eastAsia="Times New Roman" w:hAnsi="Times New Roman"/>
          <w:sz w:val="21"/>
          <w:szCs w:val="21"/>
          <w:color w:val="auto"/>
        </w:rPr>
        <w:t>Name/Title: Bradley L. Radoff</w:t>
      </w:r>
    </w:p>
    <w:p>
      <w:pPr>
        <w:spacing w:after="0" w:line="56"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Filing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February 12, 2025, with respect to the Class A common stock, $0.00001 par value per share, of Seer, Inc., and any amendments thereto executed by each and any of the undersigned shall be filed on behalf of each of the undersigned pursuant to and in accordance with the provisions of Rule 13d-1(k)(1) under the Securities Exchange Act of 1934, as amended.</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Radoff Family Foundation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Radoff</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Radoff, Director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02/12/2025</w:t>
            </w: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Radoff Bradley Louis</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Radoff</w:t>
            </w:r>
          </w:p>
        </w:tc>
      </w:tr>
      <w:tr>
        <w:trPr>
          <w:trHeight w:val="191"/>
        </w:trPr>
        <w:tc>
          <w:tcPr>
            <w:tcW w:w="56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Radoff</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02/12/2025</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2025-02-12T12:08:45Z</dcterms:created>
  <dcterms:modified xsi:type="dcterms:W3CDTF">2025-02-12T12:08:45Z</dcterms:modified>
</cp:coreProperties>
</file>