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dfan14a09076074_07232026.htm"/>
      <w:bookmarkStart w:id="1" w:name="ksdfan14a09076074_07232026"/>
      <w:bookmarkEnd w:id="0"/>
      <w:bookmarkEnd w:id="1"/>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14a-101)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IN PROXY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14A INFORMATION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3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pPr>
            <w:r>
              <w:rPr/>
              <w:t>Preliminary Proxy Statement</w:t>
            </w:r>
          </w:p>
        </w:tc>
      </w:tr>
    </w:tbl>
    <w:p>
      <w:pPr>
        <w:pStyle w:val="TextBody"/>
        <w:bidi w:val="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3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Confidential, for Use of the Commission Only (as permitted by Rule 14a-6(e)(2))</w:t>
            </w:r>
          </w:p>
        </w:tc>
      </w:tr>
    </w:tbl>
    <w:p>
      <w:pPr>
        <w:pStyle w:val="TextBody"/>
        <w:bidi w:val="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3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pPr>
            <w:r>
              <w:rPr/>
              <w:t>Definitive Proxy Statement</w:t>
            </w:r>
          </w:p>
        </w:tc>
      </w:tr>
    </w:tbl>
    <w:p>
      <w:pPr>
        <w:pStyle w:val="TextBody"/>
        <w:bidi w:val="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3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Definitive Additional Materials</w:t>
            </w:r>
          </w:p>
        </w:tc>
      </w:tr>
    </w:tbl>
    <w:p>
      <w:pPr>
        <w:pStyle w:val="TextBody"/>
        <w:bidi w:val="0"/>
        <w:spacing w:before="0" w:after="283"/>
        <w:jc w:val="left"/>
        <w:rPr/>
      </w:pPr>
      <w:r>
        <w:rPr/>
        <w:t> </w:t>
      </w:r>
    </w:p>
    <w:tbl>
      <w:tblPr>
        <w:tblW w:w="4023" w:type="dxa"/>
        <w:jc w:val="left"/>
        <w:tblInd w:w="0" w:type="dxa"/>
        <w:tblLayout w:type="fixed"/>
        <w:tblCellMar>
          <w:top w:w="0" w:type="dxa"/>
          <w:left w:w="0" w:type="dxa"/>
          <w:bottom w:w="0" w:type="dxa"/>
          <w:right w:w="0" w:type="dxa"/>
        </w:tblCellMar>
      </w:tblPr>
      <w:tblGrid>
        <w:gridCol w:w="38"/>
        <w:gridCol w:w="23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pPr>
            <w:r>
              <w:rPr/>
              <w:t>Soliciting Material Under § 240.14a-12</w:t>
            </w:r>
          </w:p>
        </w:tc>
      </w:tr>
    </w:tbl>
    <w:p>
      <w:pPr>
        <w:pStyle w:val="TextBody"/>
        <w:bidi w:val="0"/>
        <w:spacing w:before="0" w:after="283"/>
        <w:jc w:val="left"/>
        <w:rPr/>
      </w:pPr>
      <w:r>
        <w:rPr/>
        <w:t>  </w:t>
      </w:r>
    </w:p>
    <w:tbl>
      <w:tblPr>
        <w:tblW w:w="6920" w:type="dxa"/>
        <w:jc w:val="left"/>
        <w:tblInd w:w="0" w:type="dxa"/>
        <w:tblLayout w:type="fixed"/>
        <w:tblCellMar>
          <w:top w:w="0" w:type="dxa"/>
          <w:left w:w="0" w:type="dxa"/>
          <w:bottom w:w="28" w:type="dxa"/>
          <w:right w:w="0" w:type="dxa"/>
        </w:tblCellMar>
      </w:tblPr>
      <w:tblGrid>
        <w:gridCol w:w="6920"/>
      </w:tblGrid>
      <w:tr>
        <w:trPr/>
        <w:tc>
          <w:tcPr>
            <w:tcW w:w="6920" w:type="dxa"/>
            <w:tcBorders>
              <w:bottom w:val="single" w:sz="4"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SEER, INC.</w:t>
            </w:r>
          </w:p>
        </w:tc>
      </w:tr>
      <w:tr>
        <w:trPr/>
        <w:tc>
          <w:tcPr>
            <w:tcW w:w="6920" w:type="dxa"/>
            <w:tcBorders/>
            <w:tcMar>
              <w:bottom w:w="0" w:type="dxa"/>
            </w:tcMar>
            <w:vAlign w:val="center"/>
          </w:tcPr>
          <w:p>
            <w:pPr>
              <w:pStyle w:val="TableContents"/>
              <w:bidi w:val="0"/>
              <w:spacing w:before="0" w:after="283"/>
              <w:jc w:val="center"/>
              <w:rPr/>
            </w:pPr>
            <w:r>
              <w:rPr/>
              <w:t>(Name of Registrant as Specified In Its Charter)</w:t>
            </w:r>
          </w:p>
        </w:tc>
      </w:tr>
      <w:tr>
        <w:trPr/>
        <w:tc>
          <w:tcPr>
            <w:tcW w:w="6920" w:type="dxa"/>
            <w:tcBorders/>
            <w:tcMar>
              <w:bottom w:w="0" w:type="dxa"/>
            </w:tcMar>
            <w:vAlign w:val="center"/>
          </w:tcPr>
          <w:p>
            <w:pPr>
              <w:pStyle w:val="TableContents"/>
              <w:bidi w:val="0"/>
              <w:spacing w:before="0" w:after="283"/>
              <w:jc w:val="left"/>
              <w:rPr/>
            </w:pPr>
            <w:r>
              <w:rPr/>
              <w:t> </w:t>
            </w:r>
          </w:p>
        </w:tc>
      </w:tr>
      <w:tr>
        <w:trPr/>
        <w:tc>
          <w:tcPr>
            <w:tcW w:w="6920" w:type="dxa"/>
            <w:tcBorders>
              <w:bottom w:val="single" w:sz="4"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L. RADOFF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RADOFF FAMILY FOUNDATION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JEC II ASSOCIATES,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 TRUST</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 PTC,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TOROK</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HOWARD H. BERMAN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S. HOROWITZ</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 E. RINALDINI</w:t>
            </w:r>
          </w:p>
        </w:tc>
      </w:tr>
      <w:tr>
        <w:trPr/>
        <w:tc>
          <w:tcPr>
            <w:tcW w:w="6920" w:type="dxa"/>
            <w:tcBorders/>
            <w:tcMar>
              <w:bottom w:w="0" w:type="dxa"/>
            </w:tcMar>
            <w:vAlign w:val="center"/>
          </w:tcPr>
          <w:p>
            <w:pPr>
              <w:pStyle w:val="TableContents"/>
              <w:bidi w:val="0"/>
              <w:spacing w:before="0" w:after="283"/>
              <w:jc w:val="center"/>
              <w:rPr/>
            </w:pPr>
            <w:r>
              <w:rPr/>
              <w:t>(Name of Persons(s) Filing Proxy Statement, if other than the Registrant)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3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pPr>
            <w:r>
              <w:rPr/>
              <w:t>No fee required</w:t>
            </w:r>
          </w:p>
        </w:tc>
      </w:tr>
    </w:tbl>
    <w:p>
      <w:pPr>
        <w:pStyle w:val="TextBody"/>
        <w:bidi w:val="0"/>
        <w:spacing w:before="0" w:after="283"/>
        <w:jc w:val="left"/>
        <w:rPr/>
      </w:pPr>
      <w:r>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283"/>
        <w:jc w:val="left"/>
        <w:rPr/>
      </w:pPr>
      <w:r>
        <w:rPr/>
        <w:t>  </w:t>
      </w:r>
    </w:p>
    <w:tbl>
      <w:tblPr>
        <w:tblW w:w="9933" w:type="dxa"/>
        <w:jc w:val="left"/>
        <w:tblInd w:w="0" w:type="dxa"/>
        <w:tblLayout w:type="fixed"/>
        <w:tblCellMar>
          <w:top w:w="0" w:type="dxa"/>
          <w:left w:w="0" w:type="dxa"/>
          <w:bottom w:w="0" w:type="dxa"/>
          <w:right w:w="0" w:type="dxa"/>
        </w:tblCellMar>
      </w:tblPr>
      <w:tblGrid>
        <w:gridCol w:w="38"/>
        <w:gridCol w:w="23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Bradley L. Radoff, Michael Torok and the other participants named herein (collectively, the “Radoff-JEC Group”) have filed a definitive proxy statement and accompanying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universal proxy card with the Securities and Exchange Commission to be used to solicit votes for the election of its slate of highly qualified director nominees at the 2026 annual meeting of stockholders of Seer, Inc., a Delaware corporation (the “Company”).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the Radoff-JEC Group issued the following press release after the close of business: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Radoff-JEC Group Urges Seer Stockholders to 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xml:space="preserve">” All Three of its Independent, Highly Qualified Nominees on the </w:t>
      </w:r>
      <w:r>
        <w:rPr>
          <w:rFonts w:ascii="Times New Roman;Times;Serif" w:hAnsi="Times New Roman;Times;Serif"/>
          <w:b/>
          <w:i w:val="false"/>
          <w:caps w:val="false"/>
          <w:smallCaps w:val="false"/>
          <w:sz w:val="20"/>
          <w:u w:val="single"/>
        </w:rPr>
        <w:t>WHITE</w:t>
      </w:r>
      <w:r>
        <w:rPr>
          <w:rFonts w:ascii="Times New Roman;Times;Serif" w:hAnsi="Times New Roman;Times;Serif"/>
          <w:b/>
          <w:i w:val="false"/>
          <w:caps w:val="false"/>
          <w:smallCaps w:val="false"/>
          <w:sz w:val="20"/>
        </w:rPr>
        <w:t xml:space="preserve"> Proxy Card </w:t>
      </w:r>
      <w:r>
        <w:rPr>
          <w:rFonts w:ascii="Times New Roman;Times;Serif" w:hAnsi="Times New Roman;Times;Serif"/>
          <w:b/>
          <w:i w:val="false"/>
          <w:caps w:val="false"/>
          <w:smallCaps w:val="false"/>
          <w:sz w:val="20"/>
          <w:u w:val="single"/>
        </w:rPr>
        <w:t>TODAY</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Three Independent Proxy Advisors Unanimously Recommend Stockholders Vote “</w:t>
      </w:r>
      <w:r>
        <w:rPr>
          <w:rFonts w:ascii="Times New Roman;Times;Serif" w:hAnsi="Times New Roman;Times;Serif"/>
          <w:b w:val="false"/>
          <w:i/>
          <w:caps w:val="false"/>
          <w:smallCaps w:val="false"/>
          <w:sz w:val="20"/>
          <w:u w:val="single"/>
        </w:rPr>
        <w:t>FOR</w:t>
      </w:r>
      <w:r>
        <w:rPr>
          <w:rFonts w:ascii="Times New Roman;Times;Serif" w:hAnsi="Times New Roman;Times;Serif"/>
          <w:b w:val="false"/>
          <w:i/>
          <w:caps w:val="false"/>
          <w:smallCaps w:val="false"/>
          <w:sz w:val="20"/>
        </w:rPr>
        <w:t>” Radoff-JEC Group Nominees, “</w:t>
      </w:r>
      <w:r>
        <w:rPr>
          <w:rFonts w:ascii="Times New Roman;Times;Serif" w:hAnsi="Times New Roman;Times;Serif"/>
          <w:b w:val="false"/>
          <w:i/>
          <w:caps w:val="false"/>
          <w:smallCaps w:val="false"/>
          <w:sz w:val="20"/>
          <w:u w:val="single"/>
        </w:rPr>
        <w:t>WITHHOLD</w:t>
      </w:r>
      <w:r>
        <w:rPr>
          <w:rFonts w:ascii="Times New Roman;Times;Serif" w:hAnsi="Times New Roman;Times;Serif"/>
          <w:b w:val="false"/>
          <w:i/>
          <w:caps w:val="false"/>
          <w:smallCaps w:val="false"/>
          <w:sz w:val="20"/>
        </w:rPr>
        <w:t>” Support on Seer Directors Terrance McGuire and Dipchand Nishar and Vote “</w:t>
      </w:r>
      <w:r>
        <w:rPr>
          <w:rFonts w:ascii="Times New Roman;Times;Serif" w:hAnsi="Times New Roman;Times;Serif"/>
          <w:b w:val="false"/>
          <w:i/>
          <w:caps w:val="false"/>
          <w:smallCaps w:val="false"/>
          <w:sz w:val="20"/>
          <w:u w:val="single"/>
        </w:rPr>
        <w:t>AGAINST</w:t>
      </w:r>
      <w:r>
        <w:rPr>
          <w:rFonts w:ascii="Times New Roman;Times;Serif" w:hAnsi="Times New Roman;Times;Serif"/>
          <w:b w:val="false"/>
          <w:i/>
          <w:caps w:val="false"/>
          <w:smallCaps w:val="false"/>
          <w:sz w:val="20"/>
        </w:rPr>
        <w:t>” the NOL Pill</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Believes New, Independent Directors Are Required to Run a Credible, Transparent Review of Strategic Alternatives That Results in a Value-Maximizing Outcome for </w:t>
      </w:r>
      <w:r>
        <w:rPr>
          <w:rFonts w:ascii="Times New Roman;Times;Serif" w:hAnsi="Times New Roman;Times;Serif"/>
          <w:b w:val="false"/>
          <w:i/>
          <w:caps w:val="false"/>
          <w:smallCaps w:val="false"/>
          <w:sz w:val="20"/>
          <w:u w:val="single"/>
        </w:rPr>
        <w:t>ALL</w:t>
      </w:r>
      <w:r>
        <w:rPr>
          <w:rFonts w:ascii="Times New Roman;Times;Serif" w:hAnsi="Times New Roman;Times;Serif"/>
          <w:b w:val="false"/>
          <w:i/>
          <w:caps w:val="false"/>
          <w:smallCaps w:val="false"/>
          <w:sz w:val="20"/>
        </w:rPr>
        <w:t xml:space="preserve">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HOUSTON--(BUSINESS WIRE)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Bradley L. Radoff and Michael Torok (together with certain of their affiliates, the “Radoff-JEC Group” or “we”), who collectively own approximately 7.7% of Seer, Inc.’s (NASDAQ: SEER) (“Seer” or the “Company”) outstanding common stock, today issued the following statement reminding their fellow stockholders to vote “FOR” the election of Howard H. Berman, Ph.D., Luis E. Rinaldini and Joshua S. Horowitz to Seer’s Board of Directors (the “Board”), “WITHHOLD” on incumbent directors Terrance McGuire, Dipchand Nishar and Omid Farokhzad, M.D., and “AGAINST” the ratification of the Tax Benefit Preservation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stockholders are at the final fork in the road at Seer, with a vote for our nominees representing a path to value creation and a vote for the incumbent directors representing a continued path to more irreversible value destruction:</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All three independent proxy advisors</w:t>
            </w:r>
            <w:r>
              <w:rPr/>
              <w:t xml:space="preserve"> (Institutional Shareholder Services Inc., Glass, Lewis &amp; Co., LLC and Egan-Jones Proxy Services) </w:t>
            </w:r>
            <w:r>
              <w:rPr>
                <w:b/>
              </w:rPr>
              <w:t>endorsed the Radoff-JEC Group’s case for urgent change at Seer</w:t>
            </w:r>
            <w:r>
              <w:rPr/>
              <w:t>.</w:t>
            </w:r>
          </w:p>
        </w:tc>
      </w:tr>
    </w:tbl>
    <w:p>
      <w:pPr>
        <w:pStyle w:val="TextBody"/>
        <w:bidi w:val="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233"/>
        <w:gridCol w:w="9902"/>
      </w:tblGrid>
      <w:tr>
        <w:trPr/>
        <w:tc>
          <w:tcPr>
            <w:tcW w:w="7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Symbol" w:hAnsi="Symbol"/>
              </w:rPr>
            </w:pPr>
            <w:r>
              <w:rPr>
                <w:rFonts w:ascii="Symbol" w:hAnsi="Symbol"/>
              </w:rPr>
              <w:t>·</w:t>
            </w:r>
          </w:p>
        </w:tc>
        <w:tc>
          <w:tcPr>
            <w:tcW w:w="9902" w:type="dxa"/>
            <w:tcBorders/>
            <w:vAlign w:val="center"/>
          </w:tcPr>
          <w:p>
            <w:pPr>
              <w:pStyle w:val="TableContents"/>
              <w:bidi w:val="0"/>
              <w:spacing w:before="0" w:after="283"/>
              <w:jc w:val="both"/>
              <w:rPr/>
            </w:pPr>
            <w:r>
              <w:rPr>
                <w:b/>
              </w:rPr>
              <w:t>Seer’s stock has declined by 97% since its 2020 IPO</w:t>
            </w:r>
            <w:r>
              <w:rPr/>
              <w:t>.</w:t>
            </w:r>
          </w:p>
        </w:tc>
      </w:tr>
    </w:tbl>
    <w:p>
      <w:pPr>
        <w:pStyle w:val="TextBody"/>
        <w:bidi w:val="0"/>
        <w:spacing w:lineRule="auto" w:line="256" w:before="0" w:after="16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The Board rejected multiple premium acquisition proposals</w:t>
            </w:r>
            <w:r>
              <w:rPr/>
              <w:t xml:space="preserve"> – including offers from both us and Chairman and CEO Omid Farokhzad, M.D. – </w:t>
            </w:r>
            <w:r>
              <w:rPr>
                <w:b/>
              </w:rPr>
              <w:t>without running a robust, transparent process</w:t>
            </w:r>
            <w:r>
              <w:rPr/>
              <w:t>, casting major doubt on its commitment to objectively maximizing stockholder value.</w:t>
            </w:r>
          </w:p>
        </w:tc>
      </w:tr>
    </w:tbl>
    <w:p>
      <w:pPr>
        <w:pStyle w:val="TextBody"/>
        <w:bidi w:val="0"/>
        <w:spacing w:lineRule="auto" w:line="256" w:before="0" w:after="16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Only two members of Seer’s seven-member Board are sufficiently independent to serve on its Special Committee charged with evaluating Seer’s strategic alternatives</w:t>
            </w:r>
            <w:r>
              <w:rPr/>
              <w:t>. The two-member Special Committee has still not disclosed its independent financial and legal advisors.</w:t>
            </w:r>
          </w:p>
        </w:tc>
      </w:tr>
    </w:tbl>
    <w:p>
      <w:pPr>
        <w:pStyle w:val="TextBody"/>
        <w:bidi w:val="0"/>
        <w:spacing w:lineRule="auto" w:line="256" w:before="0" w:after="16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The Board has allowed Seer to </w:t>
            </w:r>
            <w:r>
              <w:rPr>
                <w:b/>
              </w:rPr>
              <w:t>trade at a massive discount to net cash with no meaningful insider buying</w:t>
            </w:r>
            <w:r>
              <w:rPr/>
              <w:t xml:space="preserve">, repeatedly approved of </w:t>
            </w:r>
            <w:r>
              <w:rPr>
                <w:b/>
              </w:rPr>
              <w:t>dilutive equity grants and options repricing</w:t>
            </w:r>
            <w:r>
              <w:rPr/>
              <w:t xml:space="preserve">, and maintained </w:t>
            </w:r>
            <w:r>
              <w:rPr>
                <w:b/>
              </w:rPr>
              <w:t>multiple entrenchment devices</w:t>
            </w:r>
            <w:r>
              <w:rPr/>
              <w:t xml:space="preserve"> to the detriment of stockholders.</w:t>
            </w:r>
          </w:p>
        </w:tc>
      </w:tr>
    </w:tbl>
    <w:p>
      <w:pPr>
        <w:pStyle w:val="TextBody"/>
        <w:bidi w:val="0"/>
        <w:spacing w:lineRule="auto" w:line="256" w:before="0" w:after="160"/>
        <w:ind w:left="7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Our nominees – </w:t>
            </w:r>
            <w:r>
              <w:rPr>
                <w:b/>
              </w:rPr>
              <w:t>Howard H. Berman, Ph.D., Luis E. Rinaldini and Joshua S. Horowitz</w:t>
            </w:r>
            <w:r>
              <w:rPr/>
              <w:t xml:space="preserve"> – are truly independent and bring complementary life sciences, transaction and investor experience that </w:t>
            </w:r>
            <w:r>
              <w:rPr>
                <w:b/>
              </w:rPr>
              <w:t>can strengthen the Board’s objective oversight of strategy and capital allocation</w:t>
            </w:r>
            <w:r>
              <w:rPr/>
              <w:t xml:space="preserve"> and </w:t>
            </w:r>
            <w:r>
              <w:rPr>
                <w:b/>
              </w:rPr>
              <w:t>ensure that all strategic alternatives are fully and fairly evaluated with stockholders’ best interests in mind</w:t>
            </w:r>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we have stated previously, we agree with Dr. Farokhzad that Seer has no future as a publicly traded company. We believe Seer should be sold to the highest bidder in a transaction that maximizes value for </w:t>
      </w:r>
      <w:r>
        <w:rPr>
          <w:rFonts w:ascii="Times New Roman;Times;Serif" w:hAnsi="Times New Roman;Times;Serif"/>
          <w:b w:val="false"/>
          <w:i w:val="false"/>
          <w:caps w:val="false"/>
          <w:smallCaps w:val="false"/>
          <w:sz w:val="20"/>
          <w:u w:val="single"/>
        </w:rPr>
        <w:t>ALL</w:t>
      </w:r>
      <w:r>
        <w:rPr>
          <w:rFonts w:ascii="Times New Roman;Times;Serif" w:hAnsi="Times New Roman;Times;Serif"/>
          <w:b w:val="false"/>
          <w:i w:val="false"/>
          <w:caps w:val="false"/>
          <w:smallCaps w:val="false"/>
          <w:sz w:val="20"/>
        </w:rPr>
        <w:t xml:space="preserve"> stockholders – and we strongly believe that the only way to achieve a value-maximizing outcome is to elect truly independent and qualified directors who are capable of running a robust and transparent review of strategic alternatives.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xml:space="preserve"> the Radoff-JEC Group’s Nominees – Howard H. Berman, Ph.D., Joshua S. Horowitz and Luis E. Rinaldini – Today to Support a Legitimate Strategic Review Process Aimed at Maximizing Value for </w:t>
      </w:r>
      <w:r>
        <w:rPr>
          <w:rFonts w:ascii="Times New Roman;Times;Serif" w:hAnsi="Times New Roman;Times;Serif"/>
          <w:b/>
          <w:i w:val="false"/>
          <w:caps w:val="false"/>
          <w:smallCaps w:val="false"/>
          <w:sz w:val="20"/>
          <w:u w:val="single"/>
        </w:rPr>
        <w:t>ALL</w:t>
      </w:r>
      <w:r>
        <w:rPr>
          <w:rFonts w:ascii="Times New Roman;Times;Serif" w:hAnsi="Times New Roman;Times;Serif"/>
          <w:b/>
          <w:i w:val="false"/>
          <w:caps w:val="false"/>
          <w:smallCaps w:val="false"/>
          <w:sz w:val="20"/>
        </w:rPr>
        <w:t xml:space="preserve"> Seer Stockholders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Do </w:t>
      </w:r>
      <w:r>
        <w:rPr>
          <w:rFonts w:ascii="Times New Roman;Times;Serif" w:hAnsi="Times New Roman;Times;Serif"/>
          <w:b/>
          <w:i w:val="false"/>
          <w:caps w:val="false"/>
          <w:smallCaps w:val="false"/>
          <w:sz w:val="20"/>
          <w:u w:val="single"/>
        </w:rPr>
        <w:t>NOT</w:t>
      </w:r>
      <w:r>
        <w:rPr>
          <w:rFonts w:ascii="Times New Roman;Times;Serif" w:hAnsi="Times New Roman;Times;Serif"/>
          <w:b/>
          <w:i w:val="false"/>
          <w:caps w:val="false"/>
          <w:smallCaps w:val="false"/>
          <w:sz w:val="20"/>
        </w:rPr>
        <w:t xml:space="preserve"> Vote for Omid Farokhzad, M.D., Terrance McGuire or Dipchand (Deep) Nishar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Questions about how to vote?</w:t>
      </w:r>
      <w:r>
        <w:rPr>
          <w:rFonts w:ascii="Times New Roman;Times;Serif" w:hAnsi="Times New Roman;Times;Serif"/>
          <w:b w:val="false"/>
          <w:i w:val="false"/>
          <w:caps w:val="false"/>
          <w:smallCaps w:val="false"/>
          <w:sz w:val="20"/>
        </w:rPr>
        <w:t xml:space="preserve"> Contact (888) 368-0379 or info@saratogaproxy.com.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Visit www.SaratogaProxy.com/SEER to learn more.</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 Lempel</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greg@fondrenlp.com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Proxy Consulting LLC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Ferguson / Joseph Mills, 212-257-1311</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info@saratogaproxy.com</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822</Words>
  <Characters>4668</Characters>
  <CharactersWithSpaces>5472</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