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Omid Farokhzad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4,801,594.00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2,117,138.00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4,801,594.00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2,117,138.00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6,918,732.00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20"/>
          </w:cols>
          <w:pgMar w:left="360" w:top="111" w:right="399" w:bottom="194"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40"/>
          </w:cols>
          <w:pgMar w:left="360" w:top="111" w:right="399" w:bottom="194"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Seer, Inc., 3800 Bridge Parkway, Suite 102, Redwood City, CA 94065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Omid Farokhzad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Seer, Inc. 3800 Bridge Parkway, Suite 102 Redwood City, CA 94065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20"/>
            <w:col w:w="10200"/>
          </w:cols>
          <w:pgMar w:left="360" w:top="111" w:right="399" w:bottom="194" w:gutter="0" w:footer="0" w:header="0"/>
          <w:type w:val="continuous"/>
        </w:sectPr>
      </w:pPr>
    </w:p>
    <w:p>
      <w:pPr>
        <w:spacing w:after="0" w:line="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6,918,732 The amount set forth above includes (i) 2,286,586 shares of Class A common stock held of record by Omid</w:t>
      </w:r>
    </w:p>
    <w:p>
      <w:pPr>
        <w:spacing w:after="0" w:line="26" w:lineRule="exact"/>
        <w:rPr>
          <w:sz w:val="20"/>
          <w:szCs w:val="20"/>
          <w:color w:val="auto"/>
        </w:rPr>
      </w:pPr>
    </w:p>
    <w:p>
      <w:pPr>
        <w:ind w:left="940" w:right="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Farokhzad (the "Reporting Person"); (ii) 2,515,008 shares of Class A common stock subject to options exercisable within 60 days of March 31, 2026; and (iii) 2,117,138 shares of Class A common stock held of record by SAF-BND Trust for which the Reporting Person's spouse serves as trustee. The Reporting Person disclaims beneficial ownership of the shares held by the SAF-BND Trust.</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40"/>
          </w:cols>
          <w:pgMar w:left="360" w:top="111" w:right="399" w:bottom="194" w:gutter="0" w:footer="0" w:header="0"/>
          <w:type w:val="continuous"/>
        </w:sectPr>
      </w:pPr>
    </w:p>
    <w:bookmarkStart w:id="2" w:name="page3"/>
    <w:bookmarkEnd w:id="2"/>
    <w:p>
      <w:pPr>
        <w:ind w:left="940"/>
        <w:spacing w:after="0" w:line="247" w:lineRule="auto"/>
        <w:rPr>
          <w:sz w:val="20"/>
          <w:szCs w:val="20"/>
          <w:color w:val="auto"/>
        </w:rPr>
      </w:pPr>
      <w:r>
        <w:rPr>
          <w:rFonts w:ascii="Times New Roman" w:cs="Times New Roman" w:eastAsia="Times New Roman" w:hAnsi="Times New Roman"/>
          <w:sz w:val="21"/>
          <w:szCs w:val="21"/>
          <w:color w:val="auto"/>
        </w:rPr>
        <w:t>12.0 The percentage set forth above is based on the quotient obtained by dividing the aggregate amount beneficially owned by the Reporting Person as set forth in (a) above by the sum of (i) 54,981,551 shares of Class A common stock outstanding as of May 8, 2026, as reported in the Issuer's Quarterly Report on Form 10-Q for the quarterly period ended March 31, 2026, filed with the Securities and Exchange Commission on May 13, 2026 (the "Form 10-Q") and</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 2,515,008 shares of Class A common stock subject to options exercisable within 60 days of March 31, 2026. %</w:t>
      </w:r>
    </w:p>
    <w:p>
      <w:pPr>
        <w:spacing w:after="0" w:line="20"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60"/>
          </w:cols>
          <w:pgMar w:left="36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4,801,594</w:t>
      </w:r>
    </w:p>
    <w:p>
      <w:pPr>
        <w:spacing w:after="0" w:line="1" w:lineRule="exact"/>
        <w:rPr>
          <w:rFonts w:ascii="Times New Roman" w:cs="Times New Roman" w:eastAsia="Times New Roman" w:hAnsi="Times New Roman"/>
          <w:sz w:val="22"/>
          <w:szCs w:val="22"/>
          <w:color w:val="auto"/>
        </w:rPr>
      </w:pPr>
    </w:p>
    <w:p>
      <w:pPr>
        <w:ind w:right="6260"/>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2,117,138</w:t>
      </w:r>
    </w:p>
    <w:p>
      <w:pPr>
        <w:spacing w:after="0" w:line="1"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4,801,594</w:t>
      </w:r>
    </w:p>
    <w:p>
      <w:pPr>
        <w:spacing w:after="0" w:line="1" w:lineRule="exact"/>
        <w:rPr>
          <w:rFonts w:ascii="Times New Roman" w:cs="Times New Roman" w:eastAsia="Times New Roman" w:hAnsi="Times New Roman"/>
          <w:sz w:val="22"/>
          <w:szCs w:val="22"/>
          <w:color w:val="auto"/>
        </w:rPr>
      </w:pPr>
    </w:p>
    <w:p>
      <w:pPr>
        <w:ind w:right="5120"/>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2,117,138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20"/>
            <w:col w:w="10220"/>
          </w:cols>
          <w:pgMar w:left="360" w:top="111" w:right="379" w:bottom="144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Omid Farokhzad</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Omid Farokhzad</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Omid Farokhzad</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2026-05-15T18:04:15Z</dcterms:created>
  <dcterms:modified xsi:type="dcterms:W3CDTF">2026-05-15T18:04:15Z</dcterms:modified>
</cp:coreProperties>
</file>