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0" w:lineRule="exact"/>
        <w:rPr>
          <w:sz w:val="24"/>
          <w:szCs w:val="24"/>
          <w:color w:val="auto"/>
        </w:rPr>
      </w:pPr>
    </w:p>
    <w:p>
      <w:pPr>
        <w:ind w:left="20"/>
        <w:spacing w:after="0"/>
        <w:rPr>
          <w:sz w:val="20"/>
          <w:szCs w:val="20"/>
          <w:color w:val="auto"/>
        </w:rPr>
      </w:pPr>
      <w:r>
        <w:rPr>
          <w:rFonts w:ascii="Arial" w:cs="Arial" w:eastAsia="Arial" w:hAnsi="Arial"/>
          <w:sz w:val="22"/>
          <w:szCs w:val="22"/>
          <w:color w:val="auto"/>
        </w:rPr>
        <w:t>J.P. Morgan Securities LLC</w:t>
      </w:r>
    </w:p>
    <w:p>
      <w:pPr>
        <w:spacing w:after="0" w:line="58" w:lineRule="exact"/>
        <w:rPr>
          <w:sz w:val="24"/>
          <w:szCs w:val="24"/>
          <w:color w:val="auto"/>
        </w:rPr>
      </w:pPr>
    </w:p>
    <w:p>
      <w:pPr>
        <w:ind w:left="20"/>
        <w:spacing w:after="0"/>
        <w:rPr>
          <w:sz w:val="20"/>
          <w:szCs w:val="20"/>
          <w:color w:val="auto"/>
        </w:rPr>
      </w:pPr>
      <w:r>
        <w:rPr>
          <w:rFonts w:ascii="Arial" w:cs="Arial" w:eastAsia="Arial" w:hAnsi="Arial"/>
          <w:sz w:val="22"/>
          <w:szCs w:val="22"/>
          <w:color w:val="auto"/>
        </w:rPr>
        <w:t>383 Madison Avenue</w:t>
      </w:r>
    </w:p>
    <w:p>
      <w:pPr>
        <w:spacing w:after="0" w:line="58" w:lineRule="exact"/>
        <w:rPr>
          <w:sz w:val="24"/>
          <w:szCs w:val="24"/>
          <w:color w:val="auto"/>
        </w:rPr>
      </w:pPr>
    </w:p>
    <w:p>
      <w:pPr>
        <w:ind w:left="20"/>
        <w:spacing w:after="0"/>
        <w:rPr>
          <w:sz w:val="20"/>
          <w:szCs w:val="20"/>
          <w:color w:val="auto"/>
        </w:rPr>
      </w:pPr>
      <w:r>
        <w:rPr>
          <w:rFonts w:ascii="Arial" w:cs="Arial" w:eastAsia="Arial" w:hAnsi="Arial"/>
          <w:sz w:val="22"/>
          <w:szCs w:val="22"/>
          <w:color w:val="auto"/>
        </w:rPr>
        <w:t>New York, New York 10179</w:t>
      </w:r>
    </w:p>
    <w:p>
      <w:pPr>
        <w:spacing w:after="0" w:line="328" w:lineRule="exact"/>
        <w:rPr>
          <w:sz w:val="24"/>
          <w:szCs w:val="24"/>
          <w:color w:val="auto"/>
        </w:rPr>
      </w:pPr>
    </w:p>
    <w:p>
      <w:pPr>
        <w:ind w:left="20"/>
        <w:spacing w:after="0"/>
        <w:rPr>
          <w:sz w:val="20"/>
          <w:szCs w:val="20"/>
          <w:color w:val="auto"/>
        </w:rPr>
      </w:pPr>
      <w:r>
        <w:rPr>
          <w:rFonts w:ascii="Arial" w:cs="Arial" w:eastAsia="Arial" w:hAnsi="Arial"/>
          <w:sz w:val="22"/>
          <w:szCs w:val="22"/>
          <w:color w:val="auto"/>
        </w:rPr>
        <w:t>Morgan Stanley &amp; Co. LLC</w:t>
      </w:r>
    </w:p>
    <w:p>
      <w:pPr>
        <w:spacing w:after="0" w:line="58" w:lineRule="exact"/>
        <w:rPr>
          <w:sz w:val="24"/>
          <w:szCs w:val="24"/>
          <w:color w:val="auto"/>
        </w:rPr>
      </w:pPr>
    </w:p>
    <w:p>
      <w:pPr>
        <w:ind w:left="20"/>
        <w:spacing w:after="0"/>
        <w:rPr>
          <w:sz w:val="20"/>
          <w:szCs w:val="20"/>
          <w:color w:val="auto"/>
        </w:rPr>
      </w:pPr>
      <w:r>
        <w:rPr>
          <w:rFonts w:ascii="Arial" w:cs="Arial" w:eastAsia="Arial" w:hAnsi="Arial"/>
          <w:sz w:val="22"/>
          <w:szCs w:val="22"/>
          <w:color w:val="auto"/>
        </w:rPr>
        <w:t>1585 Broadway</w:t>
      </w:r>
    </w:p>
    <w:p>
      <w:pPr>
        <w:spacing w:after="0" w:line="58" w:lineRule="exact"/>
        <w:rPr>
          <w:sz w:val="24"/>
          <w:szCs w:val="24"/>
          <w:color w:val="auto"/>
        </w:rPr>
      </w:pPr>
    </w:p>
    <w:p>
      <w:pPr>
        <w:ind w:left="20"/>
        <w:spacing w:after="0"/>
        <w:rPr>
          <w:sz w:val="20"/>
          <w:szCs w:val="20"/>
          <w:color w:val="auto"/>
        </w:rPr>
      </w:pPr>
      <w:r>
        <w:rPr>
          <w:rFonts w:ascii="Arial" w:cs="Arial" w:eastAsia="Arial" w:hAnsi="Arial"/>
          <w:sz w:val="22"/>
          <w:szCs w:val="22"/>
          <w:color w:val="auto"/>
        </w:rPr>
        <w:t>New York, New York 10036</w:t>
      </w:r>
    </w:p>
    <w:p>
      <w:pPr>
        <w:spacing w:after="0" w:line="328" w:lineRule="exact"/>
        <w:rPr>
          <w:sz w:val="24"/>
          <w:szCs w:val="24"/>
          <w:color w:val="auto"/>
        </w:rPr>
      </w:pPr>
    </w:p>
    <w:p>
      <w:pPr>
        <w:ind w:left="20"/>
        <w:spacing w:after="0"/>
        <w:rPr>
          <w:sz w:val="20"/>
          <w:szCs w:val="20"/>
          <w:color w:val="auto"/>
        </w:rPr>
      </w:pPr>
      <w:r>
        <w:rPr>
          <w:rFonts w:ascii="Arial" w:cs="Arial" w:eastAsia="Arial" w:hAnsi="Arial"/>
          <w:sz w:val="22"/>
          <w:szCs w:val="22"/>
          <w:color w:val="auto"/>
        </w:rPr>
        <w:t>BofA Securities, Inc.</w:t>
      </w:r>
    </w:p>
    <w:p>
      <w:pPr>
        <w:spacing w:after="0" w:line="58" w:lineRule="exact"/>
        <w:rPr>
          <w:sz w:val="24"/>
          <w:szCs w:val="24"/>
          <w:color w:val="auto"/>
        </w:rPr>
      </w:pPr>
    </w:p>
    <w:p>
      <w:pPr>
        <w:ind w:left="20"/>
        <w:spacing w:after="0"/>
        <w:rPr>
          <w:sz w:val="20"/>
          <w:szCs w:val="20"/>
          <w:color w:val="auto"/>
        </w:rPr>
      </w:pPr>
      <w:r>
        <w:rPr>
          <w:rFonts w:ascii="Arial" w:cs="Arial" w:eastAsia="Arial" w:hAnsi="Arial"/>
          <w:sz w:val="22"/>
          <w:szCs w:val="22"/>
          <w:color w:val="auto"/>
        </w:rPr>
        <w:t>One Bryant Park</w:t>
      </w:r>
    </w:p>
    <w:p>
      <w:pPr>
        <w:spacing w:after="0" w:line="58" w:lineRule="exact"/>
        <w:rPr>
          <w:sz w:val="24"/>
          <w:szCs w:val="24"/>
          <w:color w:val="auto"/>
        </w:rPr>
      </w:pPr>
    </w:p>
    <w:p>
      <w:pPr>
        <w:ind w:left="20"/>
        <w:spacing w:after="0"/>
        <w:rPr>
          <w:sz w:val="20"/>
          <w:szCs w:val="20"/>
          <w:color w:val="auto"/>
        </w:rPr>
      </w:pPr>
      <w:r>
        <w:rPr>
          <w:rFonts w:ascii="Arial" w:cs="Arial" w:eastAsia="Arial" w:hAnsi="Arial"/>
          <w:sz w:val="22"/>
          <w:szCs w:val="22"/>
          <w:color w:val="auto"/>
        </w:rPr>
        <w:t>New York, New York 10036</w:t>
      </w:r>
    </w:p>
    <w:p>
      <w:pPr>
        <w:spacing w:after="0" w:line="247" w:lineRule="exact"/>
        <w:rPr>
          <w:sz w:val="24"/>
          <w:szCs w:val="24"/>
          <w:color w:val="auto"/>
        </w:rPr>
      </w:pPr>
    </w:p>
    <w:p>
      <w:pPr>
        <w:jc w:val="right"/>
        <w:spacing w:after="0"/>
        <w:rPr>
          <w:sz w:val="20"/>
          <w:szCs w:val="20"/>
          <w:color w:val="auto"/>
        </w:rPr>
      </w:pPr>
      <w:r>
        <w:rPr>
          <w:rFonts w:ascii="Arial" w:cs="Arial" w:eastAsia="Arial" w:hAnsi="Arial"/>
          <w:sz w:val="22"/>
          <w:szCs w:val="22"/>
          <w:color w:val="auto"/>
        </w:rPr>
        <w:t>December 1, 2020</w:t>
      </w:r>
    </w:p>
    <w:p>
      <w:pPr>
        <w:spacing w:after="0" w:line="268" w:lineRule="exact"/>
        <w:rPr>
          <w:sz w:val="24"/>
          <w:szCs w:val="24"/>
          <w:color w:val="auto"/>
        </w:rPr>
      </w:pPr>
    </w:p>
    <w:p>
      <w:pPr>
        <w:ind w:left="20"/>
        <w:spacing w:after="0"/>
        <w:rPr>
          <w:sz w:val="20"/>
          <w:szCs w:val="20"/>
          <w:color w:val="auto"/>
        </w:rPr>
      </w:pPr>
      <w:r>
        <w:rPr>
          <w:rFonts w:ascii="Arial" w:cs="Arial" w:eastAsia="Arial" w:hAnsi="Arial"/>
          <w:sz w:val="22"/>
          <w:szCs w:val="22"/>
          <w:b w:val="1"/>
          <w:bCs w:val="1"/>
          <w:color w:val="auto"/>
        </w:rPr>
        <w:t>VIA EMAIL AND EDGAR</w:t>
      </w:r>
    </w:p>
    <w:p>
      <w:pPr>
        <w:spacing w:after="0" w:line="334" w:lineRule="exact"/>
        <w:rPr>
          <w:sz w:val="24"/>
          <w:szCs w:val="24"/>
          <w:color w:val="auto"/>
        </w:rPr>
      </w:pPr>
    </w:p>
    <w:p>
      <w:pPr>
        <w:ind w:left="20"/>
        <w:spacing w:after="0"/>
        <w:rPr>
          <w:sz w:val="20"/>
          <w:szCs w:val="20"/>
          <w:color w:val="auto"/>
        </w:rPr>
      </w:pPr>
      <w:r>
        <w:rPr>
          <w:rFonts w:ascii="Arial" w:cs="Arial" w:eastAsia="Arial" w:hAnsi="Arial"/>
          <w:sz w:val="22"/>
          <w:szCs w:val="22"/>
          <w:color w:val="auto"/>
        </w:rPr>
        <w:t>U.S. Securities and Exchange Commission</w:t>
      </w:r>
    </w:p>
    <w:p>
      <w:pPr>
        <w:spacing w:after="0" w:line="58" w:lineRule="exact"/>
        <w:rPr>
          <w:sz w:val="24"/>
          <w:szCs w:val="24"/>
          <w:color w:val="auto"/>
        </w:rPr>
      </w:pPr>
    </w:p>
    <w:p>
      <w:pPr>
        <w:ind w:left="20"/>
        <w:spacing w:after="0"/>
        <w:rPr>
          <w:sz w:val="20"/>
          <w:szCs w:val="20"/>
          <w:color w:val="auto"/>
        </w:rPr>
      </w:pPr>
      <w:r>
        <w:rPr>
          <w:rFonts w:ascii="Arial" w:cs="Arial" w:eastAsia="Arial" w:hAnsi="Arial"/>
          <w:sz w:val="22"/>
          <w:szCs w:val="22"/>
          <w:color w:val="auto"/>
        </w:rPr>
        <w:t>Division of Corporation Finance</w:t>
      </w:r>
    </w:p>
    <w:p>
      <w:pPr>
        <w:spacing w:after="0" w:line="58" w:lineRule="exact"/>
        <w:rPr>
          <w:sz w:val="24"/>
          <w:szCs w:val="24"/>
          <w:color w:val="auto"/>
        </w:rPr>
      </w:pPr>
    </w:p>
    <w:p>
      <w:pPr>
        <w:ind w:left="20"/>
        <w:spacing w:after="0"/>
        <w:rPr>
          <w:sz w:val="20"/>
          <w:szCs w:val="20"/>
          <w:color w:val="auto"/>
        </w:rPr>
      </w:pPr>
      <w:r>
        <w:rPr>
          <w:rFonts w:ascii="Arial" w:cs="Arial" w:eastAsia="Arial" w:hAnsi="Arial"/>
          <w:sz w:val="22"/>
          <w:szCs w:val="22"/>
          <w:color w:val="auto"/>
        </w:rPr>
        <w:t>100 F Street, N.E.</w:t>
      </w:r>
    </w:p>
    <w:p>
      <w:pPr>
        <w:spacing w:after="0" w:line="58" w:lineRule="exact"/>
        <w:rPr>
          <w:sz w:val="24"/>
          <w:szCs w:val="24"/>
          <w:color w:val="auto"/>
        </w:rPr>
      </w:pPr>
    </w:p>
    <w:p>
      <w:pPr>
        <w:ind w:left="20"/>
        <w:spacing w:after="0"/>
        <w:rPr>
          <w:sz w:val="20"/>
          <w:szCs w:val="20"/>
          <w:color w:val="auto"/>
        </w:rPr>
      </w:pPr>
      <w:r>
        <w:rPr>
          <w:rFonts w:ascii="Arial" w:cs="Arial" w:eastAsia="Arial" w:hAnsi="Arial"/>
          <w:sz w:val="22"/>
          <w:szCs w:val="22"/>
          <w:color w:val="auto"/>
        </w:rPr>
        <w:t>Washington, D.C. 20549</w:t>
      </w:r>
    </w:p>
    <w:p>
      <w:pPr>
        <w:spacing w:after="0" w:line="322" w:lineRule="exact"/>
        <w:rPr>
          <w:sz w:val="24"/>
          <w:szCs w:val="24"/>
          <w:color w:val="auto"/>
        </w:rPr>
      </w:pPr>
    </w:p>
    <w:p>
      <w:pPr>
        <w:ind w:left="20"/>
        <w:spacing w:after="0"/>
        <w:tabs>
          <w:tab w:leader="none" w:pos="620" w:val="left"/>
        </w:tabs>
        <w:rPr>
          <w:sz w:val="20"/>
          <w:szCs w:val="20"/>
          <w:color w:val="auto"/>
        </w:rPr>
      </w:pPr>
      <w:r>
        <w:rPr>
          <w:rFonts w:ascii="Arial" w:cs="Arial" w:eastAsia="Arial" w:hAnsi="Arial"/>
          <w:sz w:val="22"/>
          <w:szCs w:val="22"/>
          <w:b w:val="1"/>
          <w:bCs w:val="1"/>
          <w:color w:val="auto"/>
        </w:rPr>
        <w:t>RE:</w:t>
        <w:tab/>
        <w:t>Seer, Inc.</w:t>
      </w:r>
    </w:p>
    <w:p>
      <w:pPr>
        <w:spacing w:after="0" w:line="58" w:lineRule="exact"/>
        <w:rPr>
          <w:sz w:val="24"/>
          <w:szCs w:val="24"/>
          <w:color w:val="auto"/>
        </w:rPr>
      </w:pPr>
    </w:p>
    <w:p>
      <w:pPr>
        <w:ind w:left="640"/>
        <w:spacing w:after="0"/>
        <w:rPr>
          <w:sz w:val="20"/>
          <w:szCs w:val="20"/>
          <w:color w:val="auto"/>
        </w:rPr>
      </w:pPr>
      <w:r>
        <w:rPr>
          <w:rFonts w:ascii="Arial" w:cs="Arial" w:eastAsia="Arial" w:hAnsi="Arial"/>
          <w:sz w:val="22"/>
          <w:szCs w:val="22"/>
          <w:b w:val="1"/>
          <w:bCs w:val="1"/>
          <w:color w:val="auto"/>
        </w:rPr>
        <w:t>Registration Statement on Form S-1</w:t>
      </w:r>
    </w:p>
    <w:p>
      <w:pPr>
        <w:spacing w:after="0" w:line="58" w:lineRule="exact"/>
        <w:rPr>
          <w:sz w:val="24"/>
          <w:szCs w:val="24"/>
          <w:color w:val="auto"/>
        </w:rPr>
      </w:pPr>
    </w:p>
    <w:p>
      <w:pPr>
        <w:ind w:left="640"/>
        <w:spacing w:after="0"/>
        <w:rPr>
          <w:sz w:val="20"/>
          <w:szCs w:val="20"/>
          <w:color w:val="auto"/>
        </w:rPr>
      </w:pPr>
      <w:r>
        <w:rPr>
          <w:rFonts w:ascii="Arial" w:cs="Arial" w:eastAsia="Arial" w:hAnsi="Arial"/>
          <w:sz w:val="22"/>
          <w:szCs w:val="22"/>
          <w:b w:val="1"/>
          <w:bCs w:val="1"/>
          <w:color w:val="auto"/>
        </w:rPr>
        <w:t>File No. 333-250035</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Ladies and Gentlemen:</w:t>
      </w:r>
    </w:p>
    <w:p>
      <w:pPr>
        <w:spacing w:after="0" w:line="226" w:lineRule="exact"/>
        <w:rPr>
          <w:sz w:val="24"/>
          <w:szCs w:val="24"/>
          <w:color w:val="auto"/>
        </w:rPr>
      </w:pPr>
    </w:p>
    <w:p>
      <w:pPr>
        <w:jc w:val="both"/>
        <w:ind w:firstLine="648"/>
        <w:spacing w:after="0" w:line="297" w:lineRule="auto"/>
        <w:rPr>
          <w:sz w:val="20"/>
          <w:szCs w:val="20"/>
          <w:color w:val="auto"/>
        </w:rPr>
      </w:pPr>
      <w:r>
        <w:rPr>
          <w:rFonts w:ascii="Arial" w:cs="Arial" w:eastAsia="Arial" w:hAnsi="Arial"/>
          <w:sz w:val="19"/>
          <w:szCs w:val="19"/>
          <w:color w:val="auto"/>
        </w:rPr>
        <w:t>In accordance with Rule 461 under the Securities Act of 1933, as amended (the “Act”), we, as representatives of the several underwriters, hereby join in the request of Seer, Inc. (the “Company”) for acceleration of the effective date of the above-named Registration Statement so that it becomes effective at 4:00 PM, Eastern Time, on December 3, 2020 or as soon thereafter as practicable, or at such other time as the Company or its outside counsel, Wilson Sonsini Goodrich &amp; Rosati, Professional Corporation, request by telephone that such Registration Statement be declared effective.</w:t>
      </w:r>
    </w:p>
    <w:p>
      <w:pPr>
        <w:spacing w:after="0" w:line="147"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2"/>
          <w:szCs w:val="22"/>
          <w:color w:val="auto"/>
        </w:rPr>
        <w:t>Pursuant to Rule 460 under the Act, we, as representatives of the several underwriters, wish to advise you that approximately 2,400 copies of the Preliminary Prospectus, dated November 30, 2020, and included in the above-named Registration Statement, as amended, were distributed during the period from November 30, 2020 through the date hereof, to prospective underwriters, institutions, dealers and others.</w:t>
      </w:r>
    </w:p>
    <w:p>
      <w:pPr>
        <w:sectPr>
          <w:pgSz w:w="11900" w:h="16838" w:orient="portrait"/>
          <w:cols w:equalWidth="0" w:num="1">
            <w:col w:w="11240"/>
          </w:cols>
          <w:pgMar w:left="320" w:top="1440" w:right="339" w:bottom="1440" w:gutter="0" w:footer="0" w:header="0"/>
        </w:sectPr>
      </w:pPr>
    </w:p>
    <w:bookmarkStart w:id="1" w:name="page2"/>
    <w:bookmarkEnd w:id="1"/>
    <w:p>
      <w:pPr>
        <w:jc w:val="both"/>
        <w:ind w:firstLine="648"/>
        <w:spacing w:after="0" w:line="253" w:lineRule="auto"/>
        <w:rPr>
          <w:sz w:val="20"/>
          <w:szCs w:val="20"/>
          <w:color w:val="auto"/>
        </w:rPr>
      </w:pPr>
      <w:r>
        <w:rPr>
          <w:rFonts w:ascii="Arial" w:cs="Arial" w:eastAsia="Arial" w:hAnsi="Arial"/>
          <w:sz w:val="22"/>
          <w:szCs w:val="22"/>
          <w:color w:val="auto"/>
        </w:rPr>
        <w:t>We, the undersigned, as representatives of the several underwriters, have complied and will comply, and we have been informed by the participating underwriters that they have complied and will comply, with the requirements of Rule 15c2-8 under the Securities Exchange Act of 1934, as amended.</w:t>
      </w:r>
    </w:p>
    <w:p>
      <w:pPr>
        <w:spacing w:after="0" w:line="239"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Very truly yours,</w:t>
      </w:r>
    </w:p>
    <w:p>
      <w:pPr>
        <w:spacing w:after="0" w:line="58"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J.P. MORGAN SECURITIES LLC</w:t>
      </w:r>
    </w:p>
    <w:p>
      <w:pPr>
        <w:spacing w:after="0" w:line="58"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MORGAN STANLEY &amp; CO. LLC</w:t>
      </w:r>
    </w:p>
    <w:p>
      <w:pPr>
        <w:spacing w:after="0" w:line="58"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BOFA SECURITIES, INC.</w:t>
      </w:r>
    </w:p>
    <w:p>
      <w:pPr>
        <w:spacing w:after="0" w:line="200" w:lineRule="exact"/>
        <w:rPr>
          <w:sz w:val="20"/>
          <w:szCs w:val="20"/>
          <w:color w:val="auto"/>
        </w:rPr>
      </w:pPr>
    </w:p>
    <w:p>
      <w:pPr>
        <w:spacing w:after="0" w:line="398"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Acting on behalf of themselves and the several</w:t>
      </w:r>
    </w:p>
    <w:p>
      <w:pPr>
        <w:spacing w:after="0" w:line="21"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underwriters</w:t>
      </w:r>
    </w:p>
    <w:p>
      <w:pPr>
        <w:spacing w:after="0" w:line="310" w:lineRule="exact"/>
        <w:rPr>
          <w:sz w:val="20"/>
          <w:szCs w:val="20"/>
          <w:color w:val="auto"/>
        </w:rPr>
      </w:pPr>
    </w:p>
    <w:p>
      <w:pPr>
        <w:ind w:left="6440"/>
        <w:spacing w:after="0"/>
        <w:tabs>
          <w:tab w:leader="none" w:pos="6920" w:val="left"/>
        </w:tabs>
        <w:rPr>
          <w:sz w:val="20"/>
          <w:szCs w:val="20"/>
          <w:color w:val="auto"/>
        </w:rPr>
      </w:pPr>
      <w:r>
        <w:rPr>
          <w:rFonts w:ascii="Arial" w:cs="Arial" w:eastAsia="Arial" w:hAnsi="Arial"/>
          <w:sz w:val="22"/>
          <w:szCs w:val="22"/>
          <w:color w:val="auto"/>
        </w:rPr>
        <w:t>by:</w:t>
        <w:tab/>
        <w:t>J.P. MORGAN SECURITIES LLC</w:t>
      </w:r>
    </w:p>
    <w:p>
      <w:pPr>
        <w:spacing w:after="0" w:line="200" w:lineRule="exact"/>
        <w:rPr>
          <w:sz w:val="20"/>
          <w:szCs w:val="20"/>
          <w:color w:val="auto"/>
        </w:rPr>
      </w:pPr>
    </w:p>
    <w:p>
      <w:pPr>
        <w:spacing w:after="0" w:line="398" w:lineRule="exact"/>
        <w:rPr>
          <w:sz w:val="20"/>
          <w:szCs w:val="20"/>
          <w:color w:val="auto"/>
        </w:rPr>
      </w:pPr>
    </w:p>
    <w:p>
      <w:pPr>
        <w:ind w:left="6440"/>
        <w:spacing w:after="0"/>
        <w:tabs>
          <w:tab w:leader="none" w:pos="7020" w:val="left"/>
        </w:tabs>
        <w:rPr>
          <w:sz w:val="20"/>
          <w:szCs w:val="20"/>
          <w:color w:val="auto"/>
        </w:rPr>
      </w:pPr>
      <w:r>
        <w:rPr>
          <w:rFonts w:ascii="Arial" w:cs="Arial" w:eastAsia="Arial" w:hAnsi="Arial"/>
          <w:sz w:val="22"/>
          <w:szCs w:val="22"/>
          <w:color w:val="auto"/>
        </w:rPr>
        <w:t>by:</w:t>
        <w:tab/>
        <w:t>/s/ Benjamin Burdett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24130</wp:posOffset>
            </wp:positionV>
            <wp:extent cx="2743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0"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Name: Benjamin Burdett</w:t>
      </w:r>
    </w:p>
    <w:p>
      <w:pPr>
        <w:spacing w:after="0" w:line="58"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398" w:lineRule="exact"/>
        <w:rPr>
          <w:sz w:val="20"/>
          <w:szCs w:val="20"/>
          <w:color w:val="auto"/>
        </w:rPr>
      </w:pPr>
    </w:p>
    <w:p>
      <w:pPr>
        <w:ind w:left="6440"/>
        <w:spacing w:after="0"/>
        <w:tabs>
          <w:tab w:leader="none" w:pos="6920" w:val="left"/>
        </w:tabs>
        <w:rPr>
          <w:sz w:val="20"/>
          <w:szCs w:val="20"/>
          <w:color w:val="auto"/>
        </w:rPr>
      </w:pPr>
      <w:r>
        <w:rPr>
          <w:rFonts w:ascii="Arial" w:cs="Arial" w:eastAsia="Arial" w:hAnsi="Arial"/>
          <w:sz w:val="22"/>
          <w:szCs w:val="22"/>
          <w:color w:val="auto"/>
        </w:rPr>
        <w:t>by:</w:t>
        <w:tab/>
        <w:t>MORGAN STANLEY &amp; CO. LLC</w:t>
      </w:r>
    </w:p>
    <w:p>
      <w:pPr>
        <w:spacing w:after="0" w:line="200" w:lineRule="exact"/>
        <w:rPr>
          <w:sz w:val="20"/>
          <w:szCs w:val="20"/>
          <w:color w:val="auto"/>
        </w:rPr>
      </w:pPr>
    </w:p>
    <w:p>
      <w:pPr>
        <w:spacing w:after="0" w:line="398" w:lineRule="exact"/>
        <w:rPr>
          <w:sz w:val="20"/>
          <w:szCs w:val="20"/>
          <w:color w:val="auto"/>
        </w:rPr>
      </w:pPr>
    </w:p>
    <w:p>
      <w:pPr>
        <w:ind w:left="6440"/>
        <w:spacing w:after="0"/>
        <w:tabs>
          <w:tab w:leader="none" w:pos="7020" w:val="left"/>
        </w:tabs>
        <w:rPr>
          <w:sz w:val="20"/>
          <w:szCs w:val="20"/>
          <w:color w:val="auto"/>
        </w:rPr>
      </w:pPr>
      <w:r>
        <w:rPr>
          <w:rFonts w:ascii="Arial" w:cs="Arial" w:eastAsia="Arial" w:hAnsi="Arial"/>
          <w:sz w:val="22"/>
          <w:szCs w:val="22"/>
          <w:color w:val="auto"/>
        </w:rPr>
        <w:t>by:</w:t>
        <w:tab/>
        <w:t>/s/ Chris Rigoli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24130</wp:posOffset>
            </wp:positionV>
            <wp:extent cx="2743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Name: Chris Rigoli</w:t>
      </w:r>
    </w:p>
    <w:p>
      <w:pPr>
        <w:spacing w:after="0" w:line="58"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398" w:lineRule="exact"/>
        <w:rPr>
          <w:sz w:val="20"/>
          <w:szCs w:val="20"/>
          <w:color w:val="auto"/>
        </w:rPr>
      </w:pPr>
    </w:p>
    <w:p>
      <w:pPr>
        <w:ind w:left="6440"/>
        <w:spacing w:after="0"/>
        <w:tabs>
          <w:tab w:leader="none" w:pos="6920" w:val="left"/>
        </w:tabs>
        <w:rPr>
          <w:sz w:val="20"/>
          <w:szCs w:val="20"/>
          <w:color w:val="auto"/>
        </w:rPr>
      </w:pPr>
      <w:r>
        <w:rPr>
          <w:rFonts w:ascii="Arial" w:cs="Arial" w:eastAsia="Arial" w:hAnsi="Arial"/>
          <w:sz w:val="22"/>
          <w:szCs w:val="22"/>
          <w:color w:val="auto"/>
        </w:rPr>
        <w:t>by:</w:t>
        <w:tab/>
        <w:t>BOFA SECURITIES, INC.</w:t>
      </w:r>
    </w:p>
    <w:p>
      <w:pPr>
        <w:spacing w:after="0" w:line="200" w:lineRule="exact"/>
        <w:rPr>
          <w:sz w:val="20"/>
          <w:szCs w:val="20"/>
          <w:color w:val="auto"/>
        </w:rPr>
      </w:pPr>
    </w:p>
    <w:p>
      <w:pPr>
        <w:spacing w:after="0" w:line="398" w:lineRule="exact"/>
        <w:rPr>
          <w:sz w:val="20"/>
          <w:szCs w:val="20"/>
          <w:color w:val="auto"/>
        </w:rPr>
      </w:pPr>
    </w:p>
    <w:p>
      <w:pPr>
        <w:ind w:left="6440"/>
        <w:spacing w:after="0"/>
        <w:tabs>
          <w:tab w:leader="none" w:pos="7020" w:val="left"/>
        </w:tabs>
        <w:rPr>
          <w:sz w:val="20"/>
          <w:szCs w:val="20"/>
          <w:color w:val="auto"/>
        </w:rPr>
      </w:pPr>
      <w:r>
        <w:rPr>
          <w:rFonts w:ascii="Arial" w:cs="Arial" w:eastAsia="Arial" w:hAnsi="Arial"/>
          <w:sz w:val="22"/>
          <w:szCs w:val="22"/>
          <w:color w:val="auto"/>
        </w:rPr>
        <w:t>by:</w:t>
        <w:tab/>
        <w:t>/s/ Sumit Mukherjee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24130</wp:posOffset>
            </wp:positionV>
            <wp:extent cx="2743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Name: Sumit Mukherjee</w:t>
      </w:r>
    </w:p>
    <w:p>
      <w:pPr>
        <w:spacing w:after="0" w:line="58" w:lineRule="exact"/>
        <w:rPr>
          <w:sz w:val="20"/>
          <w:szCs w:val="20"/>
          <w:color w:val="auto"/>
        </w:rPr>
      </w:pPr>
    </w:p>
    <w:p>
      <w:pPr>
        <w:ind w:left="64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Underwriters’ Acceleration Request]</w:t>
      </w:r>
    </w:p>
    <w:sectPr>
      <w:pgSz w:w="11900" w:h="16838" w:orient="portrait"/>
      <w:cols w:equalWidth="0" w:num="1">
        <w:col w:w="11240"/>
      </w:cols>
      <w:pgMar w:left="32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2021-08-15T20:25:43Z</dcterms:created>
  <dcterms:modified xsi:type="dcterms:W3CDTF">2021-08-15T20:25:43Z</dcterms:modified>
</cp:coreProperties>
</file>