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BRADLEY L. RADOFF</w:t>
      </w:r>
    </w:p>
    <w:p>
      <w:pPr>
        <w:spacing w:after="0" w:line="8"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0000FF"/>
        </w:rPr>
        <w:t>2727 Kirby Drive, Unit 29L,</w:t>
      </w:r>
    </w:p>
    <w:p>
      <w:pPr>
        <w:ind w:left="3900"/>
        <w:spacing w:after="0" w:line="230" w:lineRule="auto"/>
        <w:rPr>
          <w:sz w:val="20"/>
          <w:szCs w:val="20"/>
          <w:color w:val="auto"/>
        </w:rPr>
      </w:pPr>
      <w:r>
        <w:rPr>
          <w:rFonts w:ascii="Times New Roman" w:cs="Times New Roman" w:eastAsia="Times New Roman" w:hAnsi="Times New Roman"/>
          <w:sz w:val="22"/>
          <w:szCs w:val="22"/>
          <w:b w:val="1"/>
          <w:bCs w:val="1"/>
          <w:color w:val="0000FF"/>
        </w:rPr>
        <w:t>Houston, TX, 77098</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713-482-2196</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MICHAEL TOROK</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68 Mazzeo Drive,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Randolph, MA, 02368</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617-680-6709</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RYAN NEBEL</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1161"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Radoff Family Foundation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Radoff Bradley Louis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2" w:name="page3"/>
    <w:bookmarkEnd w:id="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2,110,232.00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2,110,232.00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2,610,232.00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JEC II Associates,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3" w:name="page4"/>
    <w:bookmarkEnd w:id="3"/>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1,167,296.00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1,167,296.00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1,167,296.00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MOS Trust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WYOMING</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215,000.00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215,000.00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MOS PTC,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WYOMING</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215,000.00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215,000.00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Torok Michael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860"/>
          </w:cols>
          <w:pgMar w:left="360" w:top="189" w:right="679"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285,000.00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1,382,296.00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285,000.00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1,382,296.00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1,667,296.00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740"/>
          </w:cols>
          <w:pgMar w:left="360" w:top="189" w:right="6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Class A Common Stock, par value $0.00001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Seer,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3800 BRIDGE PARKWAY, SUITE 102, REDWOOD CITY, CALIFORNIA , 94065.</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Item 4 is hereby amended to add the following: On April 13, 2026, the Reporting Persons submitted a non-binding</w:t>
      </w:r>
    </w:p>
    <w:p>
      <w:pPr>
        <w:sectPr>
          <w:pgSz w:w="11900" w:h="16838" w:orient="portrait"/>
          <w:cols w:equalWidth="0" w:num="1">
            <w:col w:w="10860"/>
          </w:cols>
          <w:pgMar w:left="360" w:top="189" w:right="679" w:bottom="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20"/>
        <w:spacing w:after="0" w:line="233" w:lineRule="auto"/>
        <w:rPr>
          <w:sz w:val="20"/>
          <w:szCs w:val="20"/>
          <w:color w:val="auto"/>
        </w:rPr>
      </w:pPr>
      <w:r>
        <w:rPr>
          <w:rFonts w:ascii="Times New Roman" w:cs="Times New Roman" w:eastAsia="Times New Roman" w:hAnsi="Times New Roman"/>
          <w:sz w:val="22"/>
          <w:szCs w:val="22"/>
          <w:color w:val="auto"/>
        </w:rPr>
        <w:t>proposal to acquire 100% of the equity of the Issuer at a purchase price of $2.25 per Share in cash, representing a 33% premium to the Issuer's most recent closing price, plus a contingent value right representing the right for stockholders to receive 80% of the net proceeds received from any license, sale or other disposition of the Issuer's business and assets, including PrognomiQ (the "Proposal"). The Proposal is only subject to limited confirmatory due diligence and is based on the availability of at least $215 million of net cash and cash equivalents at closing and is not subject to any financing conditions. The Reporting Persons requested a response regarding the Issuer's board of directors' (the "Board") willingness and availability to discuss the Proposal no later than 5:00pm ET on April 22, 2026, at which point the Proposal will expire. Also on April 13, 2026, Mr. Radoff delivered a letter to the Issuer nominating Howard H. Berman, Joshua S. Horowitz and Luis E. Rinaldini (the "Nominees") for election to the Board at the Issuer's 2026 annual meeting of stockholders (the "Annual Meeting"). Also on April 13, 2026, the Reporting Persons issued a press release (the "Press Release"), which included a copy of the Proposal delivered to the Board and announced the nomination of the Nominees for election to the Board at the Annual Meeting. The foregoing descriptions of the Proposal and the Press Release do not purport to be complete and are qualified in their entirety by reference to the full text of the Press Release, which is attached hereto as Exhibit 99.1 and is incorporated herein by reference.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Interest in Securities of the Issuer</w:t>
      </w:r>
    </w:p>
    <w:p>
      <w:pPr>
        <w:spacing w:after="0" w:line="4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Item 5(c) is hereby amended and restated to read as follows: There have been no transactions in the securities of the Issuer by the Reporting Persons since the filing of Amendment No. 1 to the Schedule 13D.</w:t>
      </w:r>
    </w:p>
    <w:p>
      <w:pPr>
        <w:spacing w:after="0"/>
        <w:rPr>
          <w:sz w:val="20"/>
          <w:szCs w:val="20"/>
          <w:color w:val="auto"/>
        </w:rPr>
      </w:pPr>
      <w:r>
        <w:rPr>
          <w:rFonts w:ascii="Times New Roman" w:cs="Times New Roman" w:eastAsia="Times New Roman" w:hAnsi="Times New Roman"/>
          <w:sz w:val="22"/>
          <w:szCs w:val="22"/>
          <w:color w:val="auto"/>
        </w:rPr>
        <w:t>Contracts, Arrangements, Understandings or Relationships With Respect to Securities of the Issuer</w:t>
      </w:r>
    </w:p>
    <w:p>
      <w:pPr>
        <w:spacing w:after="0" w:line="4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Item 6 is hereby amended to add the following: On April 12, 2026, (a) Radoff (as defined in the initial Schedule 13D), (b) JEC (as defined in the initial Schedule 13D) and (c) Dr. Berman and Messrs. Horowitz and Rinaldini (collectively, the "New Parties") entered into an amended and restated group agreement (the "Amended and Restated Group Agreement") with respect to the Issuer pursuant to which, among other things, (i) that certain group agreement, dated February 20, 2026, between Radoff and JEC was superseded in its entirety, (ii) the parties agreed to the joint filing on behalf of each of them of statements on Schedule 13D with respect to the securities of the Issuer to the extent required by applicable law, (iii) the parties agreed to solicit proxies for the election of certain persons nominated for election to the Board at the Annual Meeting (including those nominated by or on behalf of Radoff or JEC), (iv) the parties agreed not to transact in securities of the Issuer without the prior written consent of Radoff and JEC for so long as the Issuer's tax benefit preservation plan, dated as of February 26, 2026 (the "NOL Pill"), remains in effect; provided, that each New Party further agreed not to enter into any transactions in the securities of the Issuer without the prior written consent of Radoff and JEC notwithstanding any potential termination of the NOL Pill and</w:t>
      </w:r>
    </w:p>
    <w:p>
      <w:pPr>
        <w:spacing w:after="0" w:line="6" w:lineRule="exact"/>
        <w:rPr>
          <w:sz w:val="20"/>
          <w:szCs w:val="20"/>
          <w:color w:val="auto"/>
        </w:rPr>
      </w:pPr>
    </w:p>
    <w:p>
      <w:pPr>
        <w:ind w:right="40"/>
        <w:spacing w:after="0" w:line="244" w:lineRule="auto"/>
        <w:tabs>
          <w:tab w:leader="none" w:pos="306"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Radoff and JEC agreed to jointly pay all expenses and costs (including all legal fees) incurred in connection with the group's activities on a pro rata basis based on the number of Shares beneficially owned in the aggregate by such party. The Amended and Restated Group Agreement is attached hereto as Exhibit 99.2 and is incorporated herein by reference. Each of the Nominees has granted Mr. Radoff a power of attorney (each, a "Power of Attorney") to execute certain SEC filings and other documents in connection with the solicitation of proxies at the Annual Meeting. A form of the Power of Attorney is attached hereto as Exhibit 99.3 and is incorporated herein by reference.</w:t>
      </w:r>
    </w:p>
    <w:p>
      <w:pPr>
        <w:spacing w:after="0" w:line="14"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Material to be Filed as Exhibits.</w:t>
      </w:r>
    </w:p>
    <w:p>
      <w:pPr>
        <w:spacing w:after="0" w:line="4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Item 7 is hereby amended to add the following exhibits: 99.1 - Press Release, dated April 13, 2026. 99.2 - Amended and Restated Group Agreement, dated April 12, 2026. 99.3 - Form of Power of Attorney.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sectPr>
      </w:pPr>
    </w:p>
    <w:p>
      <w:pPr>
        <w:spacing w:after="0" w:line="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Radoff Family Foundation</w:t>
      </w:r>
    </w:p>
    <w:p>
      <w:pPr>
        <w:spacing w:after="0" w:line="152" w:lineRule="exact"/>
        <w:rPr>
          <w:sz w:val="20"/>
          <w:szCs w:val="20"/>
          <w:color w:val="auto"/>
        </w:rPr>
      </w:pPr>
    </w:p>
    <w:p>
      <w:pPr>
        <w:ind w:left="368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Bradley L. Radoff</w:t>
      </w:r>
    </w:p>
    <w:p>
      <w:pPr>
        <w:spacing w:after="0" w:line="4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Name/Title: Bradley L. Radoff, Director</w:t>
      </w:r>
    </w:p>
    <w:p>
      <w:pPr>
        <w:spacing w:after="0" w:line="44" w:lineRule="exact"/>
        <w:rPr>
          <w:sz w:val="20"/>
          <w:szCs w:val="20"/>
          <w:color w:val="auto"/>
        </w:rPr>
      </w:pPr>
    </w:p>
    <w:p>
      <w:pPr>
        <w:ind w:left="368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04/13/2026</w:t>
      </w:r>
    </w:p>
    <w:p>
      <w:pPr>
        <w:spacing w:after="0" w:line="15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Radoff Bradley Louis</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Bradley L. Radoff</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Bradley L. Radoff</w:t>
      </w:r>
    </w:p>
    <w:p>
      <w:pPr>
        <w:spacing w:after="0" w:line="44"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04/13/2026</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JEC II Associates, LLC</w:t>
      </w:r>
    </w:p>
    <w:p>
      <w:pPr>
        <w:spacing w:after="0" w:line="152"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Torok</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Name/Title: Michael Torok, Manager</w:t>
      </w:r>
    </w:p>
    <w:p>
      <w:pPr>
        <w:spacing w:after="0" w:line="44"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04/13/2026</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The MOS Trust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Torok</w:t>
      </w:r>
    </w:p>
    <w:p>
      <w:pPr>
        <w:sectPr>
          <w:pgSz w:w="11900" w:h="16838" w:orient="portrait"/>
          <w:cols w:equalWidth="0" w:num="1">
            <w:col w:w="11160"/>
          </w:cols>
          <w:pgMar w:left="360" w:top="111" w:right="379" w:bottom="0" w:gutter="0" w:footer="0" w:header="0"/>
          <w:type w:val="continuous"/>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color w:val="auto"/>
        </w:rPr>
        <w:t>Name/Title: Michael Torok, Manager of MOS PTC, LLC, its</w:t>
      </w:r>
    </w:p>
    <w:p>
      <w:pPr>
        <w:spacing w:after="0" w:line="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Trustee</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04/13/2026</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MOS PTC, LLC</w:t>
      </w:r>
    </w:p>
    <w:p>
      <w:pPr>
        <w:spacing w:after="0" w:line="152"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Torok</w:t>
      </w:r>
    </w:p>
    <w:p>
      <w:pPr>
        <w:spacing w:after="0" w:line="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Name/Title: Michael Torok, Manager</w:t>
      </w:r>
    </w:p>
    <w:p>
      <w:pPr>
        <w:spacing w:after="0" w:line="44"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04/13/2026</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Torok Michael</w:t>
      </w:r>
    </w:p>
    <w:p>
      <w:pPr>
        <w:spacing w:after="0" w:line="152" w:lineRule="exact"/>
        <w:rPr>
          <w:sz w:val="20"/>
          <w:szCs w:val="20"/>
          <w:color w:val="auto"/>
        </w:rPr>
      </w:pPr>
    </w:p>
    <w:p>
      <w:pPr>
        <w:ind w:left="1740"/>
        <w:spacing w:after="0"/>
        <w:tabs>
          <w:tab w:leader="none" w:pos="2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Torok</w:t>
      </w:r>
    </w:p>
    <w:p>
      <w:pPr>
        <w:spacing w:after="0" w:line="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Name/Title: Michael Torok</w:t>
      </w:r>
    </w:p>
    <w:p>
      <w:pPr>
        <w:spacing w:after="0" w:line="44" w:lineRule="exact"/>
        <w:rPr>
          <w:sz w:val="20"/>
          <w:szCs w:val="20"/>
          <w:color w:val="auto"/>
        </w:rPr>
      </w:pPr>
    </w:p>
    <w:p>
      <w:pPr>
        <w:ind w:left="1740"/>
        <w:spacing w:after="0"/>
        <w:tabs>
          <w:tab w:leader="none" w:pos="2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04/13/2026</w:t>
      </w:r>
    </w:p>
    <w:p>
      <w:pPr>
        <w:sectPr>
          <w:pgSz w:w="11900" w:h="16838" w:orient="portrait"/>
          <w:cols w:equalWidth="0" w:num="1">
            <w:col w:w="9840"/>
          </w:cols>
          <w:pgMar w:left="1440" w:top="111" w:right="61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Radoff-JEC Group Submits Non-Binding Proposal to Acquire Seer, Inc.</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Proposal Provides Stockholders $2.25 per Share in Cash, a 33% Premium to the Most Recent Closing Price, as Well as Potential Additional Value from the Sale of Seer’s Assets via a Contingent Value Right</w:t>
      </w:r>
    </w:p>
    <w:p>
      <w:pPr>
        <w:spacing w:after="0" w:line="158" w:lineRule="exact"/>
        <w:rPr>
          <w:sz w:val="20"/>
          <w:szCs w:val="20"/>
          <w:color w:val="auto"/>
        </w:rPr>
      </w:pPr>
    </w:p>
    <w:p>
      <w:pPr>
        <w:jc w:val="center"/>
        <w:ind w:left="340" w:right="220"/>
        <w:spacing w:after="0" w:line="284" w:lineRule="auto"/>
        <w:rPr>
          <w:sz w:val="20"/>
          <w:szCs w:val="20"/>
          <w:color w:val="auto"/>
        </w:rPr>
      </w:pPr>
      <w:r>
        <w:rPr>
          <w:rFonts w:ascii="Times New Roman" w:cs="Times New Roman" w:eastAsia="Times New Roman" w:hAnsi="Times New Roman"/>
          <w:sz w:val="18"/>
          <w:szCs w:val="18"/>
          <w:i w:val="1"/>
          <w:iCs w:val="1"/>
          <w:color w:val="auto"/>
        </w:rPr>
        <w:t>Proposal Provides Seer Stockholders Immediate and Significant Value While Avoiding Further Value Destruction from Continued Abysmal Operating Results</w:t>
      </w:r>
    </w:p>
    <w:p>
      <w:pPr>
        <w:spacing w:after="0" w:line="158" w:lineRule="exact"/>
        <w:rPr>
          <w:sz w:val="20"/>
          <w:szCs w:val="20"/>
          <w:color w:val="auto"/>
        </w:rPr>
      </w:pPr>
    </w:p>
    <w:p>
      <w:pPr>
        <w:jc w:val="center"/>
        <w:ind w:left="340" w:right="260"/>
        <w:spacing w:after="0" w:line="284" w:lineRule="auto"/>
        <w:rPr>
          <w:sz w:val="20"/>
          <w:szCs w:val="20"/>
          <w:color w:val="auto"/>
        </w:rPr>
      </w:pPr>
      <w:r>
        <w:rPr>
          <w:rFonts w:ascii="Times New Roman" w:cs="Times New Roman" w:eastAsia="Times New Roman" w:hAnsi="Times New Roman"/>
          <w:sz w:val="18"/>
          <w:szCs w:val="18"/>
          <w:i w:val="1"/>
          <w:iCs w:val="1"/>
          <w:color w:val="auto"/>
        </w:rPr>
        <w:t>Nominates Three Highly Qualified Director Candidates – Howard H. Berman, Joshua S. Horowitz and Luis E. Rinaldini – for Election at Upcoming Annual Meeting</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HOUSTON, TX – (BUSINESS WIRE)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Bradley L. Radoff and Michael Torok (together with certain of their affiliates, the “Radoff-JEC Group”), who collectively own approximately 7.6% of the outstanding shares of Seer, Inc. (NASDAQ: SEER) (“Seer” or the “Company”), today submitted the following non-binding proposal to acquire the Company for $2.25 per share in cash plus a contingent value right, and also nominated Howard H. Berman, Joshua S. Horowitz and Luis E. Rinaldini for election to the Board of Directors at the Company’s upcoming 2026 annual meeting of stockholders.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8"/>
          <w:szCs w:val="18"/>
          <w:color w:val="auto"/>
        </w:rPr>
        <w:t>April 13,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3800 Bridge Parkway, Suite 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Redwood City, California 94065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Members of the Board,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you are aware, Bradley L. Radoff and Michael Torok (together with certain of their affiliates, the “Radoff-JEC Group” or “we”) are significant stockholders of Seer, Inc. (“Seer” or the “Company”), collectively owning approximately 7.6% of the Company’s outstanding shares.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pleased to submit this non-binding proposal to Seer’s Board of Directors (the “Board”) to acquire 100% of the equity of the Company for $2.25 per share in cash, which represents an immediate 33% premium to the Company’s most recent closing price, plus a contingent value right (“CVR”) representing the right for stockholders to receive 80% of the net proceeds received from any license, sale or other disposition of Seer’s business and assets, including PrognomiQ.</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proposal is subject to limited confirmatory due diligence and is based on the availability of at least $215 million of net cash and cash equivalents at closing. Together with binding acquisition documents, we are prepared to provide the Company with a substantial non-performance fee to give the Board and fellow stockholders assurance that we will complete the acquisition of Seer on the agreed-upon terms and conditions. We are ready to move forward and close expeditiously – our proposal is not subject to any financing conditions.</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Since Seer’s initial public offering in December 2020 and under the continuing leadership of Co-Founder, Board Chair and CEO Omid Farokhzad, M.D., the Company has failed stockholders with a nearly 97% share price decline to $1.69 per share.</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This abysmal share price performance is consistent with the results Dr. Farokhzad has produced at other companies: Bind Therapeutics (filed for Chapter 11 bankruptcy protection), Selecta Biosciences (share price declined 95% between its IPO and its merger with Cartesian Therapeutics), and Senti Biosciences (share price currently down 99% since its IPO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5645"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228" w:lineRule="exact"/>
        <w:rPr>
          <w:sz w:val="20"/>
          <w:szCs w:val="20"/>
          <w:color w:val="auto"/>
        </w:rPr>
      </w:pPr>
    </w:p>
    <w:p>
      <w:pPr>
        <w:ind w:left="120" w:hanging="112"/>
        <w:spacing w:after="0"/>
        <w:tabs>
          <w:tab w:leader="none" w:pos="12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FactSet. Share price decline from December 4, 2020 through April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Under Dr. Farokhzad’s leadership from 2022 to 2025, the Company’s revenue growth has been negligible despite over $160 million of cash (nearly $3.00 per share) invested in the business. On February 26, 2026, the Company issued guidance for 2026 and the midpoint of the revenue range implies only 3%</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growth or roughly $400,000 in incremental revenue compared to the previous year.</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The 2026 cash burn to achieve that incremental $400,000 in revenue is expected to exceed $40 million.</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Between Seer’s consistent lack of revenue growth, astronomical operating losses, forward guidance for more of the same dismal results, and the increasing competitive and other pressures in its industry, we do not believe Seer will succeed as a public company, particularly under the stewardship of the current leadership team. The Board’s behavior supports our view that Seer will not succeed absent new leadership – no Board member has purchased Seer shares despite the shares trading at a massive discount to the Company’s cash balance for over two years now.</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Notably, on March 12, 2026, we met with two members of the Board and in that meeting they requested our suggestions for specific actions the Board should take to reverse the multiyear decline in the share price and address substantial issues facing Seer. Despite promising immediate feedback and engagement to improve the Company, the Board has not responded to our suggestions, which included a large tender offer to retire stock, an immediate and significant operating cost reduction, separation of the Chair and CEO roles in accordance with best corporate governance practices, and revoking the equity grants made to Dr. Farokhzad and CFO David Horn at share prices below net cash per share.</w:t>
      </w:r>
    </w:p>
    <w:p>
      <w:pPr>
        <w:spacing w:after="0" w:line="18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Board’s eagerness to hastily enact a seemingly unlawful poison pill,</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which we believe was aimed at restricting our ownership and limiting our influence, coupled with the Board’s unwillingness to engage in constructive dialogue reinforces our view that the long-standing issues at Seer result from passive and conflicted directors enabling Dr. Farokhzad’s mismanagement of the Company and destruction of stockholder value. Given that Seer is (at least) the fourth company where Dr. Farokhzad’s leadership has resulted in the complete annihilation of stockholder value, we have also nominated three highly qualified and independent directors – Howard H. Berman, Joshua S. Horowitz and Luis E. Rinaldini – for election to the Board at the upcoming annual meeting. In the absence of a sale of the Company, we believe immediate Board and management change is necessary to stem the tide of losses and ensure that the Company is run with the best interests of stockholders, the true owners of the Company, in mind.</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be clear, we believe our proposed transaction to acquire Seer is in the best interest of all stockholders. Our proposal would provide stockholders with immediate cash liquidity at a significant premium to the current share price. Furthermore, we believe the proposed CVR structure has the potential to provide stockholders with considerable additional value as we diligently and expeditiously seek to monetize Seer’s assets. We are certain that we have the expertise and resources to successfully monetize the Company’s assets for the benefit of all stockholders.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Baker Botts L.L.P. and Olshan Frome Wolosky LLP are acting as our legal advisors and we are prepared to complete due diligence and negotiate a definitive merger agreement by 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5645" cy="336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645" cy="33655"/>
                    </a:xfrm>
                    <a:prstGeom prst="rect">
                      <a:avLst/>
                    </a:prstGeom>
                    <a:noFill/>
                  </pic:spPr>
                </pic:pic>
              </a:graphicData>
            </a:graphic>
          </wp:anchor>
        </w:drawing>
      </w:r>
    </w:p>
    <w:p>
      <w:pPr>
        <w:spacing w:after="0" w:line="193" w:lineRule="exact"/>
        <w:rPr>
          <w:sz w:val="20"/>
          <w:szCs w:val="20"/>
          <w:color w:val="auto"/>
        </w:rPr>
      </w:pPr>
    </w:p>
    <w:p>
      <w:pPr>
        <w:ind w:left="120" w:hanging="112"/>
        <w:spacing w:after="0"/>
        <w:tabs>
          <w:tab w:leader="none" w:pos="1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Company’s Q4 and full-year 2025 earnings release dated February 26, 2026.</w:t>
      </w:r>
    </w:p>
    <w:p>
      <w:pPr>
        <w:spacing w:after="0" w:line="22" w:lineRule="exact"/>
        <w:rPr>
          <w:sz w:val="20"/>
          <w:szCs w:val="20"/>
          <w:color w:val="auto"/>
        </w:rPr>
      </w:pPr>
    </w:p>
    <w:p>
      <w:pPr>
        <w:ind w:right="140" w:firstLine="8"/>
        <w:spacing w:after="0" w:line="195" w:lineRule="auto"/>
        <w:tabs>
          <w:tab w:leader="none" w:pos="12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On March 13, 2026, the Company amended its Tax Benefit Preservation Plan, dated as of February 26, 2026 (the “Poison Pill”), to moot a stockholder’s challenge to the Poison Pill in the Delaware Court of Chancery.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that the Board will promptly meet with us and seriously consider our proposal. We look forward to receiving a response regarding the Board’s willingness and availability to discuss our proposal no later than 5:00pm ET on April 22, 2026, at which point our offer will expire.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Bradley L. Radoff and Michael Torok</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INFORMATION CONCERNING THE PARTICIPANTS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Bradley L. Radoff and Michael Torok, together with the other participants named herein (collectively, the “Radoff-JEC Group”), intends to file a preliminary proxy statement and accompanying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with the Securities and Exchange Commission (“SEC”) to be used to solicit votes for the election of its slate of highly qualified director nominees at the 2026 annual meeting of stockholders of Seer, Inc., a Delaware corporation (the “Company”).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RADOFF-JEC GROUP STRONGLY ADVISES ALL STOCKHOLDERS OF THE COMPANY TO READ THE PROXY STATEMENT AND OTHER PROXY MATERIALS, INCLUDING A PROXY CARD, AS THEY BECOME AVAILABLE BECAUSE THEY WILL CONTAIN IMPORTANT INFORMATION. SUCH PROXY MATERIALS WILL BE AVAILABLE AT NO CHARGE ON THE SEC’S WEB SITE AT HTTP://WWW.SEC.GOV. IN ADDITION, THE PARTICIPANTS IN THIS PROXY SOLICITATION WILL PROVIDE COPIES OF THE PROXY STATEMENT WITHOUT CHARGE, WHEN AVAILABLE, UPON REQUEST. REQUESTS FOR COPIES SHOULD BE DIRECTED TO THE PARTICIPANTS’ PROXY SOLICITOR.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participants in the anticipated proxy solicitation are expected to be The Radoff Family Foundation (“Radoff Foundation”), Bradley L. Radoff, JEC II Associates, LLC (“JEC II”), The MOS Trust (“MOS Trust”), MOS PTC, LLC (“MOS PTC”), Michael Torok, Howard H. Berman, Joshua S. Horowitz and Luis E. Rinaldini.</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the date hereof, Radoff Foundation directly beneficially owns 500,000 shares of Class A Common Stock, par value $0.00001 per share, of the Company (“Common Stock”). As of the date hereof, Mr. Radoff directly beneficially owns 2,110,232 shares of Common Stock. Mr. Radoff, as a director of Radoff Foundation, may be deemed to beneficially own the 500,000 shares of Common Stock directly beneficially owned by Radoff Foundation, which, together with the 2,110,232 shares of Common Stock he directly beneficially owns, constitutes an aggregate of 2,610,232 shares of Common Stock beneficially owned by Mr. Radoff. As of the date hereof, JEC II directly beneficially owns 1,167,296 shares of Common Stock. As of the date hereof, MOS Trust directly beneficially owns 215,000 shares of Common Stock. MOS PTC, as the trustee of MOS Trust, may be deemed to beneficially own the 215,000 shares of Common Stock directly beneficially owned by MOS Trust. As of the date hereof, Mr. Torok directly beneficially owns 285,000 shares of Common Stock. Mr. Torok, as the Manager of JEC II and a Manager of MOS PTC, may be deemed to beneficially own the 1,382,296 shares of Common Stock directly beneficially owned in the aggregate by JEC II and MOS Trust, which, together with the 285,000 shares of Common Stock he directly beneficially owns, constitutes an aggregate of 1,667,296 shares of Common Stock beneficially owned by Mr. Torok. As of the date hereof, each of Dr. Berman and Messrs. Horowitz and Rinaldini does not beneficially own any shares of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 Lempel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greg@fondrenlp.com</w:t>
      </w:r>
    </w:p>
    <w:p>
      <w:pPr>
        <w:sectPr>
          <w:pgSz w:w="11900" w:h="16838" w:orient="portrait"/>
          <w:cols w:equalWidth="0" w:num="1">
            <w:col w:w="11240"/>
          </w:cols>
          <w:pgMar w:left="320" w:top="580"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color w:val="auto"/>
        </w:rPr>
        <w:t>Exhibit 99.2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GROUP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certain of the undersigned are stockholders, direct or beneficial, of Seer,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certain of the undersigned are parties to that certain Group Agreement, dated February 20, 2026 (the “</w:t>
      </w:r>
      <w:r>
        <w:rPr>
          <w:rFonts w:ascii="Times New Roman" w:cs="Times New Roman" w:eastAsia="Times New Roman" w:hAnsi="Times New Roman"/>
          <w:sz w:val="18"/>
          <w:szCs w:val="18"/>
          <w:u w:val="single" w:color="auto"/>
          <w:color w:val="auto"/>
        </w:rPr>
        <w:t>Original Group Agreement</w:t>
      </w:r>
      <w:r>
        <w:rPr>
          <w:rFonts w:ascii="Times New Roman" w:cs="Times New Roman" w:eastAsia="Times New Roman" w:hAnsi="Times New Roman"/>
          <w:sz w:val="18"/>
          <w:szCs w:val="18"/>
          <w:color w:val="auto"/>
        </w:rPr>
        <w:t>”), for the purpose of, among other things, coordinating their activities with respect to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(i) The Radoff Family Foundation and Bradley L. Radoff (collectively, “</w:t>
      </w:r>
      <w:r>
        <w:rPr>
          <w:rFonts w:ascii="Times New Roman" w:cs="Times New Roman" w:eastAsia="Times New Roman" w:hAnsi="Times New Roman"/>
          <w:sz w:val="18"/>
          <w:szCs w:val="18"/>
          <w:u w:val="single" w:color="auto"/>
          <w:color w:val="auto"/>
        </w:rPr>
        <w:t>Radoff</w:t>
      </w:r>
      <w:r>
        <w:rPr>
          <w:rFonts w:ascii="Times New Roman" w:cs="Times New Roman" w:eastAsia="Times New Roman" w:hAnsi="Times New Roman"/>
          <w:sz w:val="18"/>
          <w:szCs w:val="18"/>
          <w:color w:val="auto"/>
        </w:rPr>
        <w:t>”), (ii) JEC II Associates, LLC, The MOS Trust, MOS PTC, LLC and Michael Torok (collectively, “</w:t>
      </w:r>
      <w:r>
        <w:rPr>
          <w:rFonts w:ascii="Times New Roman" w:cs="Times New Roman" w:eastAsia="Times New Roman" w:hAnsi="Times New Roman"/>
          <w:sz w:val="18"/>
          <w:szCs w:val="18"/>
          <w:u w:val="single" w:color="auto"/>
          <w:color w:val="auto"/>
        </w:rPr>
        <w:t>JEC</w:t>
      </w:r>
      <w:r>
        <w:rPr>
          <w:rFonts w:ascii="Times New Roman" w:cs="Times New Roman" w:eastAsia="Times New Roman" w:hAnsi="Times New Roman"/>
          <w:sz w:val="18"/>
          <w:szCs w:val="18"/>
          <w:color w:val="auto"/>
        </w:rPr>
        <w:t>”) and (iii) Howard Berman, Joshua S. Horowitz and Luis E. Rinaldini (each a “</w:t>
      </w:r>
      <w:r>
        <w:rPr>
          <w:rFonts w:ascii="Times New Roman" w:cs="Times New Roman" w:eastAsia="Times New Roman" w:hAnsi="Times New Roman"/>
          <w:sz w:val="18"/>
          <w:szCs w:val="18"/>
          <w:u w:val="single" w:color="auto"/>
          <w:color w:val="auto"/>
        </w:rPr>
        <w:t>New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New Parties</w:t>
      </w:r>
      <w:r>
        <w:rPr>
          <w:rFonts w:ascii="Times New Roman" w:cs="Times New Roman" w:eastAsia="Times New Roman" w:hAnsi="Times New Roman"/>
          <w:sz w:val="18"/>
          <w:szCs w:val="18"/>
          <w:color w:val="auto"/>
        </w:rPr>
        <w:t>” and together with Radoff and JEC,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wish to enter into this Amended and Restated Group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to supersede and amend and restate the Original Group Agreement in its entirety; and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the Parties desire to form a group for the purpose of (i) seeking representation on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at the 2026 annual meeting of stockholders of the Company (including any other meeting of stockholders held in lieu thereof, and any adjournments, postponements, reschedulings or continuations thereof,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(ii) soliciting proxies for the election of certain persons nominated for election to the Board at the Annual Meeting (including those nominated by or on behalf of Radoff or JEC), (iii) taking all other action necessary to achieve the foregoing and (iv) taking any other actions the Group determines to undertake in connection with their respective investment in the Company (collectively, the “</w:t>
      </w:r>
      <w:r>
        <w:rPr>
          <w:rFonts w:ascii="Times New Roman" w:cs="Times New Roman" w:eastAsia="Times New Roman" w:hAnsi="Times New Roman"/>
          <w:sz w:val="18"/>
          <w:szCs w:val="18"/>
          <w:u w:val="single" w:color="auto"/>
          <w:color w:val="auto"/>
        </w:rPr>
        <w:t>Purposes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NOW, THEREFORE, in consideration of the foregoing premises and the mutual covenants and agreements contained herein, and for other good and valuable consideration, the receipt and sufficiency of which are hereby acknowledged, the Parties, intending to be legally bound hereby, agree, on this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April 2026, as follows:</w:t>
      </w:r>
    </w:p>
    <w:p>
      <w:pPr>
        <w:spacing w:after="0" w:line="45"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Group Agreement is hereby superseded in its entirety and shall be of no further force or effect.</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2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13d-1(k)(1)(iii)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each of the undersigned agrees to the joint filing on behalf of each of them of statements on Schedule 13D, and any amendments thereto, with respect to the securities of the Company to the extent required by applicable law. Each member of the Group shall be responsible for the accuracy and completeness of his or its own disclosure therein and shall not be responsible for the accuracy and completeness of the information concerning the other members of the Group, unless such member knows or has reason to know that such information is inaccurate.</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12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this Agreement is in effect, each New Party agrees to provide Radoff and JEC advance written notice prior to effecting any purchase, sale, acquisition or disposition of any securities of the Company which such New Party has, or would have, direct or indirect beneficial ownership so that Radoff and JEC have an opportunity to review the potential implications of any such transaction in the securities of the Company and pre-clear any such potential transaction in the securities of the Company by any of the New Parties;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for so long as the Company’s tax benefit preservation plan, dated as of February 26, 2026 (the “</w:t>
      </w:r>
      <w:r>
        <w:rPr>
          <w:rFonts w:ascii="Times New Roman" w:cs="Times New Roman" w:eastAsia="Times New Roman" w:hAnsi="Times New Roman"/>
          <w:sz w:val="18"/>
          <w:szCs w:val="18"/>
          <w:u w:val="single" w:color="auto"/>
          <w:color w:val="auto"/>
        </w:rPr>
        <w:t>NOL Pill</w:t>
      </w:r>
      <w:r>
        <w:rPr>
          <w:rFonts w:ascii="Times New Roman" w:cs="Times New Roman" w:eastAsia="Times New Roman" w:hAnsi="Times New Roman"/>
          <w:sz w:val="18"/>
          <w:szCs w:val="18"/>
          <w:color w:val="auto"/>
        </w:rPr>
        <w:t xml:space="preserve">”), remains in effect, no member of the Group shall transact in securities of the Company without the prior written consent of Radoff and JEC;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further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notwithstanding any potential termination of the NOL Pill, each New Party agrees that such New Party shall not undertake or effect any purchase, sale, acquisition or disposition of any securities of the Company without the prior written consent of Radoff and JEC. For purposes of this Agreement, the term “beneficial ownership” shall have the meaning of such term set forth in Rule 13d-3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both"/>
        <w:ind w:firstLine="656"/>
        <w:spacing w:after="0" w:line="266" w:lineRule="auto"/>
        <w:tabs>
          <w:tab w:leader="none" w:pos="12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this Agreement is in effect, each of the undersigned shall provide written notice to Olshan Frome Wolosky LLP (“</w:t>
      </w:r>
      <w:r>
        <w:rPr>
          <w:rFonts w:ascii="Times New Roman" w:cs="Times New Roman" w:eastAsia="Times New Roman" w:hAnsi="Times New Roman"/>
          <w:sz w:val="18"/>
          <w:szCs w:val="18"/>
          <w:u w:val="single" w:color="auto"/>
          <w:color w:val="auto"/>
        </w:rPr>
        <w:t>Olshan</w:t>
      </w:r>
      <w:r>
        <w:rPr>
          <w:rFonts w:ascii="Times New Roman" w:cs="Times New Roman" w:eastAsia="Times New Roman" w:hAnsi="Times New Roman"/>
          <w:sz w:val="18"/>
          <w:szCs w:val="18"/>
          <w:color w:val="auto"/>
        </w:rPr>
        <w:t>”), Radoff and JEC of any changes to his or its ownership of securities of the Company by 4:15 PM Eastern Time on the date of any such change in ownership of securities of the Company.</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undersigned agrees to form the Group for the Purposes as set forth above.</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2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Radoff and JEC hereby agree to jointly pay all expenses and costs (including all legal fees) incurred in connection with the Group’s activities (the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on a pro rata basis based on the number of shares of the Company beneficially owned in the aggregate by such Party. The pro rata portion of Expenses shall be adjusted each month based on such Party’s respective ownership percentage as of the last day of the preceding month. Any reimbursement from the Company regarding the Expenses paid pursuant to this Section 6 shall be split by the Parties in proportion to the Expenses paid pursuant to this Section 6.</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that any filing with the SEC, press release or other communication proposed to be made or issued by the Group or any member of the Group in connection with the Group’s activities shall first be approved by a representative of Radoff and JEC. Radoff and JEC agree to work in good faith to resolve any disagreement that may arise between or among them concerning decisions to be made, actions to be taken or statements to be made in connection with the Group’s activities.</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2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of the Parties shall be limited to carrying on the business of the Group in accordance with the terms of this Agreement. Such relationship shall be construed and deemed to be for the sole and limited purpose of carrying on such business as described herein. Nothing herein shall be construed to authorize any Party to act as an agent for any other Party, or to create a joint venture or partnership, or to constitute an indemnification. Each Party agrees to use his or its reasonable efforts to avoid taking any action that may cause any other person or entity to be deemed to be a member of the Group without the prior consent of a representative of each of Radoff and JEC. Except as provided in Section 3 and Section 4, nothing herein shall restrict any Party’s right to purchase or sell securities of the Company, as he or it deems appropriate, in his or its sole discretion, provided that all such purchases and sales are made in compliance with all applicable securities laws and the provisions of this Agreement.</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two or more counterparts, which together shall constitute a single agreement. Any signature to this Agreement transmitted by facsimile transmission, by electronic mail in “portable document format” (“.pdf”) form or by any other electronic means intended to preserve the original graphic and pictorial appearance of a document shall have the same effect as physical delivery of the paper document bearing the original signature.</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governed by and will be construed in accordance with the laws of the State of New York. In the event of any dispute arising out of the provisions of this Agreement or their investment in the Company, the Parties consent and submit to the exclusive jurisdiction of the United States District Court for the Southern District of New York located in the Borough of Manhattan or the courts of the State of New York located in the County of New York.</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terminate on the earliest to occur of (i) the certification of the results of the Annual Meeting or (ii) the mutual written agreement of Radoff and JEC. Notwithstanding the foregoing, Section 6 (solely with respect to Expenses incurred prior to the termination of this Agreement) and Section 10 shall survive any termination of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ind w:left="-20" w:right="20" w:firstLine="656"/>
        <w:spacing w:after="0" w:line="282" w:lineRule="auto"/>
        <w:tabs>
          <w:tab w:leader="none" w:pos="127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hereby waives the application of any law, regulation, holding, or rule of construction providing that ambiguities in an agreement or other document will be construed against the party drafting such agreement or document.</w:t>
      </w:r>
    </w:p>
    <w:p>
      <w:pPr>
        <w:spacing w:after="0" w:line="161" w:lineRule="exact"/>
        <w:rPr>
          <w:rFonts w:ascii="Times New Roman" w:cs="Times New Roman" w:eastAsia="Times New Roman" w:hAnsi="Times New Roman"/>
          <w:sz w:val="18"/>
          <w:szCs w:val="18"/>
          <w:color w:val="auto"/>
        </w:rPr>
      </w:pPr>
    </w:p>
    <w:p>
      <w:pPr>
        <w:ind w:left="1280" w:hanging="644"/>
        <w:spacing w:after="0"/>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provisions of this Agreement may not be modified, waived or amended without the written consent of each of the Parties.</w:t>
      </w:r>
    </w:p>
    <w:p>
      <w:pPr>
        <w:spacing w:after="0" w:line="225" w:lineRule="exact"/>
        <w:rPr>
          <w:rFonts w:ascii="Times New Roman" w:cs="Times New Roman" w:eastAsia="Times New Roman" w:hAnsi="Times New Roman"/>
          <w:sz w:val="18"/>
          <w:szCs w:val="18"/>
          <w:color w:val="auto"/>
        </w:rPr>
      </w:pPr>
    </w:p>
    <w:p>
      <w:pPr>
        <w:ind w:left="1280" w:hanging="644"/>
        <w:spacing w:after="0"/>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that Olshan shall act as counsel for both the Group and Radoff relating to their investment in the Company.</w:t>
      </w:r>
    </w:p>
    <w:p>
      <w:pPr>
        <w:spacing w:after="0" w:line="225" w:lineRule="exact"/>
        <w:rPr>
          <w:rFonts w:ascii="Times New Roman" w:cs="Times New Roman" w:eastAsia="Times New Roman" w:hAnsi="Times New Roman"/>
          <w:sz w:val="18"/>
          <w:szCs w:val="18"/>
          <w:color w:val="auto"/>
        </w:rPr>
      </w:pPr>
    </w:p>
    <w:p>
      <w:pPr>
        <w:ind w:left="-20" w:firstLine="656"/>
        <w:spacing w:after="0" w:line="282" w:lineRule="auto"/>
        <w:tabs>
          <w:tab w:leader="none" w:pos="127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hereby agrees that this Agreement shall be filed as an exhibit to any Schedule 13D required to be filed under applicable law pursuant to Rule 13d-1(k)(1)(iii) under the Exchange Act.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executed as of the day and year first above written.</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The Radoff Family Foundation</w:t>
      </w:r>
    </w:p>
    <w:p>
      <w:pPr>
        <w:spacing w:after="0" w:line="225" w:lineRule="exact"/>
        <w:rPr>
          <w:sz w:val="20"/>
          <w:szCs w:val="20"/>
          <w:color w:val="auto"/>
        </w:rPr>
      </w:pPr>
    </w:p>
    <w:tbl>
      <w:tblPr>
        <w:tblLayout w:type="fixed"/>
        <w:tblInd w:w="508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Bradley L. Radoff</w:t>
            </w:r>
          </w:p>
        </w:tc>
      </w:tr>
      <w:tr>
        <w:trPr>
          <w:trHeight w:val="191"/>
        </w:trPr>
        <w:tc>
          <w:tcPr>
            <w:tcW w:w="660" w:type="dxa"/>
            <w:vAlign w:val="bottom"/>
          </w:tcPr>
          <w:p>
            <w:pPr>
              <w:spacing w:after="0"/>
              <w:rPr>
                <w:sz w:val="16"/>
                <w:szCs w:val="16"/>
                <w:color w:val="auto"/>
              </w:rPr>
            </w:pPr>
          </w:p>
        </w:tc>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Bradley L. Radoff</w:t>
            </w:r>
          </w:p>
        </w:tc>
      </w:tr>
      <w:tr>
        <w:trPr>
          <w:trHeight w:val="234"/>
        </w:trPr>
        <w:tc>
          <w:tcPr>
            <w:tcW w:w="66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1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Bradley L. Radoff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17145</wp:posOffset>
            </wp:positionV>
            <wp:extent cx="34461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Bradley L. Radoff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80"/>
          </w:cols>
          <w:pgMar w:left="980" w:top="580" w:right="439" w:bottom="1440" w:gutter="0" w:footer="0" w:header="0"/>
        </w:sectPr>
      </w:pPr>
    </w:p>
    <w:bookmarkStart w:id="15" w:name="page16"/>
    <w:bookmarkEnd w:id="15"/>
    <w:p>
      <w:pPr>
        <w:ind w:left="4620"/>
        <w:spacing w:after="0"/>
        <w:rPr>
          <w:sz w:val="20"/>
          <w:szCs w:val="20"/>
          <w:color w:val="auto"/>
        </w:rPr>
      </w:pPr>
      <w:r>
        <w:rPr>
          <w:rFonts w:ascii="Times New Roman" w:cs="Times New Roman" w:eastAsia="Times New Roman" w:hAnsi="Times New Roman"/>
          <w:sz w:val="18"/>
          <w:szCs w:val="18"/>
          <w:color w:val="auto"/>
        </w:rPr>
        <w:t>JEC II Associates, LLC</w:t>
      </w:r>
    </w:p>
    <w:p>
      <w:pPr>
        <w:spacing w:after="0" w:line="225" w:lineRule="exact"/>
        <w:rPr>
          <w:sz w:val="20"/>
          <w:szCs w:val="20"/>
          <w:color w:val="auto"/>
        </w:rPr>
      </w:pPr>
    </w:p>
    <w:tbl>
      <w:tblPr>
        <w:tblLayout w:type="fixed"/>
        <w:tblInd w:w="46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Pr>
          <w:p>
            <w:pPr>
              <w:spacing w:after="0"/>
              <w:rPr>
                <w:sz w:val="20"/>
                <w:szCs w:val="20"/>
                <w:color w:val="auto"/>
              </w:rPr>
            </w:pPr>
          </w:p>
        </w:tc>
        <w:tc>
          <w:tcPr>
            <w:tcW w:w="4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Torok</w:t>
            </w:r>
          </w:p>
        </w:tc>
      </w:tr>
      <w:tr>
        <w:trPr>
          <w:trHeight w:val="191"/>
        </w:trPr>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ind w:left="240"/>
              <w:spacing w:after="0" w:line="191" w:lineRule="exact"/>
              <w:rPr>
                <w:sz w:val="20"/>
                <w:szCs w:val="20"/>
                <w:color w:val="auto"/>
              </w:rPr>
            </w:pPr>
            <w:r>
              <w:rPr>
                <w:rFonts w:ascii="Times New Roman" w:cs="Times New Roman" w:eastAsia="Times New Roman" w:hAnsi="Times New Roman"/>
                <w:sz w:val="18"/>
                <w:szCs w:val="18"/>
                <w:color w:val="auto"/>
              </w:rPr>
              <w:t>Michael Torok</w:t>
            </w:r>
          </w:p>
        </w:tc>
      </w:tr>
      <w:tr>
        <w:trPr>
          <w:trHeight w:val="234"/>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Manager</w:t>
            </w:r>
          </w:p>
        </w:tc>
      </w:tr>
      <w:tr>
        <w:trPr>
          <w:trHeight w:val="648"/>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MOS Trust</w:t>
            </w:r>
          </w:p>
        </w:tc>
        <w:tc>
          <w:tcPr>
            <w:tcW w:w="3960" w:type="dxa"/>
            <w:vAlign w:val="bottom"/>
          </w:tcPr>
          <w:p>
            <w:pPr>
              <w:spacing w:after="0"/>
              <w:rPr>
                <w:sz w:val="24"/>
                <w:szCs w:val="24"/>
                <w:color w:val="auto"/>
              </w:rPr>
            </w:pPr>
          </w:p>
        </w:tc>
      </w:tr>
      <w:tr>
        <w:trPr>
          <w:trHeight w:val="41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MOS PTC, LLC</w:t>
            </w:r>
          </w:p>
        </w:tc>
      </w:tr>
      <w:tr>
        <w:trPr>
          <w:trHeight w:val="234"/>
        </w:trPr>
        <w:tc>
          <w:tcPr>
            <w:tcW w:w="660" w:type="dxa"/>
            <w:vAlign w:val="bottom"/>
          </w:tcPr>
          <w:p>
            <w:pPr>
              <w:spacing w:after="0"/>
              <w:rPr>
                <w:sz w:val="20"/>
                <w:szCs w:val="20"/>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w:t>
            </w:r>
          </w:p>
        </w:tc>
        <w:tc>
          <w:tcPr>
            <w:tcW w:w="3960" w:type="dxa"/>
            <w:vAlign w:val="bottom"/>
          </w:tcPr>
          <w:p>
            <w:pPr>
              <w:spacing w:after="0"/>
              <w:rPr>
                <w:sz w:val="20"/>
                <w:szCs w:val="20"/>
                <w:color w:val="auto"/>
              </w:rPr>
            </w:pP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Michael Torok</w:t>
            </w:r>
          </w:p>
        </w:tc>
      </w:tr>
      <w:tr>
        <w:trPr>
          <w:trHeight w:val="191"/>
        </w:trPr>
        <w:tc>
          <w:tcPr>
            <w:tcW w:w="660" w:type="dxa"/>
            <w:vAlign w:val="bottom"/>
          </w:tcPr>
          <w:p>
            <w:pPr>
              <w:spacing w:after="0"/>
              <w:rPr>
                <w:sz w:val="16"/>
                <w:szCs w:val="16"/>
                <w:color w:val="auto"/>
              </w:rPr>
            </w:pPr>
          </w:p>
        </w:tc>
        <w:tc>
          <w:tcPr>
            <w:tcW w:w="7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Michael Torok</w:t>
            </w:r>
          </w:p>
        </w:tc>
      </w:tr>
      <w:tr>
        <w:trPr>
          <w:trHeight w:val="234"/>
        </w:trPr>
        <w:tc>
          <w:tcPr>
            <w:tcW w:w="660" w:type="dxa"/>
            <w:vAlign w:val="bottom"/>
          </w:tcPr>
          <w:p>
            <w:pPr>
              <w:spacing w:after="0"/>
              <w:rPr>
                <w:sz w:val="20"/>
                <w:szCs w:val="20"/>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Manager</w:t>
            </w:r>
          </w:p>
        </w:tc>
      </w:tr>
      <w:tr>
        <w:trPr>
          <w:trHeight w:val="648"/>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MOS PTC, LLC</w:t>
            </w:r>
          </w:p>
        </w:tc>
        <w:tc>
          <w:tcPr>
            <w:tcW w:w="3960" w:type="dxa"/>
            <w:vAlign w:val="bottom"/>
          </w:tcPr>
          <w:p>
            <w:pPr>
              <w:spacing w:after="0"/>
              <w:rPr>
                <w:sz w:val="24"/>
                <w:szCs w:val="24"/>
                <w:color w:val="auto"/>
              </w:rPr>
            </w:pP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Pr>
          <w:p>
            <w:pPr>
              <w:spacing w:after="0"/>
              <w:rPr>
                <w:sz w:val="24"/>
                <w:szCs w:val="24"/>
                <w:color w:val="auto"/>
              </w:rPr>
            </w:pPr>
          </w:p>
        </w:tc>
        <w:tc>
          <w:tcPr>
            <w:tcW w:w="4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Torok</w:t>
            </w:r>
          </w:p>
        </w:tc>
      </w:tr>
      <w:tr>
        <w:trPr>
          <w:trHeight w:val="191"/>
        </w:trPr>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ind w:left="240"/>
              <w:spacing w:after="0" w:line="191" w:lineRule="exact"/>
              <w:rPr>
                <w:sz w:val="20"/>
                <w:szCs w:val="20"/>
                <w:color w:val="auto"/>
              </w:rPr>
            </w:pPr>
            <w:r>
              <w:rPr>
                <w:rFonts w:ascii="Times New Roman" w:cs="Times New Roman" w:eastAsia="Times New Roman" w:hAnsi="Times New Roman"/>
                <w:sz w:val="18"/>
                <w:szCs w:val="18"/>
                <w:color w:val="auto"/>
              </w:rPr>
              <w:t>Michael Torok</w:t>
            </w:r>
          </w:p>
        </w:tc>
      </w:tr>
      <w:tr>
        <w:trPr>
          <w:trHeight w:val="234"/>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200" w:lineRule="exact"/>
        <w:rPr>
          <w:sz w:val="20"/>
          <w:szCs w:val="20"/>
          <w:color w:val="auto"/>
        </w:rPr>
      </w:pPr>
    </w:p>
    <w:p>
      <w:pPr>
        <w:spacing w:after="0" w:line="21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/s/ Michael Torok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17145</wp:posOffset>
            </wp:positionV>
            <wp:extent cx="34290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Michael Torok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374650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20"/>
          </w:cols>
          <w:pgMar w:left="1440" w:top="580" w:right="439" w:bottom="1440" w:gutter="0" w:footer="0" w:header="0"/>
        </w:sectPr>
      </w:pPr>
    </w:p>
    <w:bookmarkStart w:id="16" w:name="page17"/>
    <w:bookmarkEnd w:id="16"/>
    <w:p>
      <w:pPr>
        <w:ind w:left="4600"/>
        <w:spacing w:after="0"/>
        <w:rPr>
          <w:sz w:val="20"/>
          <w:szCs w:val="20"/>
          <w:color w:val="auto"/>
        </w:rPr>
      </w:pPr>
      <w:r>
        <w:rPr>
          <w:rFonts w:ascii="Times New Roman" w:cs="Times New Roman" w:eastAsia="Times New Roman" w:hAnsi="Times New Roman"/>
          <w:sz w:val="18"/>
          <w:szCs w:val="18"/>
          <w:color w:val="auto"/>
        </w:rPr>
        <w:t>/s/ Howard H. 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17145</wp:posOffset>
            </wp:positionV>
            <wp:extent cx="34290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Howard H. 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374650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7" w:name="page18"/>
    <w:bookmarkEnd w:id="17"/>
    <w:p>
      <w:pPr>
        <w:ind w:left="4600"/>
        <w:spacing w:after="0"/>
        <w:rPr>
          <w:sz w:val="20"/>
          <w:szCs w:val="20"/>
          <w:color w:val="auto"/>
        </w:rPr>
      </w:pPr>
      <w:r>
        <w:rPr>
          <w:rFonts w:ascii="Times New Roman" w:cs="Times New Roman" w:eastAsia="Times New Roman" w:hAnsi="Times New Roman"/>
          <w:sz w:val="17"/>
          <w:szCs w:val="17"/>
          <w:color w:val="auto"/>
        </w:rPr>
        <w:t>/s/ Joshua S.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24765</wp:posOffset>
            </wp:positionV>
            <wp:extent cx="34290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1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Joshua S.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374650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8" w:name="page19"/>
    <w:bookmarkEnd w:id="18"/>
    <w:p>
      <w:pPr>
        <w:ind w:left="4600"/>
        <w:spacing w:after="0"/>
        <w:rPr>
          <w:sz w:val="20"/>
          <w:szCs w:val="20"/>
          <w:color w:val="auto"/>
        </w:rPr>
      </w:pPr>
      <w:r>
        <w:rPr>
          <w:rFonts w:ascii="Times New Roman" w:cs="Times New Roman" w:eastAsia="Times New Roman" w:hAnsi="Times New Roman"/>
          <w:sz w:val="18"/>
          <w:szCs w:val="18"/>
          <w:color w:val="auto"/>
        </w:rPr>
        <w:t>/s/ Luis E. Rinaldini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17145</wp:posOffset>
            </wp:positionV>
            <wp:extent cx="34290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Luis E. Rinaldini</w:t>
      </w:r>
    </w:p>
    <w:p>
      <w:pPr>
        <w:sectPr>
          <w:pgSz w:w="11900" w:h="16838" w:orient="portrait"/>
          <w:cols w:equalWidth="0" w:num="1">
            <w:col w:w="9019"/>
          </w:cols>
          <w:pgMar w:left="1440" w:top="580" w:right="1440"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color w:val="auto"/>
        </w:rPr>
        <w:t>Exhibit 99.3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Bradley L. Radoff the undersigned’s true and lawful attorney-in-fact to take any and all action in connection with (i) the undersigned’s beneficial ownership of, or participation in a group with respect to, securities of Seer,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directly or indirectly beneficially owned by Bradley L. Radoff or any of his affiliates or members of his Schedule 13D group (collectively, the “</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and (ii) any potential proxy solicitation that may be pursued by the Group to elect a slate of director nominees to the board of directors of the Company at the 2026 annual meeting of stockholders of the Company, including any adjournments or postponements thereof (the “</w:t>
      </w:r>
      <w:r>
        <w:rPr>
          <w:rFonts w:ascii="Times New Roman" w:cs="Times New Roman" w:eastAsia="Times New Roman" w:hAnsi="Times New Roman"/>
          <w:sz w:val="18"/>
          <w:szCs w:val="18"/>
          <w:u w:val="single" w:color="auto"/>
          <w:color w:val="auto"/>
        </w:rPr>
        <w:t>Solicitation</w:t>
      </w:r>
      <w:r>
        <w:rPr>
          <w:rFonts w:ascii="Times New Roman" w:cs="Times New Roman" w:eastAsia="Times New Roman" w:hAnsi="Times New Roman"/>
          <w:sz w:val="18"/>
          <w:szCs w:val="18"/>
          <w:color w:val="auto"/>
        </w:rPr>
        <w:t>”). Such action shall include, but not be limited to:</w:t>
      </w:r>
    </w:p>
    <w:p>
      <w:pPr>
        <w:spacing w:after="0" w:line="187" w:lineRule="exact"/>
        <w:rPr>
          <w:sz w:val="20"/>
          <w:szCs w:val="20"/>
          <w:color w:val="auto"/>
        </w:rPr>
      </w:pPr>
    </w:p>
    <w:p>
      <w:pPr>
        <w:jc w:val="both"/>
        <w:ind w:firstLine="656"/>
        <w:spacing w:after="0" w:line="266"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executing for and on behalf of the undersigned a Schedule 13D, and amendments thereto, filed by the Group that are required to be filed under Section 13(d)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thereunder in connection with the undersigned’s beneficial ownership of, or participation in a group with respect to, securities of the Company or the Solicitation;</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executing for and on behalf of the undersigned all Forms 3, 4 and 5 required to be filed under Section 16(a) of the Exchange Act and the rules thereunder in connection with the undersigned’s beneficial ownership of, or participation in a group with respect to, securities of the Company or the Solicitation;</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for and on behalf of the undersigned all Group Agreements or similar documents pursuant to which the undersigned shall agree to be a member of the Group;</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any and all acts for and on behalf of the undersigned that may be necessary or desirable to complete and execute any such document, complete and execute any amendment or amendments thereto, and timely file such form with the United States Securities and Exchange Commission and any stock exchange or similar authority;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other action of any type whatsoever in connection with the Solicitation, including entering into any settlement agreement,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substitutes, shall lawfully do or cause to be done by virtue of this Power of Attorney and the rights and powers herein granted. The undersigned acknowledges that the foregoing attorney-in-fact, in serving in such capacity at the request of the undersigned, is not assuming any of the undersigned’s responsibilities to comply with Section 13(d), Section 16 or Section 14 of the Exchange Act.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a member of the Group unless earlier revoked by the undersigned in a signed writing delivered to the foregoing attorney-in-fact.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__ day of ____________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300355</wp:posOffset>
            </wp:positionV>
            <wp:extent cx="34461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[NOMINEE]</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2"/>
      <w:numFmt w:val="bullet"/>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1)"/>
      <w:numFmt w:val="lowerRoman"/>
      <w:start w:val="5"/>
    </w:lvl>
  </w:abstractNum>
  <w:abstractNum w:abstractNumId="4">
    <w:nsid w:val="7545E146"/>
    <w:multiLevelType w:val="hybridMultilevel"/>
    <w:lvl w:ilvl="0">
      <w:lvlJc w:val="left"/>
      <w:lvlText w:val="1"/>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4"/>
    </w:lvl>
  </w:abstractNum>
  <w:abstractNum w:abstractNumId="9">
    <w:nsid w:val="216231B"/>
    <w:multiLevelType w:val="hybridMultilevel"/>
    <w:lvl w:ilvl="0">
      <w:lvlJc w:val="left"/>
      <w:lvlText w:val="%1."/>
      <w:numFmt w:val="decimal"/>
      <w:start w:val="12"/>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2026-04-13T15:48:25Z</dcterms:created>
  <dcterms:modified xsi:type="dcterms:W3CDTF">2026-04-13T15:48:25Z</dcterms:modified>
</cp:coreProperties>
</file>