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Registration Nos. 333-250035 and 333-251116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9,210,527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6350</wp:posOffset>
            </wp:positionV>
            <wp:extent cx="257175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131"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We are offering 9,210,527 shares of our Class A common stock. This is our initial public offering of our Class A common stock, and no public market currently exists for our Class A common stock. The rights of the holders of Class A common stock and Class B common stock are substantially identical, except with respect to voting and conversion. Each share of Class A common stock is entitled to one vote per share. Each share of Class B common stock is entitled to ten votes per share and is convertible at any time into one share of Class A common stock. Following this offering, the concurrent private placement, the secondary transaction and the voluntary conversion of certain shares of Class B common stock to Class A common stock, the outstanding shares of Class B common stock will represent approximately 53.7%% of the voting power of our outstanding capital stock.</w:t>
      </w:r>
    </w:p>
    <w:p>
      <w:pPr>
        <w:spacing w:after="0" w:line="110"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The initial public offering price is $19.00 per share. Our Class A common stock has been approved for listing on the Nasdaq Global Select Market under the symbol “SEER.”</w:t>
      </w:r>
    </w:p>
    <w:p>
      <w:pPr>
        <w:spacing w:after="0" w:line="116"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116" w:lineRule="exact"/>
        <w:rPr>
          <w:sz w:val="24"/>
          <w:szCs w:val="24"/>
          <w:color w:val="auto"/>
        </w:rPr>
      </w:pPr>
    </w:p>
    <w:p>
      <w:pPr>
        <w:ind w:right="140" w:firstLine="324"/>
        <w:spacing w:after="0" w:line="259" w:lineRule="auto"/>
        <w:rPr>
          <w:sz w:val="20"/>
          <w:szCs w:val="20"/>
          <w:color w:val="auto"/>
        </w:rPr>
      </w:pPr>
      <w:r>
        <w:rPr>
          <w:rFonts w:ascii="Arial" w:cs="Arial" w:eastAsia="Arial" w:hAnsi="Arial"/>
          <w:sz w:val="18"/>
          <w:szCs w:val="18"/>
          <w:color w:val="auto"/>
        </w:rPr>
        <w:t>Fidelity Management &amp; Research Company LLC, SoftBank, certain funds and accounts advised by T. Rowe Price Associates, Inc. and aMoon Fund have entered into an agreement with us pursuant to which they have agreed, severally and not jointly, to purchase an aggregate of $135,000,000 of our Class A common stock in a private placement at a price per share equal to the initial public offering price. These transactions are contingent upon, and are scheduled to close immediately subsequent to, the closing of this offering.</w:t>
      </w:r>
    </w:p>
    <w:p>
      <w:pPr>
        <w:spacing w:after="0" w:line="13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Investing in our Class A common stock involves a high degree of risk. Please read “Risk Factors” beginning on page 19 of this prospectus.</w:t>
      </w:r>
    </w:p>
    <w:p>
      <w:pPr>
        <w:spacing w:after="0" w:line="179"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25"/>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Public Offering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175,000,013</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12,250,001</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Seer, Inc., before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162,750,012</w:t>
            </w:r>
          </w:p>
        </w:tc>
      </w:tr>
      <w:tr>
        <w:trPr>
          <w:trHeight w:val="143"/>
        </w:trPr>
        <w:tc>
          <w:tcPr>
            <w:tcW w:w="802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2"/>
        </w:trPr>
        <w:tc>
          <w:tcPr>
            <w:tcW w:w="8020" w:type="dxa"/>
            <w:vAlign w:val="bottom"/>
          </w:tcPr>
          <w:p>
            <w:pPr>
              <w:spacing w:after="0"/>
              <w:rPr>
                <w:sz w:val="20"/>
                <w:szCs w:val="20"/>
                <w:color w:val="auto"/>
              </w:rPr>
            </w:pPr>
            <w:r>
              <w:rPr>
                <w:rFonts w:ascii="Arial" w:cs="Arial" w:eastAsia="Arial" w:hAnsi="Arial"/>
                <w:sz w:val="14"/>
                <w:szCs w:val="14"/>
                <w:color w:val="auto"/>
              </w:rPr>
              <w:t>(1) See “Underwriting” beginning on page 173 for additional information regarding underwriter compensation.</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46" w:lineRule="exact"/>
        <w:rPr>
          <w:sz w:val="24"/>
          <w:szCs w:val="24"/>
          <w:color w:val="auto"/>
        </w:rPr>
      </w:pPr>
    </w:p>
    <w:p>
      <w:pPr>
        <w:ind w:right="20" w:firstLine="324"/>
        <w:spacing w:after="0" w:line="311" w:lineRule="auto"/>
        <w:rPr>
          <w:sz w:val="20"/>
          <w:szCs w:val="20"/>
          <w:color w:val="auto"/>
        </w:rPr>
      </w:pPr>
      <w:r>
        <w:rPr>
          <w:rFonts w:ascii="Arial" w:cs="Arial" w:eastAsia="Arial" w:hAnsi="Arial"/>
          <w:sz w:val="16"/>
          <w:szCs w:val="16"/>
          <w:color w:val="auto"/>
        </w:rPr>
        <w:t>Delivery of the shares of Class A common stock is expected to be made on or about December 8, 2020. We have granted the underwriters an option for a period of 30 days to purchase an additional 1,381,579 shares of our Class A common stock. If the underwriters exercise the option in full, the total underwriting discounts and commissions payable by us will be $14,087,501 and the total proceeds to us, before expenses, will be $187,162,513.</w:t>
      </w:r>
    </w:p>
    <w:p>
      <w:pPr>
        <w:sectPr>
          <w:pgSz w:w="11900" w:h="16838" w:orient="portrait"/>
          <w:cols w:equalWidth="0" w:num="1">
            <w:col w:w="11240"/>
          </w:cols>
          <w:pgMar w:left="320" w:top="1228" w:right="339" w:bottom="1440" w:gutter="0" w:footer="0" w:header="0"/>
        </w:sectPr>
      </w:pPr>
    </w:p>
    <w:p>
      <w:pPr>
        <w:spacing w:after="0" w:line="131" w:lineRule="exact"/>
        <w:rPr>
          <w:sz w:val="24"/>
          <w:szCs w:val="24"/>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11" w:lineRule="exact"/>
        <w:rPr>
          <w:sz w:val="24"/>
          <w:szCs w:val="24"/>
          <w:color w:val="auto"/>
        </w:rPr>
      </w:pPr>
    </w:p>
    <w:p>
      <w:pPr>
        <w:sectPr>
          <w:pgSz w:w="11900" w:h="16838" w:orient="portrait"/>
          <w:cols w:equalWidth="0" w:num="4">
            <w:col w:w="2540" w:space="720"/>
            <w:col w:w="2600" w:space="720"/>
            <w:col w:w="3080" w:space="720"/>
            <w:col w:w="860"/>
          </w:cols>
          <w:pgMar w:left="320" w:top="1228" w:right="33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Prospectus dated December 3, 2020</w:t>
      </w:r>
    </w:p>
    <w:p>
      <w:pPr>
        <w:sectPr>
          <w:pgSz w:w="11900" w:h="16838" w:orient="portrait"/>
          <w:cols w:equalWidth="0" w:num="1">
            <w:col w:w="11240"/>
          </w:cols>
          <w:pgMar w:left="320" w:top="1228" w:right="339" w:bottom="1440" w:gutter="0" w:footer="0" w:header="0"/>
          <w:type w:val="continuous"/>
        </w:sectPr>
      </w:pPr>
    </w:p>
    <w:bookmarkStart w:id="1" w:name="page2"/>
    <w:bookmarkEnd w:id="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PROSPECTUS SUMMARY</w:t>
              </w:r>
            </w:hyperlink>
          </w:p>
        </w:tc>
        <w:tc>
          <w:tcPr>
            <w:tcW w:w="480" w:type="dxa"/>
            <w:vAlign w:val="bottom"/>
            <w:gridSpan w:val="2"/>
          </w:tcPr>
          <w:p>
            <w:pPr>
              <w:jc w:val="center"/>
              <w:ind w:left="151"/>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1</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GLOSSARY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16</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RISK FACTORS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SPECIAL NOTE REGARDING FORWARD-LOOKING STATEMENTS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61</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MARKET, INDUSTRY AND OTHER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63</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USE OF PROCEEDS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DIVIDEND POLICY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CAPITALIZATION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66</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DILUTION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69</w:t>
              </w:r>
            </w:hyperlink>
          </w:p>
        </w:tc>
        <w:tc>
          <w:tcPr>
            <w:tcW w:w="240" w:type="dxa"/>
            <w:vAlign w:val="bottom"/>
          </w:tcPr>
          <w:p>
            <w:pPr>
              <w:spacing w:after="0"/>
              <w:rPr>
                <w:sz w:val="19"/>
                <w:szCs w:val="19"/>
                <w:color w:val="auto"/>
              </w:rPr>
            </w:pPr>
          </w:p>
        </w:tc>
      </w:tr>
      <w:tr>
        <w:trPr>
          <w:trHeight w:val="190"/>
        </w:trPr>
        <w:tc>
          <w:tcPr>
            <w:tcW w:w="2440" w:type="dxa"/>
            <w:vAlign w:val="bottom"/>
            <w:tcBorders>
              <w:bottom w:val="single" w:sz="8" w:color="0000FF"/>
            </w:tcBorders>
          </w:tcPr>
          <w:p>
            <w:pPr>
              <w:spacing w:after="0" w:line="190"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SELECTED FINANCIAL DATA</w:t>
              </w:r>
            </w:hyperlink>
          </w:p>
        </w:tc>
        <w:tc>
          <w:tcPr>
            <w:tcW w:w="8060" w:type="dxa"/>
            <w:vAlign w:val="bottom"/>
            <w:gridSpan w:val="2"/>
          </w:tcPr>
          <w:p>
            <w:pPr>
              <w:spacing w:after="0"/>
              <w:rPr>
                <w:sz w:val="16"/>
                <w:szCs w:val="16"/>
                <w:color w:val="auto"/>
              </w:rPr>
            </w:pPr>
          </w:p>
        </w:tc>
        <w:tc>
          <w:tcPr>
            <w:tcW w:w="480" w:type="dxa"/>
            <w:vAlign w:val="bottom"/>
            <w:gridSpan w:val="2"/>
          </w:tcPr>
          <w:p>
            <w:pPr>
              <w:jc w:val="center"/>
              <w:ind w:left="131"/>
              <w:spacing w:after="0" w:line="190" w:lineRule="exact"/>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71</w:t>
              </w:r>
            </w:hyperlink>
          </w:p>
        </w:tc>
        <w:tc>
          <w:tcPr>
            <w:tcW w:w="240" w:type="dxa"/>
            <w:vAlign w:val="bottom"/>
          </w:tcPr>
          <w:p>
            <w:pPr>
              <w:spacing w:after="0"/>
              <w:rPr>
                <w:sz w:val="16"/>
                <w:szCs w:val="16"/>
                <w:color w:val="auto"/>
              </w:rPr>
            </w:pPr>
          </w:p>
        </w:tc>
      </w:tr>
      <w:tr>
        <w:trPr>
          <w:trHeight w:val="249"/>
        </w:trPr>
        <w:tc>
          <w:tcPr>
            <w:tcW w:w="10500" w:type="dxa"/>
            <w:vAlign w:val="bottom"/>
            <w:gridSpan w:val="3"/>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73</w:t>
              </w:r>
            </w:hyperlink>
          </w:p>
        </w:tc>
        <w:tc>
          <w:tcPr>
            <w:tcW w:w="240" w:type="dxa"/>
            <w:vAlign w:val="bottom"/>
          </w:tcPr>
          <w:p>
            <w:pPr>
              <w:spacing w:after="0"/>
              <w:rPr>
                <w:sz w:val="21"/>
                <w:szCs w:val="21"/>
                <w:color w:val="auto"/>
              </w:rPr>
            </w:pPr>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BUSINESS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89">
              <w:r>
                <w:rPr>
                  <w:rFonts w:ascii="Arial" w:cs="Arial" w:eastAsia="Arial" w:hAnsi="Arial"/>
                  <w:sz w:val="18"/>
                  <w:szCs w:val="18"/>
                  <w:u w:val="single" w:color="auto"/>
                  <w:color w:val="0000FF"/>
                  <w:w w:val="89"/>
                </w:rPr>
                <w:t>88</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MANAGEMENT</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26">
              <w:r>
                <w:rPr>
                  <w:rFonts w:ascii="Arial" w:cs="Arial" w:eastAsia="Arial" w:hAnsi="Arial"/>
                  <w:sz w:val="18"/>
                  <w:szCs w:val="18"/>
                  <w:u w:val="single" w:color="auto"/>
                  <w:color w:val="0000FF"/>
                  <w:w w:val="93"/>
                </w:rPr>
                <w:t>125</w:t>
              </w:r>
            </w:hyperlink>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EXECUTIVE COMPENSATION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36">
              <w:r>
                <w:rPr>
                  <w:rFonts w:ascii="Arial" w:cs="Arial" w:eastAsia="Arial" w:hAnsi="Arial"/>
                  <w:sz w:val="18"/>
                  <w:szCs w:val="18"/>
                  <w:u w:val="single" w:color="auto"/>
                  <w:color w:val="0000FF"/>
                  <w:w w:val="93"/>
                </w:rPr>
                <w:t>135</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CERTAIN RELATIONSHIPS AND RELATED-PARTY TRANSACTIONS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52">
              <w:r>
                <w:rPr>
                  <w:rFonts w:ascii="Arial" w:cs="Arial" w:eastAsia="Arial" w:hAnsi="Arial"/>
                  <w:sz w:val="18"/>
                  <w:szCs w:val="18"/>
                  <w:u w:val="single" w:color="auto"/>
                  <w:color w:val="0000FF"/>
                  <w:w w:val="93"/>
                </w:rPr>
                <w:t>151</w:t>
              </w:r>
            </w:hyperlink>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PRINCIPAL STOCKHOLDERS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58">
              <w:r>
                <w:rPr>
                  <w:rFonts w:ascii="Arial" w:cs="Arial" w:eastAsia="Arial" w:hAnsi="Arial"/>
                  <w:sz w:val="18"/>
                  <w:szCs w:val="18"/>
                  <w:u w:val="single" w:color="auto"/>
                  <w:color w:val="0000FF"/>
                  <w:w w:val="93"/>
                </w:rPr>
                <w:t>157</w:t>
              </w:r>
            </w:hyperlink>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DESCRIPTION OF CAPITAL STOCK</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1">
              <w:r>
                <w:rPr>
                  <w:rFonts w:ascii="Arial" w:cs="Arial" w:eastAsia="Arial" w:hAnsi="Arial"/>
                  <w:sz w:val="18"/>
                  <w:szCs w:val="18"/>
                  <w:u w:val="single" w:color="auto"/>
                  <w:color w:val="0000FF"/>
                  <w:w w:val="93"/>
                </w:rPr>
                <w:t>160</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SHARES ELIGIBLE FOR FUTURE SALE</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7">
              <w:r>
                <w:rPr>
                  <w:rFonts w:ascii="Arial" w:cs="Arial" w:eastAsia="Arial" w:hAnsi="Arial"/>
                  <w:sz w:val="18"/>
                  <w:szCs w:val="18"/>
                  <w:u w:val="single" w:color="auto"/>
                  <w:color w:val="0000FF"/>
                  <w:w w:val="93"/>
                </w:rPr>
                <w:t>166</w:t>
              </w:r>
            </w:hyperlink>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MATERIAL U.S. FEDERAL INCOME AND TAX CONSIDERATIONS FOR NON-U.S. HOLDERS OF OUR COMMON STOCK</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0">
              <w:r>
                <w:rPr>
                  <w:rFonts w:ascii="Arial" w:cs="Arial" w:eastAsia="Arial" w:hAnsi="Arial"/>
                  <w:sz w:val="18"/>
                  <w:szCs w:val="18"/>
                  <w:u w:val="single" w:color="auto"/>
                  <w:color w:val="0000FF"/>
                  <w:w w:val="93"/>
                </w:rPr>
                <w:t>169</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UNDERWRITING</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4">
              <w:r>
                <w:rPr>
                  <w:rFonts w:ascii="Arial" w:cs="Arial" w:eastAsia="Arial" w:hAnsi="Arial"/>
                  <w:sz w:val="18"/>
                  <w:szCs w:val="18"/>
                  <w:u w:val="single" w:color="auto"/>
                  <w:color w:val="0000FF"/>
                  <w:w w:val="93"/>
                </w:rPr>
                <w:t>173</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84">
              <w:r>
                <w:rPr>
                  <w:rFonts w:ascii="Arial" w:cs="Arial" w:eastAsia="Arial" w:hAnsi="Arial"/>
                  <w:sz w:val="18"/>
                  <w:szCs w:val="18"/>
                  <w:u w:val="single" w:color="auto"/>
                  <w:color w:val="0000FF"/>
                </w:rPr>
                <w:t>CONCURRENT PRIVATE PLACEMENT</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4">
              <w:r>
                <w:rPr>
                  <w:rFonts w:ascii="Arial" w:cs="Arial" w:eastAsia="Arial" w:hAnsi="Arial"/>
                  <w:sz w:val="18"/>
                  <w:szCs w:val="18"/>
                  <w:u w:val="single" w:color="auto"/>
                  <w:color w:val="0000FF"/>
                  <w:w w:val="93"/>
                </w:rPr>
                <w:t>183</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LEGAL MATTERS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5">
              <w:r>
                <w:rPr>
                  <w:rFonts w:ascii="Arial" w:cs="Arial" w:eastAsia="Arial" w:hAnsi="Arial"/>
                  <w:sz w:val="18"/>
                  <w:szCs w:val="18"/>
                  <w:u w:val="single" w:color="auto"/>
                  <w:color w:val="0000FF"/>
                  <w:w w:val="93"/>
                </w:rPr>
                <w:t>184</w:t>
              </w:r>
            </w:hyperlink>
          </w:p>
        </w:tc>
      </w:tr>
      <w:tr>
        <w:trPr>
          <w:trHeight w:val="229"/>
        </w:trPr>
        <w:tc>
          <w:tcPr>
            <w:tcW w:w="10500" w:type="dxa"/>
            <w:vAlign w:val="bottom"/>
            <w:gridSpan w:val="3"/>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EXPERTS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184</w:t>
              </w:r>
            </w:hyperlink>
          </w:p>
        </w:tc>
      </w:tr>
      <w:tr>
        <w:trPr>
          <w:trHeight w:val="230"/>
        </w:trPr>
        <w:tc>
          <w:tcPr>
            <w:tcW w:w="10500" w:type="dxa"/>
            <w:vAlign w:val="bottom"/>
            <w:gridSpan w:val="3"/>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WHERE YOU CAN FIND ADDITIONAL INFORMATION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184</w:t>
              </w:r>
            </w:hyperlink>
          </w:p>
        </w:tc>
      </w:tr>
      <w:tr>
        <w:trPr>
          <w:trHeight w:val="190"/>
        </w:trPr>
        <w:tc>
          <w:tcPr>
            <w:tcW w:w="10500" w:type="dxa"/>
            <w:vAlign w:val="bottom"/>
            <w:gridSpan w:val="3"/>
          </w:tcPr>
          <w:p>
            <w:pPr>
              <w:spacing w:after="0" w:line="190" w:lineRule="exact"/>
              <w:rPr>
                <w:rFonts w:ascii="Arial" w:cs="Arial" w:eastAsia="Arial" w:hAnsi="Arial"/>
                <w:sz w:val="18"/>
                <w:szCs w:val="18"/>
                <w:color w:val="0000FF"/>
              </w:rPr>
            </w:pPr>
            <w:hyperlink w:anchor="page186">
              <w:r>
                <w:rPr>
                  <w:rFonts w:ascii="Arial" w:cs="Arial" w:eastAsia="Arial" w:hAnsi="Arial"/>
                  <w:sz w:val="18"/>
                  <w:szCs w:val="18"/>
                  <w:color w:val="0000FF"/>
                </w:rPr>
                <w:t>INDEX TO FINANCIAL STATEMENTS</w:t>
              </w:r>
            </w:hyperlink>
          </w:p>
        </w:tc>
        <w:tc>
          <w:tcPr>
            <w:tcW w:w="720" w:type="dxa"/>
            <w:vAlign w:val="bottom"/>
            <w:gridSpan w:val="3"/>
          </w:tcPr>
          <w:p>
            <w:pPr>
              <w:jc w:val="center"/>
              <w:spacing w:after="0" w:line="190" w:lineRule="exact"/>
              <w:rPr>
                <w:rFonts w:ascii="Arial" w:cs="Arial" w:eastAsia="Arial" w:hAnsi="Arial"/>
                <w:sz w:val="18"/>
                <w:szCs w:val="18"/>
                <w:color w:val="0000FF"/>
                <w:w w:val="88"/>
              </w:rPr>
            </w:pPr>
            <w:hyperlink w:anchor="page186">
              <w:r>
                <w:rPr>
                  <w:rFonts w:ascii="Arial" w:cs="Arial" w:eastAsia="Arial" w:hAnsi="Arial"/>
                  <w:sz w:val="18"/>
                  <w:szCs w:val="18"/>
                  <w:color w:val="0000FF"/>
                  <w:w w:val="88"/>
                </w:rPr>
                <w:t>F-1</w:t>
              </w:r>
            </w:hyperlink>
          </w:p>
        </w:tc>
      </w:tr>
      <w:tr>
        <w:trPr>
          <w:trHeight w:val="20"/>
        </w:trPr>
        <w:tc>
          <w:tcPr>
            <w:tcW w:w="2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60" w:firstLine="324"/>
        <w:spacing w:after="0" w:line="289" w:lineRule="auto"/>
        <w:rPr>
          <w:sz w:val="20"/>
          <w:szCs w:val="20"/>
          <w:color w:val="auto"/>
        </w:rPr>
      </w:pPr>
      <w:r>
        <w:rPr>
          <w:rFonts w:ascii="Arial" w:cs="Arial" w:eastAsia="Arial" w:hAnsi="Arial"/>
          <w:sz w:val="17"/>
          <w:szCs w:val="17"/>
          <w:b w:val="1"/>
          <w:bCs w:val="1"/>
          <w:color w:val="auto"/>
        </w:rPr>
        <w:t>Through and including December 28, 2020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0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1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30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left="340" w:right="40" w:firstLine="324"/>
        <w:spacing w:after="0" w:line="268" w:lineRule="auto"/>
        <w:rPr>
          <w:sz w:val="20"/>
          <w:szCs w:val="20"/>
          <w:color w:val="auto"/>
        </w:rPr>
      </w:pPr>
      <w:r>
        <w:rPr>
          <w:rFonts w:ascii="Arial" w:cs="Arial" w:eastAsia="Arial" w:hAnsi="Arial"/>
          <w:sz w:val="17"/>
          <w:szCs w:val="17"/>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7"/>
          <w:szCs w:val="17"/>
          <w:i w:val="1"/>
          <w:iCs w:val="1"/>
          <w:color w:val="auto"/>
        </w:rPr>
        <w:t>de novo</w:t>
      </w:r>
      <w:r>
        <w:rPr>
          <w:rFonts w:ascii="Arial" w:cs="Arial" w:eastAsia="Arial" w:hAnsi="Arial"/>
          <w:sz w:val="17"/>
          <w:szCs w:val="17"/>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00"/>
          </w:cols>
          <w:pgMar w:left="660" w:top="121" w:right="1039" w:bottom="1440" w:gutter="0" w:footer="0" w:header="0"/>
        </w:sectPr>
      </w:pPr>
    </w:p>
    <w:bookmarkStart w:id="3" w:name="page4"/>
    <w:bookmarkEnd w:id="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505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20" w:firstLine="324"/>
        <w:spacing w:after="0" w:line="285"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660" w:top="121" w:right="10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819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 of Massively Parallel Sampling</w:t>
      </w:r>
    </w:p>
    <w:p>
      <w:pPr>
        <w:spacing w:after="0" w:line="171"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Engineered Nanoparticle Technology</w:t>
      </w:r>
    </w:p>
    <w:p>
      <w:pPr>
        <w:spacing w:after="0" w:line="171"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left="340" w:right="8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left="340" w:right="40" w:firstLine="324"/>
        <w:spacing w:after="0" w:line="287" w:lineRule="auto"/>
        <w:rPr>
          <w:sz w:val="20"/>
          <w:szCs w:val="20"/>
          <w:color w:val="auto"/>
        </w:rPr>
      </w:pPr>
      <w:r>
        <w:rPr>
          <w:rFonts w:ascii="Arial" w:cs="Arial" w:eastAsia="Arial" w:hAnsi="Arial"/>
          <w:sz w:val="16"/>
          <w:szCs w:val="16"/>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660" w:top="121" w:right="1019" w:bottom="1440" w:gutter="0" w:footer="0" w:header="0"/>
        </w:sectPr>
      </w:pPr>
    </w:p>
    <w:bookmarkStart w:id="5" w:name="page6"/>
    <w:bookmarkEnd w:id="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73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736205"/>
                    </a:xfrm>
                    <a:prstGeom prst="rect">
                      <a:avLst/>
                    </a:prstGeom>
                    <a:noFill/>
                  </pic:spPr>
                </pic:pic>
              </a:graphicData>
            </a:graphic>
          </wp:anchor>
        </w:drawing>
      </w:r>
    </w:p>
    <w:p>
      <w:pPr>
        <w:sectPr>
          <w:pgSz w:w="11900" w:h="16838" w:orient="portrait"/>
          <w:cols w:equalWidth="0" w:num="1">
            <w:col w:w="10240"/>
          </w:cols>
          <w:pgMar w:left="66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980" w:hanging="32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980" w:right="20" w:hanging="322"/>
        <w:spacing w:after="0" w:line="342" w:lineRule="auto"/>
        <w:tabs>
          <w:tab w:leader="none" w:pos="975" w:val="left"/>
        </w:tabs>
        <w:numPr>
          <w:ilvl w:val="0"/>
          <w:numId w:val="1"/>
        </w:numPr>
        <w:rPr>
          <w:rFonts w:ascii="Arial" w:cs="Arial" w:eastAsia="Arial" w:hAnsi="Arial"/>
          <w:sz w:val="16"/>
          <w:szCs w:val="16"/>
          <w:color w:val="auto"/>
        </w:rPr>
      </w:pPr>
      <w:r>
        <w:rPr>
          <w:rFonts w:ascii="Arial" w:cs="Arial" w:eastAsia="Arial" w:hAnsi="Arial"/>
          <w:sz w:val="16"/>
          <w:szCs w:val="16"/>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69" w:lineRule="exact"/>
        <w:rPr>
          <w:rFonts w:ascii="Arial" w:cs="Arial" w:eastAsia="Arial" w:hAnsi="Arial"/>
          <w:sz w:val="16"/>
          <w:szCs w:val="16"/>
          <w:color w:val="auto"/>
        </w:rPr>
      </w:pPr>
    </w:p>
    <w:p>
      <w:pPr>
        <w:ind w:left="980" w:hanging="32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980" w:hanging="32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980" w:right="100" w:hanging="322"/>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left="340" w:firstLine="324"/>
        <w:spacing w:after="0" w:line="301" w:lineRule="auto"/>
        <w:rPr>
          <w:sz w:val="20"/>
          <w:szCs w:val="20"/>
          <w:color w:val="auto"/>
        </w:rPr>
      </w:pPr>
      <w:r>
        <w:rPr>
          <w:rFonts w:ascii="Arial" w:cs="Arial" w:eastAsia="Arial" w:hAnsi="Arial"/>
          <w:sz w:val="16"/>
          <w:szCs w:val="16"/>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ectPr>
          <w:pgSz w:w="11900" w:h="16838" w:orient="portrait"/>
          <w:cols w:equalWidth="0" w:num="1">
            <w:col w:w="10240"/>
          </w:cols>
          <w:pgMar w:left="66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40"/>
          </w:cols>
          <w:pgMar w:left="660" w:top="121" w:right="9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470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Proteograph’s key components are the following:</w:t>
      </w:r>
    </w:p>
    <w:p>
      <w:pPr>
        <w:spacing w:after="0" w:line="171" w:lineRule="exact"/>
        <w:rPr>
          <w:sz w:val="20"/>
          <w:szCs w:val="20"/>
          <w:color w:val="auto"/>
        </w:rPr>
      </w:pPr>
    </w:p>
    <w:p>
      <w:pPr>
        <w:ind w:left="980" w:right="14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Our Proteograph consumables consist of our NP panel and all other consumables necessary to assay samples on our automation instrument.</w:t>
      </w:r>
    </w:p>
    <w:p>
      <w:pPr>
        <w:spacing w:after="0" w:line="116" w:lineRule="exact"/>
        <w:rPr>
          <w:rFonts w:ascii="Arial" w:cs="Arial" w:eastAsia="Arial" w:hAnsi="Arial"/>
          <w:sz w:val="18"/>
          <w:szCs w:val="18"/>
          <w:color w:val="auto"/>
        </w:rPr>
      </w:pPr>
    </w:p>
    <w:p>
      <w:pPr>
        <w:ind w:left="980" w:hanging="322"/>
        <w:spacing w:after="0" w:line="259"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32"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Our Proteograph software was designed for ease-of-use and was developed to help users arrive at insights quickly and efficiently following peptide detection by an MS instrument.</w:t>
      </w:r>
    </w:p>
    <w:p>
      <w:pPr>
        <w:spacing w:after="0" w:line="116" w:lineRule="exact"/>
        <w:rPr>
          <w:sz w:val="20"/>
          <w:szCs w:val="20"/>
          <w:color w:val="auto"/>
        </w:rPr>
      </w:pPr>
    </w:p>
    <w:p>
      <w:pPr>
        <w:ind w:left="340" w:right="160" w:firstLine="324"/>
        <w:spacing w:after="0" w:line="255" w:lineRule="auto"/>
        <w:rPr>
          <w:sz w:val="20"/>
          <w:szCs w:val="20"/>
          <w:color w:val="auto"/>
        </w:rPr>
      </w:pPr>
      <w:r>
        <w:rPr>
          <w:rFonts w:ascii="Arial" w:cs="Arial" w:eastAsia="Arial" w:hAnsi="Arial"/>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8"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Proteograph Product Suite Performance</w:t>
      </w:r>
    </w:p>
    <w:p>
      <w:pPr>
        <w:spacing w:after="0" w:line="171" w:lineRule="exact"/>
        <w:rPr>
          <w:sz w:val="20"/>
          <w:szCs w:val="20"/>
          <w:color w:val="auto"/>
        </w:rPr>
      </w:pPr>
    </w:p>
    <w:p>
      <w:pPr>
        <w:ind w:left="340" w:right="120" w:firstLine="324"/>
        <w:spacing w:after="0" w:line="301" w:lineRule="auto"/>
        <w:rPr>
          <w:sz w:val="20"/>
          <w:szCs w:val="20"/>
          <w:color w:val="auto"/>
        </w:rPr>
      </w:pPr>
      <w:r>
        <w:rPr>
          <w:rFonts w:ascii="Arial" w:cs="Arial" w:eastAsia="Arial" w:hAnsi="Arial"/>
          <w:sz w:val="16"/>
          <w:szCs w:val="16"/>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3" w:lineRule="exact"/>
        <w:rPr>
          <w:sz w:val="20"/>
          <w:szCs w:val="20"/>
          <w:color w:val="auto"/>
        </w:rPr>
      </w:pPr>
    </w:p>
    <w:p>
      <w:pPr>
        <w:ind w:left="980" w:right="20" w:hanging="322"/>
        <w:spacing w:after="0" w:line="272"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Breadth of protein sampling. </w:t>
      </w:r>
      <w:r>
        <w:rPr>
          <w:rFonts w:ascii="Arial" w:cs="Arial" w:eastAsia="Arial" w:hAnsi="Arial"/>
          <w:sz w:val="17"/>
          <w:szCs w:val="17"/>
          <w:color w:val="auto"/>
        </w:rPr>
        <w:t>Breadth of protein sampling refers to our Proteograph Product Suite’s ability to conduct unbiased,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highly parallel 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23" w:lineRule="exact"/>
        <w:rPr>
          <w:rFonts w:ascii="Arial" w:cs="Arial" w:eastAsia="Arial" w:hAnsi="Arial"/>
          <w:sz w:val="17"/>
          <w:szCs w:val="17"/>
          <w:color w:val="auto"/>
        </w:rPr>
      </w:pPr>
    </w:p>
    <w:p>
      <w:pPr>
        <w:ind w:left="980" w:right="40" w:hanging="322"/>
        <w:spacing w:after="0" w:line="293"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Depth of coverage. </w:t>
      </w:r>
      <w:r>
        <w:rPr>
          <w:rFonts w:ascii="Arial" w:cs="Arial" w:eastAsia="Arial" w:hAnsi="Arial"/>
          <w:sz w:val="16"/>
          <w:szCs w:val="16"/>
          <w:color w:val="auto"/>
        </w:rPr>
        <w:t>Depth of coverage refers to our Proteograph’s ability to evaluate the proteome across the wide dynamic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10" w:lineRule="exact"/>
        <w:rPr>
          <w:rFonts w:ascii="Arial" w:cs="Arial" w:eastAsia="Arial" w:hAnsi="Arial"/>
          <w:sz w:val="16"/>
          <w:szCs w:val="16"/>
          <w:color w:val="auto"/>
        </w:rPr>
      </w:pPr>
    </w:p>
    <w:p>
      <w:pPr>
        <w:ind w:left="980" w:right="100" w:hanging="322"/>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Accuracy of measurement. </w:t>
      </w:r>
      <w:r>
        <w:rPr>
          <w:rFonts w:ascii="Arial" w:cs="Arial" w:eastAsia="Arial" w:hAnsi="Arial"/>
          <w:sz w:val="18"/>
          <w:szCs w:val="18"/>
          <w:color w:val="auto"/>
        </w:rPr>
        <w:t>Accuracy refers to how close the measured abundance of a protein is to the true abundance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Accuracy of protein abundance measurement can be demonstrated by MS signal intensity of the proteins sampled with our Proteograph, and comparing these values with measurements</w:t>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20"/>
          </w:cols>
          <w:pgMar w:left="660" w:top="121" w:right="10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819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640"/>
        <w:spacing w:after="0" w:line="277" w:lineRule="auto"/>
        <w:rPr>
          <w:sz w:val="20"/>
          <w:szCs w:val="20"/>
          <w:color w:val="auto"/>
        </w:rPr>
      </w:pPr>
      <w:r>
        <w:rPr>
          <w:rFonts w:ascii="Arial" w:cs="Arial" w:eastAsia="Arial" w:hAnsi="Arial"/>
          <w:sz w:val="18"/>
          <w:szCs w:val="18"/>
          <w:color w:val="auto"/>
        </w:rPr>
        <w:t>obtained directly by immuno-assay (ELISA). Our Proteograph assay can distinguish changes in protein abundance with significant accuracy.</w:t>
      </w:r>
    </w:p>
    <w:p>
      <w:pPr>
        <w:spacing w:after="0" w:line="116" w:lineRule="exact"/>
        <w:rPr>
          <w:sz w:val="20"/>
          <w:szCs w:val="20"/>
          <w:color w:val="auto"/>
        </w:rPr>
      </w:pPr>
    </w:p>
    <w:p>
      <w:pPr>
        <w:ind w:left="980" w:hanging="322"/>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of measurement. </w:t>
      </w:r>
      <w:r>
        <w:rPr>
          <w:rFonts w:ascii="Arial" w:cs="Arial" w:eastAsia="Arial" w:hAnsi="Arial"/>
          <w:sz w:val="18"/>
          <w:szCs w:val="18"/>
          <w:color w:val="auto"/>
        </w:rPr>
        <w:t>Precision refers to how close several measurements of protein abundance in the same sample are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34" w:lineRule="exact"/>
        <w:rPr>
          <w:rFonts w:ascii="Arial" w:cs="Arial" w:eastAsia="Arial" w:hAnsi="Arial"/>
          <w:sz w:val="18"/>
          <w:szCs w:val="18"/>
          <w:color w:val="auto"/>
        </w:rPr>
      </w:pPr>
    </w:p>
    <w:p>
      <w:pPr>
        <w:ind w:left="980" w:right="120" w:hanging="322"/>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Rapid and large-scale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Proteograph enables rapid and large-scale proteomic sample processing in a seven-hour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left="340" w:right="100" w:firstLine="324"/>
        <w:spacing w:after="0" w:line="285" w:lineRule="auto"/>
        <w:rPr>
          <w:sz w:val="20"/>
          <w:szCs w:val="20"/>
          <w:color w:val="auto"/>
        </w:rPr>
      </w:pPr>
      <w:r>
        <w:rPr>
          <w:rFonts w:ascii="Arial" w:cs="Arial" w:eastAsia="Arial" w:hAnsi="Arial"/>
          <w:sz w:val="16"/>
          <w:szCs w:val="16"/>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40"/>
          </w:cols>
          <w:pgMar w:left="660" w:top="121" w:right="99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573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980" w:right="540" w:hanging="322"/>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is expected to be the first commercially available solution to provide the combination of unbiased, deep, rapid and large-scale access to the proteome.</w:t>
      </w:r>
    </w:p>
    <w:p>
      <w:pPr>
        <w:spacing w:after="0" w:line="116" w:lineRule="exact"/>
        <w:rPr>
          <w:rFonts w:ascii="Arial" w:cs="Arial" w:eastAsia="Arial" w:hAnsi="Arial"/>
          <w:sz w:val="18"/>
          <w:szCs w:val="18"/>
          <w:color w:val="auto"/>
        </w:rPr>
      </w:pPr>
    </w:p>
    <w:p>
      <w:pPr>
        <w:ind w:left="980" w:right="100" w:hanging="322"/>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92" w:lineRule="exact"/>
        <w:rPr>
          <w:rFonts w:ascii="Arial" w:cs="Arial" w:eastAsia="Arial" w:hAnsi="Arial"/>
          <w:sz w:val="17"/>
          <w:szCs w:val="17"/>
          <w:color w:val="auto"/>
        </w:rPr>
      </w:pPr>
    </w:p>
    <w:p>
      <w:pPr>
        <w:ind w:left="980" w:hanging="322"/>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was designed to enable broad adoption across a wide variety of customers in both decentralized and centralized settings.</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engineered NPs are a core technology from which we can develop a range of products, applications and platforms.</w:t>
      </w:r>
    </w:p>
    <w:p>
      <w:pPr>
        <w:spacing w:after="0" w:line="116" w:lineRule="exact"/>
        <w:rPr>
          <w:rFonts w:ascii="Arial" w:cs="Arial" w:eastAsia="Arial" w:hAnsi="Arial"/>
          <w:sz w:val="18"/>
          <w:szCs w:val="18"/>
          <w:color w:val="auto"/>
        </w:rPr>
      </w:pPr>
    </w:p>
    <w:p>
      <w:pPr>
        <w:ind w:left="980" w:right="440" w:hanging="322"/>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NP technology inherently provides significant operational leverage in research and development, manufacturing and commercialization.</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has the potential to provide sustainable differentiation.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340" w:right="40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980" w:right="22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Drive adoption of our Proteograph Product Suite to enable researchers to create large-scale unbiased proteomic datasets that generate transformative scientific insights.</w:t>
      </w:r>
    </w:p>
    <w:p>
      <w:pPr>
        <w:spacing w:after="0" w:line="116"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market development activities to increase awareness of the importance of large-scale proteomic data and the ability to access it.</w:t>
      </w:r>
    </w:p>
    <w:p>
      <w:pPr>
        <w:spacing w:after="0" w:line="116" w:lineRule="exact"/>
        <w:rPr>
          <w:rFonts w:ascii="Arial" w:cs="Arial" w:eastAsia="Arial" w:hAnsi="Arial"/>
          <w:sz w:val="18"/>
          <w:szCs w:val="18"/>
          <w:color w:val="auto"/>
        </w:rPr>
      </w:pPr>
    </w:p>
    <w:p>
      <w:pPr>
        <w:ind w:left="980" w:right="14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Continually innovate to develop and commercialize additional transformative products to access the proteome and accelerate our understanding of biology.</w:t>
      </w:r>
    </w:p>
    <w:p>
      <w:pPr>
        <w:spacing w:after="0" w:line="116" w:lineRule="exact"/>
        <w:rPr>
          <w:rFonts w:ascii="Arial" w:cs="Arial" w:eastAsia="Arial" w:hAnsi="Arial"/>
          <w:sz w:val="18"/>
          <w:szCs w:val="18"/>
          <w:color w:val="auto"/>
        </w:rPr>
      </w:pPr>
    </w:p>
    <w:p>
      <w:pPr>
        <w:ind w:left="980" w:right="24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build our commercial infrastructure and NP manufacturing capabilities to provide for our commercial launch in the United States and internationally.</w:t>
      </w:r>
    </w:p>
    <w:p>
      <w:pPr>
        <w:spacing w:after="0" w:line="116" w:lineRule="exact"/>
        <w:rPr>
          <w:rFonts w:ascii="Arial" w:cs="Arial" w:eastAsia="Arial" w:hAnsi="Arial"/>
          <w:sz w:val="18"/>
          <w:szCs w:val="18"/>
          <w:color w:val="auto"/>
        </w:rPr>
      </w:pPr>
    </w:p>
    <w:p>
      <w:pPr>
        <w:ind w:left="980" w:right="24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 the creation of an ecosystem of customers, partners and collaborators whose expertise and offerings complement and enhance the power and utility of our products.</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proprietary engineered NP technology to analyze molecules beyond proteins.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5" w:lineRule="exact"/>
        <w:rPr>
          <w:sz w:val="20"/>
          <w:szCs w:val="20"/>
          <w:color w:val="auto"/>
        </w:rPr>
      </w:pPr>
    </w:p>
    <w:p>
      <w:pPr>
        <w:ind w:left="340" w:right="20" w:firstLine="324"/>
        <w:spacing w:after="0" w:line="342" w:lineRule="auto"/>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70" w:lineRule="exact"/>
        <w:rPr>
          <w:sz w:val="20"/>
          <w:szCs w:val="20"/>
          <w:color w:val="auto"/>
        </w:rPr>
      </w:pPr>
    </w:p>
    <w:p>
      <w:pPr>
        <w:ind w:left="980" w:right="4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980" w:right="18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ectPr>
          <w:pgSz w:w="11900" w:h="16838" w:orient="portrait"/>
          <w:cols w:equalWidth="0" w:num="1">
            <w:col w:w="10120"/>
          </w:cols>
          <w:pgMar w:left="660" w:top="12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20"/>
          </w:cols>
          <w:pgMar w:left="660" w:top="121" w:right="11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402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14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980" w:right="260" w:hanging="322"/>
        <w:spacing w:after="0" w:line="30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92" w:lineRule="exact"/>
        <w:rPr>
          <w:rFonts w:ascii="Arial" w:cs="Arial" w:eastAsia="Arial" w:hAnsi="Arial"/>
          <w:sz w:val="17"/>
          <w:szCs w:val="17"/>
          <w:color w:val="auto"/>
        </w:rPr>
      </w:pPr>
    </w:p>
    <w:p>
      <w:pPr>
        <w:ind w:left="980" w:right="1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980" w:right="6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980" w:right="40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980" w:right="1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980" w:right="420" w:hanging="322"/>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rFonts w:ascii="Arial" w:cs="Arial" w:eastAsia="Arial" w:hAnsi="Arial"/>
          <w:sz w:val="18"/>
          <w:szCs w:val="18"/>
          <w:color w:val="auto"/>
        </w:rPr>
      </w:pPr>
    </w:p>
    <w:p>
      <w:pPr>
        <w:ind w:left="980" w:right="80" w:hanging="322"/>
        <w:spacing w:after="0" w:line="30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left="340" w:right="20" w:firstLine="324"/>
        <w:spacing w:after="0" w:line="301" w:lineRule="auto"/>
        <w:rPr>
          <w:sz w:val="20"/>
          <w:szCs w:val="20"/>
          <w:color w:val="auto"/>
        </w:rPr>
      </w:pPr>
      <w:r>
        <w:rPr>
          <w:rFonts w:ascii="Arial" w:cs="Arial" w:eastAsia="Arial" w:hAnsi="Arial"/>
          <w:sz w:val="16"/>
          <w:szCs w:val="16"/>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3" w:lineRule="exact"/>
        <w:rPr>
          <w:sz w:val="20"/>
          <w:szCs w:val="20"/>
          <w:color w:val="auto"/>
        </w:rPr>
      </w:pPr>
    </w:p>
    <w:p>
      <w:pPr>
        <w:ind w:left="340" w:firstLine="324"/>
        <w:spacing w:after="0" w:line="273" w:lineRule="auto"/>
        <w:rPr>
          <w:sz w:val="20"/>
          <w:szCs w:val="20"/>
          <w:color w:val="auto"/>
        </w:rPr>
      </w:pPr>
      <w:r>
        <w:rPr>
          <w:rFonts w:ascii="Arial" w:cs="Arial" w:eastAsia="Arial" w:hAnsi="Arial"/>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w:t>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20"/>
          </w:cols>
          <w:pgMar w:left="660" w:top="121" w:right="10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270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70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27" w:lineRule="exact"/>
        <w:rPr>
          <w:sz w:val="20"/>
          <w:szCs w:val="20"/>
          <w:color w:val="auto"/>
        </w:rPr>
      </w:pPr>
    </w:p>
    <w:p>
      <w:pPr>
        <w:ind w:left="340" w:right="240" w:firstLine="324"/>
        <w:spacing w:after="0" w:line="286" w:lineRule="auto"/>
        <w:rPr>
          <w:sz w:val="20"/>
          <w:szCs w:val="20"/>
          <w:color w:val="auto"/>
        </w:rPr>
      </w:pPr>
      <w:r>
        <w:rPr>
          <w:rFonts w:ascii="Arial" w:cs="Arial" w:eastAsia="Arial" w:hAnsi="Arial"/>
          <w:sz w:val="17"/>
          <w:szCs w:val="17"/>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660" w:top="121" w:right="10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518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51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00"/>
          </w:cols>
          <w:pgMar w:left="660" w:top="121" w:right="1039" w:bottom="1440" w:gutter="0" w:footer="0" w:header="0"/>
        </w:sect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offered by us in this offering</w:t>
      </w:r>
    </w:p>
    <w:p>
      <w:pPr>
        <w:spacing w:after="0" w:line="77" w:lineRule="exact"/>
        <w:rPr>
          <w:sz w:val="20"/>
          <w:szCs w:val="20"/>
          <w:color w:val="auto"/>
        </w:rPr>
      </w:pPr>
    </w:p>
    <w:p>
      <w:pPr>
        <w:ind w:left="520" w:hanging="161"/>
        <w:spacing w:after="0" w:line="235"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9,210,527 shares</w:t>
      </w:r>
    </w:p>
    <w:p>
      <w:pPr>
        <w:spacing w:after="0" w:line="77" w:lineRule="exact"/>
        <w:rPr>
          <w:sz w:val="20"/>
          <w:szCs w:val="20"/>
          <w:color w:val="auto"/>
        </w:rPr>
      </w:pPr>
    </w:p>
    <w:p>
      <w:pPr>
        <w:jc w:val="both"/>
        <w:ind w:right="240"/>
        <w:spacing w:after="0" w:line="237" w:lineRule="auto"/>
        <w:rPr>
          <w:sz w:val="20"/>
          <w:szCs w:val="20"/>
          <w:color w:val="auto"/>
        </w:rPr>
      </w:pPr>
      <w:r>
        <w:rPr>
          <w:rFonts w:ascii="Arial" w:cs="Arial" w:eastAsia="Arial" w:hAnsi="Arial"/>
          <w:sz w:val="17"/>
          <w:szCs w:val="17"/>
          <w:color w:val="auto"/>
        </w:rPr>
        <w:t>The underwriters have been granted an option to purchase up to 1,381,579 additional shares of Class A common stock from us at any time within 30 days from the date of this prospectus.</w:t>
      </w:r>
    </w:p>
    <w:p>
      <w:pPr>
        <w:spacing w:after="0" w:line="55" w:lineRule="exact"/>
        <w:rPr>
          <w:sz w:val="20"/>
          <w:szCs w:val="20"/>
          <w:color w:val="auto"/>
        </w:rPr>
      </w:pPr>
    </w:p>
    <w:p>
      <w:pPr>
        <w:sectPr>
          <w:pgSz w:w="11900" w:h="16838" w:orient="portrait"/>
          <w:cols w:equalWidth="0" w:num="2">
            <w:col w:w="4800" w:space="500"/>
            <w:col w:w="4900"/>
          </w:cols>
          <w:pgMar w:left="660" w:top="121" w:right="10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Class A common stock to be sold in concurrent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161"/>
        <w:spacing w:after="0" w:line="235" w:lineRule="auto"/>
        <w:rPr>
          <w:sz w:val="20"/>
          <w:szCs w:val="20"/>
          <w:color w:val="auto"/>
        </w:rPr>
      </w:pPr>
      <w:r>
        <w:rPr>
          <w:rFonts w:ascii="Arial" w:cs="Arial" w:eastAsia="Arial" w:hAnsi="Arial"/>
          <w:sz w:val="18"/>
          <w:szCs w:val="18"/>
          <w:color w:val="auto"/>
        </w:rPr>
        <w:t>Voluntary conversion of certain shares of Class B common stock to Class A common stock</w:t>
      </w:r>
    </w:p>
    <w:p>
      <w:pPr>
        <w:spacing w:after="0" w:line="200" w:lineRule="exact"/>
        <w:rPr>
          <w:sz w:val="20"/>
          <w:szCs w:val="20"/>
          <w:color w:val="auto"/>
        </w:rPr>
      </w:pPr>
    </w:p>
    <w:p>
      <w:pPr>
        <w:spacing w:after="0" w:line="380" w:lineRule="exact"/>
        <w:rPr>
          <w:sz w:val="20"/>
          <w:szCs w:val="20"/>
          <w:color w:val="auto"/>
        </w:rPr>
      </w:pPr>
    </w:p>
    <w:p>
      <w:pPr>
        <w:ind w:left="520" w:right="20" w:hanging="161"/>
        <w:spacing w:after="0" w:line="224" w:lineRule="auto"/>
        <w:rPr>
          <w:sz w:val="20"/>
          <w:szCs w:val="20"/>
          <w:color w:val="auto"/>
        </w:rPr>
      </w:pPr>
      <w:r>
        <w:rPr>
          <w:rFonts w:ascii="Arial" w:cs="Arial" w:eastAsia="Arial" w:hAnsi="Arial"/>
          <w:sz w:val="18"/>
          <w:szCs w:val="18"/>
          <w:color w:val="auto"/>
        </w:rPr>
        <w:t>Class A common stock to be outstanding after this offering and the concurrent private placement, secondary transaction and voluntary conversion</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6"/>
          <w:szCs w:val="16"/>
          <w:color w:val="auto"/>
        </w:rPr>
        <w:t>Immediately subsequent to the closing of this offering, each of Fidelity Management &amp; Research Company LLC, SoftBank, certain funds and accounts advised by T. Rowe Price Associates, Inc. and aMoon Fund will purchase from us, severally and not jointly, in a private placement $135.0 million of our Class A common stock at a price per share equal to the initial public offering price of</w:t>
      </w:r>
    </w:p>
    <w:p>
      <w:pPr>
        <w:spacing w:after="0" w:line="2" w:lineRule="exact"/>
        <w:rPr>
          <w:sz w:val="20"/>
          <w:szCs w:val="20"/>
          <w:color w:val="auto"/>
        </w:rPr>
      </w:pPr>
    </w:p>
    <w:p>
      <w:pPr>
        <w:ind w:right="200"/>
        <w:spacing w:after="0" w:line="215" w:lineRule="auto"/>
        <w:rPr>
          <w:sz w:val="20"/>
          <w:szCs w:val="20"/>
          <w:color w:val="auto"/>
        </w:rPr>
      </w:pPr>
      <w:r>
        <w:rPr>
          <w:rFonts w:ascii="Arial" w:cs="Arial" w:eastAsia="Arial" w:hAnsi="Arial"/>
          <w:sz w:val="17"/>
          <w:szCs w:val="17"/>
          <w:color w:val="auto"/>
        </w:rPr>
        <w:t>$19.00 per share. Each of Fidelity Management &amp; Research Company LLC, SoftBank and certain funds and accounts advised by T. Rowe Price Associates, Inc. would each</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purchase 2,105,263 shares of our Class A common stock and aMoon Fund would purchase 789,473 shares of our Class A common stock, for an aggregate of 7,105,262 shares of our Class A common stock. We will pay J.P. Morgan Securities LLC, Morgan Stanley &amp; Co. LLC, BofA Securities Inc. and Cowen and Company, LLC an aggregate commission of $4.725 million with respect to the shares that are sold in the private placement. The sale of the shares in the private placement is contingent upon the completion of this offering. The sale of these shares will not be registered in this offering and will be subject to a lock-up agreement with the underwriters for a period of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219"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In addition, SoftBank has agreed to purchase 526,315 shares of our Class A common stock from Dynamics Group LLC, for which our Chief Executive Officer, Omid Farokhzad, M.D., is the sole member, at a price per share equal to the initial public offering price, which will concurrently close with the private placement. We refer to the sale of these shares of Class A common stock by Dynamics Group LLC as the secondary transaction.</w:t>
      </w:r>
    </w:p>
    <w:p>
      <w:pPr>
        <w:spacing w:after="0" w:line="5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OCF 2014 Trust, an entity affiliated with Dr. Farokhzad, has agreed to convert 2,803,737 shares of Class B common stock to an equal amount of Class A common stock contingent upon, and immediately prior to, the completion of this offering. We refer to this conversion as the voluntary conversion.</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51,969,184 shares (or 53,350,763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5200" w:space="100"/>
            <w:col w:w="4900"/>
          </w:cols>
          <w:pgMar w:left="66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00"/>
          </w:cols>
          <w:pgMar w:left="660" w:top="121" w:right="103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5156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156200"/>
                    </a:xfrm>
                    <a:prstGeom prst="rect">
                      <a:avLst/>
                    </a:prstGeom>
                    <a:noFill/>
                  </pic:spPr>
                </pic:pic>
              </a:graphicData>
            </a:graphic>
          </wp:anchor>
        </w:drawing>
      </w:r>
    </w:p>
    <w:p>
      <w:pPr>
        <w:sectPr>
          <w:pgSz w:w="11900" w:h="16838" w:orient="portrait"/>
          <w:cols w:equalWidth="0" w:num="1">
            <w:col w:w="10200"/>
          </w:cols>
          <w:pgMar w:left="66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hanging="161"/>
        <w:spacing w:after="0" w:line="224" w:lineRule="auto"/>
        <w:rPr>
          <w:sz w:val="20"/>
          <w:szCs w:val="20"/>
          <w:color w:val="auto"/>
        </w:rPr>
      </w:pPr>
      <w:r>
        <w:rPr>
          <w:rFonts w:ascii="Arial" w:cs="Arial" w:eastAsia="Arial" w:hAnsi="Arial"/>
          <w:sz w:val="18"/>
          <w:szCs w:val="18"/>
          <w:color w:val="auto"/>
        </w:rPr>
        <w:t>Class B common stock to be outstanding after this offering and the concurrent private placement, secondary transaction and voluntary conversion</w:t>
      </w:r>
    </w:p>
    <w:p>
      <w:pPr>
        <w:spacing w:after="0" w:line="55" w:lineRule="exact"/>
        <w:rPr>
          <w:sz w:val="20"/>
          <w:szCs w:val="20"/>
          <w:color w:val="auto"/>
        </w:rPr>
      </w:pPr>
    </w:p>
    <w:p>
      <w:pPr>
        <w:ind w:left="520" w:right="320" w:hanging="161"/>
        <w:spacing w:after="0" w:line="259" w:lineRule="auto"/>
        <w:rPr>
          <w:sz w:val="20"/>
          <w:szCs w:val="20"/>
          <w:color w:val="auto"/>
        </w:rPr>
      </w:pPr>
      <w:r>
        <w:rPr>
          <w:rFonts w:ascii="Arial" w:cs="Arial" w:eastAsia="Arial" w:hAnsi="Arial"/>
          <w:sz w:val="16"/>
          <w:szCs w:val="16"/>
          <w:color w:val="auto"/>
        </w:rPr>
        <w:t>Total Class A common stock and Class B common stock to be outstanding after this offering and the concurrent private placement, secondary transaction and voluntary conversion</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6,015,732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57,984,916 shares</w:t>
      </w:r>
    </w:p>
    <w:p>
      <w:pPr>
        <w:spacing w:after="0" w:line="77"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We estimate that the net proceeds to us from this offering and the concurrent private placement will be approximately $290.0 million (or approximately $314.4 million if the underwriters exercise their option to purchase additional shares in full), after deducting the underwriting discounts and commissions and estimated offering expenses payable by us.</w:t>
      </w:r>
    </w:p>
    <w:p>
      <w:pPr>
        <w:spacing w:after="0" w:line="5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principal purposes of this offering and the concurrent private placement are to obtain additional capital to support our operations, establish a public market for our Class A common stock and facilitate our future access to the public capital markets.</w:t>
      </w:r>
    </w:p>
    <w:p>
      <w:pPr>
        <w:spacing w:after="0" w:line="4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currently intend to use the net proceeds from this offering and the concurrent private placement, together with our existing cash, to commercialize our Proteograph Product Suite through our ongoing sales and marketing activities, and for other development work associated with advancing our Proteograph Product Suite, research and development and general corporate purposes.</w:t>
      </w:r>
    </w:p>
    <w:p>
      <w:pPr>
        <w:spacing w:after="0" w:line="16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60"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See “Risk Factors” beginning on page 19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5160" w:space="140"/>
            <w:col w:w="4900"/>
          </w:cols>
          <w:pgMar w:left="66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00"/>
          </w:cols>
          <w:pgMar w:left="660" w:top="121" w:right="10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093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Class A common stock are entitled to one vote per share.</w:t>
      </w:r>
    </w:p>
    <w:p>
      <w:pPr>
        <w:spacing w:after="0" w:line="13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Shares of Class B common stock are entitled to ten votes per share.</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Holders of our Class A common stock and Class B common stock</w:t>
      </w:r>
    </w:p>
    <w:p>
      <w:pPr>
        <w:ind w:left="5300"/>
        <w:spacing w:after="0" w:line="224" w:lineRule="auto"/>
        <w:rPr>
          <w:sz w:val="20"/>
          <w:szCs w:val="20"/>
          <w:color w:val="auto"/>
        </w:rPr>
      </w:pPr>
      <w:r>
        <w:rPr>
          <w:rFonts w:ascii="Arial" w:cs="Arial" w:eastAsia="Arial" w:hAnsi="Arial"/>
          <w:sz w:val="17"/>
          <w:szCs w:val="17"/>
          <w:color w:val="auto"/>
        </w:rPr>
        <w:t>will generally vote together as a single class, unless otherwise</w:t>
      </w:r>
    </w:p>
    <w:p>
      <w:pPr>
        <w:ind w:left="5300"/>
        <w:spacing w:after="0" w:line="204" w:lineRule="auto"/>
        <w:rPr>
          <w:sz w:val="20"/>
          <w:szCs w:val="20"/>
          <w:color w:val="auto"/>
        </w:rPr>
      </w:pPr>
      <w:r>
        <w:rPr>
          <w:rFonts w:ascii="Arial" w:cs="Arial" w:eastAsia="Arial" w:hAnsi="Arial"/>
          <w:sz w:val="18"/>
          <w:szCs w:val="18"/>
          <w:color w:val="auto"/>
        </w:rPr>
        <w:t>required by law or our amended and restated certificate of</w:t>
      </w:r>
    </w:p>
    <w:p>
      <w:pPr>
        <w:ind w:left="5300"/>
        <w:spacing w:after="0" w:line="215" w:lineRule="auto"/>
        <w:rPr>
          <w:sz w:val="20"/>
          <w:szCs w:val="20"/>
          <w:color w:val="auto"/>
        </w:rPr>
      </w:pPr>
      <w:r>
        <w:rPr>
          <w:rFonts w:ascii="Arial" w:cs="Arial" w:eastAsia="Arial" w:hAnsi="Arial"/>
          <w:sz w:val="17"/>
          <w:szCs w:val="17"/>
          <w:color w:val="auto"/>
        </w:rPr>
        <w:t>incorporation. Upon completion of this offering, the concurrent</w:t>
      </w:r>
    </w:p>
    <w:p>
      <w:pPr>
        <w:ind w:left="5300"/>
        <w:spacing w:after="0" w:line="216" w:lineRule="auto"/>
        <w:rPr>
          <w:sz w:val="20"/>
          <w:szCs w:val="20"/>
          <w:color w:val="auto"/>
        </w:rPr>
      </w:pPr>
      <w:r>
        <w:rPr>
          <w:rFonts w:ascii="Arial" w:cs="Arial" w:eastAsia="Arial" w:hAnsi="Arial"/>
          <w:sz w:val="17"/>
          <w:szCs w:val="17"/>
          <w:color w:val="auto"/>
        </w:rPr>
        <w:t>private placement, the secondary transaction and the voluntary</w:t>
      </w:r>
    </w:p>
    <w:p>
      <w:pPr>
        <w:ind w:left="5300"/>
        <w:spacing w:after="0" w:line="215" w:lineRule="auto"/>
        <w:rPr>
          <w:sz w:val="20"/>
          <w:szCs w:val="20"/>
          <w:color w:val="auto"/>
        </w:rPr>
      </w:pPr>
      <w:r>
        <w:rPr>
          <w:rFonts w:ascii="Arial" w:cs="Arial" w:eastAsia="Arial" w:hAnsi="Arial"/>
          <w:sz w:val="17"/>
          <w:szCs w:val="17"/>
          <w:color w:val="auto"/>
        </w:rPr>
        <w:t>conversion, holders of our outstanding Class B common stock,</w:t>
      </w:r>
    </w:p>
    <w:p>
      <w:pPr>
        <w:ind w:left="5300"/>
        <w:spacing w:after="0" w:line="204" w:lineRule="auto"/>
        <w:rPr>
          <w:sz w:val="20"/>
          <w:szCs w:val="20"/>
          <w:color w:val="auto"/>
        </w:rPr>
      </w:pPr>
      <w:r>
        <w:rPr>
          <w:rFonts w:ascii="Arial" w:cs="Arial" w:eastAsia="Arial" w:hAnsi="Arial"/>
          <w:sz w:val="18"/>
          <w:szCs w:val="18"/>
          <w:color w:val="auto"/>
        </w:rPr>
        <w:t>which includes our Chief Executive Officer, will hold</w:t>
      </w:r>
    </w:p>
    <w:p>
      <w:pPr>
        <w:ind w:left="5300"/>
        <w:spacing w:after="0" w:line="228" w:lineRule="auto"/>
        <w:rPr>
          <w:sz w:val="20"/>
          <w:szCs w:val="20"/>
          <w:color w:val="auto"/>
        </w:rPr>
      </w:pPr>
      <w:r>
        <w:rPr>
          <w:rFonts w:ascii="Arial" w:cs="Arial" w:eastAsia="Arial" w:hAnsi="Arial"/>
          <w:sz w:val="16"/>
          <w:szCs w:val="16"/>
          <w:color w:val="auto"/>
        </w:rPr>
        <w:t>approximately 53.7% of the voting power of our outstanding capital</w:t>
      </w:r>
    </w:p>
    <w:p>
      <w:pPr>
        <w:ind w:left="5300"/>
        <w:spacing w:after="0" w:line="216" w:lineRule="auto"/>
        <w:rPr>
          <w:sz w:val="20"/>
          <w:szCs w:val="20"/>
          <w:color w:val="auto"/>
        </w:rPr>
      </w:pPr>
      <w:r>
        <w:rPr>
          <w:rFonts w:ascii="Arial" w:cs="Arial" w:eastAsia="Arial" w:hAnsi="Arial"/>
          <w:sz w:val="17"/>
          <w:szCs w:val="17"/>
          <w:color w:val="auto"/>
        </w:rPr>
        <w:t>stock and will have the ability to control the outcome of matters</w:t>
      </w:r>
    </w:p>
    <w:p>
      <w:pPr>
        <w:ind w:left="5300"/>
        <w:spacing w:after="0" w:line="229" w:lineRule="auto"/>
        <w:rPr>
          <w:sz w:val="20"/>
          <w:szCs w:val="20"/>
          <w:color w:val="auto"/>
        </w:rPr>
      </w:pPr>
      <w:r>
        <w:rPr>
          <w:rFonts w:ascii="Arial" w:cs="Arial" w:eastAsia="Arial" w:hAnsi="Arial"/>
          <w:sz w:val="16"/>
          <w:szCs w:val="16"/>
          <w:color w:val="auto"/>
        </w:rPr>
        <w:t>submitted to our stockholders for approval, including the election of</w:t>
      </w:r>
    </w:p>
    <w:p>
      <w:pPr>
        <w:ind w:left="5300"/>
        <w:spacing w:after="0" w:line="229" w:lineRule="auto"/>
        <w:rPr>
          <w:sz w:val="20"/>
          <w:szCs w:val="20"/>
          <w:color w:val="auto"/>
        </w:rPr>
      </w:pPr>
      <w:r>
        <w:rPr>
          <w:rFonts w:ascii="Arial" w:cs="Arial" w:eastAsia="Arial" w:hAnsi="Arial"/>
          <w:sz w:val="16"/>
          <w:szCs w:val="16"/>
          <w:color w:val="auto"/>
        </w:rPr>
        <w:t>our directors, amendments of our organizational documents and any</w:t>
      </w:r>
    </w:p>
    <w:p>
      <w:pPr>
        <w:ind w:left="5300"/>
        <w:spacing w:after="0" w:line="229" w:lineRule="auto"/>
        <w:rPr>
          <w:sz w:val="20"/>
          <w:szCs w:val="20"/>
          <w:color w:val="auto"/>
        </w:rPr>
      </w:pPr>
      <w:r>
        <w:rPr>
          <w:rFonts w:ascii="Arial" w:cs="Arial" w:eastAsia="Arial" w:hAnsi="Arial"/>
          <w:sz w:val="16"/>
          <w:szCs w:val="16"/>
          <w:color w:val="auto"/>
        </w:rPr>
        <w:t>merger, consolidation, sale of all or substantially all of our assets or</w:t>
      </w:r>
    </w:p>
    <w:p>
      <w:pPr>
        <w:ind w:left="5300"/>
        <w:spacing w:after="0" w:line="229" w:lineRule="auto"/>
        <w:rPr>
          <w:sz w:val="20"/>
          <w:szCs w:val="20"/>
          <w:color w:val="auto"/>
        </w:rPr>
      </w:pPr>
      <w:r>
        <w:rPr>
          <w:rFonts w:ascii="Arial" w:cs="Arial" w:eastAsia="Arial" w:hAnsi="Arial"/>
          <w:sz w:val="16"/>
          <w:szCs w:val="16"/>
          <w:color w:val="auto"/>
        </w:rPr>
        <w:t>other major corporate transactions. See the sections titled “Principal</w:t>
      </w:r>
    </w:p>
    <w:p>
      <w:pPr>
        <w:ind w:left="5300"/>
        <w:spacing w:after="0" w:line="215" w:lineRule="auto"/>
        <w:rPr>
          <w:sz w:val="20"/>
          <w:szCs w:val="20"/>
          <w:color w:val="auto"/>
        </w:rPr>
      </w:pPr>
      <w:r>
        <w:rPr>
          <w:rFonts w:ascii="Arial" w:cs="Arial" w:eastAsia="Arial" w:hAnsi="Arial"/>
          <w:sz w:val="17"/>
          <w:szCs w:val="17"/>
          <w:color w:val="auto"/>
        </w:rPr>
        <w:t>Stockholders” and “Description of Capital Stock” for additional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information.</w:t>
      </w:r>
    </w:p>
    <w:p>
      <w:pPr>
        <w:spacing w:after="0" w:line="61"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Nasdaq Global Select Market trading symbol</w:t>
      </w:r>
      <w:r>
        <w:rPr>
          <w:sz w:val="20"/>
          <w:szCs w:val="20"/>
          <w:color w:val="auto"/>
        </w:rPr>
        <w:tab/>
      </w:r>
      <w:r>
        <w:rPr>
          <w:rFonts w:ascii="Arial" w:cs="Arial" w:eastAsia="Arial" w:hAnsi="Arial"/>
          <w:sz w:val="17"/>
          <w:szCs w:val="17"/>
          <w:color w:val="auto"/>
        </w:rPr>
        <w:t>“SEER”</w:t>
      </w:r>
    </w:p>
    <w:p>
      <w:pPr>
        <w:spacing w:after="0" w:line="171" w:lineRule="exact"/>
        <w:rPr>
          <w:sz w:val="20"/>
          <w:szCs w:val="20"/>
          <w:color w:val="auto"/>
        </w:rPr>
      </w:pPr>
    </w:p>
    <w:p>
      <w:pPr>
        <w:ind w:left="340" w:right="200" w:firstLine="324"/>
        <w:spacing w:after="0" w:line="259" w:lineRule="auto"/>
        <w:rPr>
          <w:sz w:val="20"/>
          <w:szCs w:val="20"/>
          <w:color w:val="auto"/>
        </w:rPr>
      </w:pPr>
      <w:r>
        <w:rPr>
          <w:rFonts w:ascii="Arial" w:cs="Arial" w:eastAsia="Arial" w:hAnsi="Arial"/>
          <w:sz w:val="18"/>
          <w:szCs w:val="18"/>
          <w:color w:val="auto"/>
        </w:rPr>
        <w:t>The number of shares of our common stock that will be outstanding after this offering, the concurrent private placement, the secondary transaction and voluntary conversion is based on 32,323,343 shares of our Class A common stock (after giving effect to the conversion of all of our shares of convertible preferred stock) and 9,345,784 shares of our Class B common stock outstanding as of September 30, 2020, and excludes the following:</w:t>
      </w:r>
    </w:p>
    <w:p>
      <w:pPr>
        <w:spacing w:after="0" w:line="133" w:lineRule="exact"/>
        <w:rPr>
          <w:sz w:val="20"/>
          <w:szCs w:val="20"/>
          <w:color w:val="auto"/>
        </w:rPr>
      </w:pPr>
    </w:p>
    <w:p>
      <w:pPr>
        <w:ind w:left="980" w:hanging="322"/>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92" w:lineRule="exact"/>
        <w:rPr>
          <w:rFonts w:ascii="Arial" w:cs="Arial" w:eastAsia="Arial" w:hAnsi="Arial"/>
          <w:sz w:val="17"/>
          <w:szCs w:val="17"/>
          <w:color w:val="auto"/>
        </w:rPr>
      </w:pPr>
    </w:p>
    <w:p>
      <w:pPr>
        <w:ind w:left="980" w:right="12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16" w:lineRule="exact"/>
        <w:rPr>
          <w:rFonts w:ascii="Arial" w:cs="Arial" w:eastAsia="Arial" w:hAnsi="Arial"/>
          <w:sz w:val="18"/>
          <w:szCs w:val="18"/>
          <w:color w:val="auto"/>
        </w:rPr>
      </w:pPr>
    </w:p>
    <w:p>
      <w:pPr>
        <w:ind w:left="980" w:right="50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restricted stock units (RSUs) outstanding as of September 30, 2020;</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46,728 shares of our Class A common stock issuable upon the vesting of RSUs granted after September 30, 2020; and</w:t>
      </w:r>
    </w:p>
    <w:p>
      <w:pPr>
        <w:spacing w:after="0" w:line="182" w:lineRule="exact"/>
        <w:rPr>
          <w:rFonts w:ascii="Arial" w:cs="Arial" w:eastAsia="Arial" w:hAnsi="Arial"/>
          <w:sz w:val="17"/>
          <w:szCs w:val="17"/>
          <w:color w:val="auto"/>
        </w:rPr>
      </w:pPr>
    </w:p>
    <w:p>
      <w:pPr>
        <w:ind w:left="980" w:hanging="322"/>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5,939,139 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1300" w:right="240" w:hanging="318"/>
        <w:spacing w:after="0" w:line="259"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4,819,859 shares of our Class A common stock to be reserved for future issuance under our 2020 Equity Incentive Plan (our 2020 Plan), which became effective prior to the completion of this offering, and any additional shares that become available under our 2020 Plan pursuant to provisions thereof that automatically increase the share reserve under the plan each year;</w:t>
      </w:r>
    </w:p>
    <w:p>
      <w:pPr>
        <w:spacing w:after="0" w:line="132" w:lineRule="exact"/>
        <w:rPr>
          <w:rFonts w:ascii="Arial" w:cs="Arial" w:eastAsia="Arial" w:hAnsi="Arial"/>
          <w:sz w:val="18"/>
          <w:szCs w:val="18"/>
          <w:color w:val="auto"/>
        </w:rPr>
      </w:pPr>
    </w:p>
    <w:p>
      <w:pPr>
        <w:jc w:val="both"/>
        <w:ind w:left="1300" w:right="160" w:hanging="318"/>
        <w:spacing w:after="0" w:line="311" w:lineRule="auto"/>
        <w:tabs>
          <w:tab w:leader="none" w:pos="1296" w:val="left"/>
        </w:tabs>
        <w:numPr>
          <w:ilvl w:val="1"/>
          <w:numId w:val="9"/>
        </w:numPr>
        <w:rPr>
          <w:rFonts w:ascii="Arial" w:cs="Arial" w:eastAsia="Arial" w:hAnsi="Arial"/>
          <w:sz w:val="16"/>
          <w:szCs w:val="16"/>
          <w:color w:val="auto"/>
        </w:rPr>
      </w:pPr>
      <w:r>
        <w:rPr>
          <w:rFonts w:ascii="Arial" w:cs="Arial" w:eastAsia="Arial" w:hAnsi="Arial"/>
          <w:sz w:val="16"/>
          <w:szCs w:val="16"/>
          <w:color w:val="auto"/>
        </w:rPr>
        <w:t>602,570 shares of common stock reserved for future issuance under our 2020 Employee Stock Purchase Plan (our ESPP) which became effective in connection with this offering, and any additional shares that become available under our ESPP pursuant to provisions thereof that automatically increase the share reserve under the plan each year; and</w:t>
      </w:r>
    </w:p>
    <w:p>
      <w:pPr>
        <w:spacing w:after="0" w:line="94" w:lineRule="exact"/>
        <w:rPr>
          <w:rFonts w:ascii="Arial" w:cs="Arial" w:eastAsia="Arial" w:hAnsi="Arial"/>
          <w:sz w:val="16"/>
          <w:szCs w:val="16"/>
          <w:color w:val="auto"/>
        </w:rPr>
      </w:pPr>
    </w:p>
    <w:p>
      <w:pPr>
        <w:ind w:left="1300" w:right="160" w:hanging="318"/>
        <w:spacing w:after="0" w:line="277"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516,710 shares of our Class A common stock reserved for future issuance under our 2017 Stock Incentive Plan (our 2017 Plan) (and no shares of our Class A common stock reserved for future</w:t>
      </w:r>
    </w:p>
    <w:p>
      <w:pPr>
        <w:sectPr>
          <w:pgSz w:w="11900" w:h="16838" w:orient="portrait"/>
          <w:cols w:equalWidth="0" w:num="1">
            <w:col w:w="10200"/>
          </w:cols>
          <w:pgMar w:left="66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00"/>
          </w:cols>
          <w:pgMar w:left="660" w:top="121" w:right="10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438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38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issuance under our 2020 RSU Equity Incentive Plan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71" w:lineRule="exact"/>
        <w:rPr>
          <w:sz w:val="20"/>
          <w:szCs w:val="20"/>
          <w:color w:val="auto"/>
        </w:rPr>
      </w:pPr>
    </w:p>
    <w:p>
      <w:pPr>
        <w:ind w:left="980" w:hanging="322"/>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1-for-2.14 reverse stock split of our common stock and convertible preferred stock that was effected on November 25, 2020;</w:t>
      </w:r>
    </w:p>
    <w:p>
      <w:pPr>
        <w:spacing w:after="0" w:line="194" w:lineRule="exact"/>
        <w:rPr>
          <w:rFonts w:ascii="Arial" w:cs="Arial" w:eastAsia="Arial" w:hAnsi="Arial"/>
          <w:sz w:val="16"/>
          <w:szCs w:val="16"/>
          <w:color w:val="auto"/>
        </w:rPr>
      </w:pPr>
    </w:p>
    <w:p>
      <w:pPr>
        <w:ind w:left="980" w:right="120" w:hanging="322"/>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voluntary conversion by OCF 2014 Trust, an entity affiliated with Omid Farokhzad, M.D., of 2,803,737 shares of Class B common stock to an equal amount of Class A common stock contingent upon, and immediately prior to, the completion of this offering;</w:t>
      </w:r>
    </w:p>
    <w:p>
      <w:pPr>
        <w:spacing w:after="0" w:line="129" w:lineRule="exact"/>
        <w:rPr>
          <w:rFonts w:ascii="Arial" w:cs="Arial" w:eastAsia="Arial" w:hAnsi="Arial"/>
          <w:sz w:val="18"/>
          <w:szCs w:val="18"/>
          <w:color w:val="auto"/>
        </w:rPr>
      </w:pPr>
    </w:p>
    <w:p>
      <w:pPr>
        <w:ind w:left="980" w:right="680" w:hanging="322"/>
        <w:spacing w:after="0" w:line="301"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29,026,787 shares of convertible preferred stock that will automatically convert into shares of Class A common stock immediately prior to the completion of this offering pursuant to the terms of our amended and restated certificate of incorporation; the filing and effectiveness of our amended and restated certificate of incorporation in Delaware and the effectiveness of our amended and restated bylaws will each occur immediately prior to the completion of this offering;</w:t>
      </w:r>
    </w:p>
    <w:p>
      <w:pPr>
        <w:spacing w:after="0" w:line="103" w:lineRule="exact"/>
        <w:rPr>
          <w:rFonts w:ascii="Arial" w:cs="Arial" w:eastAsia="Arial" w:hAnsi="Arial"/>
          <w:sz w:val="16"/>
          <w:szCs w:val="16"/>
          <w:color w:val="auto"/>
        </w:rPr>
      </w:pPr>
    </w:p>
    <w:p>
      <w:pPr>
        <w:ind w:left="980" w:right="52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issuance of an aggregate of 7,105,262 shares of our Class A common stock upon the closing of the concurrent private placement;</w:t>
      </w:r>
    </w:p>
    <w:p>
      <w:pPr>
        <w:spacing w:after="0" w:line="116" w:lineRule="exact"/>
        <w:rPr>
          <w:rFonts w:ascii="Arial" w:cs="Arial" w:eastAsia="Arial" w:hAnsi="Arial"/>
          <w:sz w:val="18"/>
          <w:szCs w:val="18"/>
          <w:color w:val="auto"/>
        </w:rPr>
      </w:pPr>
    </w:p>
    <w:p>
      <w:pPr>
        <w:ind w:left="980" w:right="12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526,315 shares of our Class B common stock into Class A common stock in connection with the sale of such shares in the secondary transaction;</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outstanding stock options or settlement of outstanding RSUs subsequent to September 30, 2020; and</w:t>
      </w:r>
    </w:p>
    <w:p>
      <w:pPr>
        <w:spacing w:after="0" w:line="182" w:lineRule="exact"/>
        <w:rPr>
          <w:rFonts w:ascii="Arial" w:cs="Arial" w:eastAsia="Arial" w:hAnsi="Arial"/>
          <w:sz w:val="17"/>
          <w:szCs w:val="17"/>
          <w:color w:val="auto"/>
        </w:rPr>
      </w:pPr>
    </w:p>
    <w:p>
      <w:pPr>
        <w:ind w:left="980" w:right="20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1,381,579 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660" w:top="121"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847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AND OTHER DATA</w:t>
      </w:r>
    </w:p>
    <w:p>
      <w:pPr>
        <w:spacing w:after="0" w:line="175"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4400" w:type="dxa"/>
        <w:tblCellMar>
          <w:top w:w="0" w:type="dxa"/>
          <w:left w:w="0" w:type="dxa"/>
          <w:bottom w:w="0" w:type="dxa"/>
          <w:right w:w="0" w:type="dxa"/>
        </w:tblCellMar>
      </w:tblPr>
      <w:tr>
        <w:trPr>
          <w:trHeight w:val="186"/>
        </w:trPr>
        <w:tc>
          <w:tcPr>
            <w:tcW w:w="294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6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spacing w:after="0"/>
              <w:rPr>
                <w:sz w:val="16"/>
                <w:szCs w:val="16"/>
                <w:color w:val="auto"/>
              </w:rPr>
            </w:pPr>
          </w:p>
        </w:tc>
        <w:tc>
          <w:tcPr>
            <w:tcW w:w="3460" w:type="dxa"/>
            <w:vAlign w:val="bottom"/>
            <w:gridSpan w:val="3"/>
          </w:tcPr>
          <w:p>
            <w:pPr>
              <w:jc w:val="right"/>
              <w:ind w:right="288"/>
              <w:spacing w:after="0"/>
              <w:rPr>
                <w:sz w:val="20"/>
                <w:szCs w:val="20"/>
                <w:color w:val="auto"/>
              </w:rPr>
            </w:pPr>
            <w:r>
              <w:rPr>
                <w:rFonts w:ascii="Arial" w:cs="Arial" w:eastAsia="Arial" w:hAnsi="Arial"/>
                <w:sz w:val="14"/>
                <w:szCs w:val="14"/>
                <w:i w:val="1"/>
                <w:iCs w:val="1"/>
                <w:color w:val="auto"/>
              </w:rPr>
              <w:t>(in thousands, except share and per share data)</w:t>
            </w:r>
          </w:p>
        </w:tc>
        <w:tc>
          <w:tcPr>
            <w:tcW w:w="1180" w:type="dxa"/>
            <w:vAlign w:val="bottom"/>
          </w:tcPr>
          <w:p>
            <w:pPr>
              <w:spacing w:after="0"/>
              <w:rPr>
                <w:sz w:val="16"/>
                <w:szCs w:val="16"/>
                <w:color w:val="auto"/>
              </w:rPr>
            </w:pPr>
          </w:p>
        </w:tc>
      </w:tr>
    </w:tbl>
    <w:p>
      <w:pPr>
        <w:spacing w:after="0" w:line="38" w:lineRule="exact"/>
        <w:rPr>
          <w:sz w:val="20"/>
          <w:szCs w:val="20"/>
          <w:color w:val="auto"/>
        </w:rPr>
      </w:pPr>
    </w:p>
    <w:p>
      <w:pPr>
        <w:sectPr>
          <w:pgSz w:w="11900" w:h="16838" w:orient="portrait"/>
          <w:cols w:equalWidth="0" w:num="1">
            <w:col w:w="10220"/>
          </w:cols>
          <w:pgMar w:left="660" w:top="121" w:right="1019" w:bottom="1440" w:gutter="0" w:footer="0" w:header="0"/>
        </w:sectPr>
      </w:pPr>
    </w:p>
    <w:tbl>
      <w:tblPr>
        <w:tblLayout w:type="fixed"/>
        <w:tblInd w:w="340" w:type="dxa"/>
        <w:tblCellMar>
          <w:top w:w="0" w:type="dxa"/>
          <w:left w:w="0" w:type="dxa"/>
          <w:bottom w:w="0" w:type="dxa"/>
          <w:right w:w="0" w:type="dxa"/>
        </w:tblCellMar>
      </w:tblP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20"/>
              <w:spacing w:after="0" w:line="25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common shares outstanding, basic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4"/>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180"/>
              <w:spacing w:after="0" w:line="211"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79"/>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358"/>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jc w:val="right"/>
              <w:ind w:right="73"/>
              <w:spacing w:after="0"/>
              <w:rPr>
                <w:sz w:val="20"/>
                <w:szCs w:val="20"/>
                <w:color w:val="auto"/>
              </w:rPr>
            </w:pPr>
            <w:r>
              <w:rPr>
                <w:rFonts w:ascii="Arial" w:cs="Arial" w:eastAsia="Arial" w:hAnsi="Arial"/>
                <w:sz w:val="18"/>
                <w:szCs w:val="18"/>
                <w:color w:val="auto"/>
                <w:w w:val="89"/>
              </w:rPr>
              <w:t>3,973,329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21,454,787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0"/>
        </w:trPr>
        <w:tc>
          <w:tcPr>
            <w:tcW w:w="23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9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2">
            <w:col w:w="4500" w:space="460"/>
            <w:col w:w="5260"/>
          </w:cols>
          <w:pgMar w:left="660" w:top="121" w:right="1019" w:bottom="1440" w:gutter="0" w:footer="0" w:header="0"/>
          <w:type w:val="continuous"/>
        </w:sectPr>
      </w:pPr>
    </w:p>
    <w:tbl>
      <w:tblPr>
        <w:tblLayout w:type="fixed"/>
        <w:tblInd w:w="32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20"/>
          </w:cols>
          <w:pgMar w:left="660" w:top="121" w:right="10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407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07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300" w:hanging="326"/>
        <w:spacing w:after="0" w:line="312"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1"/>
                <w:szCs w:val="11"/>
                <w:color w:val="auto"/>
              </w:rPr>
            </w:pPr>
          </w:p>
        </w:tc>
        <w:tc>
          <w:tcPr>
            <w:tcW w:w="130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180" w:type="dxa"/>
            <w:vAlign w:val="bottom"/>
          </w:tcPr>
          <w:p>
            <w:pPr>
              <w:spacing w:after="0"/>
              <w:rPr>
                <w:sz w:val="11"/>
                <w:szCs w:val="11"/>
                <w:color w:val="auto"/>
              </w:rPr>
            </w:pPr>
          </w:p>
        </w:tc>
        <w:tc>
          <w:tcPr>
            <w:tcW w:w="120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121,506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411,552</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117,451</w:t>
            </w:r>
          </w:p>
        </w:tc>
        <w:tc>
          <w:tcPr>
            <w:tcW w:w="30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117,451</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408,592</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133,890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422,767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8,354</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8,354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(42,600)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125,536</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125,536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415,508</w:t>
            </w: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80" w:hanging="326"/>
        <w:spacing w:after="0" w:line="241"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column in the balance sheet data table above reflects (i) the automatic conversion of all shares of our convertible preferred stock into 29,026,787 shares of Class A common stock, as if such conversions had occurred on September 30, 2020, and (ii) 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w:t>
      </w:r>
    </w:p>
    <w:p>
      <w:pPr>
        <w:spacing w:after="0" w:line="1" w:lineRule="exact"/>
        <w:rPr>
          <w:rFonts w:ascii="Arial" w:cs="Arial" w:eastAsia="Arial" w:hAnsi="Arial"/>
          <w:sz w:val="14"/>
          <w:szCs w:val="14"/>
          <w:color w:val="auto"/>
        </w:rPr>
      </w:pPr>
    </w:p>
    <w:p>
      <w:pPr>
        <w:ind w:left="660" w:right="40" w:hanging="326"/>
        <w:spacing w:after="0" w:line="241"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as adjusted column in the balance sheet data table above gives effect to (i) the pro forma adjustments set forth above and (ii) the receipt of $290.0 million in net proceeds from the sale and issuance by us of shares of our Class A common stock in this offering and the concurrent private placement, based upon the initial public offering price of $19.00 per share, and after deducting estimated underwriting discounts and commissions and estimated offering expenses payable by us.</w:t>
      </w:r>
    </w:p>
    <w:p>
      <w:pPr>
        <w:spacing w:after="0" w:line="1" w:lineRule="exact"/>
        <w:rPr>
          <w:rFonts w:ascii="Arial" w:cs="Arial" w:eastAsia="Arial" w:hAnsi="Arial"/>
          <w:sz w:val="14"/>
          <w:szCs w:val="14"/>
          <w:color w:val="auto"/>
        </w:rPr>
      </w:pPr>
    </w:p>
    <w:p>
      <w:pPr>
        <w:ind w:left="660" w:right="80" w:hanging="326"/>
        <w:spacing w:after="0" w:line="255"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660" w:top="121" w:right="1019" w:bottom="1440" w:gutter="0" w:footer="0" w:header="0"/>
        </w:sectPr>
      </w:pPr>
    </w:p>
    <w:bookmarkStart w:id="17" w:name="page18"/>
    <w:bookmarkEnd w:id="1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Terms Used in this Prospectus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Accuracy. </w:t>
      </w:r>
      <w:r>
        <w:rPr>
          <w:rFonts w:ascii="Arial" w:cs="Arial" w:eastAsia="Arial" w:hAnsi="Arial"/>
          <w:sz w:val="18"/>
          <w:szCs w:val="18"/>
          <w:color w:val="auto"/>
        </w:rPr>
        <w:t>In the context of proteomics studies, accuracy of measurement refers to how close the measured abundance of a protein is to the 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abundance in a sample.</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Biased. </w:t>
      </w:r>
      <w:r>
        <w:rPr>
          <w:rFonts w:ascii="Arial" w:cs="Arial" w:eastAsia="Arial" w:hAnsi="Arial"/>
          <w:sz w:val="17"/>
          <w:szCs w:val="17"/>
          <w:color w:val="auto"/>
        </w:rPr>
        <w:t>Biased refers to molecular analyses that depend upon specific ligands that are targeted to specific proteins in the case of biased proteomics,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In the context of proteomics studies, breadth of sampling refers to the number of proteins that are sampled in a proteomics study.</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Centralized. </w:t>
      </w:r>
      <w:r>
        <w:rPr>
          <w:rFonts w:ascii="Arial" w:cs="Arial" w:eastAsia="Arial" w:hAnsi="Arial"/>
          <w:sz w:val="18"/>
          <w:szCs w:val="18"/>
          <w:color w:val="auto"/>
        </w:rPr>
        <w:t>Centralized refers to a centralized laboratory in an institution where services, often highly technical or requiring specific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Consumables. </w:t>
      </w:r>
      <w:r>
        <w:rPr>
          <w:rFonts w:ascii="Arial" w:cs="Arial" w:eastAsia="Arial" w:hAnsi="Arial"/>
          <w:sz w:val="18"/>
          <w:szCs w:val="18"/>
          <w:color w:val="auto"/>
        </w:rPr>
        <w:t>Our consumables refer to the nanoparticle formulations, related reagents and disposable items in our assays that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to conduct proteomic assays using our Proteograph Product Suite.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Decentralized. </w:t>
      </w:r>
      <w:r>
        <w:rPr>
          <w:rFonts w:ascii="Arial" w:cs="Arial" w:eastAsia="Arial" w:hAnsi="Arial"/>
          <w:sz w:val="18"/>
          <w:szCs w:val="18"/>
          <w:color w:val="auto"/>
        </w:rPr>
        <w:t>Decentralized refers to a laboratory configuration in an institution where a specific technology, capabilities and equipment is dispersed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institution. Decentralized contrasts with centralized where technology, capabilities and/or equipment is centralized in an institution, often in a core laboratory.</w:t>
      </w:r>
    </w:p>
    <w:p>
      <w:pPr>
        <w:spacing w:after="0" w:line="13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Depth. </w:t>
      </w:r>
      <w:r>
        <w:rPr>
          <w:rFonts w:ascii="Arial" w:cs="Arial" w:eastAsia="Arial" w:hAnsi="Arial"/>
          <w:sz w:val="17"/>
          <w:szCs w:val="17"/>
          <w:color w:val="auto"/>
        </w:rPr>
        <w:t>In the context of proteomics studies, depth of coverage refers to the magnitude of the range of protein concentrations that are represented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Functional context/characterization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context/characterization, in the case of genes, refers to the details of how genes are hypothesized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 biologically, either directly or through the mRNA or protein molecules that derive from the genes. The interactions of these molecules produce a specific biological function.</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Genomics. </w:t>
      </w:r>
      <w:r>
        <w:rPr>
          <w:rFonts w:ascii="Arial" w:cs="Arial" w:eastAsia="Arial" w:hAnsi="Arial"/>
          <w:sz w:val="18"/>
          <w:szCs w:val="18"/>
          <w:color w:val="auto"/>
        </w:rPr>
        <w:t>Genomics refers to the study of all an organism’s genes and their interactions to influence the organism. Large-scale studies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how changes in an organism’s genes influence the organism.</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Instrument. </w:t>
      </w:r>
      <w:r>
        <w:rPr>
          <w:rFonts w:ascii="Arial" w:cs="Arial" w:eastAsia="Arial" w:hAnsi="Arial"/>
          <w:sz w:val="18"/>
          <w:szCs w:val="18"/>
          <w:color w:val="auto"/>
        </w:rPr>
        <w:t>In the context of our Proteograph, our instrument refers to the automated, robotic, liquid handling workstation that is used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consumables to conduct proteomic assays using our Proteograph Product Suite.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Interactome. </w:t>
      </w:r>
      <w:r>
        <w:rPr>
          <w:rFonts w:ascii="Arial" w:cs="Arial" w:eastAsia="Arial" w:hAnsi="Arial"/>
          <w:sz w:val="18"/>
          <w:szCs w:val="18"/>
          <w:color w:val="auto"/>
        </w:rPr>
        <w:t>Interactome refers to the broad set of interaction networks among molecules, such PPIs. Other interactions may include those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molecules and proteins.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Interrogation. </w:t>
      </w:r>
      <w:r>
        <w:rPr>
          <w:rFonts w:ascii="Arial" w:cs="Arial" w:eastAsia="Arial" w:hAnsi="Arial"/>
          <w:sz w:val="18"/>
          <w:szCs w:val="18"/>
          <w:color w:val="auto"/>
        </w:rPr>
        <w:t>In the context of our Proteograph, interrogation refers to analyses of one of more samples to explore the proteomic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in those samples.</w:t>
      </w:r>
    </w:p>
    <w:p>
      <w:pPr>
        <w:spacing w:after="0" w:line="116"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b w:val="1"/>
          <w:bCs w:val="1"/>
          <w:i w:val="1"/>
          <w:iCs w:val="1"/>
          <w:color w:val="auto"/>
        </w:rPr>
        <w:t xml:space="preserve">Large-scale. </w:t>
      </w:r>
      <w:r>
        <w:rPr>
          <w:rFonts w:ascii="Arial" w:cs="Arial" w:eastAsia="Arial" w:hAnsi="Arial"/>
          <w:sz w:val="17"/>
          <w:szCs w:val="17"/>
          <w:color w:val="auto"/>
        </w:rPr>
        <w:t>In the context of proteomics studies, large-scale refers to studies of more than 100 samples, given that most proteomics studies,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those that cover a wide range of protein concentrations (i.e. deep studies) are in the range of less than 50 samples.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-omics. </w:t>
      </w:r>
      <w:r>
        <w:rPr>
          <w:rFonts w:ascii="Arial" w:cs="Arial" w:eastAsia="Arial" w:hAnsi="Arial"/>
          <w:sz w:val="18"/>
          <w:szCs w:val="18"/>
          <w:color w:val="auto"/>
        </w:rPr>
        <w:t>This term refers to various different biological analyses approaches whereby researchers can analyze complex biological data, often in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21" w:right="379" w:bottom="1440" w:gutter="0" w:footer="0" w:header="0"/>
        </w:sectPr>
      </w:pPr>
    </w:p>
    <w:bookmarkStart w:id="18" w:name="page19"/>
    <w:bookmarkEnd w:id="1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Mass spectrometry (MS)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Mass spectrometry refers to an analytical technique that can be used to accurately measure the mass-to-charge ratio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1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i w:val="1"/>
          <w:iCs w:val="1"/>
          <w:color w:val="auto"/>
        </w:rPr>
        <w:t>Nanoparticle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Nanoparticle refers to a particle of matter that is generally tens to hundreds of nanometers in diameter. The small size of nanoparticles,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Peptide. </w:t>
      </w:r>
      <w:r>
        <w:rPr>
          <w:rFonts w:ascii="Arial" w:cs="Arial" w:eastAsia="Arial" w:hAnsi="Arial"/>
          <w:sz w:val="18"/>
          <w:szCs w:val="18"/>
          <w:color w:val="auto"/>
        </w:rPr>
        <w:t>Peptide refers to a chemical entity that is between two and 50 amino acids. A polypeptide that contains more than 50 amino acids is labelled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protein.</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Phenotype</w:t>
      </w:r>
      <w:r>
        <w:rPr>
          <w:rFonts w:ascii="Arial" w:cs="Arial" w:eastAsia="Arial" w:hAnsi="Arial"/>
          <w:sz w:val="18"/>
          <w:szCs w:val="18"/>
          <w:color w:val="auto"/>
        </w:rPr>
        <w:t>. Phenotype refers to the observable characteristics or traits of an organism, which can be manifested in form or structure by biochemical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 properties, or by behavior.</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Polymorphism. </w:t>
      </w:r>
      <w:r>
        <w:rPr>
          <w:rFonts w:ascii="Arial" w:cs="Arial" w:eastAsia="Arial" w:hAnsi="Arial"/>
          <w:sz w:val="16"/>
          <w:szCs w:val="16"/>
          <w:color w:val="auto"/>
        </w:rPr>
        <w:t>Polymorphism refers to the occurrence of two or more forms or morphs of genes that are seen across a population. Polymorphisms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Post-translational modifications (PTMs). </w:t>
      </w:r>
      <w:r>
        <w:rPr>
          <w:rFonts w:ascii="Arial" w:cs="Arial" w:eastAsia="Arial" w:hAnsi="Arial"/>
          <w:sz w:val="18"/>
          <w:szCs w:val="18"/>
          <w:color w:val="auto"/>
        </w:rPr>
        <w:t>Post-translational modifications refer to the covalent and generally enzymatic modifications of proteins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In the context of proteomics studies, precision of measurement refers to how close several measurements of protein abundance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are to each other.</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Protein. </w:t>
      </w:r>
      <w:r>
        <w:rPr>
          <w:rFonts w:ascii="Arial" w:cs="Arial" w:eastAsia="Arial" w:hAnsi="Arial"/>
          <w:sz w:val="18"/>
          <w:szCs w:val="18"/>
          <w:color w:val="auto"/>
        </w:rPr>
        <w:t>Protein refers to a polypeptide of more than 50 amino acids. Proteins conduct a vast array of functions within an organism,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Protein-protein interactions (PPIs). </w:t>
      </w:r>
      <w:r>
        <w:rPr>
          <w:rFonts w:ascii="Arial" w:cs="Arial" w:eastAsia="Arial" w:hAnsi="Arial"/>
          <w:sz w:val="18"/>
          <w:szCs w:val="18"/>
          <w:color w:val="auto"/>
        </w:rPr>
        <w:t>Protein-protein interactions refer to specific physical interactions between two or more proteins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physicochemical forces, and which are the result of molecular mechanisms that mediate biological function.</w:t>
      </w:r>
    </w:p>
    <w:p>
      <w:pPr>
        <w:spacing w:after="0" w:line="11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Protein variant. </w:t>
      </w:r>
      <w:r>
        <w:rPr>
          <w:rFonts w:ascii="Arial" w:cs="Arial" w:eastAsia="Arial" w:hAnsi="Arial"/>
          <w:sz w:val="18"/>
          <w:szCs w:val="18"/>
          <w:color w:val="auto"/>
        </w:rPr>
        <w:t>Protein variant, also known as a protein isoform, refers to a set of similar proteins that originate from a single gene or gene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variations can be generated by different molecular mechanisms, including alternative splicing of RNAs, various expression patterns of RNAs and post-translational modifications.</w:t>
      </w:r>
    </w:p>
    <w:p>
      <w:pPr>
        <w:spacing w:after="0" w:line="13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Proteograph Product Suite. </w:t>
      </w:r>
      <w:r>
        <w:rPr>
          <w:rFonts w:ascii="Arial" w:cs="Arial" w:eastAsia="Arial" w:hAnsi="Arial"/>
          <w:sz w:val="18"/>
          <w:szCs w:val="18"/>
          <w:color w:val="auto"/>
        </w:rPr>
        <w:t>Our Proteograph Product Suite refers to an integrated solution consisting of consumables, which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nanoparticles, our automatic instrument, and our data analysis software.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Proteomic(s). </w:t>
      </w:r>
      <w:r>
        <w:rPr>
          <w:rFonts w:ascii="Arial" w:cs="Arial" w:eastAsia="Arial" w:hAnsi="Arial"/>
          <w:sz w:val="18"/>
          <w:szCs w:val="18"/>
          <w:color w:val="auto"/>
        </w:rPr>
        <w:t>Proteomic(s) refers to the large-scale study of proteins. The proteome is the entire set of proteins that is produced or modified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9" w:name="page20"/>
    <w:bookmarkEnd w:id="1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Our software refers to our integrated software suite that helps our customers process and interrogate the data that is generated by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after a proteomic assay has been performed using our Proteograph Product Suite.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Throughput. </w:t>
      </w:r>
      <w:r>
        <w:rPr>
          <w:rFonts w:ascii="Arial" w:cs="Arial" w:eastAsia="Arial" w:hAnsi="Arial"/>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Transcriptome. </w:t>
      </w:r>
      <w:r>
        <w:rPr>
          <w:rFonts w:ascii="Arial" w:cs="Arial" w:eastAsia="Arial" w:hAnsi="Arial"/>
          <w:sz w:val="16"/>
          <w:szCs w:val="16"/>
          <w:color w:val="auto"/>
        </w:rPr>
        <w:t>Transcriptome refers to the sum total of all messenger RNA (mRNA) molecules that are expressed from the genes of an organism,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biological process called “transcription” whereby the information in a strand of DNA is copied into a new molecule of mRNA.</w:t>
      </w:r>
    </w:p>
    <w:p>
      <w:pPr>
        <w:spacing w:after="0" w:line="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Unbiased. </w:t>
      </w:r>
      <w:r>
        <w:rPr>
          <w:rFonts w:ascii="Arial" w:cs="Arial" w:eastAsia="Arial" w:hAnsi="Arial"/>
          <w:sz w:val="18"/>
          <w:szCs w:val="18"/>
          <w:color w:val="auto"/>
        </w:rPr>
        <w:t>Unbiased refers to molecular analyses that does not depend upon specific ligands that are targeted to specific proteins, genes or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mutations. Unbiased contrasts with biased, which requires specific ligands to target molecules. Unbiased is also referred to as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121" w:right="459" w:bottom="1440" w:gutter="0" w:footer="0" w:header="0"/>
        </w:sectPr>
      </w:pPr>
    </w:p>
    <w:bookmarkStart w:id="20" w:name="page21"/>
    <w:bookmarkEnd w:id="2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16" w:lineRule="exact"/>
        <w:rPr>
          <w:sz w:val="20"/>
          <w:szCs w:val="20"/>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1" w:right="359" w:bottom="1440" w:gutter="0" w:footer="0" w:header="0"/>
        </w:sectPr>
      </w:pPr>
    </w:p>
    <w:bookmarkStart w:id="21" w:name="page22"/>
    <w:bookmarkEnd w:id="2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Proteograph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1" w:right="379" w:bottom="1440" w:gutter="0" w:footer="0" w:header="0"/>
        </w:sectPr>
      </w:pPr>
    </w:p>
    <w:bookmarkStart w:id="23" w:name="page24"/>
    <w:bookmarkEnd w:id="2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Proteograph with key opinion leaders in a timely fashion;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Proteograph prior to entering into the second or third phases of our commercial launch plan;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194" w:lineRule="exact"/>
        <w:rPr>
          <w:rFonts w:ascii="Arial" w:cs="Arial" w:eastAsia="Arial" w:hAnsi="Arial"/>
          <w:sz w:val="16"/>
          <w:szCs w:val="16"/>
          <w:color w:val="auto"/>
        </w:rPr>
      </w:pPr>
    </w:p>
    <w:p>
      <w:pPr>
        <w:ind w:left="660" w:right="8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adoption of our Proteograph by academic institutions, laboratories, biopharmaceutical companies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we charge for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21" w:right="399" w:bottom="1440" w:gutter="0" w:footer="0" w:header="0"/>
        </w:sectPr>
      </w:pPr>
    </w:p>
    <w:bookmarkStart w:id="25" w:name="page26"/>
    <w:bookmarkEnd w:id="2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launch of our Proteograph. To perform sales, marketing, distribution, and customer service and support successfully, we will face a number of risks, including:</w:t>
      </w:r>
    </w:p>
    <w:p>
      <w:pPr>
        <w:spacing w:after="0" w:line="116"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 w:right="359" w:bottom="1440" w:gutter="0" w:footer="0" w:header="0"/>
        </w:sectPr>
      </w:pPr>
    </w:p>
    <w:bookmarkStart w:id="27" w:name="page28"/>
    <w:bookmarkEnd w:id="2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September 30,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Once public,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failure to attract, train, retain and motivate qualified personnel could materially harm our business, results of operations, financial condition and prospects.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1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researchers’ opinions of the utility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citation of our Proteograph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4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11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manufacturing our Proteograph, we depend upon third parties for the supply of our instruments and various components, many of which require a significant degree of technical expertise to produce. If our suppliers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 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21" w:right="399" w:bottom="1440" w:gutter="0" w:footer="0" w:header="0"/>
        </w:sectPr>
      </w:pPr>
    </w:p>
    <w:bookmarkStart w:id="32" w:name="page33"/>
    <w:bookmarkEnd w:id="3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1" w:right="379" w:bottom="1440" w:gutter="0" w:footer="0" w:header="0"/>
        </w:sectPr>
      </w:pPr>
    </w:p>
    <w:bookmarkStart w:id="33" w:name="page34"/>
    <w:bookmarkEnd w:id="3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4" w:name="page35"/>
    <w:bookmarkEnd w:id="3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4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6" w:name="page37"/>
    <w:bookmarkEnd w:id="3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7" w:name="page38"/>
    <w:bookmarkEnd w:id="3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affect demand for our specialized reagents and instruments. Further, we could be required to obtain premarket clearance or approval before we can sell our products to certain customers.</w:t>
      </w:r>
    </w:p>
    <w:p>
      <w:pPr>
        <w:spacing w:after="0" w:line="11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the concurrent private placement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3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9" w:name="page40"/>
    <w:bookmarkEnd w:id="3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9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stake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0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1" w:right="359" w:bottom="1440" w:gutter="0" w:footer="0" w:header="0"/>
        </w:sectPr>
      </w:pPr>
    </w:p>
    <w:bookmarkStart w:id="40" w:name="page41"/>
    <w:bookmarkEnd w:id="4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1" w:right="359" w:bottom="1440" w:gutter="0" w:footer="0" w:header="0"/>
        </w:sectPr>
      </w:pPr>
    </w:p>
    <w:bookmarkStart w:id="41" w:name="page42"/>
    <w:bookmarkEnd w:id="4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2" w:name="page43"/>
    <w:bookmarkEnd w:id="4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4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1" w:right="359" w:bottom="1440" w:gutter="0" w:footer="0" w:header="0"/>
        </w:sectPr>
      </w:pPr>
    </w:p>
    <w:bookmarkStart w:id="43" w:name="page44"/>
    <w:bookmarkEnd w:id="4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1" w:right="359" w:bottom="1440" w:gutter="0" w:footer="0" w:header="0"/>
        </w:sectPr>
      </w:pPr>
    </w:p>
    <w:bookmarkStart w:id="44" w:name="page45"/>
    <w:bookmarkEnd w:id="4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1" w:right="339" w:bottom="1440" w:gutter="0" w:footer="0" w:header="0"/>
        </w:sectPr>
      </w:pPr>
    </w:p>
    <w:bookmarkStart w:id="45" w:name="page46"/>
    <w:bookmarkEnd w:id="4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commercializing products similar or identical to ours, which could have a material adverse effect on our business, financial condition and results of operations.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33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46" w:name="page47"/>
    <w:bookmarkEnd w:id="4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patent claims, such as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3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1" w:right="359" w:bottom="1440" w:gutter="0" w:footer="0" w:header="0"/>
        </w:sectPr>
      </w:pPr>
    </w:p>
    <w:bookmarkStart w:id="47" w:name="page48"/>
    <w:bookmarkEnd w:id="4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4"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and may in the future become, a party to license agreements that grant us rights to use certain intellectual property, including patents and patent applications, typically in certain specified fields of use.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that include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1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1" w:right="359" w:bottom="1440" w:gutter="0" w:footer="0" w:header="0"/>
        </w:sectPr>
      </w:pPr>
    </w:p>
    <w:bookmarkStart w:id="49" w:name="page50"/>
    <w:bookmarkEnd w:id="4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1" w:right="339" w:bottom="1440" w:gutter="0" w:footer="0" w:header="0"/>
        </w:sectPr>
      </w:pPr>
    </w:p>
    <w:bookmarkStart w:id="50" w:name="page51"/>
    <w:bookmarkEnd w:id="5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5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1" w:right="379" w:bottom="1440" w:gutter="0" w:footer="0" w:header="0"/>
        </w:sectPr>
      </w:pPr>
    </w:p>
    <w:bookmarkStart w:id="51" w:name="page52"/>
    <w:bookmarkEnd w:id="5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right="720" w:firstLine="324"/>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this Offering and Ownership of Our Class A Common Stock</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shares of our Class A common stock and an active trading market for our Class A common stock may never develop or be sustained.</w:t>
      </w:r>
    </w:p>
    <w:p>
      <w:pPr>
        <w:spacing w:after="0" w:line="11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shares of our Class A common stock. We have been approved to list our Class A common stock on the Nasdaq Global Select Market under the symbol “SEER.” We cannot assure you that an active trading market for our Class A common stock will develop on that exchange or elsewhere. If an active trading market does not develop, or develops but is not maintained, you may have difficulty selling any of our Class A common stock that you purchase due to the limited public float. Accordingly, we cannot assure you of your ability to sell your shares of Class A common stock when desired or the prices that you may obtain for your shares.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result in substantial losses for investors purchasing shares in this offering.</w:t>
      </w:r>
    </w:p>
    <w:p>
      <w:pPr>
        <w:spacing w:after="0" w:line="20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initial public offering price for our Class A common stock was determined through negotiations with the underwriters. This initial public offering price may differ from the market price of our Class A common stock after the offering. As a result, you may not be able to sell your Class A common stock at or above the initial public offering price. Some of the factors that may cause the market price of our Class A common stock to fluctuate include, but are not limited to:</w:t>
      </w:r>
    </w:p>
    <w:p>
      <w:pPr>
        <w:spacing w:after="0" w:line="133" w:lineRule="exact"/>
        <w:rPr>
          <w:sz w:val="20"/>
          <w:szCs w:val="20"/>
          <w:color w:val="auto"/>
        </w:rPr>
      </w:pPr>
    </w:p>
    <w:p>
      <w:pPr>
        <w:ind w:left="660" w:right="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1" w:right="359" w:bottom="1440" w:gutter="0" w:footer="0" w:header="0"/>
        </w:sectPr>
      </w:pPr>
    </w:p>
    <w:bookmarkStart w:id="52" w:name="page53"/>
    <w:bookmarkEnd w:id="5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concurrent private placement, the secondary transaction and the voluntary conversion, the holders of our Class B common stock will hold in the aggregate 53.7% of the voting power of our capital stock.</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a result, the holders of our Class B common stock collectively will continue to control a majority of the combined voting power of our common stock and therefore be able to control all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upon the earlier of the first day following the fifth anniversary of the closing of this offering and December 31,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2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trading market for our Class A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Class A common stock could decrease. Even if we do obtain analyst coverage,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following this offering could cause the price of our Class A common stock to decline.</w:t>
      </w:r>
    </w:p>
    <w:p>
      <w:pPr>
        <w:spacing w:after="0" w:line="11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 After giving effect to (i) the filing and effectiveness of our amended and restated certificate of incorporation, (ii) the automatic conversion of all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convertible preferred stock outstanding as of September 30, 2020 into 29,026,787 shares of Class A common stock, (iii) the issuance and sale of 16,315,789 shares of Class A common stock by us in this offering and the concurrent private placement, (iv) the secondary transaction and (v) the voluntary conversion, we will have 51,969,184 shares of Class A common stock outstanding and 6,015,732 shares of Class B common stock outstanding. Of these shares, the 9,210,527 shares of Class A common stock we are selling in this offering may be resold in the public market immediately, unless purchased by our affiliates. The remaining 42,758,657 shares of Class A common stock, or 82% of our outstanding shares of Class A common stock after this offering, the concurrent private placement and the secondary transaction and all shares of our Class B common stock (and any share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 however, subject to applicable securities law restrictions and excluding shares of Class A common stock issued pursuant to the early exercise of unvested stock options that will remain unvested, the shares of our Class A common stock outstanding after this offering, the concurrent private placement and the secondary transaction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Moreover, after this offering, the concurrent private placement and the secondary transaction, holders of an aggregate of 36,658,364 shares of our Class A common stock will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We also plan to register all shares of Class A common stock that we may issue under our equity compensation and employee stock purchase plans. Once we register these shares, they can be freely sold in the public market upon issuance and, if applicable, vesting, subject to volume limitations applicable to affiliates and the lock-up agreements described in the section titled “Underwriting” in this prospectus.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 and the concurrent private placement.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the concurrent private placement and may not use them effectively.</w:t>
      </w:r>
    </w:p>
    <w:p>
      <w:pPr>
        <w:spacing w:after="0" w:line="19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We cannot specify with certainty the particular uses of the net proceeds we will receive from this offering and the concurrent private placement. Our management will have broad discretion in the application of the net proceeds, including for any of the purposes described in the section titled “Use of Proceeds” in this prospectus. Our management may spend a portion or all of the net proceeds from this offering and the concurrent private placement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and the concurrent private placement in a manner that does not produce income or that loses value.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that will become effective upon the closing of this offering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prior to the closing of this offering might discourage, delay or prevent a change in control of our company or changes in our management and, therefore, depress the trading price of our Class A common stock.</w:t>
      </w:r>
    </w:p>
    <w:p>
      <w:pPr>
        <w:spacing w:after="0" w:line="13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320" w:top="121" w:right="399" w:bottom="1440" w:gutter="0" w:footer="0" w:header="0"/>
        </w:sectPr>
      </w:pPr>
    </w:p>
    <w:bookmarkStart w:id="56" w:name="page57"/>
    <w:bookmarkEnd w:id="5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and restated bylaws contain provisions that may make the acquisition of our company more difficult, including the following:</w:t>
      </w:r>
    </w:p>
    <w:p>
      <w:pPr>
        <w:spacing w:after="0" w:line="194" w:lineRule="exact"/>
        <w:rPr>
          <w:sz w:val="20"/>
          <w:szCs w:val="20"/>
          <w:color w:val="auto"/>
        </w:rPr>
      </w:pPr>
    </w:p>
    <w:p>
      <w:pPr>
        <w:ind w:left="660" w:right="2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will be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will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will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stockholders will only be able to take action at a meeting of stockholders and will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stockholders will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1" w:right="359" w:bottom="1440" w:gutter="0" w:footer="0" w:header="0"/>
        </w:sectPr>
      </w:pPr>
    </w:p>
    <w:bookmarkStart w:id="57" w:name="page58"/>
    <w:bookmarkEnd w:id="5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determine whether the use of our NOLs is impaired. We may have previously undergone an “ownership change.” In addition, this offering, the concurrent private placement and the secondary transaction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the concurrent private placement and the secondary transaction,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21" w:right="379" w:bottom="1440" w:gutter="0" w:footer="0" w:header="0"/>
        </w:sectPr>
      </w:pPr>
    </w:p>
    <w:bookmarkStart w:id="58" w:name="page59"/>
    <w:bookmarkEnd w:id="5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Class A common stock in this offering, you will incur immediate and substantial dilution as a result of this offering.</w:t>
      </w:r>
    </w:p>
    <w:p>
      <w:pPr>
        <w:spacing w:after="0" w:line="18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If you purchase our Class A common stock in this offering, you will incur immediate and substantial dilution of $11.83 per share, representing the difference between the initial public offering price of $19.00 per share and our pro forma net tangible book value per share after giving effect to (i) the filing and effectiveness of our amended and restated certificate of incorporation, (ii) the automatic conversion of all shares of our convertible preferred stock outstanding as of September 30, 2020 into 29,026,787 shares of Class A common stock and (iii) the issuance and sale of 16,315,789 shares of Class A common stock by us in this offering and the concurrent private placement. As of September 30, 2020, there were 7,553,500 shares of our Class A common stock subject to outstanding stock options with a weighted-average exercise price of $2.51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4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1" w:right="339" w:bottom="1440" w:gutter="0" w:footer="0" w:header="0"/>
        </w:sectPr>
      </w:pPr>
    </w:p>
    <w:bookmarkStart w:id="59" w:name="page60"/>
    <w:bookmarkEnd w:id="5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0" w:name="page61"/>
    <w:bookmarkEnd w:id="6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 w:right="339" w:bottom="1440" w:gutter="0" w:footer="0" w:header="0"/>
        </w:sectPr>
      </w:pPr>
    </w:p>
    <w:bookmarkStart w:id="61" w:name="page62"/>
    <w:bookmarkEnd w:id="6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changing rapidly and there is discussion in the U.S. Congress of a new comprehensive federal data privacy law to which we would become subject if it is enacted.</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1" w:right="339" w:bottom="1440" w:gutter="0" w:footer="0" w:header="0"/>
        </w:sectPr>
      </w:pPr>
    </w:p>
    <w:bookmarkStart w:id="62" w:name="page63"/>
    <w:bookmarkEnd w:id="6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0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 including the expected pricing of our Proteograph automation instrument and associated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use of proceeds from this offering and the concurrent private 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1" w:right="339" w:bottom="1440" w:gutter="0" w:footer="0" w:header="0"/>
        </w:sectPr>
      </w:pPr>
    </w:p>
    <w:bookmarkStart w:id="63" w:name="page64"/>
    <w:bookmarkEnd w:id="6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2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21" w:right="379" w:bottom="1440" w:gutter="0" w:footer="0" w:header="0"/>
        </w:sectPr>
      </w:pPr>
    </w:p>
    <w:bookmarkStart w:id="64" w:name="page65"/>
    <w:bookmarkEnd w:id="6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sources of industry, market and other data contained in this prospectus are listed below:</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Allied Market Research. “Global Proteomics Market - Opportunity Analysis and Industry Forecast, 2018-2025”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Technavio. “Genomics Market by Solution and Geography - Forecast and Analysis 2020-2024”.</w:t>
      </w:r>
    </w:p>
    <w:p>
      <w:pPr>
        <w:spacing w:after="0" w:line="171"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69"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ClinVar. ClinVar is a freely accessible, public archive of reports of the relationships among human variations and phenotypes, with supporting evidence.</w:t>
      </w:r>
    </w:p>
    <w:p>
      <w:pPr>
        <w:spacing w:after="0" w:line="11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published studies referenced throughout this prospectus, the citations for those studies are listed below:</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Blume, J. E. et al. Rapid, deep and precise profiling of the plasma proteome with multi-nanoparticle protein corona. </w:t>
      </w:r>
      <w:r>
        <w:rPr>
          <w:rFonts w:ascii="Arial" w:cs="Arial" w:eastAsia="Arial" w:hAnsi="Arial"/>
          <w:sz w:val="16"/>
          <w:szCs w:val="16"/>
          <w:i w:val="1"/>
          <w:iCs w:val="1"/>
          <w:color w:val="auto"/>
        </w:rPr>
        <w:t>Nat. Commun.</w:t>
      </w:r>
      <w:r>
        <w:rPr>
          <w:rFonts w:ascii="Arial" w:cs="Arial" w:eastAsia="Arial" w:hAnsi="Arial"/>
          <w:sz w:val="16"/>
          <w:szCs w:val="16"/>
          <w:color w:val="auto"/>
        </w:rPr>
        <w:t xml:space="preserve"> 11, (2020).</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Keshishian, H. et al. Quantitative, multiplexed workflow for deep analysis of human blood plasma and biomarker discovery by mass spectrometry. </w:t>
      </w:r>
      <w:r>
        <w:rPr>
          <w:rFonts w:ascii="Arial" w:cs="Arial" w:eastAsia="Arial" w:hAnsi="Arial"/>
          <w:sz w:val="18"/>
          <w:szCs w:val="18"/>
          <w:i w:val="1"/>
          <w:iCs w:val="1"/>
          <w:color w:val="auto"/>
        </w:rPr>
        <w:t xml:space="preserve">Nat. Protoc. </w:t>
      </w:r>
      <w:r>
        <w:rPr>
          <w:rFonts w:ascii="Arial" w:cs="Arial" w:eastAsia="Arial" w:hAnsi="Arial"/>
          <w:sz w:val="18"/>
          <w:szCs w:val="18"/>
          <w:color w:val="auto"/>
        </w:rPr>
        <w:t>12, 1683–1701 (2017).</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Schwenk, J. M. et al. The Human Plasma Proteome Draft of 2017: Building on the Human Plasma PeptideAtlas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Liao, W. Y. et al. Heparin co-factor II enhances cell motility and promotes metastasis in non-small cell lung cancer. </w:t>
      </w:r>
      <w:r>
        <w:rPr>
          <w:rFonts w:ascii="Arial" w:cs="Arial" w:eastAsia="Arial" w:hAnsi="Arial"/>
          <w:sz w:val="16"/>
          <w:szCs w:val="16"/>
          <w:i w:val="1"/>
          <w:iCs w:val="1"/>
          <w:color w:val="auto"/>
        </w:rPr>
        <w:t>J. Pathol.</w:t>
      </w:r>
      <w:r>
        <w:rPr>
          <w:rFonts w:ascii="Arial" w:cs="Arial" w:eastAsia="Arial" w:hAnsi="Arial"/>
          <w:sz w:val="16"/>
          <w:szCs w:val="16"/>
          <w:color w:val="auto"/>
        </w:rPr>
        <w:t xml:space="preserve"> 235, 50–64 (2015).</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1" w:right="359" w:bottom="1440" w:gutter="0" w:footer="0" w:header="0"/>
        </w:sectPr>
      </w:pPr>
    </w:p>
    <w:bookmarkStart w:id="65" w:name="page66"/>
    <w:bookmarkEnd w:id="6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620" w:firstLine="324"/>
        <w:spacing w:after="0" w:line="259" w:lineRule="auto"/>
        <w:rPr>
          <w:sz w:val="20"/>
          <w:szCs w:val="20"/>
          <w:color w:val="auto"/>
        </w:rPr>
      </w:pPr>
      <w:r>
        <w:rPr>
          <w:rFonts w:ascii="Arial" w:cs="Arial" w:eastAsia="Arial" w:hAnsi="Arial"/>
          <w:sz w:val="18"/>
          <w:szCs w:val="18"/>
          <w:color w:val="auto"/>
        </w:rPr>
        <w:t>We estimate that the net proceeds from our issuance and sale of shares of our Class A common stock in this offering and the concurrent private placement will be approximately $290.0 million, or approximately $314.4 million if the underwriters exercise their option to purchase up to 1,381,579 additional shares our Class A common stock in full, based on the initial public offering price of $19.00 per share, after deducting the underwriting discounts and commissions and estimated offering expenses payable by us.</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principal purposes of this offering and the concurrent private placement are to obtain additional capital to support our operations, establish a public market for our Class A common stock and facilitate our future access to the public capital markets. We currently intend to use the net proceeds from this offering and the concurrent private placement, together with our existing cash as follows:</w:t>
      </w:r>
    </w:p>
    <w:p>
      <w:pPr>
        <w:spacing w:after="0" w:line="13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$65.0 million to commercialize our Proteograph Product Suite through our ongoing sales and marketing activities; and</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for other development work associated with advancing our Proteograph Product Suite, research and development, and general corporate purposes.</w:t>
      </w:r>
    </w:p>
    <w:p>
      <w:pPr>
        <w:spacing w:after="0" w:line="116"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We may also use a portion of the proceeds to in-license, acquire or invest in additional businesses, technologies, products or assets, subject to applicable regulatory restrictions. Although we have no specific agreements, commitments or understandings with respect to any in-licensing activity or acquisitions, we evaluate these opportunities and engage in related discussions with other companies from time-to-time.</w:t>
      </w:r>
    </w:p>
    <w:p>
      <w:pPr>
        <w:spacing w:after="0" w:line="1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expected use of proceeds from this offering and the concurrent private placement represents our current intentions based on our present plans and business condition. As of the date of this prospectus, we cannot predict with certainty all of the particular uses for the proceeds to be received upon the completion of this offering and the concurrent private placement or the actual amounts that we will spend on the uses set forth above.</w:t>
      </w:r>
    </w:p>
    <w:p>
      <w:pPr>
        <w:spacing w:after="0" w:line="9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 and the concurrent private placement.</w:t>
      </w:r>
    </w:p>
    <w:p>
      <w:pPr>
        <w:spacing w:after="0" w:line="1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Pending their uses, we plan to invest the net proceeds of this offering and the concurrent private placement in short-term, interest-bearing, investment-grade instruments, including certificates of deposit or direct or guaranteed obligations of the U.S. government, and subject to applicable regulatory restrictions.</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believe that the proceeds for this offering and the concurrent private placement, together with our existing cash, will be sufficient to fund our operations through the broad commercial availability phase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1" w:right="339" w:bottom="1440" w:gutter="0" w:footer="0" w:header="0"/>
        </w:sectPr>
      </w:pPr>
    </w:p>
    <w:bookmarkStart w:id="66" w:name="page67"/>
    <w:bookmarkEnd w:id="6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1" w:right="359" w:bottom="1440" w:gutter="0" w:footer="0" w:header="0"/>
        </w:sectPr>
      </w:pPr>
    </w:p>
    <w:bookmarkStart w:id="67" w:name="page68"/>
    <w:bookmarkEnd w:id="67"/>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8"/>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71" w:lineRule="exact"/>
        <w:rPr>
          <w:rFonts w:ascii="Arial" w:cs="Arial" w:eastAsia="Arial" w:hAnsi="Arial"/>
          <w:sz w:val="18"/>
          <w:szCs w:val="18"/>
          <w:color w:val="auto"/>
        </w:rPr>
      </w:pPr>
    </w:p>
    <w:p>
      <w:pPr>
        <w:ind w:left="648" w:right="240" w:hanging="324"/>
        <w:spacing w:after="0" w:line="342" w:lineRule="auto"/>
        <w:tabs>
          <w:tab w:leader="none" w:pos="6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automatic conversion of all of our outstanding shares of convertible preferred stock into an aggregate of 29,026,787 shares of Class A common stock immediately prior to the completion of this offering as if such conversion had occurred on September 30, 2020,</w:t>
      </w:r>
    </w:p>
    <w:p>
      <w:pPr>
        <w:spacing w:after="0" w:line="69" w:lineRule="exact"/>
        <w:rPr>
          <w:rFonts w:ascii="Arial" w:cs="Arial" w:eastAsia="Arial" w:hAnsi="Arial"/>
          <w:sz w:val="16"/>
          <w:szCs w:val="16"/>
          <w:color w:val="auto"/>
        </w:rPr>
      </w:pPr>
    </w:p>
    <w:p>
      <w:pPr>
        <w:ind w:left="648" w:right="380" w:hanging="324"/>
        <w:spacing w:after="0" w:line="263"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 and</w:t>
      </w:r>
    </w:p>
    <w:p>
      <w:pPr>
        <w:spacing w:after="0" w:line="129" w:lineRule="exact"/>
        <w:rPr>
          <w:rFonts w:ascii="Arial" w:cs="Arial" w:eastAsia="Arial" w:hAnsi="Arial"/>
          <w:sz w:val="18"/>
          <w:szCs w:val="18"/>
          <w:color w:val="auto"/>
        </w:rPr>
      </w:pPr>
    </w:p>
    <w:p>
      <w:pPr>
        <w:ind w:left="648" w:hanging="324"/>
        <w:spacing w:after="0" w:line="277"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completion of this offering; and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pro forma adjustments set forth above;</w:t>
      </w:r>
    </w:p>
    <w:p>
      <w:pPr>
        <w:spacing w:after="0" w:line="171" w:lineRule="exact"/>
        <w:rPr>
          <w:rFonts w:ascii="Arial" w:cs="Arial" w:eastAsia="Arial" w:hAnsi="Arial"/>
          <w:sz w:val="18"/>
          <w:szCs w:val="18"/>
          <w:color w:val="auto"/>
        </w:rPr>
      </w:pPr>
    </w:p>
    <w:p>
      <w:pPr>
        <w:ind w:left="648" w:right="160" w:hanging="324"/>
        <w:spacing w:after="0" w:line="263"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sale and issuance of 16,315,789 shares of our Class A common stock by us in this offering and the concurrent private placement, based upon the initial public offering price of $19.00 per share, after deducting underwriting discounts and commissions and estimated offering expenses payable by us; and</w:t>
      </w:r>
    </w:p>
    <w:p>
      <w:pPr>
        <w:spacing w:after="0" w:line="129" w:lineRule="exact"/>
        <w:rPr>
          <w:rFonts w:ascii="Arial" w:cs="Arial" w:eastAsia="Arial" w:hAnsi="Arial"/>
          <w:sz w:val="18"/>
          <w:szCs w:val="18"/>
          <w:color w:val="auto"/>
        </w:rPr>
      </w:pPr>
    </w:p>
    <w:p>
      <w:pPr>
        <w:ind w:left="648" w:right="320" w:hanging="324"/>
        <w:spacing w:after="0" w:line="277"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conversion of shares of Class B common stock to Class A common stock in connection with the secondary transaction and voluntary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88"/>
          </w:cols>
          <w:pgMar w:left="652" w:top="121" w:right="459" w:bottom="1440" w:gutter="0" w:footer="0" w:header="0"/>
        </w:sectPr>
      </w:pPr>
    </w:p>
    <w:bookmarkStart w:id="68" w:name="page69"/>
    <w:bookmarkEnd w:id="6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 , 2020</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Pro Forma as Adjusted</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8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par value $0.00001 per share: 29,026,827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authorized, 29,026,787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162,849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8"/>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actual; 5,000,000 shares authorized and no shares issued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par value $0.00001 per share: 56,074,766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3,296,556 issued and outstanding, actual; 94,000,000 shares authorized, 32,323,343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and outstanding, pro forma; and 94,000,000 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51,969,184 shares issued and outstanding,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4"/>
              </w:rPr>
              <w:t>Class B common stock, par value $0.00001 per share: 9,345,794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9,345,784 issued and outstanding, actual; 6,000,000 shares authorized,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9,345,784 shares issued and outstanding, pro forma; and 6,000,000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authorized, 6,015,732 shares issued and outstanding,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167,993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457,964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415,508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415,508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pro forma and pro forma as adjusted columns in the table above are based on 32,323,343 shares of our Class A common stock (after giving effect to the conversion of all of our shares of convertible preferred stock) and 9,345,784 shares of our Class B common stock outstanding as of September 30, 2020, and excludes the following:</w:t>
      </w:r>
    </w:p>
    <w:p>
      <w:pPr>
        <w:spacing w:after="0" w:line="130" w:lineRule="exact"/>
        <w:rPr>
          <w:sz w:val="20"/>
          <w:szCs w:val="20"/>
          <w:color w:val="auto"/>
        </w:rPr>
      </w:pPr>
    </w:p>
    <w:p>
      <w:pPr>
        <w:ind w:left="660" w:right="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46,728 shares of our Class A common stock issuable upon the vesting of RSUs granted after September 30,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1" w:right="339" w:bottom="1440" w:gutter="0" w:footer="0" w:header="0"/>
        </w:sectPr>
      </w:pPr>
    </w:p>
    <w:bookmarkStart w:id="69" w:name="page70"/>
    <w:bookmarkEnd w:id="69"/>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5,939,139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648" w:right="240" w:hanging="324"/>
        <w:spacing w:after="0" w:line="263" w:lineRule="auto"/>
        <w:tabs>
          <w:tab w:leader="none" w:pos="6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4,819,859 shares of our Class A common stock to be reserved for future issuance under our 2020 Plan, which became effective prior to the completion of this offering, and any additional shares that become available under our 2020 Plan pursuant to provisions thereof that automatically increase the share reserve under the plan each year;</w:t>
      </w:r>
    </w:p>
    <w:p>
      <w:pPr>
        <w:spacing w:after="0" w:line="129" w:lineRule="exact"/>
        <w:rPr>
          <w:rFonts w:ascii="Arial" w:cs="Arial" w:eastAsia="Arial" w:hAnsi="Arial"/>
          <w:sz w:val="18"/>
          <w:szCs w:val="18"/>
          <w:color w:val="auto"/>
        </w:rPr>
      </w:pPr>
    </w:p>
    <w:p>
      <w:pPr>
        <w:ind w:left="648" w:right="20" w:hanging="324"/>
        <w:spacing w:after="0" w:line="263" w:lineRule="auto"/>
        <w:tabs>
          <w:tab w:leader="none" w:pos="6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602,570 shares of common stock reserved for future issuance under our ESPP, which became effective in connection with this offering, and any additional shares that become available under our ESPP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ind w:left="648" w:hanging="324"/>
        <w:spacing w:after="0" w:line="286" w:lineRule="auto"/>
        <w:tabs>
          <w:tab w:leader="none" w:pos="644" w:val="left"/>
        </w:tabs>
        <w:numPr>
          <w:ilvl w:val="1"/>
          <w:numId w:val="42"/>
        </w:numPr>
        <w:rPr>
          <w:rFonts w:ascii="Arial" w:cs="Arial" w:eastAsia="Arial" w:hAnsi="Arial"/>
          <w:sz w:val="17"/>
          <w:szCs w:val="17"/>
          <w:color w:val="auto"/>
        </w:rPr>
      </w:pPr>
      <w:r>
        <w:rPr>
          <w:rFonts w:ascii="Arial" w:cs="Arial" w:eastAsia="Arial" w:hAnsi="Arial"/>
          <w:sz w:val="17"/>
          <w:szCs w:val="17"/>
          <w:color w:val="auto"/>
        </w:rPr>
        <w:t>516,710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68"/>
          </w:cols>
          <w:pgMar w:left="652" w:top="121" w:right="379" w:bottom="1440" w:gutter="0" w:footer="0" w:header="0"/>
        </w:sectPr>
      </w:pPr>
    </w:p>
    <w:bookmarkStart w:id="70" w:name="page71"/>
    <w:bookmarkEnd w:id="7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 and the concurrent private placement.</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historical net tangible book value as of September 30, 2020 was $124.4 million, or $9.84 per share. Our historical net tangible book value is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1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pro forma net tangible book value as of September 30, 2020 was $124.4 million, or $2.98 per share. Pro forma net tangible book value represents the amount of our total tangible assets less our total liabilities, after giving effect to the conversion of all outstanding shares of our convertible preferred stock into an aggregate of 29,026,787 shares of Class A common stock immediately prior to the completion of this offering.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29,026,787 shares of our Class A common stock immediately prior to the completion of this offering.</w:t>
      </w:r>
    </w:p>
    <w:p>
      <w:pPr>
        <w:spacing w:after="0" w:line="11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After giving further effect to our sale of 16,315,789 shares of Class A common stock in this offering and the concurrent private placement at the initial public offering price of $19.00 per share and after deducting the underwriting discounts and commissions and estimated offering expenses payable by us, our pro forma as adjusted net tangible book value as of September 30, 2020 would have been approximately $415.5 million, or approximately $7.17 per share. This represents an immediate increase in pro forma as adjusted net tangible book value of $4.19 per share to our existing stockholders and an immediate dilution in pro forma as adjusted net tangible book value of approximately $11.83 per share to new investors purchasing Class A common stock in this offering and the concurrent private placement. Dilution per share to new investors purchasing Class A common stock in this offering and the concurrent private placement is determined by subtracting pro forma as adjusted net tangible book value per share after this offering and the concurrent private placement from the initial public offering price per share paid by new investors. The following table illustrates this dilution on a per share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w w:val="85"/>
              </w:rPr>
              <w:t>9.84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decrease in net tangible book value per share as of September 30, 2020</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3"/>
              </w:rPr>
              <w:t>(6.86)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600" w:type="dxa"/>
            <w:vAlign w:val="bottom"/>
          </w:tcPr>
          <w:p>
            <w:pPr>
              <w:spacing w:after="0"/>
              <w:rPr>
                <w:sz w:val="19"/>
                <w:szCs w:val="19"/>
                <w:color w:val="auto"/>
              </w:rPr>
            </w:pPr>
          </w:p>
        </w:tc>
        <w:tc>
          <w:tcPr>
            <w:tcW w:w="960" w:type="dxa"/>
            <w:vAlign w:val="bottom"/>
          </w:tcPr>
          <w:p>
            <w:pPr>
              <w:jc w:val="center"/>
              <w:ind w:left="410"/>
              <w:spacing w:after="0"/>
              <w:rPr>
                <w:sz w:val="20"/>
                <w:szCs w:val="20"/>
                <w:color w:val="auto"/>
              </w:rPr>
            </w:pPr>
            <w:r>
              <w:rPr>
                <w:rFonts w:ascii="Arial" w:cs="Arial" w:eastAsia="Arial" w:hAnsi="Arial"/>
                <w:sz w:val="18"/>
                <w:szCs w:val="18"/>
                <w:color w:val="auto"/>
                <w:w w:val="85"/>
              </w:rPr>
              <w:t>2.98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of</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410"/>
              <w:spacing w:after="0"/>
              <w:rPr>
                <w:sz w:val="20"/>
                <w:szCs w:val="20"/>
                <w:color w:val="auto"/>
              </w:rPr>
            </w:pPr>
            <w:r>
              <w:rPr>
                <w:rFonts w:ascii="Arial" w:cs="Arial" w:eastAsia="Arial" w:hAnsi="Arial"/>
                <w:sz w:val="18"/>
                <w:szCs w:val="18"/>
                <w:color w:val="auto"/>
                <w:w w:val="85"/>
              </w:rPr>
              <w:t>4.19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 and the concurrent private placement</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Arial" w:cs="Arial" w:eastAsia="Arial" w:hAnsi="Arial"/>
                <w:sz w:val="18"/>
                <w:szCs w:val="18"/>
                <w:color w:val="auto"/>
                <w:w w:val="99"/>
              </w:rPr>
              <w:t>Pro forma as adjusted net tangible book value per share after this offering and the concurrent private</w:t>
            </w: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placement</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Dilution in pro forma as adjusted net tangible book value per share to new investors in this offering and the</w:t>
            </w:r>
          </w:p>
        </w:tc>
        <w:tc>
          <w:tcPr>
            <w:tcW w:w="600" w:type="dxa"/>
            <w:vAlign w:val="bottom"/>
            <w:shd w:val="clear" w:color="auto" w:fill="CCEEFF"/>
          </w:tcPr>
          <w:p>
            <w:pPr>
              <w:spacing w:after="0"/>
              <w:rPr>
                <w:sz w:val="13"/>
                <w:szCs w:val="13"/>
                <w:color w:val="auto"/>
              </w:rPr>
            </w:pPr>
          </w:p>
        </w:tc>
        <w:tc>
          <w:tcPr>
            <w:tcW w:w="166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concurrent private placement</w:t>
            </w:r>
          </w:p>
        </w:tc>
        <w:tc>
          <w:tcPr>
            <w:tcW w:w="600" w:type="dxa"/>
            <w:vAlign w:val="bottom"/>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If the underwriters fully exercise their option to purchase additional shares of Class A common stock at the initial public offering price of $19.00 per share, after deducting underwriting discounts and commissions and estimated offering expenses payable by us, pro forma as adjusted net tangible book value after this offering and the concurrent private placement would increase to approximately $7.41 per share, and there would be an immediate dilution of approximately $11.59 per share to new investors.</w:t>
      </w:r>
    </w:p>
    <w:p>
      <w:pPr>
        <w:spacing w:after="0" w:line="13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 by existing stockholders and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1" w:right="339" w:bottom="1440" w:gutter="0" w:footer="0" w:header="0"/>
        </w:sectPr>
      </w:pPr>
    </w:p>
    <w:bookmarkStart w:id="71" w:name="page72"/>
    <w:bookmarkEnd w:id="7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new investors in this offering and the concurrent private placement, based on the initial public offering price of $19.00 per share and before deducting underwriting discounts and commissions and estimated offering expenses payable by 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1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88"/>
              </w:rPr>
              <w:t>Shares Purchased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Average Price Per</w:t>
            </w:r>
          </w:p>
        </w:tc>
      </w:tr>
      <w:tr>
        <w:trPr>
          <w:trHeight w:val="201"/>
        </w:trPr>
        <w:tc>
          <w:tcPr>
            <w:tcW w:w="3320" w:type="dxa"/>
            <w:vAlign w:val="bottom"/>
          </w:tcPr>
          <w:p>
            <w:pPr>
              <w:spacing w:after="0"/>
              <w:rPr>
                <w:sz w:val="17"/>
                <w:szCs w:val="17"/>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5"/>
              </w:rPr>
              <w:t>Percent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w:t>
            </w:r>
          </w:p>
        </w:tc>
      </w:tr>
      <w:tr>
        <w:trPr>
          <w:trHeight w:val="180"/>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5"/>
          </w:tcPr>
          <w:p>
            <w:pPr>
              <w:ind w:left="40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41,669,127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34.7 %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New investors</w:t>
            </w:r>
          </w:p>
        </w:tc>
        <w:tc>
          <w:tcPr>
            <w:tcW w:w="1540" w:type="dxa"/>
            <w:vAlign w:val="bottom"/>
          </w:tcPr>
          <w:p>
            <w:pPr>
              <w:jc w:val="right"/>
              <w:spacing w:after="0"/>
              <w:rPr>
                <w:sz w:val="20"/>
                <w:szCs w:val="20"/>
                <w:color w:val="auto"/>
              </w:rPr>
            </w:pPr>
            <w:r>
              <w:rPr>
                <w:rFonts w:ascii="Arial" w:cs="Arial" w:eastAsia="Arial" w:hAnsi="Arial"/>
                <w:sz w:val="18"/>
                <w:szCs w:val="18"/>
                <w:color w:val="auto"/>
              </w:rPr>
              <w:t>9,210,527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36.9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Concurrent private placement investors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7,105,262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5"/>
              </w:rPr>
              <w:t>28.4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23"/>
        </w:trPr>
        <w:tc>
          <w:tcPr>
            <w:tcW w:w="332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57,984,916</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474,671</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table above assumes no exercise of the underwriters’ option to purchase 1,381,579 additional shares of Class A common stock in this offering. If the underwriters’ option to purchase additional shares of Class A common stock is exercised in full, the number of shares of our common stock held by existing stockholders would be reduced to 70.2% of the total number of shares of our common stock outstanding after this offering and the concurrent private placement, and the number of shares of common stock held by new investors participating in this offering and the concurrent private placement would be increased to 29.8% of the total number of shares outstanding after this offering and the concurrent private placement.</w:t>
      </w:r>
    </w:p>
    <w:p>
      <w:pPr>
        <w:spacing w:after="0" w:line="10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foregoing tables and calculations (other than the historical net tangible book value per share calculation) are based on 32,323,343 shares of our Class A common stock (after giving effect to the conversion of all of our shares of convertible preferred stock) and 9,345,784 shares of our Class B common stock outstanding as of September 30, 2020, and excludes the following:</w:t>
      </w:r>
    </w:p>
    <w:p>
      <w:pPr>
        <w:spacing w:after="0" w:line="130"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46,728 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5,939,139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right="240" w:hanging="324"/>
        <w:spacing w:after="0" w:line="263" w:lineRule="auto"/>
        <w:tabs>
          <w:tab w:leader="none" w:pos="9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4,819,859 shares of our Class A common stock to be reserved for future issuance under our 2020 Plan, which became effective prior to the completion of this offering, and any additional shares that become available under our 2020 Plan pursuant to provisions thereof that automatically increase the share reserve under the plan each year;</w:t>
      </w:r>
    </w:p>
    <w:p>
      <w:pPr>
        <w:spacing w:after="0" w:line="129" w:lineRule="exact"/>
        <w:rPr>
          <w:rFonts w:ascii="Arial" w:cs="Arial" w:eastAsia="Arial" w:hAnsi="Arial"/>
          <w:sz w:val="18"/>
          <w:szCs w:val="18"/>
          <w:color w:val="auto"/>
        </w:rPr>
      </w:pPr>
    </w:p>
    <w:p>
      <w:pPr>
        <w:ind w:left="980" w:right="20" w:hanging="324"/>
        <w:spacing w:after="0" w:line="263" w:lineRule="auto"/>
        <w:tabs>
          <w:tab w:leader="none" w:pos="9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602,570 shares of common stock reserved for future issuance under our ESPP, which became effective in connection with this offering, and any additional shares that become available under our ESPP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ind w:left="980" w:hanging="324"/>
        <w:spacing w:after="0" w:line="286" w:lineRule="auto"/>
        <w:tabs>
          <w:tab w:leader="none" w:pos="976" w:val="left"/>
        </w:tabs>
        <w:numPr>
          <w:ilvl w:val="1"/>
          <w:numId w:val="43"/>
        </w:numPr>
        <w:rPr>
          <w:rFonts w:ascii="Arial" w:cs="Arial" w:eastAsia="Arial" w:hAnsi="Arial"/>
          <w:sz w:val="17"/>
          <w:szCs w:val="17"/>
          <w:color w:val="auto"/>
        </w:rPr>
      </w:pPr>
      <w:r>
        <w:rPr>
          <w:rFonts w:ascii="Arial" w:cs="Arial" w:eastAsia="Arial" w:hAnsi="Arial"/>
          <w:sz w:val="17"/>
          <w:szCs w:val="17"/>
          <w:color w:val="auto"/>
        </w:rPr>
        <w:t>516,710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21" w:right="379" w:bottom="1440" w:gutter="0" w:footer="0" w:header="0"/>
        </w:sectPr>
      </w:pPr>
    </w:p>
    <w:bookmarkStart w:id="72" w:name="page73"/>
    <w:bookmarkEnd w:id="7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28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167"/>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20" w:type="dxa"/>
            <w:vAlign w:val="bottom"/>
            <w:gridSpan w:val="4"/>
          </w:tcPr>
          <w:p>
            <w:pPr>
              <w:jc w:val="right"/>
              <w:ind w:right="302"/>
              <w:spacing w:after="0"/>
              <w:rPr>
                <w:sz w:val="20"/>
                <w:szCs w:val="20"/>
                <w:color w:val="auto"/>
              </w:rPr>
            </w:pPr>
            <w:r>
              <w:rPr>
                <w:rFonts w:ascii="Arial" w:cs="Arial" w:eastAsia="Arial" w:hAnsi="Arial"/>
                <w:sz w:val="13"/>
                <w:szCs w:val="13"/>
                <w:i w:val="1"/>
                <w:iCs w:val="1"/>
                <w:color w:val="auto"/>
                <w:w w:val="91"/>
              </w:rPr>
              <w:t>(in thousands, except share and per share data)</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40"/>
        <w:spacing w:after="0" w:line="210" w:lineRule="auto"/>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p>
      <w:pPr>
        <w:ind w:left="240"/>
        <w:spacing w:after="0" w:line="231" w:lineRule="auto"/>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operating expenses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operations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expense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180" w:hanging="161"/>
        <w:spacing w:after="0" w:line="214" w:lineRule="auto"/>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3"/>
          <w:szCs w:val="23"/>
          <w:color w:val="auto"/>
          <w:vertAlign w:val="superscript"/>
        </w:rPr>
        <w:t>(2)</w:t>
      </w:r>
    </w:p>
    <w:p>
      <w:pPr>
        <w:spacing w:after="0" w:line="1" w:lineRule="exact"/>
        <w:rPr>
          <w:sz w:val="20"/>
          <w:szCs w:val="20"/>
          <w:color w:val="auto"/>
        </w:rPr>
      </w:pPr>
    </w:p>
    <w:p>
      <w:pPr>
        <w:ind w:left="180" w:right="620" w:hanging="161"/>
        <w:spacing w:after="0" w:line="214" w:lineRule="auto"/>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23"/>
          <w:szCs w:val="23"/>
          <w:color w:val="auto"/>
          <w:vertAlign w:val="superscript"/>
        </w:rPr>
        <w:t>(2)</w:t>
      </w:r>
    </w:p>
    <w:p>
      <w:pPr>
        <w:ind w:left="20"/>
        <w:spacing w:after="0" w:line="218" w:lineRule="auto"/>
        <w:rPr>
          <w:sz w:val="20"/>
          <w:szCs w:val="20"/>
          <w:color w:val="auto"/>
        </w:rPr>
      </w:pPr>
      <w:r>
        <w:rPr>
          <w:rFonts w:ascii="Arial" w:cs="Arial" w:eastAsia="Arial" w:hAnsi="Arial"/>
          <w:sz w:val="18"/>
          <w:szCs w:val="18"/>
          <w:color w:val="auto"/>
        </w:rPr>
        <w:t>Pro forma net loss per common share, basic and diluted</w:t>
      </w:r>
      <w:r>
        <w:rPr>
          <w:rFonts w:ascii="Arial" w:cs="Arial" w:eastAsia="Arial" w:hAnsi="Arial"/>
          <w:sz w:val="23"/>
          <w:szCs w:val="23"/>
          <w:color w:val="auto"/>
          <w:vertAlign w:val="superscript"/>
        </w:rPr>
        <w:t>(2)</w:t>
      </w:r>
    </w:p>
    <w:p>
      <w:pPr>
        <w:spacing w:after="0" w:line="1" w:lineRule="exact"/>
        <w:rPr>
          <w:sz w:val="20"/>
          <w:szCs w:val="20"/>
          <w:color w:val="auto"/>
        </w:rPr>
      </w:pPr>
    </w:p>
    <w:p>
      <w:pPr>
        <w:ind w:left="180" w:right="300" w:hanging="161"/>
        <w:spacing w:after="0" w:line="205" w:lineRule="auto"/>
        <w:rPr>
          <w:sz w:val="20"/>
          <w:szCs w:val="20"/>
          <w:color w:val="auto"/>
        </w:rPr>
      </w:pPr>
      <w:r>
        <w:rPr>
          <w:rFonts w:ascii="Arial" w:cs="Arial" w:eastAsia="Arial" w:hAnsi="Arial"/>
          <w:sz w:val="17"/>
          <w:szCs w:val="17"/>
          <w:color w:val="auto"/>
        </w:rPr>
        <w:t>Pro forma weighted-average common shares used to compute basic and diluted net loss per common share</w:t>
      </w:r>
      <w:r>
        <w:rPr>
          <w:rFonts w:ascii="Arial" w:cs="Arial" w:eastAsia="Arial" w:hAnsi="Arial"/>
          <w:sz w:val="22"/>
          <w:szCs w:val="22"/>
          <w:color w:val="auto"/>
          <w:vertAlign w:val="superscript"/>
        </w:rPr>
        <w:t>(2)</w:t>
      </w: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Operating expenses include stock-based compensation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3,776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13,520</w:t>
            </w:r>
          </w:p>
        </w:tc>
      </w:tr>
      <w:tr>
        <w:trPr>
          <w:trHeight w:val="23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2,982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r>
      <w:tr>
        <w:trPr>
          <w:trHeight w:val="25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6,758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20,928</w:t>
            </w:r>
          </w:p>
        </w:tc>
      </w:tr>
      <w:tr>
        <w:trPr>
          <w:trHeight w:val="270"/>
        </w:trPr>
        <w:tc>
          <w:tcPr>
            <w:tcW w:w="880" w:type="dxa"/>
            <w:vAlign w:val="bottom"/>
          </w:tcPr>
          <w:p>
            <w:pPr>
              <w:jc w:val="right"/>
              <w:ind w:right="30"/>
              <w:spacing w:after="0"/>
              <w:rPr>
                <w:sz w:val="20"/>
                <w:szCs w:val="20"/>
                <w:color w:val="auto"/>
              </w:rPr>
            </w:pPr>
            <w:r>
              <w:rPr>
                <w:rFonts w:ascii="Arial" w:cs="Arial" w:eastAsia="Arial" w:hAnsi="Arial"/>
                <w:sz w:val="18"/>
                <w:szCs w:val="18"/>
                <w:color w:val="auto"/>
              </w:rPr>
              <w:t>(6,758)</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499"/>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451</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69"/>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451</w:t>
            </w: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880" w:type="dxa"/>
            <w:vAlign w:val="bottom"/>
          </w:tcPr>
          <w:p>
            <w:pPr>
              <w:jc w:val="right"/>
              <w:ind w:right="30"/>
              <w:spacing w:after="0"/>
              <w:rPr>
                <w:sz w:val="20"/>
                <w:szCs w:val="20"/>
                <w:color w:val="auto"/>
              </w:rPr>
            </w:pPr>
            <w:r>
              <w:rPr>
                <w:rFonts w:ascii="Arial" w:cs="Arial" w:eastAsia="Arial" w:hAnsi="Arial"/>
                <w:sz w:val="18"/>
                <w:szCs w:val="18"/>
                <w:color w:val="auto"/>
              </w:rPr>
              <w:t>(6,307)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5"/>
        </w:trPr>
        <w:tc>
          <w:tcPr>
            <w:tcW w:w="8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3,973,329</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9,709,501</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-1928495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-1610995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-453390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-1293495</wp:posOffset>
            </wp:positionV>
            <wp:extent cx="7132320"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-2270760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3">
            <w:col w:w="4760" w:space="80"/>
            <w:col w:w="100" w:space="620"/>
            <w:col w:w="5680"/>
          </w:cols>
          <w:pgMar w:left="320" w:top="121" w:right="339" w:bottom="1440" w:gutter="0" w:footer="0" w:header="0"/>
          <w:type w:val="continuous"/>
        </w:sectPr>
      </w:pPr>
    </w:p>
    <w:tbl>
      <w:tblPr>
        <w:tblLayout w:type="fixed"/>
        <w:tblInd w:w="34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5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5"/>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4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5"/>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type w:val="continuous"/>
        </w:sectPr>
      </w:pPr>
    </w:p>
    <w:bookmarkStart w:id="73" w:name="page74"/>
    <w:bookmarkEnd w:id="7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40" w:hanging="332"/>
        <w:spacing w:after="0" w:line="27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6"/>
                <w:szCs w:val="16"/>
                <w:color w:val="auto"/>
              </w:rPr>
            </w:pPr>
          </w:p>
        </w:tc>
        <w:tc>
          <w:tcPr>
            <w:tcW w:w="162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As of September 30,</w:t>
            </w:r>
          </w:p>
        </w:tc>
      </w:tr>
      <w:tr>
        <w:trPr>
          <w:trHeight w:val="26"/>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6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6"/>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30,953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r>
      <w:tr>
        <w:trPr>
          <w:trHeight w:val="270"/>
        </w:trPr>
        <w:tc>
          <w:tcPr>
            <w:tcW w:w="5640" w:type="dxa"/>
            <w:vAlign w:val="bottom"/>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114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27,521</w:t>
            </w: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82,991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117,451</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33,696</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3,721</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8,354</w:t>
            </w:r>
          </w:p>
        </w:tc>
      </w:tr>
      <w:tr>
        <w:trPr>
          <w:trHeight w:val="27"/>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29,975</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125,536</w:t>
            </w:r>
          </w:p>
        </w:tc>
      </w:tr>
    </w:tbl>
    <w:p>
      <w:pPr>
        <w:spacing w:after="0" w:line="170" w:lineRule="exact"/>
        <w:rPr>
          <w:sz w:val="20"/>
          <w:szCs w:val="20"/>
          <w:color w:val="auto"/>
        </w:rPr>
      </w:pPr>
    </w:p>
    <w:p>
      <w:pPr>
        <w:ind w:left="340" w:right="360" w:hanging="332"/>
        <w:spacing w:after="0" w:line="273"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1" w:right="339" w:bottom="1440" w:gutter="0" w:footer="0" w:header="0"/>
        </w:sectPr>
      </w:pPr>
    </w:p>
    <w:bookmarkStart w:id="74" w:name="page75"/>
    <w:bookmarkEnd w:id="7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1" w:right="339" w:bottom="1440" w:gutter="0" w:footer="0" w:header="0"/>
        </w:sectPr>
      </w:pPr>
    </w:p>
    <w:bookmarkStart w:id="75" w:name="page76"/>
    <w:bookmarkEnd w:id="7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1" w:right="359" w:bottom="1440" w:gutter="0" w:footer="0" w:header="0"/>
        </w:sectPr>
      </w:pPr>
    </w:p>
    <w:bookmarkStart w:id="76" w:name="page77"/>
    <w:bookmarkEnd w:id="7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3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7" w:name="page78"/>
    <w:bookmarkEnd w:id="7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have not generated any revenue from product sales and may not do so in the near future. Our revenue to date has been generated from research collaborations and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preparing to operate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121" w:right="359" w:bottom="1440" w:gutter="0" w:footer="0" w:header="0"/>
        </w:sectPr>
      </w:pPr>
    </w:p>
    <w:bookmarkStart w:id="78" w:name="page79"/>
    <w:bookmarkEnd w:id="7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Nine Months Ended September 30,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262</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452%</w:t>
            </w:r>
          </w:p>
        </w:tc>
      </w:tr>
    </w:tbl>
    <w:p>
      <w:pPr>
        <w:spacing w:after="0" w:line="14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79" w:name="page80"/>
    <w:bookmarkEnd w:id="7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09"/>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14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R&amp;D expenses increased by $4.9 million, or 58%, from $8.6 million in the nine months ended September 30, 2019 to $13.5 million in the nine months ended September 30, 2020. The increase was primarily due to an increase 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4,445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bl>
    <w:p>
      <w:pPr>
        <w:spacing w:after="0" w:line="1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proposed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09"/>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181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4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2018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0"/>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116</w:t>
            </w:r>
          </w:p>
        </w:tc>
        <w:tc>
          <w:tcPr>
            <w:tcW w:w="10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8,617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bl>
    <w:p>
      <w:pPr>
        <w:spacing w:after="0" w:line="14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121" w:right="339" w:bottom="1440" w:gutter="0" w:footer="0" w:header="0"/>
          <w:type w:val="continuous"/>
        </w:sectPr>
      </w:pPr>
    </w:p>
    <w:bookmarkStart w:id="81" w:name="page82"/>
    <w:bookmarkEnd w:id="8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5"/>
                <w:szCs w:val="15"/>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2,982</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14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0"/>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3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2" w:name="page83"/>
    <w:bookmarkEnd w:id="8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38100</wp:posOffset>
            </wp:positionV>
            <wp:extent cx="20485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(13,073)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w w:val="90"/>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9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type w:val="continuous"/>
        </w:sectPr>
      </w:pPr>
    </w:p>
    <w:bookmarkStart w:id="83" w:name="page84"/>
    <w:bookmarkEnd w:id="8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16" w:lineRule="exact"/>
        <w:rPr>
          <w:sz w:val="20"/>
          <w:szCs w:val="20"/>
          <w:color w:val="auto"/>
        </w:rPr>
      </w:pPr>
    </w:p>
    <w:p>
      <w:pPr>
        <w:ind w:left="340" w:right="40"/>
        <w:spacing w:after="0" w:line="438" w:lineRule="auto"/>
        <w:rPr>
          <w:sz w:val="20"/>
          <w:szCs w:val="20"/>
          <w:color w:val="auto"/>
        </w:rPr>
      </w:pPr>
      <w:r>
        <w:rPr>
          <w:rFonts w:ascii="Arial" w:cs="Arial" w:eastAsia="Arial" w:hAnsi="Arial"/>
          <w:sz w:val="18"/>
          <w:szCs w:val="18"/>
          <w:color w:val="auto"/>
        </w:rPr>
        <w:t xml:space="preserve">In 2018, cash used in investing activities was $0.2 million, which related to payments for property and equipment used for general business operations.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2018, cash provided by financing activities was $29.9 million which was attributable to the net proceeds from the issuance of Series B convertible preferred stock, net of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2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right="40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value of common stock—Historically, as there has been no public market for our common stock, the fair value of our common stock was determined by our board of directors based in part on valuations of our common stock prepared by a third-party valuation specialist. See the subsection titled “Fair Value of Common Stock” below.</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5" w:name="page86"/>
    <w:bookmarkEnd w:id="8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00" w:hanging="328"/>
        <w:spacing w:after="0" w:line="25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volatility—Since we are a privately-held company and do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intrinsic value of all outstanding options as of September 30, 2020 was $124.6 million, of which $17.8 million related to unvested options as of such date, based on the initial public offering price of $19.00 per share.</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$5.1 million to $6.7 million in fiscal year 2021 as a result of all compensatory equity issuances outstanding as of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exercised reasonable judgment and considered numerous objective and subjective factors to determine the best estimate of the fair value of our common stock at each grant date. These factors include:</w:t>
      </w:r>
    </w:p>
    <w:p>
      <w:pPr>
        <w:spacing w:after="0" w:line="13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technology industry and trends within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operating results and financial performance,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and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21" w:right="379" w:bottom="1440" w:gutter="0" w:footer="0" w:header="0"/>
        </w:sectPr>
      </w:pPr>
    </w:p>
    <w:bookmarkStart w:id="86" w:name="page87"/>
    <w:bookmarkEnd w:id="8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12"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2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3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during 2018 and 2019.</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Starting in 2020, we used a hybrid method to determine the estimated fair value of our common stock, which included both the OPM and PWERM models.</w:t>
      </w:r>
    </w:p>
    <w:p>
      <w:pPr>
        <w:spacing w:after="0" w:line="116"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121" w:right="379" w:bottom="1440" w:gutter="0" w:footer="0" w:header="0"/>
        </w:sectPr>
      </w:pPr>
    </w:p>
    <w:bookmarkStart w:id="87" w:name="page88"/>
    <w:bookmarkEnd w:id="8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1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the first fiscal year beginning after the effective date of the registration statement of which this prospectus is a part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2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1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320" w:top="121" w:right="399" w:bottom="1440" w:gutter="0" w:footer="0" w:header="0"/>
        </w:sectPr>
      </w:pPr>
    </w:p>
    <w:bookmarkStart w:id="88" w:name="page89"/>
    <w:bookmarkEnd w:id="8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07"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320" w:top="121" w:right="419" w:bottom="1440" w:gutter="0" w:footer="0" w:header="0"/>
        </w:sectPr>
      </w:pPr>
    </w:p>
    <w:bookmarkStart w:id="89" w:name="page90"/>
    <w:bookmarkEnd w:id="8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8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1" w:right="359" w:bottom="1440" w:gutter="0" w:footer="0" w:header="0"/>
        </w:sectPr>
      </w:pPr>
    </w:p>
    <w:bookmarkStart w:id="90" w:name="page91"/>
    <w:bookmarkEnd w:id="9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21" w:right="359" w:bottom="1440" w:gutter="0" w:footer="0" w:header="0"/>
        </w:sectPr>
      </w:pPr>
    </w:p>
    <w:bookmarkStart w:id="91" w:name="page92"/>
    <w:bookmarkEnd w:id="9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074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80010</wp:posOffset>
            </wp:positionV>
            <wp:extent cx="5143500" cy="2091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21" w:right="359" w:bottom="1440" w:gutter="0" w:footer="0" w:header="0"/>
        </w:sectPr>
      </w:pPr>
    </w:p>
    <w:bookmarkStart w:id="92" w:name="page93"/>
    <w:bookmarkEnd w:id="9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88900</wp:posOffset>
            </wp:positionV>
            <wp:extent cx="4500245" cy="213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83185</wp:posOffset>
            </wp:positionV>
            <wp:extent cx="4286250" cy="1894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349240" cy="1834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5" w:name="page96"/>
    <w:bookmarkEnd w:id="9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70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use machine learning to design, synthesize and select different NPs and NP panels to create multiple products and applications; and</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21" w:right="379" w:bottom="1440" w:gutter="0" w:footer="0" w:header="0"/>
        </w:sectPr>
      </w:pPr>
    </w:p>
    <w:bookmarkStart w:id="96" w:name="page97"/>
    <w:bookmarkEnd w:id="9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174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80645</wp:posOffset>
            </wp:positionV>
            <wp:extent cx="2057400" cy="2237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320" w:top="121" w:right="399" w:bottom="1440" w:gutter="0" w:footer="0" w:header="0"/>
        </w:sectPr>
      </w:pPr>
    </w:p>
    <w:bookmarkStart w:id="97" w:name="page98"/>
    <w:bookmarkEnd w:id="9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77470</wp:posOffset>
            </wp:positionV>
            <wp:extent cx="2357120" cy="1774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571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1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121" w:right="379" w:bottom="1440" w:gutter="0" w:footer="0" w:header="0"/>
        </w:sectPr>
      </w:pPr>
    </w:p>
    <w:bookmarkStart w:id="98" w:name="page99"/>
    <w:bookmarkEnd w:id="9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right="10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Particle Wash</w:t>
      </w:r>
      <w:r>
        <w:rPr>
          <w:rFonts w:ascii="Arial" w:cs="Arial" w:eastAsia="Arial" w:hAnsi="Arial"/>
          <w:sz w:val="18"/>
          <w:szCs w:val="18"/>
          <w:color w:val="auto"/>
        </w:rPr>
        <w:t>. NPs are then captured by a magnetic field, after which they undergo repeated cycles of wash with buffer to remove unbound, or</w:t>
      </w:r>
      <w:r>
        <w:rPr>
          <w:rFonts w:ascii="Arial" w:cs="Arial" w:eastAsia="Arial" w:hAnsi="Arial"/>
          <w:sz w:val="18"/>
          <w:szCs w:val="18"/>
          <w:i w:val="1"/>
          <w:iCs w:val="1"/>
          <w:color w:val="auto"/>
        </w:rPr>
        <w:t xml:space="preserve"> </w:t>
      </w:r>
      <w:r>
        <w:rPr>
          <w:rFonts w:ascii="Arial" w:cs="Arial" w:eastAsia="Arial" w:hAnsi="Arial"/>
          <w:sz w:val="18"/>
          <w:szCs w:val="18"/>
          <w:color w:val="auto"/>
        </w:rPr>
        <w:t>loosely bound, proteins.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In-plate Digestion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software to identify and quantify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22860</wp:posOffset>
            </wp:positionV>
            <wp:extent cx="4928870" cy="2048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21" w:right="359" w:bottom="1440" w:gutter="0" w:footer="0" w:header="0"/>
        </w:sectPr>
      </w:pPr>
    </w:p>
    <w:bookmarkStart w:id="99" w:name="page100"/>
    <w:bookmarkEnd w:id="9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2194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60" w:hanging="328"/>
        <w:spacing w:after="0" w:line="25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320" w:top="121" w:right="419" w:bottom="1440" w:gutter="0" w:footer="0" w:header="0"/>
        </w:sectPr>
      </w:pPr>
    </w:p>
    <w:bookmarkStart w:id="100" w:name="page101"/>
    <w:bookmarkEnd w:id="10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83185</wp:posOffset>
            </wp:positionV>
            <wp:extent cx="1285875" cy="3197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2" w:lineRule="exact"/>
        <w:rPr>
          <w:sz w:val="20"/>
          <w:szCs w:val="20"/>
          <w:color w:val="auto"/>
        </w:rPr>
      </w:pPr>
    </w:p>
    <w:p>
      <w:pPr>
        <w:ind w:left="660" w:hanging="328"/>
        <w:spacing w:after="0" w:line="270"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20" w:top="121" w:right="399" w:bottom="1440" w:gutter="0" w:footer="0" w:header="0"/>
        </w:sectPr>
      </w:pPr>
    </w:p>
    <w:bookmarkStart w:id="101" w:name="page102"/>
    <w:bookmarkEnd w:id="101"/>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117475</wp:posOffset>
            </wp:positionV>
            <wp:extent cx="4286250" cy="3111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8" w:hanging="328"/>
        <w:spacing w:after="0" w:line="271" w:lineRule="auto"/>
        <w:tabs>
          <w:tab w:leader="none" w:pos="323"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88"/>
          </w:cols>
          <w:pgMar w:left="652" w:top="121" w:right="359" w:bottom="1440" w:gutter="0" w:footer="0" w:header="0"/>
        </w:sectPr>
      </w:pPr>
    </w:p>
    <w:bookmarkStart w:id="102" w:name="page103"/>
    <w:bookmarkEnd w:id="102"/>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805815</wp:posOffset>
            </wp:positionV>
            <wp:extent cx="257175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 w:hanging="328"/>
        <w:spacing w:after="0" w:line="287" w:lineRule="auto"/>
        <w:tabs>
          <w:tab w:leader="none" w:pos="323"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48"/>
          </w:cols>
          <w:pgMar w:left="652" w:top="121" w:right="399" w:bottom="1440" w:gutter="0" w:footer="0" w:header="0"/>
        </w:sectPr>
      </w:pPr>
    </w:p>
    <w:bookmarkStart w:id="103" w:name="page104"/>
    <w:bookmarkEnd w:id="10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69"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Rapid and large-scale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Proteograph enables rapid and large-scale proteomic sample processing in a seven-hour workflow, compared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4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21" w:right="359" w:bottom="1440" w:gutter="0" w:footer="0" w:header="0"/>
        </w:sectPr>
      </w:pPr>
    </w:p>
    <w:bookmarkStart w:id="104" w:name="page105"/>
    <w:bookmarkEnd w:id="10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091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 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21" w:right="359" w:bottom="1440" w:gutter="0" w:footer="0" w:header="0"/>
        </w:sectPr>
      </w:pPr>
    </w:p>
    <w:bookmarkStart w:id="105" w:name="page106"/>
    <w:bookmarkEnd w:id="10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60" w:hanging="332"/>
        <w:spacing w:after="0" w:line="255"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8"/>
          <w:szCs w:val="18"/>
          <w:color w:val="auto"/>
        </w:rPr>
        <w:t>While other proteomics technologies exist today, we believe that our Proteograph is the first and only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434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right="60" w:hanging="332"/>
        <w:spacing w:after="0" w:line="271" w:lineRule="auto"/>
        <w:tabs>
          <w:tab w:leader="none" w:pos="335"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7"/>
          <w:szCs w:val="17"/>
          <w:color w:val="auto"/>
        </w:rPr>
        <w:t>The ability to observe the myriad of possible protein variations,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1" w:right="339" w:bottom="1440" w:gutter="0" w:footer="0" w:header="0"/>
        </w:sectPr>
      </w:pPr>
    </w:p>
    <w:bookmarkStart w:id="106" w:name="page107"/>
    <w:bookmarkEnd w:id="10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and protein pathway information at scale. We believe that our Proteograph is uniquely positioned to fully capture the breadth, depth and the complexity of the proteome at scale.</w:t>
      </w:r>
    </w:p>
    <w:p>
      <w:pPr>
        <w:spacing w:after="0" w:line="116" w:lineRule="exact"/>
        <w:rPr>
          <w:sz w:val="20"/>
          <w:szCs w:val="20"/>
          <w:color w:val="auto"/>
        </w:rPr>
      </w:pPr>
    </w:p>
    <w:p>
      <w:pPr>
        <w:ind w:left="340" w:right="240" w:hanging="332"/>
        <w:spacing w:after="0" w:line="271" w:lineRule="auto"/>
        <w:tabs>
          <w:tab w:leader="none" w:pos="335"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is an integrated solution comprised of consumables, an automation instrument and software, and was designed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40" w:right="60" w:hanging="332"/>
        <w:spacing w:after="0" w:line="290"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250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40" w:right="40" w:hanging="332"/>
        <w:spacing w:after="0" w:line="293"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40" w:right="160" w:hanging="332"/>
        <w:spacing w:after="0" w:line="291"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Proteograph Product Suite has the potential to provide sustainable differentiation. </w:t>
      </w:r>
      <w:r>
        <w:rPr>
          <w:rFonts w:ascii="Arial" w:cs="Arial" w:eastAsia="Arial" w:hAnsi="Arial"/>
          <w:sz w:val="16"/>
          <w:szCs w:val="16"/>
          <w:color w:val="auto"/>
        </w:rPr>
        <w:t>Our Proteograph is uniquely capable of generating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660" w:hanging="332"/>
        <w:spacing w:after="0" w:line="263"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8"/>
          <w:szCs w:val="18"/>
          <w:color w:val="auto"/>
        </w:rPr>
        <w:t>Our initial product, the Proteograph, uniquely enables researchers and clinicians to generate unbiased,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proteomic information at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1" w:right="339" w:bottom="1440" w:gutter="0" w:footer="0" w:header="0"/>
        </w:sectPr>
      </w:pPr>
    </w:p>
    <w:bookmarkStart w:id="107" w:name="page108"/>
    <w:bookmarkEnd w:id="107"/>
    <w:p>
      <w:pPr>
        <w:ind w:left="332"/>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right="100"/>
        <w:spacing w:after="0" w:line="296" w:lineRule="auto"/>
        <w:rPr>
          <w:sz w:val="20"/>
          <w:szCs w:val="20"/>
          <w:color w:val="auto"/>
        </w:rPr>
      </w:pPr>
      <w:r>
        <w:rPr>
          <w:rFonts w:ascii="Arial" w:cs="Arial" w:eastAsia="Arial" w:hAnsi="Arial"/>
          <w:sz w:val="16"/>
          <w:szCs w:val="16"/>
          <w:color w:val="auto"/>
        </w:rPr>
        <w:t>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07" w:lineRule="exact"/>
        <w:rPr>
          <w:sz w:val="20"/>
          <w:szCs w:val="20"/>
          <w:color w:val="auto"/>
        </w:rPr>
      </w:pPr>
    </w:p>
    <w:p>
      <w:pPr>
        <w:ind w:left="332" w:right="20" w:hanging="332"/>
        <w:spacing w:after="0" w:line="254" w:lineRule="auto"/>
        <w:tabs>
          <w:tab w:leader="none" w:pos="327"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32" w:hanging="332"/>
        <w:spacing w:after="0" w:line="255" w:lineRule="auto"/>
        <w:tabs>
          <w:tab w:leader="none" w:pos="327"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32" w:right="120" w:hanging="332"/>
        <w:spacing w:after="0" w:line="296" w:lineRule="auto"/>
        <w:tabs>
          <w:tab w:leader="none" w:pos="327"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32" w:right="40" w:hanging="332"/>
        <w:spacing w:after="0" w:line="291" w:lineRule="auto"/>
        <w:tabs>
          <w:tab w:leader="none" w:pos="327"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12" w:lineRule="exact"/>
        <w:rPr>
          <w:rFonts w:ascii="Arial" w:cs="Arial" w:eastAsia="Arial" w:hAnsi="Arial"/>
          <w:sz w:val="16"/>
          <w:szCs w:val="16"/>
          <w:color w:val="auto"/>
        </w:rPr>
      </w:pPr>
    </w:p>
    <w:p>
      <w:pPr>
        <w:ind w:left="332" w:right="20" w:hanging="332"/>
        <w:spacing w:after="0" w:line="273" w:lineRule="auto"/>
        <w:tabs>
          <w:tab w:leader="none" w:pos="327"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32"/>
          </w:cols>
          <w:pgMar w:left="328" w:top="121" w:right="339" w:bottom="1440" w:gutter="0" w:footer="0" w:header="0"/>
        </w:sectPr>
      </w:pPr>
    </w:p>
    <w:bookmarkStart w:id="108" w:name="page109"/>
    <w:bookmarkEnd w:id="10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79375</wp:posOffset>
            </wp:positionV>
            <wp:extent cx="2571750" cy="2537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1" w:right="339" w:bottom="1440" w:gutter="0" w:footer="0" w:header="0"/>
        </w:sectPr>
      </w:pPr>
    </w:p>
    <w:bookmarkStart w:id="109" w:name="page110"/>
    <w:bookmarkEnd w:id="10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437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121" w:right="439" w:bottom="1440" w:gutter="0" w:footer="0" w:header="0"/>
        </w:sectPr>
      </w:pPr>
    </w:p>
    <w:bookmarkStart w:id="110" w:name="page111"/>
    <w:bookmarkEnd w:id="11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805815</wp:posOffset>
            </wp:positionV>
            <wp:extent cx="1714500" cy="2768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21" w:right="379" w:bottom="1440" w:gutter="0" w:footer="0" w:header="0"/>
        </w:sectPr>
      </w:pPr>
    </w:p>
    <w:bookmarkStart w:id="111" w:name="page112"/>
    <w:bookmarkEnd w:id="11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657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12" w:name="page113"/>
    <w:bookmarkEnd w:id="11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for exploration of potential biomarkers is illustrated in a proof-of-principle study in lung-cancer, as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Communications </w:t>
      </w:r>
      <w:r>
        <w:rPr>
          <w:rFonts w:ascii="Arial" w:cs="Arial" w:eastAsia="Arial" w:hAnsi="Arial"/>
          <w:sz w:val="17"/>
          <w:szCs w:val="17"/>
          <w:color w:val="auto"/>
        </w:rPr>
        <w:t>(Blume et al.). In this study, approximately 2,000 proteins were quantified across 141 subjects comprising early stage lung cancer (i.e.,</w:t>
      </w:r>
      <w:r>
        <w:rPr>
          <w:rFonts w:ascii="Arial" w:cs="Arial" w:eastAsia="Arial" w:hAnsi="Arial"/>
          <w:sz w:val="17"/>
          <w:szCs w:val="17"/>
          <w:i w:val="1"/>
          <w:iCs w:val="1"/>
          <w:color w:val="auto"/>
        </w:rPr>
        <w:t xml:space="preserve"> </w:t>
      </w:r>
      <w:r>
        <w:rPr>
          <w:rFonts w:ascii="Arial" w:cs="Arial" w:eastAsia="Arial" w:hAnsi="Arial"/>
          <w:sz w:val="17"/>
          <w:szCs w:val="17"/>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121" w:right="439" w:bottom="1440" w:gutter="0" w:footer="0" w:header="0"/>
        </w:sectPr>
      </w:pPr>
    </w:p>
    <w:bookmarkStart w:id="113" w:name="page114"/>
    <w:bookmarkEnd w:id="11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121" w:right="379" w:bottom="1440" w:gutter="0" w:footer="0" w:header="0"/>
        </w:sectPr>
      </w:pPr>
    </w:p>
    <w:bookmarkStart w:id="114" w:name="page115"/>
    <w:bookmarkEnd w:id="11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121" w:right="379" w:bottom="1440" w:gutter="0" w:footer="0" w:header="0"/>
        </w:sectPr>
      </w:pPr>
    </w:p>
    <w:bookmarkStart w:id="115" w:name="page116"/>
    <w:bookmarkEnd w:id="11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transition services and support, including laboratory and office space to PrognomIQ during the transition period. We anticipate these services to continue through the first half of 2021.</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3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Proteograph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4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Proteograph automation instruments, depending upon customer need. We recognize that excellent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320" w:top="121" w:right="399" w:bottom="1440" w:gutter="0" w:footer="0" w:header="0"/>
        </w:sectPr>
      </w:pPr>
    </w:p>
    <w:bookmarkStart w:id="116" w:name="page117"/>
    <w:bookmarkEnd w:id="11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can be a critical part of a customer experience, and we will invest accordingly in our technical and application support to achieve the desired levels of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3" w:lineRule="exact"/>
        <w:rPr>
          <w:sz w:val="20"/>
          <w:szCs w:val="20"/>
          <w:color w:val="auto"/>
        </w:rPr>
      </w:pPr>
    </w:p>
    <w:p>
      <w:pPr>
        <w:ind w:left="660" w:right="60" w:hanging="328"/>
        <w:spacing w:after="0" w:line="270"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expect to place another Proteograph with a second collaborator before the end of 2020, pending any COVID-19-related delays. We plan to complement these two initial collaborators with one or two additional collaborators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26" w:lineRule="exact"/>
        <w:rPr>
          <w:rFonts w:ascii="Arial" w:cs="Arial" w:eastAsia="Arial" w:hAnsi="Arial"/>
          <w:sz w:val="17"/>
          <w:szCs w:val="17"/>
          <w:color w:val="auto"/>
        </w:rPr>
      </w:pPr>
    </w:p>
    <w:p>
      <w:pPr>
        <w:ind w:left="660" w:right="40" w:hanging="328"/>
        <w:spacing w:after="0" w:line="290"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1"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17" w:name="page118"/>
    <w:bookmarkEnd w:id="11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18" w:name="page119"/>
    <w:bookmarkEnd w:id="11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121" w:right="399" w:bottom="1440" w:gutter="0" w:footer="0" w:header="0"/>
        </w:sectPr>
      </w:pPr>
    </w:p>
    <w:bookmarkStart w:id="119" w:name="page120"/>
    <w:bookmarkEnd w:id="11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special controls together, are sufficient to provide a reasonable assurance of the device’s safety and effectiveness. The de novo classification route is generally less burdensome than the PMA approval process.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21" w:right="359" w:bottom="1440" w:gutter="0" w:footer="0" w:header="0"/>
        </w:sectPr>
      </w:pPr>
    </w:p>
    <w:bookmarkStart w:id="120" w:name="page121"/>
    <w:bookmarkEnd w:id="12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21" w:right="359" w:bottom="1440" w:gutter="0" w:footer="0" w:header="0"/>
        </w:sectPr>
      </w:pPr>
    </w:p>
    <w:bookmarkStart w:id="121" w:name="page122"/>
    <w:bookmarkEnd w:id="12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w:t>
      </w:r>
    </w:p>
    <w:p>
      <w:pPr>
        <w:spacing w:after="0" w:line="11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September 30, 2020, we own approximately two issued U.S. patents, eight U.S. pending patent applications and four pending Patent Cooperation Treaty (PCT) patent applications.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patent portfolio owned by us includes:</w:t>
      </w:r>
    </w:p>
    <w:p>
      <w:pPr>
        <w:spacing w:after="0" w:line="171" w:lineRule="exact"/>
        <w:rPr>
          <w:sz w:val="20"/>
          <w:szCs w:val="20"/>
          <w:color w:val="auto"/>
        </w:rPr>
      </w:pPr>
    </w:p>
    <w:p>
      <w:pPr>
        <w:ind w:left="660" w:right="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21" w:right="359" w:bottom="1440" w:gutter="0" w:footer="0" w:header="0"/>
        </w:sectPr>
      </w:pPr>
    </w:p>
    <w:bookmarkStart w:id="122" w:name="page123"/>
    <w:bookmarkEnd w:id="12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pending U.S. patent applications that are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6"/>
          <w:szCs w:val="16"/>
          <w:i w:val="1"/>
          <w:iCs w:val="1"/>
          <w:color w:val="auto"/>
        </w:rPr>
        <w:t>“Risk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23" w:name="page124"/>
    <w:bookmarkEnd w:id="12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824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20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1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the event we elect to grant an exclusive license to a third party in the field of human diagnostics for any of the patents and patent applications licensed or sublicensed, as applicable, to PrognomIQ under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24" w:name="page125"/>
    <w:bookmarkEnd w:id="12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and Ralph Weissleder,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September 30, 2020, we had 60 employees, all based in the United States, many of whom hold doctorate degrees. Of these employees, 46 were engaged in in research and development activities, and 14 were engaged in selling, general and administrative activities. None of our employees are represented by a labor union or covered under a collective bargaining agreement.</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121" w:right="399" w:bottom="1440" w:gutter="0" w:footer="0" w:header="0"/>
        </w:sectPr>
      </w:pPr>
    </w:p>
    <w:bookmarkStart w:id="125" w:name="page126"/>
    <w:bookmarkEnd w:id="12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320" w:top="121" w:right="639" w:bottom="1440" w:gutter="0" w:footer="0" w:header="0"/>
        </w:sectPr>
      </w:pPr>
    </w:p>
    <w:bookmarkStart w:id="126" w:name="page127"/>
    <w:bookmarkEnd w:id="12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September 30,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Omid Farokhzad, M.D.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Omead Ostadan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President, Chief Operating Officer and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Elona Kogan</w:t>
            </w:r>
            <w:r>
              <w:rPr>
                <w:rFonts w:ascii="Arial" w:cs="Arial" w:eastAsia="Arial" w:hAnsi="Arial"/>
                <w:sz w:val="23"/>
                <w:szCs w:val="23"/>
                <w:color w:val="auto"/>
                <w:vertAlign w:val="superscript"/>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David Hallal</w:t>
            </w:r>
            <w:r>
              <w:rPr>
                <w:rFonts w:ascii="Arial" w:cs="Arial" w:eastAsia="Arial" w:hAnsi="Arial"/>
                <w:sz w:val="23"/>
                <w:szCs w:val="23"/>
                <w:color w:val="auto"/>
                <w:vertAlign w:val="superscript"/>
              </w:rPr>
              <w:t>(3)(4)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Terrance McGuire</w:t>
            </w:r>
            <w:r>
              <w:rPr>
                <w:rFonts w:ascii="Arial" w:cs="Arial" w:eastAsia="Arial" w:hAnsi="Arial"/>
                <w:sz w:val="23"/>
                <w:szCs w:val="23"/>
                <w:color w:val="auto"/>
                <w:vertAlign w:val="superscript"/>
              </w:rPr>
              <w:t>(2)(3)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1"/>
        </w:trPr>
        <w:tc>
          <w:tcPr>
            <w:tcW w:w="4520" w:type="dxa"/>
            <w:vAlign w:val="bottom"/>
            <w:gridSpan w:val="2"/>
          </w:tcPr>
          <w:p>
            <w:pPr>
              <w:ind w:left="240"/>
              <w:spacing w:after="0" w:line="252" w:lineRule="exact"/>
              <w:rPr>
                <w:sz w:val="20"/>
                <w:szCs w:val="20"/>
                <w:color w:val="auto"/>
              </w:rPr>
            </w:pPr>
            <w:r>
              <w:rPr>
                <w:rFonts w:ascii="Arial" w:cs="Arial" w:eastAsia="Arial" w:hAnsi="Arial"/>
                <w:sz w:val="18"/>
                <w:szCs w:val="18"/>
                <w:color w:val="auto"/>
              </w:rPr>
              <w:t>David Singer</w:t>
            </w:r>
            <w:r>
              <w:rPr>
                <w:rFonts w:ascii="Arial" w:cs="Arial" w:eastAsia="Arial" w:hAnsi="Arial"/>
                <w:sz w:val="23"/>
                <w:szCs w:val="23"/>
                <w:color w:val="auto"/>
                <w:vertAlign w:val="superscript"/>
              </w:rPr>
              <w:t>(2)(3)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74"/>
        </w:trPr>
        <w:tc>
          <w:tcPr>
            <w:tcW w:w="44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r>
    </w:tbl>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Joined the Company on November 6,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co-founded our Company and has served as our Chief Executive Officer since February 2018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2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 investment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3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Omead Ostadan </w:t>
      </w:r>
      <w:r>
        <w:rPr>
          <w:rFonts w:ascii="Arial" w:cs="Arial" w:eastAsia="Arial" w:hAnsi="Arial"/>
          <w:sz w:val="17"/>
          <w:szCs w:val="17"/>
          <w:color w:val="auto"/>
        </w:rPr>
        <w:t>has served as our President and Chief Operating Officer since July 2020 and as a member of our board of directors since March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1" w:right="339" w:bottom="1440" w:gutter="0" w:footer="0" w:header="0"/>
        </w:sectPr>
      </w:pPr>
    </w:p>
    <w:bookmarkStart w:id="127" w:name="page128"/>
    <w:bookmarkEnd w:id="12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California, Davis and an M.B.A from the Wharton School of Business. We believe Mr. Ostadan is qualified to serve on our board of directors because of his extensive experience in product development at life science companies, his leadership skills, as well as his strong strategic planning and product knowledge.</w:t>
      </w:r>
    </w:p>
    <w:p>
      <w:pPr>
        <w:spacing w:after="0" w:line="13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i w:val="1"/>
          <w:iCs w:val="1"/>
          <w:color w:val="auto"/>
        </w:rPr>
        <w:t xml:space="preserve">Elona Kogan </w:t>
      </w:r>
      <w:r>
        <w:rPr>
          <w:rFonts w:ascii="Arial" w:cs="Arial" w:eastAsia="Arial" w:hAnsi="Arial"/>
          <w:sz w:val="17"/>
          <w:szCs w:val="17"/>
          <w:color w:val="auto"/>
        </w:rPr>
        <w:t>has served as our General Counsel and Secretary since November 2020. Prior to joining us, Ms. Kogan served as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 2020. Mr.</w:t>
      </w:r>
      <w:r>
        <w:rPr>
          <w:rFonts w:ascii="Arial" w:cs="Arial" w:eastAsia="Arial" w:hAnsi="Arial"/>
          <w:sz w:val="18"/>
          <w:szCs w:val="18"/>
          <w:i w:val="1"/>
          <w:iCs w:val="1"/>
          <w:color w:val="auto"/>
        </w:rPr>
        <w:t xml:space="preserve"> </w:t>
      </w:r>
      <w:r>
        <w:rPr>
          <w:rFonts w:ascii="Arial" w:cs="Arial" w:eastAsia="Arial" w:hAnsi="Arial"/>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Catherine J. Friedman </w:t>
      </w:r>
      <w:r>
        <w:rPr>
          <w:rFonts w:ascii="Arial" w:cs="Arial" w:eastAsia="Arial" w:hAnsi="Arial"/>
          <w:sz w:val="17"/>
          <w:szCs w:val="17"/>
          <w:color w:val="auto"/>
        </w:rPr>
        <w:t>has served as a member of our board of directors since September 2020. Ms. Friedman has been an independent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 David H. Koch Institute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Lyra Therapeutics, Inc., Moderna, Inc. and Puretech Health plc, and previously served on the board of directors of Alkermes, Inc., Kala Pharmaceuticals, Inc., Momentum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sectPr>
      </w:pPr>
    </w:p>
    <w:bookmarkStart w:id="128" w:name="page129"/>
    <w:bookmarkEnd w:id="12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Terrance McGuire </w:t>
      </w:r>
      <w:r>
        <w:rPr>
          <w:rFonts w:ascii="Arial" w:cs="Arial" w:eastAsia="Arial" w:hAnsi="Arial"/>
          <w:sz w:val="16"/>
          <w:szCs w:val="16"/>
          <w:color w:val="auto"/>
        </w:rPr>
        <w:t>has served as a member of our board of directors since December 2017. Mr. McGuire serves as a General Partner of Polaris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a venture capital firm he co-founded in 1996. He currently serves on the 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1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David B. Singe</w:t>
      </w:r>
      <w:r>
        <w:rPr>
          <w:rFonts w:ascii="Arial" w:cs="Arial" w:eastAsia="Arial" w:hAnsi="Arial"/>
          <w:sz w:val="17"/>
          <w:szCs w:val="17"/>
          <w:color w:val="auto"/>
        </w:rPr>
        <w:t>r has served as a member of our board of directors since December 2017. Mr. Singer has held various positions at Maverick Ventures,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9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30" w:lineRule="exact"/>
        <w:rPr>
          <w:sz w:val="20"/>
          <w:szCs w:val="20"/>
          <w:color w:val="auto"/>
        </w:rPr>
      </w:pPr>
    </w:p>
    <w:p>
      <w:pPr>
        <w:ind w:left="660" w:right="14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will be Catherine Friedman and Omead Ostadan, and their terms will expire at the annual meeting of stockholders to be held in 2021;</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 directors will be Robert Langer Sc.D. and David Singer, and their terms will expire at the annual meeting of stockholders to be held in 2022;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III directors will be Omid Farokhzad, M.D., David Hallal and Terrance McGuire, and their terms will expire at the annual meeting of stockholders to be held in 2023.</w:t>
      </w:r>
    </w:p>
    <w:p>
      <w:pPr>
        <w:spacing w:after="0" w:line="116"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21" w:right="359" w:bottom="1440" w:gutter="0" w:footer="0" w:header="0"/>
        </w:sectPr>
      </w:pPr>
    </w:p>
    <w:bookmarkStart w:id="129" w:name="page130"/>
    <w:bookmarkEnd w:id="12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Upon the completion of this offering, our Class A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3"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and David Singer,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1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1" w:right="339" w:bottom="1440" w:gutter="0" w:footer="0" w:header="0"/>
        </w:sectPr>
      </w:pPr>
    </w:p>
    <w:bookmarkStart w:id="130" w:name="page131"/>
    <w:bookmarkEnd w:id="13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members of our audit committee are Catherine Friedman, Terrance McGuire and David Singer. Catherine Friedman is the chair of our audit committee and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17"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16" w:lineRule="exact"/>
        <w:rPr>
          <w:sz w:val="20"/>
          <w:szCs w:val="20"/>
          <w:color w:val="auto"/>
        </w:rPr>
      </w:pPr>
    </w:p>
    <w:p>
      <w:pPr>
        <w:ind w:left="340" w:right="760"/>
        <w:spacing w:after="0" w:line="438" w:lineRule="auto"/>
        <w:rPr>
          <w:sz w:val="20"/>
          <w:szCs w:val="20"/>
          <w:color w:val="auto"/>
        </w:rPr>
      </w:pPr>
      <w:r>
        <w:rPr>
          <w:rFonts w:ascii="Arial" w:cs="Arial" w:eastAsia="Arial" w:hAnsi="Arial"/>
          <w:sz w:val="18"/>
          <w:szCs w:val="18"/>
          <w:color w:val="auto"/>
        </w:rPr>
        <w:t xml:space="preserve">Our audit committee will operate under a written charter, which satisfies the applicable rules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members of our compensation committee are Terrance McGuire, David Hallal and David Singer. Terrance McGuire is the chair of our compensation committee. Our compensation committee oversees our compensation policies, plans and benefits programs. The compensation committee will also:</w:t>
      </w:r>
    </w:p>
    <w:p>
      <w:pPr>
        <w:spacing w:after="0" w:line="13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129</w:t>
      </w:r>
    </w:p>
    <w:p>
      <w:pPr>
        <w:sectPr>
          <w:pgSz w:w="11900" w:h="16838" w:orient="portrait"/>
          <w:cols w:equalWidth="0" w:num="1">
            <w:col w:w="11200"/>
          </w:cols>
          <w:pgMar w:left="320" w:top="121" w:right="379" w:bottom="1440" w:gutter="0" w:footer="0" w:header="0"/>
        </w:sectPr>
      </w:pPr>
    </w:p>
    <w:bookmarkStart w:id="131" w:name="page132"/>
    <w:bookmarkEnd w:id="13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71" w:lineRule="exact"/>
        <w:rPr>
          <w:sz w:val="20"/>
          <w:szCs w:val="20"/>
          <w:color w:val="auto"/>
        </w:rPr>
      </w:pPr>
    </w:p>
    <w:p>
      <w:pPr>
        <w:ind w:left="340" w:right="60"/>
        <w:spacing w:after="0" w:line="438" w:lineRule="auto"/>
        <w:rPr>
          <w:sz w:val="20"/>
          <w:szCs w:val="20"/>
          <w:color w:val="auto"/>
        </w:rPr>
      </w:pPr>
      <w:r>
        <w:rPr>
          <w:rFonts w:ascii="Arial" w:cs="Arial" w:eastAsia="Arial" w:hAnsi="Arial"/>
          <w:sz w:val="18"/>
          <w:szCs w:val="18"/>
          <w:color w:val="auto"/>
        </w:rPr>
        <w:t xml:space="preserve">Our compensation committee will operate under a written charter, which satisfies the applicable rules of the SEC and the listing standards of Nasdaq. </w:t>
      </w:r>
      <w:r>
        <w:rPr>
          <w:rFonts w:ascii="Arial" w:cs="Arial" w:eastAsia="Arial" w:hAnsi="Arial"/>
          <w:sz w:val="18"/>
          <w:szCs w:val="18"/>
          <w:b w:val="1"/>
          <w:bCs w:val="1"/>
          <w:i w:val="1"/>
          <w:iCs w:val="1"/>
          <w:color w:val="auto"/>
        </w:rPr>
        <w:t>Corporate Governance and Nominating Committee</w:t>
      </w:r>
    </w:p>
    <w:p>
      <w:pPr>
        <w:spacing w:after="0" w:line="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members of our corporate governance and nominating committee are David Hallal, Catherine Friedman and Robert Langer, Sc.D. David Hallal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95" w:lineRule="exact"/>
        <w:rPr>
          <w:sz w:val="20"/>
          <w:szCs w:val="20"/>
          <w:color w:val="auto"/>
        </w:rPr>
      </w:pPr>
    </w:p>
    <w:p>
      <w:pPr>
        <w:ind w:left="660" w:right="74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corporate governance and nominating committee will operate under a written charter, which satisfies the applicable rules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17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340" w:firstLine="324"/>
        <w:spacing w:after="0" w:line="342" w:lineRule="auto"/>
        <w:rPr>
          <w:sz w:val="20"/>
          <w:szCs w:val="20"/>
          <w:color w:val="auto"/>
        </w:rPr>
      </w:pPr>
      <w:r>
        <w:rPr>
          <w:rFonts w:ascii="Arial" w:cs="Arial" w:eastAsia="Arial" w:hAnsi="Arial"/>
          <w:sz w:val="16"/>
          <w:szCs w:val="16"/>
          <w:color w:val="auto"/>
        </w:rPr>
        <w:t>Our employee director, Dr. Farokhzad, did not receive any compensation for his service as a director for the year ended December 31, 2019. The compensation received by Dr. Farokhzad as an employee is set forth in the section titled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121" w:right="439" w:bottom="1440" w:gutter="0" w:footer="0" w:header="0"/>
        </w:sectPr>
      </w:pPr>
    </w:p>
    <w:bookmarkStart w:id="132" w:name="page133"/>
    <w:bookmarkEnd w:id="13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compensation of our non-employee directors for service as directors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 ($)</w:t>
            </w:r>
          </w:p>
        </w:tc>
      </w:tr>
      <w:tr>
        <w:trPr>
          <w:trHeight w:val="26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658,600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658,600</w:t>
            </w: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79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jc w:val="both"/>
        <w:ind w:left="340" w:right="200" w:hanging="332"/>
        <w:spacing w:after="0" w:line="241" w:lineRule="auto"/>
        <w:tabs>
          <w:tab w:leader="none" w:pos="332"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grant-date fair value of the award as computed as of the grant date of each option awarded in fiscal 2019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Number of Securities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Underlying</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 Exercise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Underlying Unvested</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Unexercised Options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Price Per Share</w:t>
            </w: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w w:val="98"/>
              </w:rPr>
              <w:t>Option Expiration</w:t>
            </w:r>
          </w:p>
        </w:tc>
        <w:tc>
          <w:tcPr>
            <w:tcW w:w="0" w:type="dxa"/>
            <w:vAlign w:val="bottom"/>
          </w:tcPr>
          <w:p>
            <w:pPr>
              <w:spacing w:after="0"/>
              <w:rPr>
                <w:sz w:val="1"/>
                <w:szCs w:val="1"/>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Grant Date</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 Awards</w:t>
            </w:r>
          </w:p>
        </w:tc>
        <w:tc>
          <w:tcPr>
            <w:tcW w:w="940" w:type="dxa"/>
            <w:vAlign w:val="bottom"/>
          </w:tcPr>
          <w:p>
            <w:pPr>
              <w:jc w:val="center"/>
              <w:ind w:left="375"/>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2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line="223"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54"/>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Arial" w:cs="Arial" w:eastAsia="Arial" w:hAnsi="Arial"/>
                <w:sz w:val="18"/>
                <w:szCs w:val="18"/>
                <w:color w:val="auto"/>
              </w:rPr>
              <w:t>David Hallal</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89,734</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Arial" w:cs="Arial" w:eastAsia="Arial" w:hAnsi="Arial"/>
                <w:sz w:val="18"/>
                <w:szCs w:val="18"/>
                <w:color w:val="auto"/>
                <w:w w:val="99"/>
              </w:rPr>
              <w:t>—</w:t>
            </w:r>
          </w:p>
        </w:tc>
        <w:tc>
          <w:tcPr>
            <w:tcW w:w="1220" w:type="dxa"/>
            <w:vAlign w:val="bottom"/>
          </w:tcPr>
          <w:p>
            <w:pPr>
              <w:ind w:left="9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58,521</w:t>
            </w:r>
          </w:p>
        </w:tc>
        <w:tc>
          <w:tcPr>
            <w:tcW w:w="440" w:type="dxa"/>
            <w:vAlign w:val="bottom"/>
          </w:tcPr>
          <w:p>
            <w:pPr>
              <w:ind w:left="2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left="574"/>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9/20/2017</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55,977</w:t>
            </w: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(4)</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Robert Langer, Sc.D.</w:t>
            </w: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22,242</w:t>
            </w: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(5)</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8"/>
                <w:szCs w:val="18"/>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104,036</w:t>
            </w: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634"/>
              <w:spacing w:after="0" w:line="176" w:lineRule="exact"/>
              <w:rPr>
                <w:sz w:val="20"/>
                <w:szCs w:val="20"/>
                <w:color w:val="auto"/>
              </w:rPr>
            </w:pPr>
            <w:r>
              <w:rPr>
                <w:rFonts w:ascii="Arial" w:cs="Arial" w:eastAsia="Arial" w:hAnsi="Arial"/>
                <w:sz w:val="18"/>
                <w:szCs w:val="18"/>
                <w:color w:val="auto"/>
                <w:w w:val="91"/>
              </w:rPr>
              <w:t>0.05</w:t>
            </w:r>
          </w:p>
        </w:tc>
        <w:tc>
          <w:tcPr>
            <w:tcW w:w="80" w:type="dxa"/>
            <w:vAlign w:val="bottom"/>
          </w:tcPr>
          <w:p>
            <w:pPr>
              <w:spacing w:after="0"/>
              <w:rPr>
                <w:sz w:val="18"/>
                <w:szCs w:val="18"/>
                <w:color w:val="auto"/>
              </w:rPr>
            </w:pPr>
          </w:p>
        </w:tc>
        <w:tc>
          <w:tcPr>
            <w:tcW w:w="1220" w:type="dxa"/>
            <w:vAlign w:val="bottom"/>
          </w:tcPr>
          <w:p>
            <w:pPr>
              <w:ind w:left="480"/>
              <w:spacing w:after="0" w:line="176" w:lineRule="exact"/>
              <w:rPr>
                <w:sz w:val="20"/>
                <w:szCs w:val="20"/>
                <w:color w:val="auto"/>
              </w:rPr>
            </w:pPr>
            <w:r>
              <w:rPr>
                <w:rFonts w:ascii="Arial" w:cs="Arial" w:eastAsia="Arial" w:hAnsi="Arial"/>
                <w:sz w:val="18"/>
                <w:szCs w:val="18"/>
                <w:color w:val="auto"/>
                <w:w w:val="89"/>
              </w:rPr>
              <w:t>5/17/2028</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line="230" w:lineRule="exact"/>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6/27/2019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301,367</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(8)</w:t>
            </w: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Arial" w:cs="Arial" w:eastAsia="Arial" w:hAnsi="Arial"/>
                <w:sz w:val="18"/>
                <w:szCs w:val="18"/>
                <w:color w:val="auto"/>
                <w:w w:val="91"/>
              </w:rPr>
              <w:t>2.21</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Arial" w:cs="Arial" w:eastAsia="Arial" w:hAnsi="Arial"/>
                <w:sz w:val="18"/>
                <w:szCs w:val="18"/>
                <w:color w:val="auto"/>
                <w:w w:val="89"/>
              </w:rPr>
              <w:t>6/26/2029</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Terrance McGuire</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11/15/2017</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60,845</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Arial" w:cs="Arial" w:eastAsia="Arial" w:hAnsi="Arial"/>
                <w:sz w:val="18"/>
                <w:szCs w:val="18"/>
                <w:color w:val="auto"/>
                <w:w w:val="99"/>
              </w:rPr>
              <w:t>—</w:t>
            </w:r>
          </w:p>
        </w:tc>
        <w:tc>
          <w:tcPr>
            <w:tcW w:w="1220" w:type="dxa"/>
            <w:vAlign w:val="bottom"/>
          </w:tcPr>
          <w:p>
            <w:pPr>
              <w:ind w:left="9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4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22,242</w:t>
            </w: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(10)</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104,036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Arial" w:cs="Arial" w:eastAsia="Arial" w:hAnsi="Arial"/>
                <w:sz w:val="18"/>
                <w:szCs w:val="18"/>
                <w:color w:val="auto"/>
                <w:w w:val="91"/>
              </w:rPr>
              <w:t>0.05</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Arial" w:cs="Arial" w:eastAsia="Arial" w:hAnsi="Arial"/>
                <w:sz w:val="18"/>
                <w:szCs w:val="18"/>
                <w:color w:val="auto"/>
                <w:w w:val="89"/>
              </w:rPr>
              <w:t>5/17/2028</w:t>
            </w:r>
          </w:p>
        </w:tc>
        <w:tc>
          <w:tcPr>
            <w:tcW w:w="0" w:type="dxa"/>
            <w:vAlign w:val="bottom"/>
          </w:tcPr>
          <w:p>
            <w:pPr>
              <w:spacing w:after="0"/>
              <w:rPr>
                <w:sz w:val="1"/>
                <w:szCs w:val="1"/>
                <w:color w:val="auto"/>
              </w:rPr>
            </w:pPr>
          </w:p>
        </w:tc>
      </w:tr>
      <w:tr>
        <w:trPr>
          <w:trHeight w:val="211"/>
        </w:trPr>
        <w:tc>
          <w:tcPr>
            <w:tcW w:w="438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10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left="574"/>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438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-1709420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-1263650</wp:posOffset>
            </wp:positionV>
            <wp:extent cx="7132320" cy="436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43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23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25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180" w:hanging="332"/>
        <w:spacing w:after="0" w:line="241" w:lineRule="auto"/>
        <w:tabs>
          <w:tab w:leader="none" w:pos="332"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6, 2020, and 1/48th of the shares vest monthly thereafter, subject to continued service to the Company.</w:t>
      </w:r>
    </w:p>
    <w:p>
      <w:pPr>
        <w:ind w:left="340" w:right="140" w:hanging="332"/>
        <w:spacing w:after="0" w:line="255" w:lineRule="auto"/>
        <w:tabs>
          <w:tab w:leader="none" w:pos="332"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1" w:right="339" w:bottom="1440" w:gutter="0" w:footer="0" w:header="0"/>
        </w:sectPr>
      </w:pPr>
    </w:p>
    <w:bookmarkStart w:id="133" w:name="page134"/>
    <w:bookmarkEnd w:id="13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80" w:hanging="332"/>
        <w:spacing w:after="0" w:line="250" w:lineRule="auto"/>
        <w:tabs>
          <w:tab w:leader="none" w:pos="337"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shares are held of record by Strong Bridge. The shares were acquired pursuant to an early exercise provision and vest in 25 equal monthly installments beginning on January 31, 2020, subject to Mr. McGuire’s continued service to the Company.</w:t>
      </w:r>
    </w:p>
    <w:p>
      <w:pPr>
        <w:ind w:left="340" w:right="540" w:hanging="332"/>
        <w:spacing w:after="0" w:line="293" w:lineRule="auto"/>
        <w:tabs>
          <w:tab w:leader="none" w:pos="33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13" w:lineRule="exact"/>
        <w:rPr>
          <w:sz w:val="20"/>
          <w:szCs w:val="20"/>
          <w:color w:val="auto"/>
        </w:rPr>
      </w:pPr>
    </w:p>
    <w:p>
      <w:pPr>
        <w:ind w:right="140" w:firstLine="324"/>
        <w:spacing w:after="0" w:line="438" w:lineRule="auto"/>
        <w:rPr>
          <w:sz w:val="20"/>
          <w:szCs w:val="20"/>
          <w:color w:val="auto"/>
        </w:rPr>
      </w:pPr>
      <w:r>
        <w:rPr>
          <w:rFonts w:ascii="Arial" w:cs="Arial" w:eastAsia="Arial" w:hAnsi="Arial"/>
          <w:sz w:val="18"/>
          <w:szCs w:val="18"/>
          <w:color w:val="auto"/>
        </w:rPr>
        <w:t xml:space="preserve">Following the completion of this offering, we expect to implement an annual cash and equity compensation program for our non-employee directors. </w:t>
      </w:r>
      <w:r>
        <w:rPr>
          <w:rFonts w:ascii="Arial" w:cs="Arial" w:eastAsia="Arial" w:hAnsi="Arial"/>
          <w:sz w:val="18"/>
          <w:szCs w:val="18"/>
          <w:b w:val="1"/>
          <w:bCs w:val="1"/>
          <w:color w:val="auto"/>
        </w:rPr>
        <w:t>Outside Director Compensation Policy</w:t>
      </w:r>
    </w:p>
    <w:p>
      <w:pPr>
        <w:spacing w:after="0" w:line="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3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prior to this offering, our board of directors adopted, and our stockholders approved, an Outside Director Compensation Policy that provides for certain compensation to our non-employee directors on and after the effective date of the registration statement of which this prospectus forms a part. The below is a summary of the terms of the Outside Director Compensation Policy.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 effective upon the effective date of the registration statement of which this prospectus forms a part:</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 per year for service as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$12,000 per year for service as chair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$6,000 per year for service as a member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17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21" w:right="379" w:bottom="1440" w:gutter="0" w:footer="0" w:header="0"/>
        </w:sectPr>
      </w:pPr>
    </w:p>
    <w:bookmarkStart w:id="134" w:name="page135"/>
    <w:bookmarkEnd w:id="13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Outside Director Compensation Policy, each person who first becomes a non-employee director after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policy will receive, on the first trading day on or after the date that the person first becomes a non-employee director, an initial award of stock options to purchase 37,383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1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Each non-employee director automatically will receive, on the first trading day immediately after the date of each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stockholders (an Annual Meeting) that occurs following the effective date of our Outside Director Compensation Policy, an annual award of stock options to purchase 18,691 shares of our common stock (the Annual Award), except if an individual began service as a non-employee director after the date of the Annual Meeting that occurred immediately prior to such Annual Meeting (or if there is no such prior Annual Meeting, then the effective date of the registration statement of the offering of which this prospectus forms a part),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3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 xml:space="preserve">IPO Awards. </w:t>
      </w:r>
      <w:r>
        <w:rPr>
          <w:rFonts w:ascii="Arial" w:cs="Arial" w:eastAsia="Arial" w:hAnsi="Arial"/>
          <w:sz w:val="16"/>
          <w:szCs w:val="16"/>
          <w:color w:val="auto"/>
        </w:rPr>
        <w:t>Effective as of the effective date of the registration statement of which this prospectus forms a part, each non-employee director who</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was granted any stock options covering shares of our common stock prior to such date will be granted an award of stock options to purchase 18,691 shares of our common stock (a Continuing Director IPO Award) and each non-employee director who, prior to such date, was not granted any stock options covering shares of our common stock will be granted an award of stock options to purchase 37,383 shares of our common stock (a New Director IPO Award). Each New Director IPO Award will be scheduled to vest in equal installments as to 1/36th of the shares of our common stock subject to the New Director IPO Award on a monthly basis following the effective date of the registration statement of which this prospectus forms a part,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is granted or (ii) the day immediately before the date of the next Annual Meeting that occurs after the effective date of the registration statement of which this prospectus forms a part, subject to continued services to us through the applicable vesting date.</w:t>
      </w:r>
    </w:p>
    <w:p>
      <w:pPr>
        <w:spacing w:after="0" w:line="11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Annual Award, Continuing Director IPO Award, and New Director IPO Award will be granted under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3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Outside Director Compensation Policy provides that in any fiscal year, a non-employee director may be paid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granted equity awards with an aggregate value of no more than $750,000 (with the value of equity awards based on its grant date fair value determined in accordance with U.S. GAAP for purposes of this limit), with such limit increased to $1,000,000 in the fiscal year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21" w:right="359" w:bottom="1440" w:gutter="0" w:footer="0" w:header="0"/>
        </w:sectPr>
      </w:pPr>
    </w:p>
    <w:bookmarkStart w:id="135" w:name="page136"/>
    <w:bookmarkEnd w:id="13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initial service as a non-employee director. Equity awards granted or other compensation provided to a non-employee director for services provided as an employee or consultant (other than a non-employee director), or provided before the effective date of the registration statement of which this prospectus forms a part, will not count toward this annual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320" w:top="121" w:right="399" w:bottom="1440" w:gutter="0" w:footer="0" w:header="0"/>
        </w:sectPr>
      </w:pPr>
    </w:p>
    <w:bookmarkStart w:id="136" w:name="page137"/>
    <w:bookmarkEnd w:id="13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named executive officers for the year ended December 31, 2019, which consist of our principal executive officer and our only other executive officer for that year, are:</w:t>
      </w:r>
    </w:p>
    <w:p>
      <w:pPr>
        <w:spacing w:after="0" w:line="11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Omid Farokhzad, M.D., our Chief Executive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Philip Ma, Ph.D., our Chief Business Officer and former 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Bonus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Awards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Non-Equity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Incentive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Other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41" w:lineRule="exact"/>
        <w:rPr>
          <w:sz w:val="20"/>
          <w:szCs w:val="20"/>
          <w:color w:val="auto"/>
        </w:rPr>
      </w:pPr>
    </w:p>
    <w:p>
      <w:pPr>
        <w:sectPr>
          <w:pgSz w:w="11900" w:h="16838" w:orient="portrait"/>
          <w:cols w:equalWidth="0" w:num="9">
            <w:col w:w="2200" w:space="720"/>
            <w:col w:w="280" w:space="660"/>
            <w:col w:w="400" w:space="580"/>
            <w:col w:w="380" w:space="460"/>
            <w:col w:w="460" w:space="460"/>
            <w:col w:w="480" w:space="480"/>
            <w:col w:w="900" w:space="520"/>
            <w:col w:w="880" w:space="700"/>
            <w:col w:w="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6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Omid Farokhzad, M.D.</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421,011</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214,240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115,872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751,123</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Philip Ma, Ph.D.</w:t>
            </w:r>
            <w:r>
              <w:rPr>
                <w:rFonts w:ascii="Arial" w:cs="Arial" w:eastAsia="Arial" w:hAnsi="Arial"/>
                <w:sz w:val="20"/>
                <w:szCs w:val="20"/>
                <w:color w:val="auto"/>
                <w:vertAlign w:val="superscript"/>
              </w:rPr>
              <w:t>(1)</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342,071</w:t>
            </w: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15,014</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487,085</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Business Officer</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Dr. Ma transitioned to PrognomIQ to serve as its full-time chief executive officer as of October 15, 2020. He will remain a consultant of the Company until April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named executive officers as of December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560"/>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943"/>
              <w:spacing w:after="0"/>
              <w:rPr>
                <w:sz w:val="20"/>
                <w:szCs w:val="20"/>
                <w:color w:val="auto"/>
              </w:rPr>
            </w:pPr>
            <w:r>
              <w:rPr>
                <w:rFonts w:ascii="Arial" w:cs="Arial" w:eastAsia="Arial" w:hAnsi="Arial"/>
                <w:sz w:val="14"/>
                <w:szCs w:val="14"/>
                <w:b w:val="1"/>
                <w:bCs w:val="1"/>
                <w:color w:val="auto"/>
              </w:rPr>
              <w:t>Stock Awards</w:t>
            </w:r>
          </w:p>
        </w:tc>
      </w:tr>
      <w:tr>
        <w:trPr>
          <w:trHeight w:val="25"/>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0"/>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Market Value of</w:t>
            </w: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or Units of</w:t>
            </w:r>
          </w:p>
        </w:tc>
      </w:tr>
      <w:tr>
        <w:trPr>
          <w:trHeight w:val="15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Option</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Number of Shares or</w:t>
            </w:r>
          </w:p>
        </w:tc>
        <w:tc>
          <w:tcPr>
            <w:tcW w:w="14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Stock That Have Not</w:t>
            </w:r>
          </w:p>
        </w:tc>
      </w:tr>
      <w:tr>
        <w:trPr>
          <w:trHeight w:val="165"/>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line="165"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18"/>
                <w:szCs w:val="18"/>
                <w:b w:val="1"/>
                <w:bCs w:val="1"/>
                <w:color w:val="auto"/>
                <w:vertAlign w:val="superscript"/>
              </w:rPr>
              <w:t>(1)</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Unexercised Options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 (#)</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Units of Stock That</w:t>
            </w:r>
          </w:p>
        </w:tc>
        <w:tc>
          <w:tcPr>
            <w:tcW w:w="1420" w:type="dxa"/>
            <w:vAlign w:val="bottom"/>
          </w:tcPr>
          <w:p>
            <w:pPr>
              <w:jc w:val="center"/>
              <w:spacing w:after="0" w:line="165" w:lineRule="exact"/>
              <w:rPr>
                <w:sz w:val="20"/>
                <w:szCs w:val="20"/>
                <w:color w:val="auto"/>
              </w:rPr>
            </w:pPr>
            <w:r>
              <w:rPr>
                <w:rFonts w:ascii="Arial" w:cs="Arial" w:eastAsia="Arial" w:hAnsi="Arial"/>
                <w:sz w:val="14"/>
                <w:szCs w:val="14"/>
                <w:b w:val="1"/>
                <w:bCs w:val="1"/>
                <w:color w:val="auto"/>
                <w:w w:val="85"/>
              </w:rPr>
              <w:t>Vested ($)</w:t>
            </w:r>
            <w:r>
              <w:rPr>
                <w:rFonts w:ascii="Arial" w:cs="Arial" w:eastAsia="Arial" w:hAnsi="Arial"/>
                <w:sz w:val="18"/>
                <w:szCs w:val="18"/>
                <w:b w:val="1"/>
                <w:bCs w:val="1"/>
                <w:color w:val="auto"/>
                <w:w w:val="85"/>
                <w:vertAlign w:val="superscript"/>
              </w:rPr>
              <w:t>(2)</w:t>
            </w:r>
          </w:p>
        </w:tc>
      </w:tr>
      <w:tr>
        <w:trPr>
          <w:trHeight w:val="186"/>
        </w:trPr>
        <w:tc>
          <w:tcPr>
            <w:tcW w:w="2040" w:type="dxa"/>
            <w:vAlign w:val="bottom"/>
          </w:tcPr>
          <w:p>
            <w:pPr>
              <w:ind w:left="8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Exercisable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Unexercisable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Have Not Vested (#)</w:t>
            </w:r>
          </w:p>
        </w:tc>
        <w:tc>
          <w:tcPr>
            <w:tcW w:w="1420" w:type="dxa"/>
            <w:vAlign w:val="bottom"/>
          </w:tcPr>
          <w:p>
            <w:pPr>
              <w:spacing w:after="0"/>
              <w:rPr>
                <w:sz w:val="16"/>
                <w:szCs w:val="16"/>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05"/>
        </w:trPr>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5" w:lineRule="exact"/>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1200" w:type="dxa"/>
            <w:vAlign w:val="bottom"/>
            <w:gridSpan w:val="2"/>
            <w:shd w:val="clear" w:color="auto" w:fill="CCEEFF"/>
          </w:tcPr>
          <w:p>
            <w:pPr>
              <w:jc w:val="right"/>
              <w:ind w:right="342"/>
              <w:spacing w:after="0"/>
              <w:rPr>
                <w:sz w:val="20"/>
                <w:szCs w:val="20"/>
                <w:color w:val="auto"/>
              </w:rPr>
            </w:pPr>
            <w:r>
              <w:rPr>
                <w:rFonts w:ascii="Arial" w:cs="Arial" w:eastAsia="Arial" w:hAnsi="Arial"/>
                <w:sz w:val="16"/>
                <w:szCs w:val="16"/>
                <w:color w:val="auto"/>
              </w:rPr>
              <w:t>9/20/2017</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6"/>
                <w:szCs w:val="16"/>
                <w:color w:val="auto"/>
              </w:rPr>
              <w:t>292,056</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787,500</w:t>
            </w:r>
          </w:p>
        </w:tc>
      </w:tr>
      <w:tr>
        <w:trPr>
          <w:trHeight w:val="132"/>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06"/>
        </w:trPr>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92"/>
              </w:rPr>
              <w:t>2/19/2018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6"/>
                <w:szCs w:val="16"/>
                <w:color w:val="auto"/>
              </w:rPr>
              <w:t>115,657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311,859</w:t>
            </w:r>
          </w:p>
        </w:tc>
      </w:tr>
      <w:tr>
        <w:trPr>
          <w:trHeight w:val="132"/>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40"/>
        </w:trPr>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92"/>
              </w:rPr>
              <w:t>5/18/2018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27"/>
              <w:spacing w:after="0"/>
              <w:rPr>
                <w:sz w:val="20"/>
                <w:szCs w:val="20"/>
                <w:color w:val="auto"/>
              </w:rPr>
            </w:pPr>
            <w:r>
              <w:rPr>
                <w:rFonts w:ascii="Arial" w:cs="Arial" w:eastAsia="Arial" w:hAnsi="Arial"/>
                <w:sz w:val="16"/>
                <w:szCs w:val="16"/>
                <w:color w:val="auto"/>
              </w:rPr>
              <w:t>520,184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5/17/2028</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12"/>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right"/>
              <w:spacing w:after="0" w:line="112"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92"/>
        </w:trPr>
        <w:tc>
          <w:tcPr>
            <w:tcW w:w="2040" w:type="dxa"/>
            <w:vAlign w:val="bottom"/>
          </w:tcPr>
          <w:p>
            <w:pPr>
              <w:ind w:left="20"/>
              <w:spacing w:after="0"/>
              <w:rPr>
                <w:sz w:val="20"/>
                <w:szCs w:val="20"/>
                <w:color w:val="auto"/>
              </w:rPr>
            </w:pPr>
            <w:r>
              <w:rPr>
                <w:rFonts w:ascii="Arial" w:cs="Arial" w:eastAsia="Arial" w:hAnsi="Arial"/>
                <w:sz w:val="16"/>
                <w:szCs w:val="16"/>
                <w:color w:val="auto"/>
              </w:rPr>
              <w:t>Philip Ma, Ph.D.</w:t>
            </w:r>
          </w:p>
        </w:tc>
        <w:tc>
          <w:tcPr>
            <w:tcW w:w="1200" w:type="dxa"/>
            <w:vAlign w:val="bottom"/>
            <w:gridSpan w:val="2"/>
          </w:tcPr>
          <w:p>
            <w:pPr>
              <w:jc w:val="right"/>
              <w:ind w:right="342"/>
              <w:spacing w:after="0"/>
              <w:rPr>
                <w:sz w:val="20"/>
                <w:szCs w:val="20"/>
                <w:color w:val="auto"/>
              </w:rPr>
            </w:pPr>
            <w:r>
              <w:rPr>
                <w:rFonts w:ascii="Arial" w:cs="Arial" w:eastAsia="Arial" w:hAnsi="Arial"/>
                <w:sz w:val="16"/>
                <w:szCs w:val="16"/>
                <w:color w:val="auto"/>
              </w:rPr>
              <w:t>9/20/2017</w:t>
            </w:r>
          </w:p>
        </w:tc>
        <w:tc>
          <w:tcPr>
            <w:tcW w:w="10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0"/>
              <w:spacing w:after="0"/>
              <w:rPr>
                <w:sz w:val="20"/>
                <w:szCs w:val="20"/>
                <w:color w:val="auto"/>
              </w:rPr>
            </w:pPr>
            <w:r>
              <w:rPr>
                <w:rFonts w:ascii="Arial" w:cs="Arial" w:eastAsia="Arial" w:hAnsi="Arial"/>
                <w:sz w:val="16"/>
                <w:szCs w:val="16"/>
                <w:color w:val="auto"/>
              </w:rPr>
              <w:t>87,616</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236,250</w:t>
            </w:r>
          </w:p>
        </w:tc>
      </w:tr>
      <w:tr>
        <w:trPr>
          <w:trHeight w:val="132"/>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06"/>
        </w:trPr>
        <w:tc>
          <w:tcPr>
            <w:tcW w:w="2040" w:type="dxa"/>
            <w:vAlign w:val="bottom"/>
          </w:tcPr>
          <w:p>
            <w:pPr>
              <w:spacing w:after="0"/>
              <w:rPr>
                <w:sz w:val="17"/>
                <w:szCs w:val="17"/>
                <w:color w:val="auto"/>
              </w:rPr>
            </w:pPr>
          </w:p>
        </w:tc>
        <w:tc>
          <w:tcPr>
            <w:tcW w:w="1200" w:type="dxa"/>
            <w:vAlign w:val="bottom"/>
            <w:gridSpan w:val="2"/>
          </w:tcPr>
          <w:p>
            <w:pPr>
              <w:jc w:val="right"/>
              <w:ind w:right="342"/>
              <w:spacing w:after="0"/>
              <w:rPr>
                <w:sz w:val="20"/>
                <w:szCs w:val="20"/>
                <w:color w:val="auto"/>
              </w:rPr>
            </w:pPr>
            <w:r>
              <w:rPr>
                <w:rFonts w:ascii="Arial" w:cs="Arial" w:eastAsia="Arial" w:hAnsi="Arial"/>
                <w:sz w:val="16"/>
                <w:szCs w:val="16"/>
                <w:color w:val="auto"/>
              </w:rPr>
              <w:t>2/19/2018</w:t>
            </w:r>
          </w:p>
        </w:tc>
        <w:tc>
          <w:tcPr>
            <w:tcW w:w="10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0"/>
              <w:spacing w:after="0"/>
              <w:rPr>
                <w:sz w:val="20"/>
                <w:szCs w:val="20"/>
                <w:color w:val="auto"/>
              </w:rPr>
            </w:pPr>
            <w:r>
              <w:rPr>
                <w:rFonts w:ascii="Arial" w:cs="Arial" w:eastAsia="Arial" w:hAnsi="Arial"/>
                <w:sz w:val="16"/>
                <w:szCs w:val="16"/>
                <w:color w:val="auto"/>
              </w:rPr>
              <w:t>34,697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93,558</w:t>
            </w:r>
          </w:p>
        </w:tc>
      </w:tr>
      <w:tr>
        <w:trPr>
          <w:trHeight w:val="132"/>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20"/>
        </w:trPr>
        <w:tc>
          <w:tcPr>
            <w:tcW w:w="2040" w:type="dxa"/>
            <w:vAlign w:val="bottom"/>
          </w:tcPr>
          <w:p>
            <w:pPr>
              <w:spacing w:after="0"/>
              <w:rPr>
                <w:sz w:val="19"/>
                <w:szCs w:val="19"/>
                <w:color w:val="auto"/>
              </w:rPr>
            </w:pPr>
          </w:p>
        </w:tc>
        <w:tc>
          <w:tcPr>
            <w:tcW w:w="1200" w:type="dxa"/>
            <w:vAlign w:val="bottom"/>
            <w:gridSpan w:val="2"/>
          </w:tcPr>
          <w:p>
            <w:pPr>
              <w:jc w:val="right"/>
              <w:ind w:right="342"/>
              <w:spacing w:after="0"/>
              <w:rPr>
                <w:sz w:val="20"/>
                <w:szCs w:val="20"/>
                <w:color w:val="auto"/>
              </w:rPr>
            </w:pPr>
            <w:r>
              <w:rPr>
                <w:rFonts w:ascii="Arial" w:cs="Arial" w:eastAsia="Arial" w:hAnsi="Arial"/>
                <w:sz w:val="16"/>
                <w:szCs w:val="16"/>
                <w:color w:val="auto"/>
              </w:rPr>
              <w:t>5/18/2018</w:t>
            </w:r>
          </w:p>
        </w:tc>
        <w:tc>
          <w:tcPr>
            <w:tcW w:w="100" w:type="dxa"/>
            <w:vAlign w:val="bottom"/>
          </w:tcPr>
          <w:p>
            <w:pPr>
              <w:spacing w:after="0"/>
              <w:rPr>
                <w:sz w:val="19"/>
                <w:szCs w:val="19"/>
                <w:color w:val="auto"/>
              </w:rPr>
            </w:pPr>
          </w:p>
        </w:tc>
        <w:tc>
          <w:tcPr>
            <w:tcW w:w="1340" w:type="dxa"/>
            <w:vAlign w:val="bottom"/>
          </w:tcPr>
          <w:p>
            <w:pPr>
              <w:jc w:val="right"/>
              <w:ind w:right="327"/>
              <w:spacing w:after="0"/>
              <w:rPr>
                <w:sz w:val="20"/>
                <w:szCs w:val="20"/>
                <w:color w:val="auto"/>
              </w:rPr>
            </w:pPr>
            <w:r>
              <w:rPr>
                <w:rFonts w:ascii="Arial" w:cs="Arial" w:eastAsia="Arial" w:hAnsi="Arial"/>
                <w:sz w:val="16"/>
                <w:szCs w:val="16"/>
                <w:color w:val="auto"/>
              </w:rPr>
              <w:t>156,055</w:t>
            </w:r>
          </w:p>
        </w:tc>
        <w:tc>
          <w:tcPr>
            <w:tcW w:w="10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6"/>
                <w:szCs w:val="16"/>
                <w:color w:val="auto"/>
                <w:w w:val="92"/>
              </w:rPr>
              <w:t>5/17/2028</w:t>
            </w:r>
          </w:p>
        </w:tc>
        <w:tc>
          <w:tcPr>
            <w:tcW w:w="10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5"/>
        </w:trPr>
        <w:tc>
          <w:tcPr>
            <w:tcW w:w="204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2017 Plan.</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$2.70 as of December 31, 2019 (the determination of the fair market value by our board of directors as of the most proximate date) multiplied by the amount shown in the column for the number of shares or units that have not vested.</w:t>
      </w:r>
    </w:p>
    <w:p>
      <w:pPr>
        <w:ind w:left="320" w:hanging="312"/>
        <w:spacing w:after="0"/>
        <w:tabs>
          <w:tab w:leader="none" w:pos="3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24 equal monthly installments beginning on January 20,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26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180" w:hanging="332"/>
        <w:spacing w:after="0" w:line="255"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 Omid Farokhzad</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entered into a confirmatory employment letter with Dr. Farokhzad, our chief executive officer, which will be effective as of the day before the effective date of our registration statement of which this prospectus forms a part. The confirmatory employment letter has no specific term and provides that Dr. Farokhzad is an at-will employee. Dr. Farokhzad’s current annual base salary is $426,500 and he is eligible for an annual target cash incentive bonus for our fiscal year 2020 equal to 50% of his annual base salary. Provided Dr. Farokhzad remains employed by us through the effective date of this offering, his annual base salary will be immediately increased to $510,000 and his annual target cash incentive bonus for both 2020 and 2021 will be increased to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75"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 The Severance Agreement will be effective as of the day before the effective date of our registration statement of which this prospectus forms a part.</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17" w:lineRule="exact"/>
        <w:rPr>
          <w:sz w:val="20"/>
          <w:szCs w:val="20"/>
          <w:color w:val="auto"/>
        </w:rPr>
      </w:pPr>
    </w:p>
    <w:p>
      <w:pPr>
        <w:ind w:left="660" w:right="40" w:hanging="328"/>
        <w:spacing w:after="0" w:line="342" w:lineRule="auto"/>
        <w:tabs>
          <w:tab w:leader="none" w:pos="6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69" w:lineRule="exact"/>
        <w:rPr>
          <w:rFonts w:ascii="Arial" w:cs="Arial" w:eastAsia="Arial" w:hAnsi="Arial"/>
          <w:sz w:val="16"/>
          <w:szCs w:val="16"/>
          <w:color w:val="auto"/>
        </w:rPr>
      </w:pPr>
    </w:p>
    <w:p>
      <w:pPr>
        <w:ind w:left="660" w:right="38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29"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29" w:lineRule="exact"/>
        <w:rPr>
          <w:rFonts w:ascii="Arial" w:cs="Arial" w:eastAsia="Arial" w:hAnsi="Arial"/>
          <w:sz w:val="18"/>
          <w:szCs w:val="18"/>
          <w:color w:val="auto"/>
        </w:rPr>
      </w:pPr>
    </w:p>
    <w:p>
      <w:pPr>
        <w:ind w:left="660" w:right="120" w:hanging="328"/>
        <w:spacing w:after="0" w:line="255"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13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30" w:lineRule="exact"/>
        <w:rPr>
          <w:sz w:val="20"/>
          <w:szCs w:val="20"/>
          <w:color w:val="auto"/>
        </w:rPr>
      </w:pPr>
    </w:p>
    <w:p>
      <w:pPr>
        <w:ind w:left="660" w:right="20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21" w:right="359" w:bottom="1440" w:gutter="0" w:footer="0" w:header="0"/>
        </w:sectPr>
      </w:pPr>
    </w:p>
    <w:bookmarkStart w:id="138" w:name="page139"/>
    <w:bookmarkEnd w:id="13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reduction in base salary, then as in effect immediately prior to the reduction) (or, if higher, as in effect immediately before the change in control);</w:t>
      </w:r>
    </w:p>
    <w:p>
      <w:pPr>
        <w:spacing w:after="0" w:line="194" w:lineRule="exact"/>
        <w:rPr>
          <w:sz w:val="20"/>
          <w:szCs w:val="20"/>
          <w:color w:val="auto"/>
        </w:rPr>
      </w:pPr>
    </w:p>
    <w:p>
      <w:pPr>
        <w:ind w:left="660" w:right="60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a change in control occurs;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Dr. Farokhzad begins employment or enters into a consultant entity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the effective date of the registration statement of which this prospectus forms a part.</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121" w:right="379" w:bottom="1440" w:gutter="0" w:footer="0" w:header="0"/>
        </w:sectPr>
      </w:pPr>
    </w:p>
    <w:bookmarkStart w:id="139" w:name="page140"/>
    <w:bookmarkEnd w:id="13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board of directors has adopted our Executive Incentive Compensation Plan. Our Executive Incentive Compensation Plan will be administered by our compensation committee. Our Executive Incentive Compensation Plan will allow us to grant incentive awards, generally payable in cash, to employees selected by the administrator, including our named executive officers, based upon any performance goals that may be established by the administrator. The below is a summary of the terms of the Executive Incentive Compensation Plan.</w:t>
      </w:r>
    </w:p>
    <w:p>
      <w:pPr>
        <w:spacing w:after="0" w:line="133"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Under our Executive Incentive Compensation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21" w:right="359" w:bottom="1440" w:gutter="0" w:footer="0" w:header="0"/>
        </w:sectPr>
      </w:pPr>
    </w:p>
    <w:bookmarkStart w:id="140" w:name="page141"/>
    <w:bookmarkEnd w:id="14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22"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board of directors adopted, and our stockholders approved, our 2020 Equity Incentive Plan (the 2020 Plan). The 2020 Plan became effective on the business day immediately before the effective date of our registration statement of which this prospectus forms a part.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of the 2020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total of 4,819,859 shares of our Class A common stock are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is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have been reserved but not issued pursuant to awards granted under each Prior Plan and are not subject to any awards under each Prior Plan (provided that the maximum number of shares that may be added to the 2020 Plan pursuant to this sentence is 14,687,016 shares). The number of shares available for issuance under our 2020 Plan also will include an annual increase, or the evergreen feature, on the first day of each of our fiscal years, beginning with our fiscal year 2021, equal to the least of:</w:t>
      </w:r>
    </w:p>
    <w:p>
      <w:pPr>
        <w:spacing w:after="0" w:line="13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9,037,149 shares;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all classes of our common stock as of the last day of the immediately preceding fiscal year; or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320" w:top="121" w:right="379" w:bottom="1440" w:gutter="0" w:footer="0" w:header="0"/>
        </w:sectPr>
      </w:pPr>
    </w:p>
    <w:bookmarkStart w:id="141" w:name="page142"/>
    <w:bookmarkEnd w:id="14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Our board of directors or one or more committees appointed by our board of directors will have authority to administer our 2020 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(provided that an option agreement may specify that in the event a participant’s service is terminated by the Company for Cause (as defined in our 2020 Plan), the option will terminate immediately). An option, however, may not be exercised later than the expiration of its term. Subject to the provisions of our 2020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21" w:right="339" w:bottom="1440" w:gutter="0" w:footer="0" w:header="0"/>
        </w:sectPr>
      </w:pPr>
    </w:p>
    <w:bookmarkStart w:id="142" w:name="page143"/>
    <w:bookmarkEnd w:id="14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Restricted stock may be granted under our 2020 Plan. Restricted stock awards (RSAs) are grants of shares of our Class A common stock that may have vesting requirements under any such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21" w:right="359" w:bottom="1440" w:gutter="0" w:footer="0" w:header="0"/>
        </w:sectPr>
      </w:pPr>
    </w:p>
    <w:bookmarkStart w:id="143" w:name="page144"/>
    <w:bookmarkEnd w:id="14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All outside (non-employee) directors will be eligible to receive all types of awards (except for incentive stock options) under our 2020 Plan. Our board of directors has adopted and our stockholders have approved a formal Outside Director Compensation Policy pursuant to which our outside directors will be eligible to receive certain equity awards under our 2020 Plan. Our 2020 Plan provides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our 2020 Plan will be determined according to U.S. GAAP. Any awards or other compensation provided to an individual for his or her services as an employee or a consultant (other than an outside director), or before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21" w:right="359" w:bottom="1440" w:gutter="0" w:footer="0" w:header="0"/>
        </w:sectPr>
      </w:pPr>
    </w:p>
    <w:bookmarkStart w:id="144" w:name="page145"/>
    <w:bookmarkEnd w:id="14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RSU Equity Incentive Plan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2020 RSU Equity Incentive Plan (the RSU Plan) was adopted by our board of directors in April 2020 and was most recently amended and restated in November 2020. Our stockholders last approved our 2020 Plan in November 2020. Our RSU Plan was terminated one business day before the effectiveness of the registration statement of which this prospectus forms a part, and we will not grant any additional awards under our RSU Plan thereafter. However, our RSU Plan will continue to govern the terms and conditions of the outstanding awards previously granted under our RSU Plan. The below is a summary of the terms of the RSU Plan.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RSU Plan allows us to grant restricted stock units to employees, directors, officers and consultants of ours and any parent or subsidiary of ours.</w:t>
      </w:r>
    </w:p>
    <w:p>
      <w:pPr>
        <w:spacing w:after="0" w:line="19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September 30, 2020, an aggregate of 335,194 shares of our Class A common stock is reserved for issuance under our RSU Plan. As of September 30, 2020, restricted stock unit awards covering an aggregate of 335,194 shares of our Class A common stock were outstanding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may be granted, determine the number of shares covered by each award, approve forms of award agreements for use under the RSU Plan, determine the terms and conditions of awards, construe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1" w:right="359" w:bottom="1440" w:gutter="0" w:footer="0" w:header="0"/>
        </w:sectPr>
      </w:pPr>
    </w:p>
    <w:bookmarkStart w:id="145" w:name="page146"/>
    <w:bookmarkEnd w:id="14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interpret the terms of our RSU Plan and awards granted under it, prescribe, amend and rescind rules 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Restricted stock units may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may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21" w:right="339" w:bottom="1440" w:gutter="0" w:footer="0" w:header="0"/>
        </w:sectPr>
      </w:pPr>
    </w:p>
    <w:bookmarkStart w:id="146" w:name="page147"/>
    <w:bookmarkEnd w:id="14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is not required to treat all awards, all awards held by a participant, or all awards of the same type, similarly.</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board of directors has the authority to amend, suspend or terminate our RSU Plan, provided such action does not materially impair the rights of any participant unless mutually agreed otherwise. Unless sooner terminated by our board of directors, the RSU Plan will continue in effect for a term of ten</w:t>
      </w:r>
    </w:p>
    <w:p>
      <w:pPr>
        <w:ind w:right="100" w:firstLine="8"/>
        <w:spacing w:after="0" w:line="253" w:lineRule="auto"/>
        <w:tabs>
          <w:tab w:leader="none" w:pos="3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years from the later of (a) the effective date of the RSU Plan in April 2020, or (b) the earlier of the most recent board of directors or stockholder approval of an increase in the number of shares reserved for issuance under the RSU Plan. As noted above, as of one business day before the effectiveness of the registration statement of which this prospectus forms a part, our RSU Plan will be terminated and we will not grant any additional awards under our RSU Plan thereafter.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2017 Stock Incentive Plan (the 2017 Plan) originally was adopted by our board of directors in September 2017 and was most recently amended and restated in November 2020. Our stockholders last approved our 2017 Plan in May 2020. Our 2017 Plan was terminated as of one business day before the effectiveness of the registration statement of which this prospectus forms a part, and we will not grant any additional awards under our 2017 Plan thereafter. However, our 2017 Plan will continue to govern the terms and conditions of the outstanding awards previously granted under our 2017 Plan. The below is a summary of the terms of the 2017 Plan.</w:t>
      </w:r>
    </w:p>
    <w:p>
      <w:pPr>
        <w:spacing w:after="0" w:line="13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2017 Plan allows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September 30, 2020, an aggregate of 11,814,650 shares of our Class A common stock, is reserved for issuance under our 2017 Plan. As of September 30, 2020, awards outstanding under our 2017 Plan consisted of stock options to purchase an aggregate of 7,553,500 shares of our Class A common stock and no RSAs .</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issue restricted stock grants and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21" w:right="359" w:bottom="1440" w:gutter="0" w:footer="0" w:header="0"/>
        </w:sectPr>
      </w:pPr>
    </w:p>
    <w:bookmarkStart w:id="147" w:name="page148"/>
    <w:bookmarkEnd w:id="14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Employees, officers, directors and consultants or advisors of ours or our parent or subsidiary companies are eligible to receive awards. Only our employees or employees of our parent or subsidiary companies are eligible to receive incentive stock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outstanding stock of ours or any of our parent or subsidiary companies,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the administrator.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1" w:right="339" w:bottom="1440" w:gutter="0" w:footer="0" w:header="0"/>
        </w:sectPr>
      </w:pPr>
    </w:p>
    <w:bookmarkStart w:id="148" w:name="page149"/>
    <w:bookmarkEnd w:id="14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Stock Options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reserved for issuance under the 2017 Plan, the number and kind of shares or other securities subject to any then outstanding stock options, and the price of shares covered by each outstanding stock option. Except as 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Transactions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Class A common stock subject to outstanding vested stock options,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portion of such option) is not assumed or substituted, the administrator will notify the participant that such option will be exercisable for a period of time determined by the administrator in its sole discretion and the option will terminate upon the expiration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1" w:right="339" w:bottom="1440" w:gutter="0" w:footer="0" w:header="0"/>
        </w:sectPr>
      </w:pPr>
    </w:p>
    <w:bookmarkStart w:id="149" w:name="page150"/>
    <w:bookmarkEnd w:id="14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board of directors may amend or terminate our 2017 Plan at any time. Amendments to our 2017 Plan not requiring shareholder approval will become effective when adopted by our board of directors. Amendments requiring shareholder approval will become effective when adopted by our board of directors, but if shareholder approval is not obtained within twelve months of such adoption, any incentive stock options granted pursuant to such amendment will be deemed to be non-statutory options, provided that such stock options are authorized by our 2017 Plan. Unless sooner terminated by action of our board of directors, the 2017 Plan will terminate upon the close of business on the day next preceding the tenth anniversary of the date of its adoption by our board of directors. As of one business day before the effectiveness of the registration statement of which this prospectus forms a part, our 2017 Plan will be terminated and we will not grant any additional awards under our 2017 Plan thereafter.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board of directors adopted, and our stockholders approved, our 2020 Employee Stock Purchase Plan (the ESPP). Our ESPP became effective one business day immediately before the effective date of the registration statement of which this prospectus forms a part. The below is a summary of the terms of the ESPP.</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 total of 602,570 shares of our Class A common stock are available for issuance under our ESPP. In addition, our ESPP will provide for annual increases in the number of shares of our Class A common stock available for issuance under our ESPP on the first day of each of our fiscal years beginning with our fiscal year 2021, in an amount equal to the least of:</w:t>
      </w:r>
    </w:p>
    <w:p>
      <w:pPr>
        <w:spacing w:after="0" w:line="130"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1,807,476 shares;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number of shares equal to 1% of the outstanding shares of all classes of our common stock on the last day of our immediately preceding fiscal year; and</w:t>
      </w:r>
    </w:p>
    <w:p>
      <w:pPr>
        <w:spacing w:after="0" w:line="116" w:lineRule="exact"/>
        <w:rPr>
          <w:rFonts w:ascii="Arial" w:cs="Arial" w:eastAsia="Arial" w:hAnsi="Arial"/>
          <w:sz w:val="18"/>
          <w:szCs w:val="18"/>
          <w:color w:val="auto"/>
        </w:rPr>
      </w:pPr>
    </w:p>
    <w:p>
      <w:pPr>
        <w:ind w:left="340" w:right="420" w:hanging="8"/>
        <w:spacing w:after="0" w:line="464" w:lineRule="auto"/>
        <w:tabs>
          <w:tab w:leader="none" w:pos="659"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Our board of directors has appointed our compensation committee to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21" w:right="359" w:bottom="1440" w:gutter="0" w:footer="0" w:header="0"/>
        </w:sectPr>
      </w:pPr>
    </w:p>
    <w:bookmarkStart w:id="150" w:name="page151"/>
    <w:bookmarkEnd w:id="15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71" w:lineRule="exact"/>
        <w:rPr>
          <w:sz w:val="20"/>
          <w:szCs w:val="20"/>
          <w:color w:val="auto"/>
        </w:rPr>
      </w:pPr>
    </w:p>
    <w:p>
      <w:pPr>
        <w:ind w:right="40" w:firstLine="324"/>
        <w:spacing w:after="0" w:line="217" w:lineRule="exact"/>
        <w:rPr>
          <w:sz w:val="20"/>
          <w:szCs w:val="20"/>
          <w:color w:val="auto"/>
        </w:rPr>
      </w:pPr>
      <w:r>
        <w:rPr>
          <w:rFonts w:ascii="Arial" w:cs="Arial" w:eastAsia="Arial" w:hAnsi="Arial"/>
          <w:sz w:val="16"/>
          <w:szCs w:val="16"/>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 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Exercise of Purchase Right</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1,168 shares during each offering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w:t>
      </w:r>
    </w:p>
    <w:p>
      <w:pPr>
        <w:spacing w:after="0" w:line="171"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21" w:right="359" w:bottom="1440" w:gutter="0" w:footer="0" w:header="0"/>
        </w:sectPr>
      </w:pPr>
    </w:p>
    <w:bookmarkStart w:id="151" w:name="page152"/>
    <w:bookmarkEnd w:id="15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of which this prospectus forms a part, unless we terminate it earlier.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Plan Sales</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320" w:top="121" w:right="399" w:bottom="1440" w:gutter="0" w:footer="0" w:header="0"/>
        </w:sectPr>
      </w:pPr>
    </w:p>
    <w:bookmarkStart w:id="152" w:name="page153"/>
    <w:bookmarkEnd w:id="15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130"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For further discussion of our license and sublicense arrangement with PrognomIQ, see the section titled “Business—Collaboration and License Agreements—</w:t>
      </w:r>
      <w:r>
        <w:rPr>
          <w:rFonts w:ascii="Arial" w:cs="Arial" w:eastAsia="Arial" w:hAnsi="Arial"/>
          <w:sz w:val="16"/>
          <w:szCs w:val="16"/>
          <w:i w:val="1"/>
          <w:iCs w:val="1"/>
          <w:color w:val="auto"/>
        </w:rPr>
        <w:t>PrognomIQ</w:t>
      </w:r>
      <w:r>
        <w:rPr>
          <w:rFonts w:ascii="Arial" w:cs="Arial" w:eastAsia="Arial" w:hAnsi="Arial"/>
          <w:sz w:val="16"/>
          <w:szCs w:val="16"/>
          <w:color w:val="auto"/>
        </w:rPr>
        <w:t>.” We will also be providing general transition services and support, including laboratory and office space to PrognomIQ pursuant to a transition services agreement during the transition period.</w:t>
      </w:r>
    </w:p>
    <w:p>
      <w:pPr>
        <w:spacing w:after="0" w:line="10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number of PrognomIQ shares distributed and equity awards granted in connection with the PrognomIQ transaction to our directors, executive officers and 5% stockholders.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2780" w:type="dxa"/>
            <w:vAlign w:val="bottom"/>
            <w:gridSpan w:val="2"/>
          </w:tcPr>
          <w:p>
            <w:pPr>
              <w:ind w:left="1140"/>
              <w:spacing w:after="0"/>
              <w:rPr>
                <w:sz w:val="20"/>
                <w:szCs w:val="20"/>
                <w:color w:val="auto"/>
              </w:rPr>
            </w:pPr>
            <w:r>
              <w:rPr>
                <w:rFonts w:ascii="Arial" w:cs="Arial" w:eastAsia="Arial" w:hAnsi="Arial"/>
                <w:sz w:val="14"/>
                <w:szCs w:val="14"/>
                <w:b w:val="1"/>
                <w:bCs w:val="1"/>
                <w:color w:val="auto"/>
                <w:w w:val="97"/>
              </w:rPr>
              <w:t>Class A Common Shares</w:t>
            </w: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Class B Common Shares</w:t>
            </w: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rPr>
              <w:t>Preferred Shares</w:t>
            </w:r>
          </w:p>
        </w:tc>
      </w:tr>
      <w:tr>
        <w:trPr>
          <w:trHeight w:val="25"/>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10,772,174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11,396,607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10,808,953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Omid Farokhzad, M.D. and affiliated entities</w:t>
            </w:r>
          </w:p>
        </w:tc>
        <w:tc>
          <w:tcPr>
            <w:tcW w:w="2700" w:type="dxa"/>
            <w:vAlign w:val="bottom"/>
          </w:tcPr>
          <w:p>
            <w:pPr>
              <w:jc w:val="right"/>
              <w:spacing w:after="0"/>
              <w:rPr>
                <w:sz w:val="20"/>
                <w:szCs w:val="20"/>
                <w:color w:val="auto"/>
              </w:rPr>
            </w:pPr>
            <w:r>
              <w:rPr>
                <w:rFonts w:ascii="Arial" w:cs="Arial" w:eastAsia="Arial" w:hAnsi="Arial"/>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Robert Langer, Sc.D.</w:t>
            </w:r>
          </w:p>
        </w:tc>
        <w:tc>
          <w:tcPr>
            <w:tcW w:w="2700" w:type="dxa"/>
            <w:vAlign w:val="bottom"/>
          </w:tcPr>
          <w:p>
            <w:pPr>
              <w:jc w:val="right"/>
              <w:spacing w:after="0"/>
              <w:rPr>
                <w:sz w:val="20"/>
                <w:szCs w:val="20"/>
                <w:color w:val="auto"/>
              </w:rPr>
            </w:pPr>
            <w:r>
              <w:rPr>
                <w:rFonts w:ascii="Arial" w:cs="Arial" w:eastAsia="Arial" w:hAnsi="Arial"/>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1" w:right="339" w:bottom="1440" w:gutter="0" w:footer="0" w:header="0"/>
        </w:sectPr>
      </w:pPr>
    </w:p>
    <w:bookmarkStart w:id="153" w:name="page154"/>
    <w:bookmarkEnd w:id="15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D-1 Convertible Preferred Stock Transaction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3"/>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6"/>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40" w:type="dxa"/>
            <w:vAlign w:val="bottom"/>
          </w:tcPr>
          <w:p>
            <w:pPr>
              <w:jc w:val="right"/>
              <w:spacing w:after="0"/>
              <w:rPr>
                <w:sz w:val="20"/>
                <w:szCs w:val="20"/>
                <w:color w:val="auto"/>
              </w:rPr>
            </w:pPr>
            <w:r>
              <w:rPr>
                <w:rFonts w:ascii="Arial" w:cs="Arial" w:eastAsia="Arial" w:hAnsi="Arial"/>
                <w:sz w:val="18"/>
                <w:szCs w:val="18"/>
                <w:color w:val="auto"/>
              </w:rPr>
              <w:t>1,370,715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3440" w:type="dxa"/>
            <w:vAlign w:val="bottom"/>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3440" w:type="dxa"/>
            <w:vAlign w:val="bottom"/>
          </w:tcPr>
          <w:p>
            <w:pPr>
              <w:jc w:val="right"/>
              <w:spacing w:after="0"/>
              <w:rPr>
                <w:sz w:val="20"/>
                <w:szCs w:val="20"/>
                <w:color w:val="auto"/>
              </w:rPr>
            </w:pPr>
            <w:r>
              <w:rPr>
                <w:rFonts w:ascii="Arial" w:cs="Arial" w:eastAsia="Arial" w:hAnsi="Arial"/>
                <w:sz w:val="18"/>
                <w:szCs w:val="18"/>
                <w:color w:val="auto"/>
              </w:rPr>
              <w:t>249,221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1,999,999</w:t>
            </w:r>
          </w:p>
        </w:tc>
      </w:tr>
      <w:tr>
        <w:trPr>
          <w:trHeight w:val="182"/>
        </w:trPr>
        <w:tc>
          <w:tcPr>
            <w:tcW w:w="6140" w:type="dxa"/>
            <w:vAlign w:val="bottom"/>
          </w:tcPr>
          <w:p>
            <w:pPr>
              <w:spacing w:after="0"/>
              <w:rPr>
                <w:sz w:val="20"/>
                <w:szCs w:val="20"/>
                <w:color w:val="auto"/>
              </w:rPr>
            </w:pPr>
            <w:r>
              <w:rPr>
                <w:rFonts w:ascii="Arial" w:cs="Arial" w:eastAsia="Arial" w:hAnsi="Arial"/>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Convertible Preferred Stock Transaction</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5"/>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20" w:type="dxa"/>
            <w:vAlign w:val="bottom"/>
          </w:tcPr>
          <w:p>
            <w:pPr>
              <w:jc w:val="right"/>
              <w:spacing w:after="0"/>
              <w:rPr>
                <w:sz w:val="20"/>
                <w:szCs w:val="20"/>
                <w:color w:val="auto"/>
              </w:rPr>
            </w:pPr>
            <w:r>
              <w:rPr>
                <w:rFonts w:ascii="Arial" w:cs="Arial" w:eastAsia="Arial" w:hAnsi="Arial"/>
                <w:sz w:val="18"/>
                <w:szCs w:val="18"/>
                <w:color w:val="auto"/>
              </w:rPr>
              <w:t>3,663,008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3420" w:type="dxa"/>
            <w:vAlign w:val="bottom"/>
          </w:tcPr>
          <w:p>
            <w:pPr>
              <w:jc w:val="right"/>
              <w:spacing w:after="0"/>
              <w:rPr>
                <w:sz w:val="20"/>
                <w:szCs w:val="20"/>
                <w:color w:val="auto"/>
              </w:rPr>
            </w:pPr>
            <w:r>
              <w:rPr>
                <w:rFonts w:ascii="Arial" w:cs="Arial" w:eastAsia="Arial" w:hAnsi="Arial"/>
                <w:sz w:val="18"/>
                <w:szCs w:val="18"/>
                <w:color w:val="auto"/>
              </w:rPr>
              <w:t>1,294,030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1" w:right="339" w:bottom="1440" w:gutter="0" w:footer="0" w:header="0"/>
        </w:sectPr>
      </w:pPr>
    </w:p>
    <w:bookmarkStart w:id="154" w:name="page155"/>
    <w:bookmarkEnd w:id="15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Convertible Preferred Stock Transaction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C Convertible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80" w:space="38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r>
      <w:tr>
        <w:trPr>
          <w:trHeight w:val="229"/>
        </w:trPr>
        <w:tc>
          <w:tcPr>
            <w:tcW w:w="65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040" w:type="dxa"/>
            <w:vAlign w:val="bottom"/>
          </w:tcPr>
          <w:p>
            <w:pPr>
              <w:jc w:val="right"/>
              <w:spacing w:after="0"/>
              <w:rPr>
                <w:sz w:val="20"/>
                <w:szCs w:val="20"/>
                <w:color w:val="auto"/>
              </w:rPr>
            </w:pPr>
            <w:r>
              <w:rPr>
                <w:rFonts w:ascii="Arial" w:cs="Arial" w:eastAsia="Arial" w:hAnsi="Arial"/>
                <w:sz w:val="18"/>
                <w:szCs w:val="18"/>
                <w:color w:val="auto"/>
              </w:rPr>
              <w:t>411,214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2,200,000</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2018, we issued and sold an aggregate of 7,906,757 shares of Series B convertible preferred stock at a purchase price of $3.80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type w:val="continuous"/>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B Convertible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60" w:space="40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1,541,932</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5,850,430</w:t>
            </w: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100" w:type="dxa"/>
            <w:vAlign w:val="bottom"/>
          </w:tcPr>
          <w:p>
            <w:pPr>
              <w:jc w:val="right"/>
              <w:spacing w:after="0"/>
              <w:rPr>
                <w:sz w:val="20"/>
                <w:szCs w:val="20"/>
                <w:color w:val="auto"/>
              </w:rPr>
            </w:pPr>
            <w:r>
              <w:rPr>
                <w:rFonts w:ascii="Arial" w:cs="Arial" w:eastAsia="Arial" w:hAnsi="Arial"/>
                <w:sz w:val="18"/>
                <w:szCs w:val="18"/>
                <w:color w:val="auto"/>
              </w:rPr>
              <w:t>1,976,690</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7,499,999</w:t>
            </w:r>
          </w:p>
        </w:tc>
      </w:tr>
      <w:tr>
        <w:trPr>
          <w:trHeight w:val="27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Convertible Preferred Stock Transaction</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December 2017, we issued and sold an aggregate of 3,087,468 shares of our Series A convertible preferred stock at a purchase price of $1.95 per share for an aggregate purchase price of approximately $6.0 million. Purchasers of our Series A convertible preferred stock included certain of our officers and directors. The following table presents the number of shares and the total purchase price paid by these persons.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A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5"/>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Dynamics Group LLC</w:t>
            </w:r>
            <w:r>
              <w:rPr>
                <w:rFonts w:ascii="Arial" w:cs="Arial" w:eastAsia="Arial" w:hAnsi="Arial"/>
                <w:sz w:val="23"/>
                <w:szCs w:val="23"/>
                <w:color w:val="auto"/>
                <w:vertAlign w:val="superscript"/>
              </w:rPr>
              <w:t>(1)</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29"/>
        </w:trPr>
        <w:tc>
          <w:tcPr>
            <w:tcW w:w="61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tcPr>
          <w:p>
            <w:pPr>
              <w:jc w:val="right"/>
              <w:spacing w:after="0"/>
              <w:rPr>
                <w:sz w:val="20"/>
                <w:szCs w:val="20"/>
                <w:color w:val="auto"/>
              </w:rPr>
            </w:pPr>
            <w:r>
              <w:rPr>
                <w:rFonts w:ascii="Arial" w:cs="Arial" w:eastAsia="Arial" w:hAnsi="Arial"/>
                <w:sz w:val="18"/>
                <w:szCs w:val="18"/>
                <w:color w:val="auto"/>
              </w:rPr>
              <w:t>2,058,317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Philip Ma, Ph.D.</w:t>
            </w:r>
            <w:r>
              <w:rPr>
                <w:rFonts w:ascii="Arial" w:cs="Arial" w:eastAsia="Arial" w:hAnsi="Arial"/>
                <w:sz w:val="23"/>
                <w:szCs w:val="23"/>
                <w:color w:val="auto"/>
                <w:vertAlign w:val="superscript"/>
              </w:rPr>
              <w:t>(3)</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6160" w:type="dxa"/>
            <w:vAlign w:val="bottom"/>
          </w:tcPr>
          <w:p>
            <w:pPr>
              <w:ind w:left="20"/>
              <w:spacing w:after="0" w:line="230" w:lineRule="exact"/>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(4)</w:t>
            </w:r>
          </w:p>
        </w:tc>
        <w:tc>
          <w:tcPr>
            <w:tcW w:w="3420" w:type="dxa"/>
            <w:vAlign w:val="bottom"/>
          </w:tcPr>
          <w:p>
            <w:pPr>
              <w:jc w:val="right"/>
              <w:spacing w:after="0"/>
              <w:rPr>
                <w:sz w:val="20"/>
                <w:szCs w:val="20"/>
                <w:color w:val="auto"/>
              </w:rPr>
            </w:pPr>
            <w:r>
              <w:rPr>
                <w:rFonts w:ascii="Arial" w:cs="Arial" w:eastAsia="Arial" w:hAnsi="Arial"/>
                <w:sz w:val="18"/>
                <w:szCs w:val="18"/>
                <w:color w:val="auto"/>
              </w:rPr>
              <w:t>205,831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Strong Bridge LLC</w:t>
            </w:r>
            <w:r>
              <w:rPr>
                <w:rFonts w:ascii="Arial" w:cs="Arial" w:eastAsia="Arial" w:hAnsi="Arial"/>
                <w:sz w:val="23"/>
                <w:szCs w:val="23"/>
                <w:color w:val="auto"/>
                <w:vertAlign w:val="superscript"/>
              </w:rPr>
              <w:t>(5)</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155"/>
        </w:trPr>
        <w:tc>
          <w:tcPr>
            <w:tcW w:w="61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20" w:hanging="312"/>
        <w:spacing w:after="0"/>
        <w:tabs>
          <w:tab w:leader="none" w:pos="3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Omid Farokhzad, M.D., is our Chief Executive Officer and the chair of our board of directors and is the sole member of Dynamics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21" w:right="339" w:bottom="1440" w:gutter="0" w:footer="0" w:header="0"/>
          <w:type w:val="continuous"/>
        </w:sectPr>
      </w:pPr>
    </w:p>
    <w:bookmarkStart w:id="155" w:name="page156"/>
    <w:bookmarkEnd w:id="15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520" w:hanging="332"/>
        <w:spacing w:after="0" w:line="250" w:lineRule="auto"/>
        <w:tabs>
          <w:tab w:leader="none" w:pos="3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Philip Ma, Ph.D. is a founder, and, at the time of purchase, was the President and Chief Business Officer of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Robert Langer, Sc.D. is a member of our board of directors.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Terrance McGuire is a member of our board of directors and is an operating manager of Strong Bridge LLC.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party to an amended and restated investors’ rights agreement, dated as of May 12, 2020 (IRA), which provides, among other things, that certain holders of our capital stock have the right to demand that we file a registration statement or request that their shares of our capital stock be covered by a registration statement that we are otherwise filing. In connection with the concurrent private placement, the IRA will be amended and restated to add the purchasers in the concurrent private placement as parties with the same rights, including registration rights, as certain of the prior holders of our capital stock.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12" w:lineRule="exact"/>
        <w:rPr>
          <w:sz w:val="20"/>
          <w:szCs w:val="20"/>
          <w:color w:val="auto"/>
        </w:rPr>
      </w:pPr>
    </w:p>
    <w:p>
      <w:pPr>
        <w:ind w:right="1140" w:firstLine="324"/>
        <w:spacing w:after="0" w:line="438" w:lineRule="auto"/>
        <w:rPr>
          <w:sz w:val="20"/>
          <w:szCs w:val="20"/>
          <w:color w:val="auto"/>
        </w:rPr>
      </w:pPr>
      <w:r>
        <w:rPr>
          <w:rFonts w:ascii="Arial" w:cs="Arial" w:eastAsia="Arial" w:hAnsi="Arial"/>
          <w:sz w:val="18"/>
          <w:szCs w:val="18"/>
          <w:color w:val="auto"/>
        </w:rPr>
        <w:t xml:space="preserve">See the section titled “Description of Capital Stock—Registration Rights” for additional information regarding these registration rights. </w:t>
      </w:r>
      <w:r>
        <w:rPr>
          <w:rFonts w:ascii="Arial" w:cs="Arial" w:eastAsia="Arial" w:hAnsi="Arial"/>
          <w:sz w:val="18"/>
          <w:szCs w:val="18"/>
          <w:b w:val="1"/>
          <w:bCs w:val="1"/>
          <w:color w:val="auto"/>
        </w:rPr>
        <w:t>Right of First Refusal</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dated as of May 12, 2020, we or our assignees have a right to purchase shares of our capital stock which stockholders propose to sell to other parties. This right will terminate upon completion of this offering.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right of first refusal and co-sale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party to a voting agreement, dated as of May 12, 2020, under which certain holders of our capital stock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voting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November 12, 2020, we entered into a purchase agreement with Fidelity Management &amp; Research Company LLC, SoftBank, certain funds and accounts advised by T. Rowe Price Associates, Inc. and aMoon Fund to purchase an aggregate of $135.0 million of our Class A common stock in a private placement at a price per share equal to the initial public offering price. The purchase of these shares will occur immediately subsequent to the closing of this offering.</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Other than as described above under this section titled “Certain Relationships and Related Party Transactions,” since January 1, 2017, we have not entered into any transactions, nor are there any currently proposed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21" w:right="359" w:bottom="1440" w:gutter="0" w:footer="0" w:header="0"/>
        </w:sectPr>
      </w:pPr>
    </w:p>
    <w:bookmarkStart w:id="156" w:name="page157"/>
    <w:bookmarkEnd w:id="15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board of directors has adopted and our stockholders have approved an amended and restated certificate of incorporation, which will become effective immediately prior to the completion of this offering and which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17"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addition, our board of directors has adopted and our stockholders have approved amended and restated bylaws, which will become effective immediately prior to the completion of this offering, and which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11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21" w:right="359" w:bottom="1440" w:gutter="0" w:footer="0" w:header="0"/>
        </w:sectPr>
      </w:pPr>
    </w:p>
    <w:bookmarkStart w:id="157" w:name="page158"/>
    <w:bookmarkEnd w:id="15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21" w:right="339" w:bottom="1440" w:gutter="0" w:footer="0" w:header="0"/>
        </w:sectPr>
      </w:pPr>
    </w:p>
    <w:bookmarkStart w:id="158" w:name="page159"/>
    <w:bookmarkEnd w:id="15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capital stock as of September 30, 2020, and as adjusted to reflect the sale of our Class A common stock in this offering, the concurrent private placement, assuming no exercise of the underwriters’ option to purchase additional shares of our Class A common stock, the secondary transaction and the voluntary conversion, for:</w:t>
      </w:r>
    </w:p>
    <w:p>
      <w:pPr>
        <w:spacing w:after="0" w:line="11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w:t>
      </w:r>
    </w:p>
    <w:p>
      <w:pPr>
        <w:spacing w:after="0" w:line="116"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3"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We have based our calculation of the percentage of beneficial ownership prior to this offering, the concurrent private placement and the secondary transaction on 3,296,556 shares of our Class A common stock and 9,345,784 shares of our Class B common stock outstanding as of September 30, 2020, and 29,026,787 shares of our Class A common stock resulting from the automatic conversion of all outstanding shares of our convertible preferred stock into our Class A common stock immediately prior to the completion of this offering, as if this conversion had occurred as of September 30, 2020. We have based our calculation of the percentage of beneficial ownership after this offering, the concurrent private placement and the secondary transaction on</w:t>
      </w:r>
    </w:p>
    <w:p>
      <w:pPr>
        <w:spacing w:after="0" w:line="2" w:lineRule="exact"/>
        <w:rPr>
          <w:sz w:val="20"/>
          <w:szCs w:val="20"/>
          <w:color w:val="auto"/>
        </w:rPr>
      </w:pPr>
    </w:p>
    <w:p>
      <w:pPr>
        <w:ind w:firstLine="8"/>
        <w:spacing w:after="0" w:line="267" w:lineRule="auto"/>
        <w:tabs>
          <w:tab w:leader="none" w:pos="2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9,210,527 shares of our Class A common stock issued by us in this offering, assuming that the underwriters will not exercise their option to purchase additional shares of our Class A common stock from us, and excluding any potential purchases in this offering by the persons and entities named in the table below, (ii) the sale of 7,105,262 shares in the concurrent private placement at the initial public offering price of $19.00 per share, (iii) the sale of 526,315 shares in the secondary transaction (and conversion of an equal amount of Class B common stock to Class A common stock), at the initial public offering price of $19.00 per share and (iv) the voluntary conversion by OCF 2014 Trust, an entity affiliated with Omid Farokhzad, M.D., of 2,803,737 shares of Class B common stock to an equal amount of Class A common stock contingent upon, and immediately prior to, the completion of this offering (such transactions described in (i) through (iv) referred to the “IPO Transactions” in the column below). Since SoftBank did not beneficially own more than 5% of our Class A common stock or Class B common stock as of September 30, 2020, and prior to the concurrent private placement and secondary transaction, it is not set forth in the table below. We have deemed shares of our Class A common stock subject to stock options that are currently exercisable or exercisable within 60 days of September 30, 2020, or issuable pursuant to RSAs which are subject to vesting and settlement conditions expected to occur within 60 days of September 30,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21" w:right="359" w:bottom="1440" w:gutter="0" w:footer="0" w:header="0"/>
        </w:sectPr>
      </w:pPr>
    </w:p>
    <w:bookmarkStart w:id="159" w:name="page160"/>
    <w:bookmarkEnd w:id="15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3"/>
                <w:szCs w:val="13"/>
                <w:b w:val="1"/>
                <w:bCs w:val="1"/>
                <w:color w:val="auto"/>
              </w:rPr>
              <w:t>Shares Beneficially Owned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 of Total</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Outstanding Before</w:t>
            </w:r>
          </w:p>
        </w:tc>
        <w:tc>
          <w:tcPr>
            <w:tcW w:w="1220" w:type="dxa"/>
            <w:vAlign w:val="bottom"/>
            <w:gridSpan w:val="2"/>
            <w:vMerge w:val="restart"/>
          </w:tcPr>
          <w:p>
            <w:pPr>
              <w:ind w:left="80"/>
              <w:spacing w:after="0" w:line="122" w:lineRule="exact"/>
              <w:rPr>
                <w:sz w:val="20"/>
                <w:szCs w:val="20"/>
                <w:color w:val="auto"/>
              </w:rPr>
            </w:pPr>
            <w:r>
              <w:rPr>
                <w:rFonts w:ascii="Arial" w:cs="Arial" w:eastAsia="Arial" w:hAnsi="Arial"/>
                <w:sz w:val="13"/>
                <w:szCs w:val="13"/>
                <w:b w:val="1"/>
                <w:bCs w:val="1"/>
                <w:color w:val="auto"/>
              </w:rPr>
              <w:t>% of Total Voting</w:t>
            </w:r>
          </w:p>
        </w:tc>
        <w:tc>
          <w:tcPr>
            <w:tcW w:w="120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Outstanding After</w:t>
            </w:r>
          </w:p>
        </w:tc>
        <w:tc>
          <w:tcPr>
            <w:tcW w:w="11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8"/>
              </w:rPr>
              <w:t>% of Total Voting</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Name of Beneficial Owner</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Class A Shares</w:t>
            </w:r>
          </w:p>
        </w:tc>
        <w:tc>
          <w:tcPr>
            <w:tcW w:w="7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Class B Shares</w:t>
            </w:r>
            <w:r>
              <w:rPr>
                <w:rFonts w:ascii="Arial" w:cs="Arial" w:eastAsia="Arial" w:hAnsi="Arial"/>
                <w:sz w:val="21"/>
                <w:szCs w:val="21"/>
                <w:b w:val="1"/>
                <w:bCs w:val="1"/>
                <w:color w:val="auto"/>
                <w:vertAlign w:val="superscript"/>
              </w:rPr>
              <w:t>†</w:t>
            </w:r>
          </w:p>
        </w:tc>
        <w:tc>
          <w:tcPr>
            <w:tcW w:w="7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2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the IPO</w:t>
            </w:r>
          </w:p>
        </w:tc>
        <w:tc>
          <w:tcPr>
            <w:tcW w:w="1220" w:type="dxa"/>
            <w:vAlign w:val="bottom"/>
            <w:gridSpan w:val="2"/>
          </w:tcPr>
          <w:p>
            <w:pPr>
              <w:ind w:left="100"/>
              <w:spacing w:after="0" w:line="122" w:lineRule="exact"/>
              <w:rPr>
                <w:sz w:val="20"/>
                <w:szCs w:val="20"/>
                <w:color w:val="auto"/>
              </w:rPr>
            </w:pPr>
            <w:r>
              <w:rPr>
                <w:rFonts w:ascii="Arial" w:cs="Arial" w:eastAsia="Arial" w:hAnsi="Arial"/>
                <w:sz w:val="13"/>
                <w:szCs w:val="13"/>
                <w:b w:val="1"/>
                <w:bCs w:val="1"/>
                <w:color w:val="auto"/>
              </w:rPr>
              <w:t>Power Before the</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the IPO</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Power After the</w:t>
            </w:r>
          </w:p>
        </w:tc>
        <w:tc>
          <w:tcPr>
            <w:tcW w:w="0" w:type="dxa"/>
            <w:vAlign w:val="bottom"/>
          </w:tcPr>
          <w:p>
            <w:pPr>
              <w:spacing w:after="0"/>
              <w:rPr>
                <w:sz w:val="1"/>
                <w:szCs w:val="1"/>
                <w:color w:val="auto"/>
              </w:rPr>
            </w:pPr>
          </w:p>
        </w:tc>
      </w:tr>
      <w:tr>
        <w:trPr>
          <w:trHeight w:val="175"/>
        </w:trPr>
        <w:tc>
          <w:tcPr>
            <w:tcW w:w="25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Transactions</w:t>
            </w: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IPO Transactions</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Transactions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IPO Transactions</w:t>
            </w:r>
          </w:p>
        </w:tc>
        <w:tc>
          <w:tcPr>
            <w:tcW w:w="0" w:type="dxa"/>
            <w:vAlign w:val="bottom"/>
          </w:tcPr>
          <w:p>
            <w:pPr>
              <w:spacing w:after="0"/>
              <w:rPr>
                <w:sz w:val="1"/>
                <w:szCs w:val="1"/>
                <w:color w:val="auto"/>
              </w:rPr>
            </w:pPr>
          </w:p>
        </w:tc>
      </w:tr>
      <w:tr>
        <w:trPr>
          <w:trHeight w:val="128"/>
        </w:trPr>
        <w:tc>
          <w:tcPr>
            <w:tcW w:w="24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Named Executive Officers</w:t>
            </w: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and Directors: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18"/>
                <w:szCs w:val="18"/>
                <w:color w:val="auto"/>
                <w:vertAlign w:val="superscript"/>
              </w:rPr>
              <w:t>(1)</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2,869,036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8,198,598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18"/>
                <w:szCs w:val="18"/>
                <w:color w:val="auto"/>
                <w:vertAlign w:val="superscript"/>
              </w:rPr>
              <w:t>(2)</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455,623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18"/>
                <w:szCs w:val="18"/>
                <w:color w:val="auto"/>
                <w:vertAlign w:val="superscript"/>
              </w:rPr>
              <w:t>(3)</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140,186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18"/>
                <w:szCs w:val="18"/>
                <w:color w:val="auto"/>
                <w:vertAlign w:val="superscript"/>
              </w:rPr>
              <w:t>(4)</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552,667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18"/>
                <w:szCs w:val="18"/>
                <w:color w:val="auto"/>
                <w:vertAlign w:val="superscript"/>
              </w:rPr>
              <w:t>(5)</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475,333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Singer</w:t>
            </w:r>
            <w:r>
              <w:rPr>
                <w:rFonts w:ascii="Arial" w:cs="Arial" w:eastAsia="Arial" w:hAnsi="Arial"/>
                <w:sz w:val="18"/>
                <w:szCs w:val="18"/>
                <w:color w:val="auto"/>
                <w:vertAlign w:val="superscript"/>
              </w:rPr>
              <w:t>(6)</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5,325,513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All executive officers and directors as a</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12,295,044</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8,697,426</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93.1</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9"/>
        </w:trPr>
        <w:tc>
          <w:tcPr>
            <w:tcW w:w="2500" w:type="dxa"/>
            <w:vAlign w:val="bottom"/>
            <w:gridSpan w:val="2"/>
          </w:tcPr>
          <w:p>
            <w:pPr>
              <w:ind w:left="180"/>
              <w:spacing w:after="0" w:line="189" w:lineRule="exact"/>
              <w:rPr>
                <w:sz w:val="20"/>
                <w:szCs w:val="20"/>
                <w:color w:val="auto"/>
              </w:rPr>
            </w:pPr>
            <w:r>
              <w:rPr>
                <w:rFonts w:ascii="Arial" w:cs="Arial" w:eastAsia="Arial" w:hAnsi="Arial"/>
                <w:sz w:val="14"/>
                <w:szCs w:val="14"/>
                <w:color w:val="auto"/>
              </w:rPr>
              <w:t>group (8 persons)</w:t>
            </w:r>
            <w:r>
              <w:rPr>
                <w:rFonts w:ascii="Arial" w:cs="Arial" w:eastAsia="Arial" w:hAnsi="Arial"/>
                <w:sz w:val="18"/>
                <w:szCs w:val="18"/>
                <w:color w:val="auto"/>
                <w:vertAlign w:val="superscript"/>
              </w:rPr>
              <w:t>(7)</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5% Stockholders: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Maverick Capital</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5,325,513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163,550</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2500" w:type="dxa"/>
            <w:vAlign w:val="bottom"/>
            <w:gridSpan w:val="2"/>
          </w:tcPr>
          <w:p>
            <w:pPr>
              <w:ind w:left="180"/>
              <w:spacing w:after="0" w:line="189" w:lineRule="exact"/>
              <w:rPr>
                <w:sz w:val="20"/>
                <w:szCs w:val="20"/>
                <w:color w:val="auto"/>
              </w:rPr>
            </w:pPr>
            <w:r>
              <w:rPr>
                <w:rFonts w:ascii="Arial" w:cs="Arial" w:eastAsia="Arial" w:hAnsi="Arial"/>
                <w:sz w:val="14"/>
                <w:szCs w:val="14"/>
                <w:color w:val="auto"/>
              </w:rPr>
              <w:t>Ventures, LLC</w:t>
            </w:r>
            <w:r>
              <w:rPr>
                <w:rFonts w:ascii="Arial" w:cs="Arial" w:eastAsia="Arial" w:hAnsi="Arial"/>
                <w:sz w:val="18"/>
                <w:szCs w:val="18"/>
                <w:color w:val="auto"/>
                <w:vertAlign w:val="superscript"/>
              </w:rPr>
              <w:t>(8)</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Invus Public Equities, L.P.</w:t>
            </w:r>
            <w:r>
              <w:rPr>
                <w:rFonts w:ascii="Arial" w:cs="Arial" w:eastAsia="Arial" w:hAnsi="Arial"/>
                <w:sz w:val="18"/>
                <w:szCs w:val="18"/>
                <w:color w:val="auto"/>
                <w:vertAlign w:val="superscript"/>
              </w:rPr>
              <w:t>(9)</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5,050,911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aMoon Fund</w:t>
            </w:r>
            <w:r>
              <w:rPr>
                <w:rFonts w:ascii="Arial" w:cs="Arial" w:eastAsia="Arial" w:hAnsi="Arial"/>
                <w:sz w:val="18"/>
                <w:szCs w:val="18"/>
                <w:color w:val="auto"/>
                <w:vertAlign w:val="superscript"/>
              </w:rPr>
              <w:t>(10)</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5,033,723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Fidelity</w:t>
            </w:r>
            <w:r>
              <w:rPr>
                <w:rFonts w:ascii="Arial" w:cs="Arial" w:eastAsia="Arial" w:hAnsi="Arial"/>
                <w:sz w:val="18"/>
                <w:szCs w:val="18"/>
                <w:color w:val="auto"/>
                <w:vertAlign w:val="superscript"/>
              </w:rPr>
              <w:t>(11)</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3,115,262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w w:val="98"/>
              </w:rPr>
              <w:t>Emerson Collective Investments LLC</w:t>
            </w:r>
            <w:r>
              <w:rPr>
                <w:rFonts w:ascii="Arial" w:cs="Arial" w:eastAsia="Arial" w:hAnsi="Arial"/>
                <w:sz w:val="18"/>
                <w:szCs w:val="18"/>
                <w:color w:val="auto"/>
                <w:w w:val="98"/>
                <w:vertAlign w:val="superscript"/>
              </w:rPr>
              <w:t>(12)</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2,489,160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T. Rowe Price</w:t>
            </w:r>
            <w:r>
              <w:rPr>
                <w:rFonts w:ascii="Arial" w:cs="Arial" w:eastAsia="Arial" w:hAnsi="Arial"/>
                <w:sz w:val="18"/>
                <w:szCs w:val="18"/>
                <w:color w:val="auto"/>
                <w:vertAlign w:val="superscript"/>
              </w:rPr>
              <w:t>(13)</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2,415,524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5"/>
        </w:trPr>
        <w:tc>
          <w:tcPr>
            <w:tcW w:w="242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and Class B common stock, as a single class. Each holder of Class B common stock shall be</w:t>
      </w:r>
    </w:p>
    <w:p>
      <w:pPr>
        <w:spacing w:after="0" w:line="13" w:lineRule="exact"/>
        <w:rPr>
          <w:sz w:val="20"/>
          <w:szCs w:val="20"/>
          <w:color w:val="auto"/>
        </w:rPr>
      </w:pPr>
    </w:p>
    <w:p>
      <w:pPr>
        <w:ind w:left="340" w:right="100"/>
        <w:spacing w:after="0" w:line="241" w:lineRule="auto"/>
        <w:rPr>
          <w:sz w:val="20"/>
          <w:szCs w:val="20"/>
          <w:color w:val="auto"/>
        </w:rPr>
      </w:pPr>
      <w:r>
        <w:rPr>
          <w:rFonts w:ascii="Arial" w:cs="Arial" w:eastAsia="Arial" w:hAnsi="Arial"/>
          <w:sz w:val="14"/>
          <w:szCs w:val="14"/>
          <w:color w:val="auto"/>
        </w:rPr>
        <w:t>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97" w:lineRule="exact"/>
        <w:rPr>
          <w:sz w:val="20"/>
          <w:szCs w:val="20"/>
          <w:color w:val="auto"/>
        </w:rPr>
      </w:pPr>
    </w:p>
    <w:p>
      <w:pPr>
        <w:ind w:left="340" w:right="20" w:hanging="332"/>
        <w:spacing w:after="0" w:line="244" w:lineRule="auto"/>
        <w:tabs>
          <w:tab w:leader="none" w:pos="3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(i) 279,223 shares of Class A common stock held of record by Dr. Farokhzad, of which 258,157 may be repurchased by us at the original exercise price; (ii) 102,915 shares of Class A common stock and 2,591,124 shares of Class B common stock held of record by Dynamics Group LLC for which Dr. Farokhzad serves as the sole member, of which 341,949 may be repurchased by us at the original exercise price; (iii) 2,803,737 shares of Class B shares held of record by SAF-BND Trust for which Dr. Farokhzad’s spouse serves as trustee; (iv) 518,408 shares of Class A common stock and 2,803,737 shares of Class B common stock held of record by OCF 2014 Trust for which Dr. Farokhzad’s spouse serves as the trust advisor; and (v) 1,968,490 shares of Class A common stock subject to options exercisable within 60 days of September 30, 2020, of which 346,831 are fully vested. Dr. Farokhzad disclaims beneficial ownership of the shares held by the SAF-BND Trust and OCF 2014 Trust.</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(i) 263,562 shares of Class A common stock held of record by Mr. Hallal, of which 98,836 may be repurchased by us at the original exercise price and (ii) 192,061 shares of Class A common stock subject to options exercisable within 60 days of September 30, 2020, of which 27,137 are fully vested.</w:t>
      </w:r>
    </w:p>
    <w:p>
      <w:pPr>
        <w:ind w:left="320" w:hanging="312"/>
        <w:spacing w:after="0"/>
        <w:tabs>
          <w:tab w:leader="none" w:pos="3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140,186 shares of Class A common stock held of record by Ms. Friedman, all of which may be repurchased by us at the original exercise price.</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(i) 365,357 shares of Class A common stock, of which 48,308 may be repurchased by us at the original exercise price and 327,102 shares of Class B common stock held of record by Dr. Langer, of which 19,470 may be repurchased by us at the original exercise price; and (ii) 327,496 shares of Class A common stock subject to options exercisable within 60 days of September 30, 2020, of which 100,718 are fully vested.</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(i) 210,984 shares of Class A common stock, of which 53,176 may be repurchased by us at the original exercise price and 4,088 shares of Class B common stock held of record by Strong Bridge, LLC for which Mr. McGuire serves as an operating manager and (ii) 264,349 shares of Class A common stock subject to options exercisable within 60 days of September 30, 2020, of which 95,457 are fully vested.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5,325,513 shares of Class A common stock and 163,550 shares of Class B common stock disclosed in footnote (8) below that are held of record by entities affiliated with Maverick Capital Ventures, LLC.</w:t>
      </w:r>
    </w:p>
    <w:p>
      <w:pPr>
        <w:ind w:left="340" w:right="120" w:hanging="332"/>
        <w:spacing w:after="0" w:line="293" w:lineRule="auto"/>
        <w:tabs>
          <w:tab w:leader="none" w:pos="33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Includes (i) 7,377,941 shares of Class A common stock and 8,697,426 shares of Class B common stock beneficially owned by our executive officers and directors and (ii) 5,057,289 shares of Class A common stock subject to options exercisable within 60 days of September 30, 2020 and held by our executive officers and directors, of which 631,056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1" w:right="339" w:bottom="1440" w:gutter="0" w:footer="0" w:header="0"/>
        </w:sectPr>
      </w:pPr>
    </w:p>
    <w:bookmarkStart w:id="160" w:name="page161"/>
    <w:bookmarkEnd w:id="16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40" w:hanging="332"/>
        <w:spacing w:after="0" w:line="245" w:lineRule="auto"/>
        <w:tabs>
          <w:tab w:leader="none" w:pos="33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(i) 3,390,559 shares of Class A common stock and 101,761 shares of Class B common stock held of record by Maverick Ventures Investment Fund, L.P. (Maverick Ventures Fund) and (ii) 1,934,954 shares of Class A common stock and 61,789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ind w:left="340" w:hanging="332"/>
        <w:spacing w:after="0" w:line="260" w:lineRule="auto"/>
        <w:tabs>
          <w:tab w:leader="none" w:pos="332"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5,050,911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340" w:hanging="332"/>
        <w:spacing w:after="0" w:line="241" w:lineRule="auto"/>
        <w:tabs>
          <w:tab w:leader="none" w:pos="3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(i) 4,121,064 shares of Class A common stock held of record by aMoon 2 Fund, Limited Partnership (aMoon 2 Fund) and (ii) 912,659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2" w:lineRule="exact"/>
        <w:rPr>
          <w:rFonts w:ascii="Arial" w:cs="Arial" w:eastAsia="Arial" w:hAnsi="Arial"/>
          <w:sz w:val="14"/>
          <w:szCs w:val="14"/>
          <w:color w:val="auto"/>
        </w:rPr>
      </w:pPr>
    </w:p>
    <w:p>
      <w:pPr>
        <w:ind w:left="340" w:right="40" w:hanging="332"/>
        <w:spacing w:after="0" w:line="260" w:lineRule="auto"/>
        <w:tabs>
          <w:tab w:leader="none" w:pos="33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3,115,262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ind w:left="340" w:right="140" w:hanging="332"/>
        <w:spacing w:after="0" w:line="241" w:lineRule="auto"/>
        <w:tabs>
          <w:tab w:leader="none" w:pos="3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2,489,160 shares of Class A common stock held of record by Emerson Collective Investments, LLC (ECI). The Laurene Powell Jobs Trust, for which Laurene Powell Jobs serves as trustee, is the managing member of ECI and has voting and dispositive power with respect to the shares held of record by ECI. The address for this entity is P.O. Box 61239, Palo Alto, California 94306.</w:t>
      </w:r>
    </w:p>
    <w:p>
      <w:pPr>
        <w:spacing w:after="0" w:line="1" w:lineRule="exact"/>
        <w:rPr>
          <w:rFonts w:ascii="Arial" w:cs="Arial" w:eastAsia="Arial" w:hAnsi="Arial"/>
          <w:sz w:val="14"/>
          <w:szCs w:val="14"/>
          <w:color w:val="auto"/>
        </w:rPr>
      </w:pPr>
    </w:p>
    <w:p>
      <w:pPr>
        <w:ind w:left="340" w:right="60" w:hanging="332"/>
        <w:spacing w:after="0" w:line="263" w:lineRule="auto"/>
        <w:tabs>
          <w:tab w:leader="none" w:pos="33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(i) 2,069,790 shares of Class A common stock held of record by T. Rowe Price Health Sciences Fund, Inc.; (ii) 93,838 shares of Class A common stock held of record by T. Rowe Price Health Sciences Portfolio; (iii) 128,272 shares of Class A common stock held of record by TD Mutual Funds - TD Health Sciences Fund and (iv) 123,624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61" w:name="page162"/>
    <w:bookmarkEnd w:id="16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following description summarizes certain important terms of our capital stock, as they are expected to be in effect immediately prior to the completion of this offering. Our board of directors adopted and our stockholders approved an amended and restated certificate of incorporation and amended and restated bylaws that will become effective immediately prior to the completion of this offering, and this description summarizes the provisions that are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 105,000,000 shares of capital stock, $0.00001 par value per share, of which:</w:t>
      </w:r>
    </w:p>
    <w:p>
      <w:pPr>
        <w:spacing w:after="0" w:line="12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94,000,000 shares are designated as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6,000,000 shares are designated as Class B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September 30, 2020, after giving effect to the automatic conversion of all of our outstanding convertible preferred stock into an aggregate of 29,026,787 shares of common stock, there were 32,323,343 shares of our Class A common stock outstanding, held by 75 stockholders of record, 9,345,784 shares of our Class B common stock outstanding, held by 15 stockholders of record and no shares of our preferred stock outstanding. Pursuant to our amended and restated certificate of incorporation, our board of directors will have the authority, without stockholder approval except as required by the listing standards of Nasdaq, to issue additional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will be entitled to ten votes for each share held, except as otherwise required by law. The holders of our Class A common stock and Class B common stock vote together as a single class, unless otherwise required by law.</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pacing w:after="0" w:line="116" w:lineRule="exact"/>
        <w:rPr>
          <w:sz w:val="20"/>
          <w:szCs w:val="20"/>
          <w:color w:val="auto"/>
        </w:rPr>
      </w:pPr>
    </w:p>
    <w:p>
      <w:pPr>
        <w:ind w:left="6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21" w:right="339" w:bottom="1440" w:gutter="0" w:footer="0" w:header="0"/>
        </w:sectPr>
      </w:pPr>
    </w:p>
    <w:bookmarkStart w:id="162" w:name="page163"/>
    <w:bookmarkEnd w:id="16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60" w:hanging="328"/>
        <w:spacing w:after="0" w:line="263"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3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Stockholders do not have the ability to cumulate votes for the election of directors. Our amended and restated certificate of incorporation and amended and restated bylaws that will be in effect at the closing of this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upon the earlier of the first day following the fifth anniversary of the closing of this offering and December 31, 2025.</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320" w:top="121" w:right="379" w:bottom="1440" w:gutter="0" w:footer="0" w:header="0"/>
        </w:sectPr>
      </w:pPr>
    </w:p>
    <w:bookmarkStart w:id="163" w:name="page164"/>
    <w:bookmarkEnd w:id="16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September 30, 2020, we had outstanding options to purchase an aggregate of 7,553,500 shares of our Class A common stock, with a weighted-average exercise price of approximately $2.51 per share, under our equity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September 30, 2020, we had 335,194 shares of our Class A common stock outstanding, subject to RSUs issued under our equity compensation plans, which will vest upon the satisfaction of a performance-based condition. The performance-based condition for the RSUs will be satisfied on the earlier of (i) the first and second year anniversaries of the effective date of this registration statement; and (ii) the date of a Change in Control (as defined in the relevant equity compensation plan), subject to continued service to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After the completion of this offering, the concurrent private placement and the secondary transaction, certain holders of our Class A common stock will be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this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this offering, each stockholder that has registration rights has agreed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After the completion of this offering, the concurrent private placement and the secondary transaction, the holders of 36,658,364 shares of our Class A common stock will be entitled to certain demand registration rights. At any time after the earlier of five years after the date of the IRA or 180 days after the effective date of this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After the completion of this offering, the concurrent private placement and the secondary transaction, if we propose to register the offer and sale of our Class A common stock under the Securities Act, in connection with the public offering of such Class A common stock the holders of 36,658,364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21" w:right="359" w:bottom="1440" w:gutter="0" w:footer="0" w:header="0"/>
        </w:sectPr>
      </w:pPr>
    </w:p>
    <w:bookmarkStart w:id="164" w:name="page165"/>
    <w:bookmarkEnd w:id="16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holders of these shares are entitled to notice of the registration and have the right, subject to certain limitations, to include their shares in the registration.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After the completion of this offering, the concurrent private placement and the secondary transaction, the holders of up to 36,658,364 shares of our Class A common stock will be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30"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71" w:lineRule="exact"/>
        <w:rPr>
          <w:rFonts w:ascii="Arial" w:cs="Arial" w:eastAsia="Arial" w:hAnsi="Arial"/>
          <w:sz w:val="18"/>
          <w:szCs w:val="18"/>
          <w:color w:val="auto"/>
        </w:rPr>
      </w:pPr>
    </w:p>
    <w:p>
      <w:pPr>
        <w:ind w:left="660" w:right="120" w:hanging="328"/>
        <w:spacing w:after="0" w:line="279"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0"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21" w:right="339" w:bottom="1440" w:gutter="0" w:footer="0" w:header="0"/>
        </w:sectPr>
      </w:pPr>
    </w:p>
    <w:bookmarkStart w:id="165" w:name="page166"/>
    <w:bookmarkEnd w:id="16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71"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will authorize only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will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will provide that our stockholders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a two thirds majority of our then outstanding capital stock.</w:t>
      </w:r>
    </w:p>
    <w:p>
      <w:pPr>
        <w:spacing w:after="0" w:line="11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will have the authority, without further action by our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5,000,000 shares of undesignated preferred stock with rights and preferences, including voting rights, designated from time to time by our board of directors. The existence of authorized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21" w:right="339" w:bottom="1440" w:gutter="0" w:footer="0" w:header="0"/>
        </w:sectPr>
      </w:pPr>
    </w:p>
    <w:bookmarkStart w:id="166" w:name="page167"/>
    <w:bookmarkEnd w:id="16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unissued shares of preferred stock would enable our board of directors to render more difficult or to discourage an attempt to obtain control of us by means of a merger, tender offer, proxy contest or other means.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Our amended and restated bylaws will provide that, unless we consent to the selection of an alternative forum, the Court of Chancery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 our amended and restated bylaws will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2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will be Computershare Trust Company, N.A. The transfer agent and registrar’s address is 250 Royal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has been approved for listing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21" w:right="339" w:bottom="1440" w:gutter="0" w:footer="0" w:header="0"/>
        </w:sectPr>
      </w:pPr>
    </w:p>
    <w:bookmarkStart w:id="167" w:name="page168"/>
    <w:bookmarkEnd w:id="16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and the concurrent private placement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23"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Following the completion of this offering, the concurrent private placement, the secondary transaction and the voluntary conversion, based on the number of shares of our capital stock outstanding as of September 30, 2020 we will have a total of 51,969,184 shares of our Class A common stock outstanding and 6,015,732 shares of our Class B common stock outstanding.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22"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107" w:lineRule="exact"/>
        <w:rPr>
          <w:sz w:val="20"/>
          <w:szCs w:val="20"/>
          <w:color w:val="auto"/>
        </w:rPr>
      </w:pPr>
    </w:p>
    <w:p>
      <w:pPr>
        <w:ind w:left="660" w:right="12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beginning on the date of this prospectus, all 9,210,527 shares of our Class A common stock sold in this offering will be immediately available for sale in the public market; and</w:t>
      </w:r>
    </w:p>
    <w:p>
      <w:pPr>
        <w:spacing w:after="0" w:line="116"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(subject to the terms of the lock-up and market standoff agreements described below) 48,774,389 additional shares will become eligible for sale in the public market, of which 20,466,155 shares will be held by affiliates and subject to the volume and other restrictions of Rule 144, 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directors, our executive officers and holders of substantially all of our capital stock and securities convertible into our capital stock have entered or will enter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Morgan Stanley &amp; Co. LLC and BofA Securities, Inc., (1) offer, pledge, announce the intention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21" w:right="339" w:bottom="1440" w:gutter="0" w:footer="0" w:header="0"/>
        </w:sectPr>
      </w:pPr>
    </w:p>
    <w:bookmarkStart w:id="168" w:name="page169"/>
    <w:bookmarkEnd w:id="16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sell, sell, contract to sell, sell any option or contract to purchase, purchase any option or contract to sell, grant any 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For more information, see the section titled “Underwriting.”</w:t>
      </w:r>
    </w:p>
    <w:p>
      <w:pPr>
        <w:spacing w:after="0" w:line="111"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7,105,262 shares of Class A common stock we are selling in the concurrent private placement to Fidelity Management &amp; Research Company LLC, SoftBank, certain funds and accounts advised by T. Rowe Price Associates, Inc. and aMoon Fund at the initial public offering price of $19.00 per share and the 526,315 shares of Class A common stock Dynamics Group LLC, for which our Chief Executive Officer, Omid Farokhzad, M.D., is the sole member, is selling to SoftBank in a secondary transaction will be subject to lock-up agreements with the underwriters described above.</w:t>
      </w:r>
    </w:p>
    <w:p>
      <w:pPr>
        <w:spacing w:after="0" w:line="1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130" w:lineRule="exact"/>
        <w:rPr>
          <w:sz w:val="20"/>
          <w:szCs w:val="20"/>
          <w:color w:val="auto"/>
        </w:rPr>
      </w:pPr>
    </w:p>
    <w:p>
      <w:pPr>
        <w:ind w:left="660" w:right="12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519,692 shares immediately after the completion of this offering, the concurrent private placement, the secondary transaction and the voluntary conversion; or</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1" w:right="339" w:bottom="1440" w:gutter="0" w:footer="0" w:header="0"/>
        </w:sectPr>
      </w:pPr>
    </w:p>
    <w:bookmarkStart w:id="169" w:name="page170"/>
    <w:bookmarkEnd w:id="16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Pursuant to our IRA, after the completion of this offering, the concurrent private placement and the secondary transaction, the holders of up to 36,658,364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Class A common stock subject to RSUs and options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60"/>
          </w:cols>
          <w:pgMar w:left="320" w:top="121" w:right="419" w:bottom="1440" w:gutter="0" w:footer="0" w:header="0"/>
        </w:sectPr>
      </w:pPr>
    </w:p>
    <w:bookmarkStart w:id="170" w:name="page171"/>
    <w:bookmarkEnd w:id="17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4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95"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94"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option or otherwise as compensation;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property held for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21" w:right="339" w:bottom="1440" w:gutter="0" w:footer="0" w:header="0"/>
        </w:sectPr>
      </w:pPr>
    </w:p>
    <w:bookmarkStart w:id="171" w:name="page172"/>
    <w:bookmarkEnd w:id="17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should consult his, her or its own tax advisor regarding the tax considerations of the purchase, ownership and disposition of our common stock through a partnership.</w:t>
      </w:r>
    </w:p>
    <w:p>
      <w:pPr>
        <w:spacing w:after="0" w:line="112"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neither a partnership nor:</w:t>
      </w:r>
    </w:p>
    <w:p>
      <w:pPr>
        <w:spacing w:after="0" w:line="116"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21" w:right="339" w:bottom="1440" w:gutter="0" w:footer="0" w:header="0"/>
        </w:sectPr>
      </w:pPr>
    </w:p>
    <w:bookmarkStart w:id="172" w:name="page173"/>
    <w:bookmarkEnd w:id="17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16" w:lineRule="exact"/>
        <w:rPr>
          <w:sz w:val="20"/>
          <w:szCs w:val="20"/>
          <w:color w:val="auto"/>
        </w:rPr>
      </w:pPr>
    </w:p>
    <w:p>
      <w:pPr>
        <w:ind w:left="660" w:right="40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21" w:right="359" w:bottom="1440" w:gutter="0" w:footer="0" w:header="0"/>
        </w:sectPr>
      </w:pPr>
    </w:p>
    <w:bookmarkStart w:id="173" w:name="page174"/>
    <w:bookmarkEnd w:id="17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2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21" w:right="359" w:bottom="1440" w:gutter="0" w:footer="0" w:header="0"/>
        </w:sectPr>
      </w:pPr>
    </w:p>
    <w:bookmarkStart w:id="174" w:name="page175"/>
    <w:bookmarkEnd w:id="17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We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6"/>
          <w:szCs w:val="16"/>
          <w:color w:val="auto"/>
        </w:rPr>
        <w:t>‑</w:t>
      </w:r>
      <w:r>
        <w:rPr>
          <w:rFonts w:ascii="Arial" w:cs="Arial" w:eastAsia="Arial" w:hAnsi="Arial"/>
          <w:sz w:val="16"/>
          <w:szCs w:val="16"/>
          <w:color w:val="auto"/>
        </w:rPr>
        <w:t>running managers of the offering and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133"/>
              <w:spacing w:after="0"/>
              <w:rPr>
                <w:sz w:val="20"/>
                <w:szCs w:val="20"/>
                <w:color w:val="auto"/>
              </w:rPr>
            </w:pPr>
            <w:r>
              <w:rPr>
                <w:rFonts w:ascii="Arial" w:cs="Arial" w:eastAsia="Arial" w:hAnsi="Arial"/>
                <w:sz w:val="14"/>
                <w:szCs w:val="14"/>
                <w:b w:val="1"/>
                <w:bCs w:val="1"/>
                <w:color w:val="auto"/>
              </w:rPr>
              <w:t>Number of Shares</w:t>
            </w:r>
          </w:p>
        </w:tc>
      </w:tr>
      <w:tr>
        <w:trPr>
          <w:trHeight w:val="26"/>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3,131,580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Morgan Stanley &amp; Co. LLC</w:t>
            </w:r>
          </w:p>
        </w:tc>
        <w:tc>
          <w:tcPr>
            <w:tcW w:w="1560" w:type="dxa"/>
            <w:vAlign w:val="bottom"/>
          </w:tcPr>
          <w:p>
            <w:pPr>
              <w:jc w:val="right"/>
              <w:spacing w:after="0"/>
              <w:rPr>
                <w:sz w:val="20"/>
                <w:szCs w:val="20"/>
                <w:color w:val="auto"/>
              </w:rPr>
            </w:pPr>
            <w:r>
              <w:rPr>
                <w:rFonts w:ascii="Arial" w:cs="Arial" w:eastAsia="Arial" w:hAnsi="Arial"/>
                <w:sz w:val="18"/>
                <w:szCs w:val="18"/>
                <w:color w:val="auto"/>
              </w:rPr>
              <w:t>3,131,579</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1,842,105</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Cowen and Company, LLC</w:t>
            </w:r>
          </w:p>
        </w:tc>
        <w:tc>
          <w:tcPr>
            <w:tcW w:w="1560" w:type="dxa"/>
            <w:vAlign w:val="bottom"/>
          </w:tcPr>
          <w:p>
            <w:pPr>
              <w:jc w:val="right"/>
              <w:spacing w:after="0"/>
              <w:rPr>
                <w:sz w:val="20"/>
                <w:szCs w:val="20"/>
                <w:color w:val="auto"/>
              </w:rPr>
            </w:pPr>
            <w:r>
              <w:rPr>
                <w:rFonts w:ascii="Arial" w:cs="Arial" w:eastAsia="Arial" w:hAnsi="Arial"/>
                <w:sz w:val="18"/>
                <w:szCs w:val="18"/>
                <w:color w:val="auto"/>
              </w:rPr>
              <w:t>1,105,263</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9,210,527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underwriters are committed to purchase all the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 prospectus and to certain dealers at that price less a concession not in excess of $0.798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underwriters have an option to buy up to 1,381,579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underwriters do not expect to sell more than 5% of the shares of Class A common stock in the aggregate to accounts over which they exercise discretionary authority.</w:t>
      </w:r>
    </w:p>
    <w:p>
      <w:pPr>
        <w:spacing w:after="0" w:line="116"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 of Class A common stock. The underwriting fee is $1.33 per share. The following table shows the per share and total underwriting discounts and commissions to be paid to the underwriters assuming both no exercise and full exercise of the underwriters’ option to purchase additional shares.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Without option to</w:t>
            </w:r>
          </w:p>
        </w:tc>
        <w:tc>
          <w:tcPr>
            <w:tcW w:w="1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With full option to</w:t>
            </w:r>
          </w:p>
        </w:tc>
      </w:tr>
      <w:tr>
        <w:trPr>
          <w:trHeight w:val="16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additional</w:t>
            </w:r>
          </w:p>
        </w:tc>
        <w:tc>
          <w:tcPr>
            <w:tcW w:w="1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purchase additional</w:t>
            </w:r>
          </w:p>
        </w:tc>
      </w:tr>
      <w:tr>
        <w:trPr>
          <w:trHeight w:val="186"/>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exercise</w:t>
            </w:r>
          </w:p>
        </w:tc>
        <w:tc>
          <w:tcPr>
            <w:tcW w:w="140" w:type="dxa"/>
            <w:vAlign w:val="bottom"/>
          </w:tcPr>
          <w:p>
            <w:pPr>
              <w:spacing w:after="0"/>
              <w:rPr>
                <w:sz w:val="16"/>
                <w:szCs w:val="16"/>
                <w:color w:val="auto"/>
              </w:rPr>
            </w:pPr>
          </w:p>
        </w:tc>
        <w:tc>
          <w:tcPr>
            <w:tcW w:w="1420" w:type="dxa"/>
            <w:vAlign w:val="bottom"/>
          </w:tcPr>
          <w:p>
            <w:pPr>
              <w:jc w:val="center"/>
              <w:ind w:right="61"/>
              <w:spacing w:after="0"/>
              <w:rPr>
                <w:sz w:val="20"/>
                <w:szCs w:val="20"/>
                <w:color w:val="auto"/>
              </w:rPr>
            </w:pPr>
            <w:r>
              <w:rPr>
                <w:rFonts w:ascii="Arial" w:cs="Arial" w:eastAsia="Arial" w:hAnsi="Arial"/>
                <w:sz w:val="14"/>
                <w:szCs w:val="14"/>
                <w:b w:val="1"/>
                <w:bCs w:val="1"/>
                <w:color w:val="auto"/>
                <w:w w:val="87"/>
              </w:rPr>
              <w:t>shares exercise</w:t>
            </w:r>
          </w:p>
        </w:tc>
      </w:tr>
      <w:tr>
        <w:trPr>
          <w:trHeight w:val="25"/>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1.33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12,250,001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14,087,501</w:t>
            </w:r>
          </w:p>
        </w:tc>
      </w:tr>
    </w:tbl>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$3.1 million. We have also agreed to reimburse the underwriters for reasonable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21" w:right="339" w:bottom="1440" w:gutter="0" w:footer="0" w:header="0"/>
        </w:sectPr>
      </w:pPr>
    </w:p>
    <w:bookmarkStart w:id="175" w:name="page176"/>
    <w:bookmarkEnd w:id="17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counsel related to the review by the Financial Industry Regulatory Authority of the terms of sale of the shares of Class A common stock offered hereby in an amount not to exceed $35,000.</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 subject to certain exceptions, including in connection with the issuance of up to 10% of the shares of Class A common stock outstanding immediately following the closing of this offering in acquisitions or other similar strategic transactions.</w:t>
      </w:r>
    </w:p>
    <w:p>
      <w:pPr>
        <w:spacing w:after="0" w:line="114" w:lineRule="exact"/>
        <w:rPr>
          <w:sz w:val="20"/>
          <w:szCs w:val="20"/>
          <w:color w:val="auto"/>
        </w:rPr>
      </w:pPr>
    </w:p>
    <w:p>
      <w:pPr>
        <w:ind w:firstLine="324"/>
        <w:spacing w:after="0" w:line="217" w:lineRule="exact"/>
        <w:rPr>
          <w:sz w:val="20"/>
          <w:szCs w:val="20"/>
          <w:color w:val="auto"/>
        </w:rPr>
      </w:pPr>
      <w:r>
        <w:rPr>
          <w:rFonts w:ascii="Arial" w:cs="Arial" w:eastAsia="Arial" w:hAnsi="Arial"/>
          <w:sz w:val="17"/>
          <w:szCs w:val="17"/>
          <w:color w:val="auto"/>
        </w:rPr>
        <w:t>Our directors and executive officers, and substantially all of our stockholders (such persons, the “lock-up parties”) have entered into lock</w:t>
      </w:r>
      <w:r>
        <w:rPr>
          <w:rFonts w:ascii="MS PGothic" w:cs="MS PGothic" w:eastAsia="MS PGothic" w:hAnsi="MS PGothic"/>
          <w:sz w:val="17"/>
          <w:szCs w:val="17"/>
          <w:color w:val="auto"/>
        </w:rPr>
        <w:t>‑</w:t>
      </w:r>
      <w:r>
        <w:rPr>
          <w:rFonts w:ascii="Arial" w:cs="Arial" w:eastAsia="Arial" w:hAnsi="Arial"/>
          <w:sz w:val="17"/>
          <w:szCs w:val="17"/>
          <w:color w:val="auto"/>
        </w:rPr>
        <w:t>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5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7,105,262 shares of Class A common stock we are selling in the concurrent private placement to Fidelity Management &amp; Research Company LLC, SoftBank, certain funds and accounts advised by T. Rowe Price Associates, Inc. and aMoon Fund at the initial public offering price of $19.00 per share and the 526,315 shares of Class A common stock Dynamics Group LLC, for which our Chief Executive Officer, Omid Farokhzad, M.D. is the sole member, is selling to SoftBank at the initial public offering price of $19.00 per share in a secondary transaction will be subject to lock-up agreements with the underwriters described above. In connection with the foregoing secondary transaction, J.P. Morgan Securities LLC, Morgan Stanley &amp; Co. LLC, BofA Securities Inc. and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21" w:right="359" w:bottom="1440" w:gutter="0" w:footer="0" w:header="0"/>
        </w:sectPr>
      </w:pPr>
    </w:p>
    <w:bookmarkStart w:id="176" w:name="page177"/>
    <w:bookmarkEnd w:id="17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and Company, LLC are each acting as a placement agent in connection with the concurrent private placement for which they will receive a fee. J.P. Morgan Securities LLC, Morgan Stanley &amp; Co. LLC and BofA Securities, Inc. have released Omid Farokhzad, M.D. from his lock-up agreement solely to permit this sale.</w:t>
      </w:r>
    </w:p>
    <w:p>
      <w:pPr>
        <w:spacing w:after="0" w:line="13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 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w:t>
      </w:r>
    </w:p>
    <w:p>
      <w:pPr>
        <w:spacing w:after="0" w:line="2" w:lineRule="exact"/>
        <w:rPr>
          <w:sz w:val="20"/>
          <w:szCs w:val="20"/>
          <w:color w:val="auto"/>
        </w:rPr>
      </w:pPr>
    </w:p>
    <w:p>
      <w:pPr>
        <w:ind w:right="20" w:firstLine="8"/>
        <w:spacing w:after="0" w:line="284" w:lineRule="auto"/>
        <w:tabs>
          <w:tab w:leader="none" w:pos="2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16" w:lineRule="exact"/>
        <w:rPr>
          <w:sz w:val="20"/>
          <w:szCs w:val="20"/>
          <w:color w:val="auto"/>
        </w:rPr>
      </w:pPr>
    </w:p>
    <w:p>
      <w:pPr>
        <w:ind w:left="340" w:right="2140"/>
        <w:spacing w:after="0" w:line="493"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Our Class A common stock has been approved for listing on the Nasdaq Global Select Market under the symbol “SEER.”</w:t>
      </w:r>
    </w:p>
    <w:p>
      <w:pPr>
        <w:ind w:right="20" w:firstLine="324"/>
        <w:spacing w:after="0" w:line="272"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21" w:right="339" w:bottom="1440" w:gutter="0" w:footer="0" w:header="0"/>
        </w:sectPr>
      </w:pPr>
    </w:p>
    <w:bookmarkStart w:id="177" w:name="page178"/>
    <w:bookmarkEnd w:id="17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0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17" w:lineRule="exact"/>
        <w:rPr>
          <w:sz w:val="20"/>
          <w:szCs w:val="20"/>
          <w:color w:val="auto"/>
        </w:rPr>
      </w:pPr>
    </w:p>
    <w:p>
      <w:pPr>
        <w:ind w:right="40" w:firstLine="324"/>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5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spacing w:after="0" w:line="13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Class A common stock of generally comparable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Class A common stock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J.P. Morgan Securities LLC, Morgan Stanley &amp; Co. LLC, BofA Securities Inc. and Cowen and Company, LLC will receive a fee for acting as placement agents in connection with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121" w:right="379" w:bottom="1440" w:gutter="0" w:footer="0" w:header="0"/>
        </w:sectPr>
      </w:pPr>
    </w:p>
    <w:bookmarkStart w:id="178" w:name="page179"/>
    <w:bookmarkEnd w:id="17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4"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21" w:right="339" w:bottom="1440" w:gutter="0" w:footer="0" w:header="0"/>
        </w:sectPr>
      </w:pPr>
    </w:p>
    <w:bookmarkStart w:id="179" w:name="page180"/>
    <w:bookmarkEnd w:id="17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2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82" w:lineRule="exact"/>
        <w:rPr>
          <w:rFonts w:ascii="Arial" w:cs="Arial" w:eastAsia="Arial" w:hAnsi="Arial"/>
          <w:sz w:val="17"/>
          <w:szCs w:val="17"/>
          <w:color w:val="auto"/>
        </w:rPr>
      </w:pPr>
    </w:p>
    <w:p>
      <w:pPr>
        <w:jc w:val="both"/>
        <w:ind w:left="660" w:right="520" w:hanging="328"/>
        <w:spacing w:after="0" w:line="26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60"/>
          </w:cols>
          <w:pgMar w:left="320" w:top="121" w:right="419" w:bottom="1440" w:gutter="0" w:footer="0" w:header="0"/>
        </w:sectPr>
      </w:pPr>
    </w:p>
    <w:bookmarkStart w:id="180" w:name="page181"/>
    <w:bookmarkEnd w:id="18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21" w:right="359" w:bottom="1440" w:gutter="0" w:footer="0" w:header="0"/>
        </w:sectPr>
      </w:pPr>
    </w:p>
    <w:bookmarkStart w:id="181" w:name="page182"/>
    <w:bookmarkEnd w:id="18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material in connection with the offer or sale, or invitation for subscription or purchase, of the shares, whether directly or indirectly, to any person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Singapore other than:</w:t>
      </w:r>
    </w:p>
    <w:p>
      <w:pPr>
        <w:spacing w:after="0" w:line="157" w:lineRule="exact"/>
        <w:rPr>
          <w:sz w:val="20"/>
          <w:szCs w:val="20"/>
          <w:color w:val="auto"/>
        </w:rPr>
      </w:pPr>
    </w:p>
    <w:p>
      <w:pPr>
        <w:ind w:left="660" w:right="180" w:hanging="328"/>
        <w:spacing w:after="0" w:line="277"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77" w:lineRule="auto"/>
        <w:tabs>
          <w:tab w:leader="none" w:pos="6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7" w:lineRule="exact"/>
        <w:rPr>
          <w:rFonts w:ascii="Arial" w:cs="Arial" w:eastAsia="Arial" w:hAnsi="Arial"/>
          <w:sz w:val="17"/>
          <w:szCs w:val="17"/>
          <w:color w:val="auto"/>
        </w:rPr>
      </w:pPr>
    </w:p>
    <w:p>
      <w:pPr>
        <w:ind w:left="640" w:hanging="308"/>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21" w:right="359" w:bottom="1440" w:gutter="0" w:footer="0" w:header="0"/>
        </w:sectPr>
      </w:pPr>
    </w:p>
    <w:bookmarkStart w:id="182" w:name="page183"/>
    <w:bookmarkEnd w:id="18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21" w:right="339" w:bottom="1440" w:gutter="0" w:footer="0" w:header="0"/>
        </w:sectPr>
      </w:pPr>
    </w:p>
    <w:bookmarkStart w:id="183" w:name="page184"/>
    <w:bookmarkEnd w:id="18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the BVI Business Companies Act, 2004 (British Virgin Islands) (BVI Companies), but only where the offer will be made to, and received by, the relevant BVI Company entirely outside of the British Virgin Islands.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95"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23" w:lineRule="exact"/>
        <w:rPr>
          <w:sz w:val="20"/>
          <w:szCs w:val="20"/>
          <w:color w:val="auto"/>
        </w:rPr>
      </w:pPr>
    </w:p>
    <w:p>
      <w:pPr>
        <w:ind w:left="2380" w:hanging="221"/>
        <w:spacing w:after="0"/>
        <w:tabs>
          <w:tab w:leader="none" w:pos="23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20" w:lineRule="exact"/>
        <w:rPr>
          <w:rFonts w:ascii="Arial" w:cs="Arial" w:eastAsia="Arial" w:hAnsi="Arial"/>
          <w:sz w:val="17"/>
          <w:szCs w:val="17"/>
          <w:color w:val="auto"/>
        </w:rPr>
      </w:pPr>
    </w:p>
    <w:p>
      <w:pPr>
        <w:ind w:left="2420" w:hanging="261"/>
        <w:spacing w:after="0"/>
        <w:tabs>
          <w:tab w:leader="none" w:pos="2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9" w:lineRule="exact"/>
        <w:rPr>
          <w:rFonts w:ascii="Arial" w:cs="Arial" w:eastAsia="Arial" w:hAnsi="Arial"/>
          <w:sz w:val="18"/>
          <w:szCs w:val="18"/>
          <w:color w:val="auto"/>
        </w:rPr>
      </w:pPr>
    </w:p>
    <w:p>
      <w:pPr>
        <w:ind w:left="2480" w:hanging="321"/>
        <w:spacing w:after="0"/>
        <w:tabs>
          <w:tab w:leader="none" w:pos="2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9" w:lineRule="exact"/>
        <w:rPr>
          <w:rFonts w:ascii="Arial" w:cs="Arial" w:eastAsia="Arial" w:hAnsi="Arial"/>
          <w:sz w:val="18"/>
          <w:szCs w:val="18"/>
          <w:color w:val="auto"/>
        </w:rPr>
      </w:pPr>
    </w:p>
    <w:p>
      <w:pPr>
        <w:ind w:left="2460" w:hanging="301"/>
        <w:spacing w:after="0"/>
        <w:tabs>
          <w:tab w:leader="none" w:pos="2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9" w:lineRule="exact"/>
        <w:rPr>
          <w:rFonts w:ascii="Arial" w:cs="Arial" w:eastAsia="Arial" w:hAnsi="Arial"/>
          <w:sz w:val="18"/>
          <w:szCs w:val="18"/>
          <w:color w:val="auto"/>
        </w:rPr>
      </w:pPr>
    </w:p>
    <w:p>
      <w:pPr>
        <w:ind w:left="2420" w:hanging="261"/>
        <w:spacing w:after="0"/>
        <w:tabs>
          <w:tab w:leader="none" w:pos="2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9" w:lineRule="exact"/>
        <w:rPr>
          <w:rFonts w:ascii="Arial" w:cs="Arial" w:eastAsia="Arial" w:hAnsi="Arial"/>
          <w:sz w:val="18"/>
          <w:szCs w:val="18"/>
          <w:color w:val="auto"/>
        </w:rPr>
      </w:pPr>
    </w:p>
    <w:p>
      <w:pPr>
        <w:ind w:left="2160" w:right="420" w:hanging="1"/>
        <w:spacing w:after="0" w:line="250" w:lineRule="auto"/>
        <w:tabs>
          <w:tab w:leader="none" w:pos="24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2520" w:hanging="361"/>
        <w:spacing w:after="0"/>
        <w:tabs>
          <w:tab w:leader="none" w:pos="2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580" w:space="580"/>
            <w:col w:w="9080"/>
          </w:cols>
          <w:pgMar w:left="320" w:top="121" w:right="339" w:bottom="1440" w:gutter="0" w:footer="0" w:header="0"/>
          <w:type w:val="continuous"/>
        </w:sectPr>
      </w:pPr>
    </w:p>
    <w:p>
      <w:pPr>
        <w:ind w:right="880"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21" w:right="339" w:bottom="1440" w:gutter="0" w:footer="0" w:header="0"/>
          <w:type w:val="continuous"/>
        </w:sectPr>
      </w:pPr>
    </w:p>
    <w:bookmarkStart w:id="184" w:name="page185"/>
    <w:bookmarkEnd w:id="18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CONCURRENT PRIVATE PLACEMENT</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Immediately subsequent to the closing of this offering, Fidelity Management &amp; Research Company LLC, SoftBank, certain funds and accounts advised by T. Rowe Price Associates, Inc. and aMoon Fund will purchase from us, severally and not jointly, in a private placement an aggregate of $135.0 million of our Class A common stock at a price per share equal to the initial public offering price. Based on the initial public offering price of $19.00 per share, this will be 7,105,262 shares. We will pay J.P. Morgan Securities LLC, Morgan Stanley &amp; Co. LLC, BofA Securities Inc. and Cowen and Company, LLC an aggregate commission of $4.725 million with respect to the shares that are sold in the private placement. The sale of the shares in the private placement is contingent upon the completion of this offering. The sale of these shares will not be registered in this offering and the shares will be subject to a lock-up agreement with the underwriters. See the section titled “Shares Eligible for Future Sale—Lock-Up Arrangements”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320" w:top="121" w:right="399" w:bottom="1440" w:gutter="0" w:footer="0" w:header="0"/>
        </w:sectPr>
      </w:pPr>
    </w:p>
    <w:bookmarkStart w:id="185" w:name="page186"/>
    <w:bookmarkEnd w:id="18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Upon the completion of the offering, WS Investment Company (2017A) and WS Investment Company (2018A) will directly or indirectly own less than 0.1% of the outstanding shares of our common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8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320" w:top="121" w:right="39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760" w:type="dxa"/>
            <w:vAlign w:val="bottom"/>
          </w:tcPr>
          <w:p>
            <w:pPr>
              <w:spacing w:after="0"/>
              <w:rPr>
                <w:sz w:val="16"/>
                <w:szCs w:val="16"/>
                <w:color w:val="auto"/>
              </w:rPr>
            </w:pPr>
          </w:p>
        </w:tc>
        <w:tc>
          <w:tcPr>
            <w:tcW w:w="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10760" w:type="dxa"/>
            <w:vAlign w:val="bottom"/>
          </w:tcPr>
          <w:p>
            <w:pPr>
              <w:spacing w:after="0" w:line="201" w:lineRule="exact"/>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Report of Independent Registered Public Accounting Firm</w:t>
              </w:r>
            </w:hyperlink>
          </w:p>
        </w:tc>
        <w:tc>
          <w:tcPr>
            <w:tcW w:w="40" w:type="dxa"/>
            <w:vAlign w:val="bottom"/>
          </w:tcPr>
          <w:p>
            <w:pPr>
              <w:spacing w:after="0"/>
              <w:rPr>
                <w:sz w:val="17"/>
                <w:szCs w:val="17"/>
                <w:color w:val="auto"/>
              </w:rPr>
            </w:pPr>
          </w:p>
        </w:tc>
        <w:tc>
          <w:tcPr>
            <w:tcW w:w="300" w:type="dxa"/>
            <w:vAlign w:val="bottom"/>
            <w:gridSpan w:val="2"/>
          </w:tcPr>
          <w:p>
            <w:pPr>
              <w:jc w:val="center"/>
              <w:ind w:right="60"/>
              <w:spacing w:after="0" w:line="201" w:lineRule="exact"/>
              <w:rPr>
                <w:rFonts w:ascii="Arial" w:cs="Arial" w:eastAsia="Arial" w:hAnsi="Arial"/>
                <w:sz w:val="18"/>
                <w:szCs w:val="18"/>
                <w:color w:val="0000FF"/>
                <w:w w:val="88"/>
              </w:rPr>
            </w:pPr>
            <w:hyperlink w:anchor="page187">
              <w:r>
                <w:rPr>
                  <w:rFonts w:ascii="Arial" w:cs="Arial" w:eastAsia="Arial" w:hAnsi="Arial"/>
                  <w:sz w:val="18"/>
                  <w:szCs w:val="18"/>
                  <w:color w:val="0000FF"/>
                  <w:w w:val="88"/>
                </w:rPr>
                <w:t>F-2</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Balance Sheets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88">
              <w:r>
                <w:rPr>
                  <w:rFonts w:ascii="Arial" w:cs="Arial" w:eastAsia="Arial" w:hAnsi="Arial"/>
                  <w:sz w:val="18"/>
                  <w:szCs w:val="18"/>
                  <w:color w:val="0000FF"/>
                  <w:w w:val="88"/>
                </w:rPr>
                <w:t>F-3</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Statements of Operations and Comprehensive Loss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0">
              <w:r>
                <w:rPr>
                  <w:rFonts w:ascii="Arial" w:cs="Arial" w:eastAsia="Arial" w:hAnsi="Arial"/>
                  <w:sz w:val="18"/>
                  <w:szCs w:val="18"/>
                  <w:color w:val="0000FF"/>
                  <w:w w:val="88"/>
                </w:rPr>
                <w:t>F-5</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Statements of Changes in Stockholders’ Equity</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1">
              <w:r>
                <w:rPr>
                  <w:rFonts w:ascii="Arial" w:cs="Arial" w:eastAsia="Arial" w:hAnsi="Arial"/>
                  <w:sz w:val="18"/>
                  <w:szCs w:val="18"/>
                  <w:color w:val="0000FF"/>
                  <w:w w:val="88"/>
                </w:rPr>
                <w:t>F-6</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Statements of Cash Flows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3">
              <w:r>
                <w:rPr>
                  <w:rFonts w:ascii="Arial" w:cs="Arial" w:eastAsia="Arial" w:hAnsi="Arial"/>
                  <w:sz w:val="18"/>
                  <w:szCs w:val="18"/>
                  <w:color w:val="0000FF"/>
                  <w:w w:val="88"/>
                </w:rPr>
                <w:t>F-8</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Notes to Financial Statements</w:t>
              </w:r>
            </w:hyperlink>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195">
              <w:r>
                <w:rPr>
                  <w:rFonts w:ascii="Arial" w:cs="Arial" w:eastAsia="Arial" w:hAnsi="Arial"/>
                  <w:sz w:val="18"/>
                  <w:szCs w:val="18"/>
                  <w:color w:val="0000FF"/>
                  <w:w w:val="91"/>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340" w:top="121" w:right="459" w:bottom="1440" w:gutter="0" w:footer="0" w:header="0"/>
        </w:sectPr>
      </w:pPr>
    </w:p>
    <w:bookmarkStart w:id="187" w:name="page188"/>
    <w:bookmarkEnd w:id="18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2020 (November 30, 2020 as to the effects of the reverse stock split as described in Note 2 and Note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020"/>
              <w:spacing w:after="0"/>
              <w:rPr>
                <w:sz w:val="20"/>
                <w:szCs w:val="20"/>
                <w:color w:val="auto"/>
              </w:rPr>
            </w:pPr>
            <w:r>
              <w:rPr>
                <w:rFonts w:ascii="Arial" w:cs="Arial" w:eastAsia="Arial" w:hAnsi="Arial"/>
                <w:sz w:val="14"/>
                <w:szCs w:val="14"/>
                <w:b w:val="1"/>
                <w:bCs w:val="1"/>
                <w:color w:val="auto"/>
                <w:w w:val="94"/>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103,800</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123,325</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133,890</w:t>
            </w: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91"/>
              </w:rPr>
              <w:t>Convertible preferred stock, $0.00001 par value; 10,994,238,</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22,173,245, and 29,026,827 shares authorized as of</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8"/>
              </w:rPr>
              <w:t>(unaudited), respectively; 10,994,225, 22,173,216,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0"/>
              </w:rPr>
              <w:t>29,026,787 shares issued and outstanding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respectively; aggregate liquidation preference of $36,000,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7"/>
              </w:rPr>
              <w:t>$108,500, and $163,500 as of December 31, 2018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2019, and September 30, 2020 (unaudited),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w w:val="94"/>
              </w:rPr>
              <w:t>no shares issued and outstanding, pro forma (unaudited)</w:t>
            </w:r>
          </w:p>
        </w:tc>
        <w:tc>
          <w:tcPr>
            <w:tcW w:w="3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162,849</w:t>
            </w:r>
          </w:p>
        </w:tc>
        <w:tc>
          <w:tcPr>
            <w:tcW w:w="420" w:type="dxa"/>
            <w:vAlign w:val="bottom"/>
          </w:tcPr>
          <w:p>
            <w:pPr>
              <w:spacing w:after="0"/>
              <w:rPr>
                <w:sz w:val="20"/>
                <w:szCs w:val="20"/>
                <w:color w:val="auto"/>
              </w:rPr>
            </w:pPr>
          </w:p>
        </w:tc>
        <w:tc>
          <w:tcPr>
            <w:tcW w:w="124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Class A common stock, $0.00001 par value; 28,037,383,</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42,757,009, and 56,074,766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(unaudited), respectively; 2,858,902, 2,847,893,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2"/>
              </w:rPr>
              <w:t>3,296,556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respectively; 32,323,343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B common stock, $0.00001 par value; 9,345,794 shares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September 30, 2020 (unaudited), respectively; 9,345,784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shares issued and outstanding as of December 31, 2018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and 2019, and September 30, 2020 (unaudited),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89"/>
              </w:rPr>
              <w:t>respectively; 9,345,784 shares issued and outstanding as of</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rPr>
              <w:t>September 30, 2020, pro forma (unaudited)</w:t>
            </w:r>
          </w:p>
        </w:tc>
        <w:tc>
          <w:tcPr>
            <w:tcW w:w="5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167,993</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Operations and Comprehensive Loss</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63"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w w:val="99"/>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7,906,757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133,850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7,849,737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w w:val="93"/>
              </w:rPr>
              <w:t>stock upon extinguishment of convertible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58,231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126,560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rPr>
              <w:t>stock, net of issuance costs of $153</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w w:val="95"/>
              </w:rPr>
              <w:t>Balance at September 30, 2019 (unaudited)</w:t>
            </w:r>
          </w:p>
        </w:tc>
        <w:tc>
          <w:tcPr>
            <w:tcW w:w="960" w:type="dxa"/>
            <w:vAlign w:val="bottom"/>
          </w:tcPr>
          <w:p>
            <w:pPr>
              <w:jc w:val="right"/>
              <w:spacing w:after="0"/>
              <w:rPr>
                <w:sz w:val="20"/>
                <w:szCs w:val="20"/>
                <w:color w:val="auto"/>
              </w:rPr>
            </w:pPr>
            <w:r>
              <w:rPr>
                <w:rFonts w:ascii="Arial" w:cs="Arial" w:eastAsia="Arial" w:hAnsi="Arial"/>
                <w:sz w:val="16"/>
                <w:szCs w:val="16"/>
                <w:color w:val="auto"/>
              </w:rPr>
              <w:t>14,265,248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53,159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12,186,387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1,883</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(17,440)</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663,908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(215,245)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Issuance of Series D-1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rPr>
              <w:t>stock, net of issuance costs of $104</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54,896</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Distribution of PrognomIQ shares</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(19,839)</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Balance at September 30, 2020 (unaudited)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12,642,340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125,536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1"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Statements of Cash Flows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32385</wp:posOffset>
            </wp:positionV>
            <wp:extent cx="2040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46990</wp:posOffset>
            </wp:positionV>
            <wp:extent cx="2040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0485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32385</wp:posOffset>
            </wp:positionV>
            <wp:extent cx="2048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(6,307)</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(16,038)</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(19,839)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70"/>
        </w:trPr>
        <w:tc>
          <w:tcPr>
            <w:tcW w:w="4700" w:type="dxa"/>
            <w:vAlign w:val="bottom"/>
          </w:tcPr>
          <w:p>
            <w:pPr>
              <w:ind w:left="240"/>
              <w:spacing w:after="0"/>
              <w:rPr>
                <w:sz w:val="20"/>
                <w:szCs w:val="20"/>
                <w:color w:val="auto"/>
              </w:rPr>
            </w:pPr>
            <w:r>
              <w:rPr>
                <w:rFonts w:ascii="Arial" w:cs="Arial" w:eastAsia="Arial" w:hAnsi="Arial"/>
                <w:sz w:val="14"/>
                <w:szCs w:val="14"/>
                <w:color w:val="auto"/>
                <w:w w:val="99"/>
              </w:rPr>
              <w:t>Net amortization of premium (accretion of discount) on available-for-sale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420"/>
              <w:spacing w:after="0"/>
              <w:rPr>
                <w:sz w:val="20"/>
                <w:szCs w:val="20"/>
                <w:color w:val="auto"/>
              </w:rPr>
            </w:pPr>
            <w:r>
              <w:rPr>
                <w:rFonts w:ascii="Arial" w:cs="Arial" w:eastAsia="Arial" w:hAnsi="Arial"/>
                <w:sz w:val="14"/>
                <w:szCs w:val="14"/>
                <w:color w:val="auto"/>
              </w:rPr>
              <w:t>securities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receivables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1"/>
        </w:trPr>
        <w:tc>
          <w:tcPr>
            <w:tcW w:w="470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Deferred rent</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1"/>
        </w:trPr>
        <w:tc>
          <w:tcPr>
            <w:tcW w:w="470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(15,343)</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(92,002)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(75,624)</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40,250</w:t>
            </w:r>
          </w:p>
        </w:tc>
        <w:tc>
          <w:tcPr>
            <w:tcW w:w="0" w:type="dxa"/>
            <w:vAlign w:val="bottom"/>
          </w:tcPr>
          <w:p>
            <w:pPr>
              <w:spacing w:after="0"/>
              <w:rPr>
                <w:sz w:val="1"/>
                <w:szCs w:val="1"/>
                <w:color w:val="auto"/>
              </w:rPr>
            </w:pP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Investment in equity method investee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(72,383)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(28,550)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(39,831)</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restricted stock</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Repurchase of Class A common stock</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Proceeds from exercise of Class A common stock options including early</w:t>
            </w:r>
          </w:p>
        </w:tc>
        <w:tc>
          <w:tcPr>
            <w:tcW w:w="6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 options</w:t>
            </w:r>
          </w:p>
        </w:tc>
        <w:tc>
          <w:tcPr>
            <w:tcW w:w="6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w w:val="94"/>
              </w:rPr>
              <w:t>Proceeds from issuance of Series B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29,894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C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w w:val="94"/>
              </w:rPr>
              <w:t>Proceeds from issuance of Series D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54,584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54,896</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convertible notes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29,945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72,331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55,395</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25,126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INVESTING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FINANCING ACTIVITIES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7"/>
        </w:trPr>
        <w:tc>
          <w:tcPr>
            <w:tcW w:w="4700" w:type="dxa"/>
            <w:vAlign w:val="bottom"/>
          </w:tcPr>
          <w:p>
            <w:pPr>
              <w:ind w:left="20"/>
              <w:spacing w:after="0" w:line="118" w:lineRule="exact"/>
              <w:rPr>
                <w:sz w:val="20"/>
                <w:szCs w:val="20"/>
                <w:color w:val="auto"/>
              </w:rPr>
            </w:pPr>
            <w:r>
              <w:rPr>
                <w:rFonts w:ascii="Arial" w:cs="Arial" w:eastAsia="Arial" w:hAnsi="Arial"/>
                <w:sz w:val="13"/>
                <w:szCs w:val="13"/>
                <w:color w:val="auto"/>
              </w:rPr>
              <w:t>Issuance of Series D convertible preferred stock upon extinguishment of</w:t>
            </w:r>
          </w:p>
        </w:tc>
        <w:tc>
          <w:tcPr>
            <w:tcW w:w="64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0"/>
                <w:szCs w:val="10"/>
                <w:color w:val="auto"/>
              </w:rPr>
            </w:pPr>
          </w:p>
        </w:tc>
        <w:tc>
          <w:tcPr>
            <w:tcW w:w="720" w:type="dxa"/>
            <w:vAlign w:val="bottom"/>
            <w:vMerge w:val="restart"/>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tcPr>
          <w:p>
            <w:pPr>
              <w:ind w:left="180"/>
              <w:spacing w:after="0"/>
              <w:rPr>
                <w:sz w:val="20"/>
                <w:szCs w:val="20"/>
                <w:color w:val="auto"/>
              </w:rPr>
            </w:pPr>
            <w:r>
              <w:rPr>
                <w:rFonts w:ascii="Arial" w:cs="Arial" w:eastAsia="Arial" w:hAnsi="Arial"/>
                <w:sz w:val="14"/>
                <w:szCs w:val="14"/>
                <w:color w:val="auto"/>
              </w:rPr>
              <w:t>convertible notes</w:t>
            </w:r>
          </w:p>
        </w:tc>
        <w:tc>
          <w:tcPr>
            <w:tcW w:w="6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preferred stock issuance costs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Tenant improvements paid by landlord</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offering costs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Deferred offering costs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34"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21" w:right="3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Balance Sheet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unaudited pro forma balance sheet information as of September 30, 2020, assumes all shares of convertible preferred stock had automatically converted into an aggregate of 29,026,787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3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23"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decisions affecting the VIE (management and representation on the board of directors) and have the right to unilaterally remove those decision-makers are deemed to have the power to direct the activities of a VIE.</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8" w:lineRule="exact"/>
        <w:rPr>
          <w:sz w:val="20"/>
          <w:szCs w:val="20"/>
          <w:color w:val="auto"/>
        </w:rPr>
      </w:pPr>
    </w:p>
    <w:p>
      <w:pPr>
        <w:ind w:left="340" w:right="360"/>
        <w:spacing w:after="0" w:line="438" w:lineRule="auto"/>
        <w:rPr>
          <w:sz w:val="20"/>
          <w:szCs w:val="20"/>
          <w:color w:val="auto"/>
        </w:rPr>
      </w:pPr>
      <w:r>
        <w:rPr>
          <w:rFonts w:ascii="Arial" w:cs="Arial" w:eastAsia="Arial" w:hAnsi="Arial"/>
          <w:sz w:val="18"/>
          <w:szCs w:val="18"/>
          <w:color w:val="auto"/>
        </w:rPr>
        <w:t xml:space="preserve">As of September 30, 2020 (unaudited), the Company has an equity method investment in PrognomIQ. Refer to Note 11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3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2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stated at cost and are not depreciated. Once the assets are placed into service, assets are reclassified to the appropriate asset class on their nature and depreciated in accordance with the useful lives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2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320" w:top="121" w:right="41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34"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320" w:top="121" w:right="37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further updated through ASU No. 2016-</w:t>
      </w:r>
    </w:p>
    <w:p>
      <w:pPr>
        <w:spacing w:after="0" w:line="46" w:lineRule="exact"/>
        <w:rPr>
          <w:sz w:val="20"/>
          <w:szCs w:val="20"/>
          <w:color w:val="auto"/>
        </w:rPr>
      </w:pPr>
    </w:p>
    <w:p>
      <w:pPr>
        <w:ind w:right="120" w:firstLine="8"/>
        <w:spacing w:after="0" w:line="292" w:lineRule="auto"/>
        <w:tabs>
          <w:tab w:leader="none" w:pos="27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adopted the following accounting standards during the nine months ended September 30, 2020 (unaudited).</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that financial assets measured at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21" w:right="35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that financial assets measured at amortized cost be presented at the net amount expected to be collected.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June 20,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to reduce cost and complexity and to improve financial reporting for share-based payments issued to non-employees. The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121" w:right="3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29"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32486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ind w:right="140" w:firstLine="324"/>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21" w:right="33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03"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2019 and September 30, 2020 (unaudited), the Company recorded $0.2 million and $0.4 million of deferred revenue related to the following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Agreements</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2019, the Company received a notice of award from the National Institutes of Health, which will provide funding of approximately</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32"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2019, the Company is authorized to issue 74,276,048 shares of capital stock consisting of 42,757,009 shares of Class A common stock, 9,345,794 shares of Class B common stock, and 22,173,245 shares of convertible preferred stock.</w:t>
      </w:r>
    </w:p>
    <w:p>
      <w:pPr>
        <w:spacing w:after="0" w:line="11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of September 30, 2020 (unaudited), the Company is authorized to issue 94,447,387 shares of capital stock consisting of 56,074,766 shares of Class A common stock, 9,345,794 shares of Class B common stock, and 29,026,827 shares of convertible preferred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22,173,216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8.03</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6,853,582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6,853,571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29,026,787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and April 2019, the Company issued 3,271,023 shares of its Series C convertible preferred stock at a price per share of $5.35 for net proceeds of $17.3 million.</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November and December 2019, the Company issued 7,849,737 shares of its Series D convertible preferred stock at a price per share of $6.96 for net proceeds of $54.4 million, with such amounts not including the redemption of the Notes (see Note 6).</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nine months ended September 30, 2020 (unaudited), the Company issued 6,853,571 shares of its Series D-1 convertible preferred stock in May 2020 at a price per share of $8.03 for net proceeds of $54.9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$1.95 per share for Series A convertible preferred stock, $3.80 per share for Series B convertible preferred stock, $5.35 per share of Series C convertible preferred stock, $6.96 per share of Series D convertible preferred stock, and $8.03 per share of Series D-1 convertible preferred stock, each adjusted for any stock splits, combinations, and reorganizations, plus all declared and unpaid dividends on each such share.</w:t>
      </w:r>
    </w:p>
    <w:p>
      <w:pPr>
        <w:spacing w:after="0" w:line="1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16"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A liquidation event requires approval by the holders of at least a majority of the outstanding shares of convertible preferred stock. </w:t>
      </w:r>
      <w:r>
        <w:rPr>
          <w:rFonts w:ascii="Arial" w:cs="Arial" w:eastAsia="Arial" w:hAnsi="Arial"/>
          <w:sz w:val="18"/>
          <w:szCs w:val="18"/>
          <w:b w:val="1"/>
          <w:bCs w:val="1"/>
          <w:i w:val="1"/>
          <w:iCs w:val="1"/>
          <w:color w:val="auto"/>
        </w:rPr>
        <w:t>Optional Conversion Rights</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Conversion Rights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$0.1167, $0.2277, $0.3210, $0.4173, and $0.4815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156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1560" w:type="dxa"/>
            <w:vAlign w:val="bottom"/>
          </w:tcPr>
          <w:p>
            <w:pPr>
              <w:jc w:val="right"/>
              <w:spacing w:after="0"/>
              <w:rPr>
                <w:sz w:val="20"/>
                <w:szCs w:val="20"/>
                <w:color w:val="auto"/>
              </w:rPr>
            </w:pPr>
            <w:r>
              <w:rPr>
                <w:rFonts w:ascii="Arial" w:cs="Arial" w:eastAsia="Arial" w:hAnsi="Arial"/>
                <w:sz w:val="18"/>
                <w:szCs w:val="18"/>
                <w:color w:val="auto"/>
              </w:rPr>
              <w:t>2,858,902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2,847,893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3,296,556</w:t>
            </w:r>
          </w:p>
        </w:tc>
      </w:tr>
      <w:tr>
        <w:trPr>
          <w:trHeight w:val="23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9,345,784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12,204,686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12,193,677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12,642,340</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jc w:val="both"/>
        <w:ind w:right="26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3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9,085,139 and 11,814,650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2017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123,296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2,266,576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(845,710)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1,475,686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834,959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2,176,102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 (unaudited)</w:t>
            </w:r>
          </w:p>
        </w:tc>
        <w:tc>
          <w:tcPr>
            <w:tcW w:w="1560" w:type="dxa"/>
            <w:vAlign w:val="bottom"/>
          </w:tcPr>
          <w:p>
            <w:pPr>
              <w:jc w:val="right"/>
              <w:spacing w:after="0"/>
              <w:rPr>
                <w:sz w:val="20"/>
                <w:szCs w:val="20"/>
                <w:color w:val="auto"/>
              </w:rPr>
            </w:pPr>
            <w:r>
              <w:rPr>
                <w:rFonts w:ascii="Arial" w:cs="Arial" w:eastAsia="Arial" w:hAnsi="Arial"/>
                <w:sz w:val="18"/>
                <w:szCs w:val="18"/>
                <w:color w:val="231F20"/>
              </w:rPr>
              <w:t>6,428,732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(663,908)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(387,426)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7,553,500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41,230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677,070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231F20"/>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231F20"/>
              </w:rPr>
              <w:t>0.33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231F20"/>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231F20"/>
              </w:rPr>
              <w:t>1,600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993,485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weighted-average grant-date fair value of stock options granted to employees during the years ended December 31, 2018 and 2019, was $1.65 and $1.61 per share, respectively, and was $1.61 and $1.89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77.6%</w:t>
            </w:r>
          </w:p>
        </w:tc>
        <w:tc>
          <w:tcPr>
            <w:tcW w:w="920" w:type="dxa"/>
            <w:vAlign w:val="bottom"/>
          </w:tcPr>
          <w:p>
            <w:pPr>
              <w:ind w:left="20"/>
              <w:spacing w:after="0"/>
              <w:rPr>
                <w:sz w:val="20"/>
                <w:szCs w:val="20"/>
                <w:color w:val="auto"/>
              </w:rPr>
            </w:pPr>
            <w:r>
              <w:rPr>
                <w:rFonts w:ascii="Arial" w:cs="Arial" w:eastAsia="Arial" w:hAnsi="Arial"/>
                <w:sz w:val="18"/>
                <w:szCs w:val="18"/>
                <w:color w:val="auto"/>
              </w:rPr>
              <w:t>- 77.9%</w:t>
            </w: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940" w:type="dxa"/>
            <w:vAlign w:val="bottom"/>
          </w:tcPr>
          <w:p>
            <w:pPr>
              <w:ind w:left="20"/>
              <w:spacing w:after="0"/>
              <w:rPr>
                <w:sz w:val="20"/>
                <w:szCs w:val="20"/>
                <w:color w:val="auto"/>
              </w:rPr>
            </w:pPr>
            <w:r>
              <w:rPr>
                <w:rFonts w:ascii="Arial" w:cs="Arial" w:eastAsia="Arial" w:hAnsi="Arial"/>
                <w:sz w:val="18"/>
                <w:szCs w:val="18"/>
                <w:color w:val="auto"/>
              </w:rPr>
              <w:t>- 77.5%</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960" w:type="dxa"/>
            <w:vAlign w:val="bottom"/>
          </w:tcPr>
          <w:p>
            <w:pPr>
              <w:ind w:left="20"/>
              <w:spacing w:after="0"/>
              <w:rPr>
                <w:sz w:val="20"/>
                <w:szCs w:val="20"/>
                <w:color w:val="auto"/>
              </w:rPr>
            </w:pPr>
            <w:r>
              <w:rPr>
                <w:rFonts w:ascii="Arial" w:cs="Arial" w:eastAsia="Arial" w:hAnsi="Arial"/>
                <w:sz w:val="18"/>
                <w:szCs w:val="18"/>
                <w:color w:val="auto"/>
              </w:rPr>
              <w:t>- 77.5%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62.2%-69.2%</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5.21-6.22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type w:val="continuous"/>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stock options granted to non-employees is calculated at each reporting date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2"/>
              </w:rPr>
              <w:t>2.7%</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 - 1.9%</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0.5%-0.7%</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0"/>
              </w:rPr>
              <w:t>77.5%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77.7%</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73.7%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68.8%</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8.73 – 9.88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7.73 – 9.49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8.39-9.82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7.38-9.87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2017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1,691,190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2,395,346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tcPr>
          <w:p>
            <w:pPr>
              <w:jc w:val="right"/>
              <w:spacing w:after="0"/>
              <w:rPr>
                <w:sz w:val="20"/>
                <w:szCs w:val="20"/>
                <w:color w:val="auto"/>
              </w:rPr>
            </w:pPr>
            <w:r>
              <w:rPr>
                <w:rFonts w:ascii="Arial" w:cs="Arial" w:eastAsia="Arial" w:hAnsi="Arial"/>
                <w:sz w:val="18"/>
                <w:szCs w:val="18"/>
                <w:color w:val="auto"/>
              </w:rPr>
              <w:t>(144,859)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tcPr>
          <w:p>
            <w:pPr>
              <w:jc w:val="right"/>
              <w:spacing w:after="0"/>
              <w:rPr>
                <w:sz w:val="20"/>
                <w:szCs w:val="20"/>
                <w:color w:val="auto"/>
              </w:rPr>
            </w:pPr>
            <w:r>
              <w:rPr>
                <w:rFonts w:ascii="Arial" w:cs="Arial" w:eastAsia="Arial" w:hAnsi="Arial"/>
                <w:sz w:val="18"/>
                <w:szCs w:val="18"/>
                <w:color w:val="auto"/>
              </w:rPr>
              <w:t>1,499,715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Repurchased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(215,240)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granted certain employees 335,194 RSUs under the 2020 RSU Plan that entitle the holder to receive shares of Class A common stock upon vesting. The Company has not recognized any stock-based compensation for these RSUs, which vest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 RSUs vest upon the one-year anniversary of the IPO and the remaining 50% vest upon the two-year anniversary of the IPO. The weighted-average grant date fair value of the RSUs was $3.39 per share.</w:t>
      </w:r>
    </w:p>
    <w:p>
      <w:pPr>
        <w:spacing w:after="0" w:line="133"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98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7"/>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 to employees and directors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Stock options granted to non-employees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of Class A common stock</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32385</wp:posOffset>
            </wp:positionV>
            <wp:extent cx="21856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8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46990</wp:posOffset>
            </wp:positionV>
            <wp:extent cx="2185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granted 59,577 shares of performance-based stock options in February 2018 through June 2019, of which 3,504 shares have vested or been determined to be probable to vest as of December 31, 2019. There is $0.1 million in unrecognized stock-based compensation associated with options not determined to be probable of vesting as of December 31, 2019.</w:t>
      </w:r>
    </w:p>
    <w:p>
      <w:pPr>
        <w:spacing w:after="0" w:line="126"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2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17"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3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future minimum commitments under the Company’s non-cancelable facility operating lease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2020 (unaudited), future minimum commitments under the Company’s non-cancelable facility operating lease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PROGNOMIQ, INC. (UNAUDITED)</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3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9"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common shares used in computing net loss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w w:val="98"/>
              </w:rPr>
              <w:t>per share attributable to common stockholders, basic and</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22,173,216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29,026,787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1,475,686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2,176,102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7,553,500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1,573,436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335,194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38,488,917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type w:val="continuous"/>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 forma net loss attributable to common stockholders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rPr>
              <w:t>Weighted-average common shares used in computing net loss per share attributable to common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29"/>
        </w:trPr>
        <w:tc>
          <w:tcPr>
            <w:tcW w:w="8020" w:type="dxa"/>
            <w:vAlign w:val="bottom"/>
          </w:tcPr>
          <w:p>
            <w:pPr>
              <w:ind w:left="42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to reflect the assumed conversion of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25,700,054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weighted-average common shares used to compute net loss per share, basic and 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4"/>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8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3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07"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events subsequent from December 31, 2019 through September 25, 2020, the date at which the financial statements as of and for the years ended December 31, 2018 and 2019 were available to be issued except for the Reverse Stock Split as to which the date is as of November 30, 2020.</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May 2020, the Company issued 6,853,571 shares of its Series D-1 convertible preferred stock at a price per share of $8.03 for gross proceeds of $55.0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4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 Transaction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21" w:right="3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103"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 except for the Reverse Stock Split as to which the date is as of November 30, 2020.</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9,210,527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281305</wp:posOffset>
            </wp:positionV>
            <wp:extent cx="3000375" cy="977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00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Seer, Inc.</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281305</wp:posOffset>
            </wp:positionV>
            <wp:extent cx="3574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40005</wp:posOffset>
            </wp:positionV>
            <wp:extent cx="35744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lvl w:ilvl="1">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1)"/>
      <w:numFmt w:val="decimal"/>
      <w:start w:val="1"/>
    </w:lvl>
  </w:abstractNum>
  <w:abstractNum w:abstractNumId="11">
    <w:nsid w:val="5DC79EA8"/>
    <w:multiLevelType w:val="hybridMultilevel"/>
    <w:lvl w:ilvl="0">
      <w:lvlJc w:val="left"/>
      <w:lvlText w:val="(%1)"/>
      <w:numFmt w:val="decimal"/>
      <w:start w:val="2"/>
    </w:lvl>
  </w:abstractNum>
  <w:abstractNum w:abstractNumId="12">
    <w:nsid w:val="540A471C"/>
    <w:multiLevelType w:val="hybridMultilevel"/>
    <w:lvl w:ilvl="0">
      <w:lvlJc w:val="left"/>
      <w:lvlText w:val="(%1)"/>
      <w:numFmt w:val="decimal"/>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lvl w:ilvl="1">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lvl w:ilvl="1">
      <w:lvlJc w:val="left"/>
      <w:lvlText w:val="◦"/>
      <w:numFmt w:val="bullet"/>
      <w:start w:val="1"/>
    </w:lvl>
  </w:abstractNum>
  <w:abstractNum w:abstractNumId="42">
    <w:nsid w:val="74DE0EE3"/>
    <w:multiLevelType w:val="hybridMultilevel"/>
    <w:lvl w:ilvl="0">
      <w:lvlJc w:val="left"/>
      <w:lvlText w:val="•"/>
      <w:numFmt w:val="bullet"/>
      <w:start w:val="1"/>
    </w:lvl>
    <w:lvl w:ilvl="1">
      <w:lvlJc w:val="left"/>
      <w:lvlText w:val="◦"/>
      <w:numFmt w:val="bullet"/>
      <w:start w:val="1"/>
    </w:lvl>
  </w:abstractNum>
  <w:abstractNum w:abstractNumId="43">
    <w:nsid w:val="68EBC550"/>
    <w:multiLevelType w:val="hybridMultilevel"/>
    <w:lvl w:ilvl="0">
      <w:lvlJc w:val="left"/>
      <w:lvlText w:val="(%1)"/>
      <w:numFmt w:val="decimal"/>
      <w:start w:val="1"/>
    </w:lvl>
  </w:abstractNum>
  <w:abstractNum w:abstractNumId="44">
    <w:nsid w:val="2DF6D648"/>
    <w:multiLevelType w:val="hybridMultilevel"/>
    <w:lvl w:ilvl="0">
      <w:lvlJc w:val="left"/>
      <w:lvlText w:val="(%1)"/>
      <w:numFmt w:val="decimal"/>
      <w:start w:val="2"/>
    </w:lvl>
  </w:abstractNum>
  <w:abstractNum w:abstractNumId="45">
    <w:nsid w:val="46B7D447"/>
    <w:multiLevelType w:val="hybridMultilevel"/>
    <w:lvl w:ilvl="0">
      <w:lvlJc w:val="left"/>
      <w:lvlText w:val="(%1)"/>
      <w:numFmt w:val="decimal"/>
      <w:start w:val="3"/>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1."/>
      <w:numFmt w:val="decimal"/>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1)"/>
      <w:numFmt w:val="decimal"/>
      <w:start w:val="1"/>
    </w:lvl>
  </w:abstractNum>
  <w:abstractNum w:abstractNumId="78">
    <w:nsid w:val="59ADEA3D"/>
    <w:multiLevelType w:val="hybridMultilevel"/>
    <w:lvl w:ilvl="0">
      <w:lvlJc w:val="left"/>
      <w:lvlText w:val="(%1)"/>
      <w:numFmt w:val="decimal"/>
      <w:start w:val="1"/>
    </w:lvl>
  </w:abstractNum>
  <w:abstractNum w:abstractNumId="79">
    <w:nsid w:val="288F1A34"/>
    <w:multiLevelType w:val="hybridMultilevel"/>
    <w:lvl w:ilvl="0">
      <w:lvlJc w:val="left"/>
      <w:lvlText w:val="(%1)"/>
      <w:numFmt w:val="decimal"/>
      <w:start w:val="10"/>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1)"/>
      <w:numFmt w:val="decimal"/>
      <w:start w:val="1"/>
    </w:lvl>
  </w:abstractNum>
  <w:abstractNum w:abstractNumId="83">
    <w:nsid w:val="51088277"/>
    <w:multiLevelType w:val="hybridMultilevel"/>
    <w:lvl w:ilvl="0">
      <w:lvlJc w:val="left"/>
      <w:lvlText w:val="(%1)"/>
      <w:numFmt w:val="decimal"/>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1)"/>
      <w:numFmt w:val="decimal"/>
      <w:start w:val="10"/>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1)"/>
      <w:numFmt w:val="decimal"/>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1"/>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1)"/>
      <w:numFmt w:val="decimal"/>
      <w:start w:val="2"/>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
      <w:numFmt w:val="bullet"/>
      <w:start w:val="1"/>
    </w:lvl>
  </w:abstractNum>
  <w:abstractNum w:abstractNumId="99">
    <w:nsid w:val="69E373"/>
    <w:multiLevelType w:val="hybridMultilevel"/>
    <w:lvl w:ilvl="0">
      <w:lvlJc w:val="left"/>
      <w:lvlText w:val="(%1)"/>
      <w:numFmt w:val="lowerRoman"/>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
      <w:numFmt w:val="bullet"/>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1)"/>
      <w:numFmt w:val="decimal"/>
      <w:start w:val="8"/>
    </w:lvl>
  </w:abstractNum>
  <w:abstractNum w:abstractNumId="105">
    <w:nsid w:val="3DD15094"/>
    <w:multiLevelType w:val="hybridMultilevel"/>
    <w:lvl w:ilvl="0">
      <w:lvlJc w:val="left"/>
      <w:lvlText w:val="•"/>
      <w:numFmt w:val="bullet"/>
      <w:start w:val="1"/>
    </w:lvl>
  </w:abstractNum>
  <w:abstractNum w:abstractNumId="106">
    <w:nsid w:val="3DB012B3"/>
    <w:multiLevelType w:val="hybridMultilevel"/>
    <w:lvl w:ilvl="0">
      <w:lvlJc w:val="left"/>
      <w:lvlText w:val="•"/>
      <w:numFmt w:val="bullet"/>
      <w:start w:val="1"/>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1)"/>
      <w:numFmt w:val="lowerRoman"/>
      <w:start w:val="5"/>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Roman"/>
      <w:start w:val="1"/>
    </w:lvl>
  </w:abstractNum>
  <w:abstractNum w:abstractNumId="121">
    <w:nsid w:val="2A082C70"/>
    <w:multiLevelType w:val="hybridMultilevel"/>
    <w:lvl w:ilvl="0">
      <w:lvlJc w:val="left"/>
      <w:lvlText w:val="%1."/>
      <w:numFmt w:val="decimal"/>
      <w:start w:val="1"/>
    </w:lvl>
  </w:abstractNum>
  <w:abstractNum w:abstractNumId="122">
    <w:nsid w:val="5EC6AFD4"/>
    <w:multiLevelType w:val="hybridMultilevel"/>
    <w:lvl w:ilvl="0">
      <w:lvlJc w:val="left"/>
      <w:lvlText w:val="%1."/>
      <w:numFmt w:val="decimal"/>
      <w:start w:val="2"/>
    </w:lvl>
  </w:abstractNum>
  <w:abstractNum w:abstractNumId="123">
    <w:nsid w:val="19E21BB2"/>
    <w:multiLevelType w:val="hybridMultilevel"/>
    <w:lvl w:ilvl="0">
      <w:lvlJc w:val="left"/>
      <w:lvlText w:val="%1."/>
      <w:numFmt w:val="decimal"/>
      <w:start w:val="12"/>
    </w:lvl>
  </w:abstractNum>
  <w:abstractNum w:abstractNumId="124">
    <w:nsid w:val="75E0858A"/>
    <w:multiLevelType w:val="hybridMultilevel"/>
    <w:lvl w:ilvl="0">
      <w:lvlJc w:val="left"/>
      <w:lvlText w:val="%1."/>
      <w:numFmt w:val="decimal"/>
      <w:start w:val="3"/>
    </w:lvl>
  </w:abstractNum>
  <w:abstractNum w:abstractNumId="125">
    <w:nsid w:val="57A61A29"/>
    <w:multiLevelType w:val="hybridMultilevel"/>
    <w:lvl w:ilvl="0">
      <w:lvlJc w:val="left"/>
      <w:lvlText w:val="%1."/>
      <w:numFmt w:val="decimal"/>
      <w:start w:val="5"/>
    </w:lvl>
  </w:abstractNum>
  <w:abstractNum w:abstractNumId="126">
    <w:nsid w:val="5399C654"/>
    <w:multiLevelType w:val="hybridMultilevel"/>
    <w:lvl w:ilvl="0">
      <w:lvlJc w:val="left"/>
      <w:lvlText w:val="%1."/>
      <w:numFmt w:val="decimal"/>
      <w:start w:val="6"/>
    </w:lvl>
  </w:abstractNum>
  <w:abstractNum w:abstractNumId="127">
    <w:nsid w:val="20EE1348"/>
    <w:multiLevelType w:val="hybridMultilevel"/>
    <w:lvl w:ilvl="0">
      <w:lvlJc w:val="left"/>
      <w:lvlText w:val="%1."/>
      <w:numFmt w:val="decimal"/>
      <w:start w:val="7"/>
    </w:lvl>
  </w:abstractNum>
  <w:abstractNum w:abstractNumId="128">
    <w:nsid w:val="4427069A"/>
    <w:multiLevelType w:val="hybridMultilevel"/>
    <w:lvl w:ilvl="0">
      <w:lvlJc w:val="left"/>
      <w:lvlText w:val="%1."/>
      <w:numFmt w:val="decimal"/>
      <w:start w:val="8"/>
    </w:lvl>
  </w:abstractNum>
  <w:abstractNum w:abstractNumId="129">
    <w:nsid w:val="B37E80A"/>
    <w:multiLevelType w:val="hybridMultilevel"/>
    <w:lvl w:ilvl="0">
      <w:lvlJc w:val="left"/>
      <w:lvlText w:val="%1."/>
      <w:numFmt w:val="decimal"/>
      <w:start w:val="9"/>
    </w:lvl>
  </w:abstractNum>
  <w:abstractNum w:abstractNumId="130">
    <w:nsid w:val="2157F6BC"/>
    <w:multiLevelType w:val="hybridMultilevel"/>
    <w:lvl w:ilvl="0">
      <w:lvlJc w:val="left"/>
      <w:lvlText w:val="%1."/>
      <w:numFmt w:val="decimal"/>
      <w:start w:val="10"/>
    </w:lvl>
  </w:abstractNum>
  <w:abstractNum w:abstractNumId="131">
    <w:nsid w:val="704E1DD5"/>
    <w:multiLevelType w:val="hybridMultilevel"/>
    <w:lvl w:ilvl="0">
      <w:lvlJc w:val="left"/>
      <w:lvlText w:val="%1."/>
      <w:numFmt w:val="decimal"/>
      <w:start w:val="11"/>
    </w:lvl>
  </w:abstractNum>
  <w:abstractNum w:abstractNumId="132">
    <w:nsid w:val="57D2F10E"/>
    <w:multiLevelType w:val="hybridMultilevel"/>
    <w:lvl w:ilvl="0">
      <w:lvlJc w:val="left"/>
      <w:lvlText w:val="%1."/>
      <w:numFmt w:val="decimal"/>
      <w:start w:val="12"/>
    </w:lvl>
  </w:abstractNum>
  <w:abstractNum w:abstractNumId="133">
    <w:nsid w:val="BFFAE18"/>
    <w:multiLevelType w:val="hybridMultilevel"/>
    <w:lvl w:ilvl="0">
      <w:lvlJc w:val="left"/>
      <w:lvlText w:val="%1."/>
      <w:numFmt w:val="decimal"/>
      <w:start w:val="13"/>
    </w:lvl>
  </w:abstractNum>
  <w:abstractNum w:abstractNumId="134">
    <w:nsid w:val="E3E47A8"/>
    <w:multiLevelType w:val="hybridMultilevel"/>
    <w:lvl w:ilvl="0">
      <w:lvlJc w:val="left"/>
      <w:lvlText w:val="%1."/>
      <w:numFmt w:val="decimal"/>
      <w:start w:val="14"/>
    </w:lvl>
  </w:abstractNum>
  <w:abstractNum w:abstractNumId="135">
    <w:nsid w:val="2E48F04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2020-12-04T16:26:03Z</dcterms:created>
  <dcterms:modified xsi:type="dcterms:W3CDTF">2020-12-04T16:26:03Z</dcterms:modified>
</cp:coreProperties>
</file>