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1726445-20260331.htm"/>
        <w:bookmarkStart w:id="1" w:name="ksck000172644520260331"/>
        <w:bookmarkEnd w:id="0"/>
        <w:bookmarkEnd w:id="1"/>
        <w:r>
          <w:rPr>
            <w:rStyle w:val="InternetLink"/>
            <w:rFonts w:ascii="Times New Roman" w:hAnsi="Times New Roman"/>
            <w:b/>
            <w:color w:val="0000FF"/>
            <w:sz w:val="20"/>
            <w:u w:val="single"/>
          </w:rPr>
          <w:t>Table of Contents</w:t>
        </w:r>
      </w:hyperlink>
    </w:p>
    <w:p>
      <w:pPr>
        <w:pStyle w:val="TextBody"/>
        <w:bidi w:val="0"/>
        <w:spacing w:before="0" w:after="180"/>
        <w:jc w:val="left"/>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spacing w:before="0" w:after="180"/>
        <w:jc w:val="center"/>
        <w:rPr>
          <w:rFonts w:ascii="Times New Roman" w:hAnsi="Times New Roman"/>
          <w:b/>
          <w:color w:val="000000"/>
          <w:sz w:val="30"/>
        </w:rPr>
      </w:pPr>
      <w:r>
        <w:rPr>
          <w:rFonts w:ascii="Times New Roman" w:hAnsi="Times New Roman"/>
          <w:b/>
          <w:color w:val="000000"/>
          <w:sz w:val="30"/>
        </w:rPr>
        <w:t>FORM 10-Q</w:t>
      </w:r>
    </w:p>
    <w:p>
      <w:pPr>
        <w:pStyle w:val="TextBody"/>
        <w:bidi w:val="0"/>
        <w:jc w:val="left"/>
        <w:rPr>
          <w:rFonts w:ascii="Times New Roman" w:hAnsi="Times New Roman"/>
          <w:color w:val="000000"/>
          <w:sz w:val="18"/>
        </w:rPr>
      </w:pPr>
      <w:r>
        <w:rPr>
          <w:rFonts w:ascii="Times New Roman" w:hAnsi="Times New Roman"/>
          <w:color w:val="000000"/>
          <w:sz w:val="18"/>
        </w:rPr>
        <w:t>(Mark one)</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[X] QUARTERLY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quarterly period ended March 31, 2026</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or</w:t>
      </w:r>
    </w:p>
    <w:p>
      <w:pPr>
        <w:pStyle w:val="TextBody"/>
        <w:bidi w:val="0"/>
        <w:spacing w:before="60" w:after="283"/>
        <w:jc w:val="left"/>
        <w:rPr>
          <w:rFonts w:ascii="Times New Roman" w:hAnsi="Times New Roman"/>
          <w:sz w:val="20"/>
        </w:rPr>
      </w:pPr>
      <w:r>
        <w:rPr>
          <w:rFonts w:ascii="Times New Roman" w:hAnsi="Times New Roman"/>
          <w:b/>
          <w:color w:val="000000"/>
          <w:sz w:val="18"/>
        </w:rPr>
        <w:t>[ ]</w:t>
      </w:r>
      <w:r>
        <w:rPr>
          <w:rFonts w:ascii="Times New Roman" w:hAnsi="Times New Roman"/>
          <w:color w:val="000000"/>
          <w:sz w:val="20"/>
        </w:rPr>
        <w:t xml:space="preserve"> </w:t>
      </w:r>
      <w:r>
        <w:rPr>
          <w:rFonts w:ascii="Times New Roman" w:hAnsi="Times New Roman"/>
          <w:b/>
          <w:color w:val="000000"/>
          <w:sz w:val="18"/>
        </w:rPr>
        <w:t>TRANSITION REPORT PURSUANT TO SECTION 13 OR 15(d) OF THE SECURITIES EXCHANGE ACT OF 1934</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 the transition period from _______________ to _______________</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Commission file number 001-39747</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4561"/>
        <w:gridCol w:w="146"/>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82-1153150</w:t>
            </w:r>
          </w:p>
        </w:tc>
      </w:tr>
      <w:tr>
        <w:trPr/>
        <w:tc>
          <w:tcPr>
            <w:tcW w:w="456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3800 Bridge Parkway, Suite 102</w:t>
      </w:r>
    </w:p>
    <w:p>
      <w:pPr>
        <w:pStyle w:val="TextBody"/>
        <w:bidi w:val="0"/>
        <w:jc w:val="center"/>
        <w:rPr>
          <w:rFonts w:ascii="Times New Roman" w:hAnsi="Times New Roman"/>
          <w:sz w:val="20"/>
        </w:rPr>
      </w:pPr>
      <w:r>
        <w:rPr>
          <w:rFonts w:ascii="Times New Roman" w:hAnsi="Times New Roman"/>
          <w:b/>
          <w:color w:val="000000"/>
          <w:sz w:val="16"/>
        </w:rPr>
        <w:t>Redwood City, California</w:t>
      </w:r>
      <w:r>
        <w:rPr>
          <w:rFonts w:ascii="Times New Roman" w:hAnsi="Times New Roman"/>
          <w:color w:val="000000"/>
          <w:sz w:val="20"/>
        </w:rPr>
        <w:t xml:space="preserve"> </w:t>
      </w:r>
      <w:r>
        <w:rPr>
          <w:rFonts w:ascii="Times New Roman" w:hAnsi="Times New Roman"/>
          <w:b/>
          <w:color w:val="000000"/>
          <w:sz w:val="16"/>
        </w:rPr>
        <w:t>94065</w:t>
      </w:r>
    </w:p>
    <w:p>
      <w:pPr>
        <w:pStyle w:val="TextBody"/>
        <w:bidi w:val="0"/>
        <w:jc w:val="center"/>
        <w:rPr>
          <w:rFonts w:ascii="Times New Roman" w:hAnsi="Times New Roman"/>
          <w:b/>
          <w:color w:val="000000"/>
          <w:sz w:val="16"/>
        </w:rPr>
      </w:pPr>
      <w:r>
        <w:rPr>
          <w:rFonts w:ascii="Times New Roman" w:hAnsi="Times New Roman"/>
          <w:b/>
          <w:color w:val="000000"/>
          <w:sz w:val="16"/>
        </w:rPr>
        <w:t>650-453-0000</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i/>
          <w:color w:val="000000"/>
          <w:sz w:val="16"/>
        </w:rPr>
      </w:pPr>
      <w:r>
        <w:rPr>
          <w:rFonts w:ascii="Times New Roman" w:hAnsi="Times New Roman"/>
          <w:i/>
          <w:color w:val="000000"/>
          <w:sz w:val="16"/>
        </w:rPr>
        <w:t>Copies to:</w:t>
      </w:r>
    </w:p>
    <w:p>
      <w:pPr>
        <w:pStyle w:val="TextBody"/>
        <w:bidi w:val="0"/>
        <w:jc w:val="center"/>
        <w:rPr/>
      </w:pPr>
      <w:r>
        <w:rPr/>
        <w:t> </w:t>
      </w:r>
    </w:p>
    <w:tbl>
      <w:tblPr>
        <w:tblW w:w="7375" w:type="dxa"/>
        <w:jc w:val="left"/>
        <w:tblInd w:w="0" w:type="dxa"/>
        <w:tblLayout w:type="fixed"/>
        <w:tblCellMar>
          <w:top w:w="28" w:type="dxa"/>
          <w:left w:w="28" w:type="dxa"/>
          <w:bottom w:w="28" w:type="dxa"/>
          <w:right w:w="28" w:type="dxa"/>
        </w:tblCellMar>
      </w:tblPr>
      <w:tblGrid>
        <w:gridCol w:w="2656"/>
        <w:gridCol w:w="146"/>
        <w:gridCol w:w="1456"/>
        <w:gridCol w:w="146"/>
        <w:gridCol w:w="297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w:t>
            </w:r>
          </w:p>
        </w:tc>
      </w:tr>
    </w:tbl>
    <w:p>
      <w:pPr>
        <w:pStyle w:val="TextBody"/>
        <w:bidi w:val="0"/>
        <w:spacing w:before="6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As of May 8, 2026, the registrant had 54,981,551</w:t>
      </w:r>
      <w:r>
        <w:rPr>
          <w:rFonts w:ascii="Times New Roman" w:hAnsi="Times New Roman"/>
          <w:color w:val="000000"/>
          <w:sz w:val="20"/>
        </w:rPr>
        <w:t xml:space="preserve"> </w:t>
      </w:r>
      <w:r>
        <w:rPr>
          <w:rFonts w:ascii="Times New Roman" w:hAnsi="Times New Roman"/>
          <w:color w:val="000000"/>
          <w:sz w:val="16"/>
        </w:rPr>
        <w:t>shares of Class A common stock, $0.00001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p>
      <w:pPr>
        <w:pStyle w:val="TextBody"/>
        <w:bidi w:val="0"/>
        <w:jc w:val="center"/>
        <w:rPr/>
      </w:pPr>
      <w:bookmarkStart w:id="2" w:name="toc_page"/>
      <w:bookmarkEnd w:id="2"/>
      <w:r>
        <w:rPr/>
        <w:t> </w:t>
      </w:r>
    </w:p>
    <w:tbl>
      <w:tblPr>
        <w:tblW w:w="8553" w:type="dxa"/>
        <w:jc w:val="left"/>
        <w:tblInd w:w="0" w:type="dxa"/>
        <w:tblLayout w:type="fixed"/>
        <w:tblCellMar>
          <w:top w:w="28" w:type="dxa"/>
          <w:left w:w="28" w:type="dxa"/>
          <w:bottom w:w="28" w:type="dxa"/>
          <w:right w:w="28" w:type="dxa"/>
        </w:tblCellMar>
      </w:tblPr>
      <w:tblGrid>
        <w:gridCol w:w="826"/>
        <w:gridCol w:w="7366"/>
        <w:gridCol w:w="361"/>
      </w:tblGrid>
      <w:tr>
        <w:trPr/>
        <w:tc>
          <w:tcPr>
            <w:tcW w:w="82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PART I.</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statementsstockholdersequity">
              <w:r>
                <w:rPr>
                  <w:rStyle w:val="InternetLink"/>
                  <w:rFonts w:ascii="Times New Roman" w:hAnsi="Times New Roman"/>
                  <w:color w:val="0000FF"/>
                  <w:sz w:val="20"/>
                  <w:u w:val="single"/>
                </w:rPr>
                <w:t>Condensed Consolidated Statements of Stockholders’ Equity</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5</w:t>
            </w:r>
          </w:p>
        </w:tc>
      </w:tr>
      <w:tr>
        <w:trPr/>
        <w:tc>
          <w:tcPr>
            <w:tcW w:w="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Unaudited Condensed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18</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25</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25</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27</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27</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27</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Item 2.</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83</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84</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estimates of our addressable market, market growth, key performance indicators, capital requirements and our needs for additional financing;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our financial performance, including among others, revenue, cost of revenue, gross profit, operating expenses, loss from operations and net losses;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execute our commercial strategy and attract customers, including our plans for international expansion;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implementation of our business model, strategic plans and pricing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regarding the rate and degree of market acceptance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the Proteograph Product Suite on the field of proteomics and the size and growth of the addressable proteomics market;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competitive companies and technologies and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manage and grow our business;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and commercialize new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or defend claims of infringement;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performance of third-party manufacturers and suppliers;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potential effects of government regulation and legislation;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hire and retain key personnel and to manage our future growth effectively;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volatility of the trading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benefits and risks of our investment in PrognomiQ, Inc.;</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local, regional, and national and international economic conditions and events;</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macroeconomic factors, such as tariffs and trade relations, pandemics, inflation, supply chain interruptions and foreign hostilities, on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expectations about market trends.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80"/>
        <w:jc w:val="center"/>
        <w:rPr>
          <w:rFonts w:ascii="Times New Roman" w:hAnsi="Times New Roman"/>
          <w:sz w:val="20"/>
        </w:rPr>
      </w:pPr>
      <w:bookmarkStart w:id="3" w:name="part_1_financial_information"/>
      <w:bookmarkEnd w:id="3"/>
      <w:r>
        <w:rPr>
          <w:rFonts w:ascii="Times New Roman" w:hAnsi="Times New Roman"/>
          <w:b/>
          <w:color w:val="000000"/>
          <w:sz w:val="20"/>
        </w:rPr>
        <w:t>PART I</w:t>
      </w:r>
      <w:r>
        <w:rPr>
          <w:rFonts w:ascii="Times New Roman" w:hAnsi="Times New Roman"/>
          <w:color w:val="000000"/>
          <w:sz w:val="20"/>
        </w:rPr>
        <w:t>—</w:t>
      </w:r>
      <w:r>
        <w:rPr>
          <w:rFonts w:ascii="Times New Roman" w:hAnsi="Times New Roman"/>
          <w:b/>
          <w:color w:val="000000"/>
          <w:sz w:val="20"/>
        </w:rPr>
        <w:t>FINANCIAL INFORMATION</w:t>
      </w:r>
    </w:p>
    <w:p>
      <w:pPr>
        <w:pStyle w:val="TextBody"/>
        <w:bidi w:val="0"/>
        <w:spacing w:before="0" w:after="8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9537" w:type="dxa"/>
        <w:jc w:val="left"/>
        <w:tblInd w:w="0" w:type="dxa"/>
        <w:tblLayout w:type="fixed"/>
        <w:tblCellMar>
          <w:top w:w="28" w:type="dxa"/>
          <w:left w:w="28" w:type="dxa"/>
          <w:bottom w:w="28" w:type="dxa"/>
          <w:right w:w="28" w:type="dxa"/>
        </w:tblCellMar>
      </w:tblPr>
      <w:tblGrid>
        <w:gridCol w:w="6321"/>
        <w:gridCol w:w="146"/>
        <w:gridCol w:w="211"/>
        <w:gridCol w:w="841"/>
        <w:gridCol w:w="166"/>
        <w:gridCol w:w="146"/>
        <w:gridCol w:w="219"/>
        <w:gridCol w:w="876"/>
        <w:gridCol w:w="61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138,612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201,534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54,686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as of</w:t>
              <w:br/>
              <w:t>    March 31, 2026 and December 31, 2025; zero</w:t>
            </w:r>
            <w:r>
              <w:rPr>
                <w:rFonts w:ascii="Times New Roman" w:hAnsi="Times New Roman"/>
                <w:color w:val="000000"/>
                <w:sz w:val="20"/>
              </w:rPr>
              <w:t> </w:t>
            </w:r>
            <w:r>
              <w:rPr>
                <w:rFonts w:ascii="Times New Roman" w:hAnsi="Times New Roman"/>
                <w:color w:val="000000"/>
                <w:sz w:val="19"/>
              </w:rPr>
              <w:t xml:space="preserve">shares issued and </w:t>
              <w:br/>
              <w:t>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A common stock, $0.00001</w:t>
            </w:r>
            <w:r>
              <w:rPr>
                <w:rFonts w:ascii="Times New Roman" w:hAnsi="Times New Roman"/>
                <w:color w:val="000000"/>
                <w:sz w:val="20"/>
              </w:rPr>
              <w:t> </w:t>
            </w:r>
            <w:r>
              <w:rPr>
                <w:rFonts w:ascii="Times New Roman" w:hAnsi="Times New Roman"/>
                <w:color w:val="000000"/>
                <w:sz w:val="19"/>
              </w:rPr>
              <w:t>par value; 94,000,000</w:t>
            </w:r>
            <w:r>
              <w:rPr>
                <w:rFonts w:ascii="Times New Roman" w:hAnsi="Times New Roman"/>
                <w:color w:val="000000"/>
                <w:sz w:val="20"/>
              </w:rPr>
              <w:t> </w:t>
            </w:r>
            <w:r>
              <w:rPr>
                <w:rFonts w:ascii="Times New Roman" w:hAnsi="Times New Roman"/>
                <w:color w:val="000000"/>
                <w:sz w:val="19"/>
              </w:rPr>
              <w:t>shares authorized</w:t>
              <w:br/>
              <w:t>    as of March 31, 2026 and December 31, 2025; 55,065,984</w:t>
            </w:r>
            <w:r>
              <w:rPr>
                <w:rFonts w:ascii="Times New Roman" w:hAnsi="Times New Roman"/>
                <w:color w:val="000000"/>
                <w:sz w:val="20"/>
              </w:rPr>
              <w:t> </w:t>
            </w:r>
            <w:r>
              <w:rPr>
                <w:rFonts w:ascii="Times New Roman" w:hAnsi="Times New Roman"/>
                <w:color w:val="000000"/>
                <w:sz w:val="19"/>
              </w:rPr>
              <w:t xml:space="preserve">and </w:t>
              <w:br/>
              <w:t>    56,219,599</w:t>
            </w:r>
            <w:r>
              <w:rPr>
                <w:rFonts w:ascii="Times New Roman" w:hAnsi="Times New Roman"/>
                <w:color w:val="000000"/>
                <w:sz w:val="20"/>
              </w:rPr>
              <w:t> </w:t>
            </w:r>
            <w:r>
              <w:rPr>
                <w:rFonts w:ascii="Times New Roman" w:hAnsi="Times New Roman"/>
                <w:color w:val="000000"/>
                <w:sz w:val="19"/>
              </w:rPr>
              <w:t xml:space="preserve">shares issued and outstanding as of March 31,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Class B common stock, $0.00001</w:t>
            </w:r>
            <w:r>
              <w:rPr>
                <w:rFonts w:ascii="Times New Roman" w:hAnsi="Times New Roman"/>
                <w:color w:val="000000"/>
                <w:sz w:val="20"/>
              </w:rPr>
              <w:t> </w:t>
            </w:r>
            <w:r>
              <w:rPr>
                <w:rFonts w:ascii="Times New Roman" w:hAnsi="Times New Roman"/>
                <w:color w:val="000000"/>
                <w:sz w:val="19"/>
              </w:rPr>
              <w:t>par value; 134,268</w:t>
            </w:r>
            <w:r>
              <w:rPr>
                <w:rFonts w:ascii="Times New Roman" w:hAnsi="Times New Roman"/>
                <w:color w:val="000000"/>
                <w:sz w:val="20"/>
              </w:rPr>
              <w:t> </w:t>
            </w:r>
            <w:r>
              <w:rPr>
                <w:rFonts w:ascii="Times New Roman" w:hAnsi="Times New Roman"/>
                <w:color w:val="000000"/>
                <w:sz w:val="19"/>
              </w:rPr>
              <w:t>shares authorized</w:t>
              <w:br/>
              <w:t>   as of March 31, 2026 and December 31, 2025; zero</w:t>
            </w:r>
            <w:r>
              <w:rPr>
                <w:rFonts w:ascii="Times New Roman" w:hAnsi="Times New Roman"/>
                <w:color w:val="000000"/>
                <w:sz w:val="20"/>
              </w:rPr>
              <w:t> </w:t>
            </w:r>
            <w:r>
              <w:rPr>
                <w:rFonts w:ascii="Times New Roman" w:hAnsi="Times New Roman"/>
                <w:color w:val="000000"/>
                <w:sz w:val="19"/>
              </w:rPr>
              <w:t>shares</w:t>
              <w:br/>
              <w:t>   issued and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724,819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(482,809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(465,972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259,307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296,083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6" w:name="consolidated_statements_of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pPr>
      <w:r>
        <w:rPr/>
        <w:t> </w:t>
      </w:r>
    </w:p>
    <w:tbl>
      <w:tblPr>
        <w:tblW w:w="9793" w:type="dxa"/>
        <w:jc w:val="left"/>
        <w:tblInd w:w="0" w:type="dxa"/>
        <w:tblLayout w:type="fixed"/>
        <w:tblCellMar>
          <w:top w:w="28" w:type="dxa"/>
          <w:left w:w="28" w:type="dxa"/>
          <w:bottom w:w="28" w:type="dxa"/>
          <w:right w:w="28" w:type="dxa"/>
        </w:tblCellMar>
      </w:tblPr>
      <w:tblGrid>
        <w:gridCol w:w="6376"/>
        <w:gridCol w:w="211"/>
        <w:gridCol w:w="1036"/>
        <w:gridCol w:w="166"/>
        <w:gridCol w:w="146"/>
        <w:gridCol w:w="211"/>
        <w:gridCol w:w="1036"/>
        <w:gridCol w:w="611"/>
      </w:tblGrid>
      <w:tr>
        <w:trPr/>
        <w:tc>
          <w:tcPr>
            <w:tcW w:w="6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Class A and Class B common stockholders, </w:t>
              <w:br/>
              <w:t>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in computing net loss per share attributable to </w:t>
              <w:br/>
              <w:t>  Class A and Class B common stockholders,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55,995,933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59,408,711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sz w:val="20"/>
        </w:rPr>
      </w:pPr>
      <w:bookmarkStart w:id="7" w:name="consolidatedstatementsstockholdersequity"/>
      <w:bookmarkEnd w:id="7"/>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3"/>
        <w:gridCol w:w="146"/>
        <w:gridCol w:w="146"/>
        <w:gridCol w:w="916"/>
        <w:gridCol w:w="166"/>
        <w:gridCol w:w="146"/>
        <w:gridCol w:w="206"/>
        <w:gridCol w:w="365"/>
        <w:gridCol w:w="146"/>
        <w:gridCol w:w="146"/>
        <w:gridCol w:w="215"/>
        <w:gridCol w:w="759"/>
        <w:gridCol w:w="166"/>
        <w:gridCol w:w="146"/>
        <w:gridCol w:w="196"/>
        <w:gridCol w:w="751"/>
        <w:gridCol w:w="166"/>
        <w:gridCol w:w="146"/>
        <w:gridCol w:w="412"/>
        <w:gridCol w:w="920"/>
        <w:gridCol w:w="166"/>
        <w:gridCol w:w="146"/>
        <w:gridCol w:w="196"/>
        <w:gridCol w:w="691"/>
        <w:gridCol w:w="413"/>
      </w:tblGrid>
      <w:tr>
        <w:trPr/>
        <w:tc>
          <w:tcPr>
            <w:tcW w:w="2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56,219,599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259,307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exercise of options and </w:t>
              <w:br/>
              <w:t>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55,065,984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241,479</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amounts)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59"/>
        <w:gridCol w:w="146"/>
        <w:gridCol w:w="146"/>
        <w:gridCol w:w="916"/>
        <w:gridCol w:w="166"/>
        <w:gridCol w:w="146"/>
        <w:gridCol w:w="206"/>
        <w:gridCol w:w="365"/>
        <w:gridCol w:w="146"/>
        <w:gridCol w:w="146"/>
        <w:gridCol w:w="214"/>
        <w:gridCol w:w="758"/>
        <w:gridCol w:w="166"/>
        <w:gridCol w:w="146"/>
        <w:gridCol w:w="196"/>
        <w:gridCol w:w="751"/>
        <w:gridCol w:w="166"/>
        <w:gridCol w:w="146"/>
        <w:gridCol w:w="453"/>
        <w:gridCol w:w="874"/>
        <w:gridCol w:w="146"/>
        <w:gridCol w:w="146"/>
        <w:gridCol w:w="196"/>
        <w:gridCol w:w="691"/>
        <w:gridCol w:w="414"/>
      </w:tblGrid>
      <w:tr>
        <w:trPr/>
        <w:tc>
          <w:tcPr>
            <w:tcW w:w="2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and 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59,128,092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327,569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Issuance of Class A common stock from release of restricted stock </w:t>
              <w:br/>
              <w:t>    units, net of shares settled for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Repurchases of Class A common stock under share repurchase </w:t>
              <w:br/>
              <w: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59,430,035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311,006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9104" w:type="dxa"/>
        <w:jc w:val="left"/>
        <w:tblInd w:w="0" w:type="dxa"/>
        <w:tblLayout w:type="fixed"/>
        <w:tblCellMar>
          <w:top w:w="28" w:type="dxa"/>
          <w:left w:w="28" w:type="dxa"/>
          <w:bottom w:w="28" w:type="dxa"/>
          <w:right w:w="28" w:type="dxa"/>
        </w:tblCellMar>
      </w:tblPr>
      <w:tblGrid>
        <w:gridCol w:w="6121"/>
        <w:gridCol w:w="146"/>
        <w:gridCol w:w="196"/>
        <w:gridCol w:w="661"/>
        <w:gridCol w:w="166"/>
        <w:gridCol w:w="146"/>
        <w:gridCol w:w="196"/>
        <w:gridCol w:w="661"/>
        <w:gridCol w:w="8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amortization of premium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inventory excess and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operating lease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liabilities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87,626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equity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24,611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Class A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Class A common stock under share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paid related to net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52,969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stock-based compensation related to internal-use 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purchases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Inventory transferred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ORGANIZATION AND DESCRIPTION OF THE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0"/>
        </w:rPr>
      </w:pPr>
      <w:r>
        <w:rPr>
          <w:rFonts w:ascii="Times New Roman" w:hAnsi="Times New Roman"/>
          <w:color w:val="000000"/>
          <w:sz w:val="20"/>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has incurred significant losses and has had negative cash flows from operations since inception. As of March 31, 2026, the Company had cash and cash equivalents and investments of $219.5 million and an accumulated deficit of $482.8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March 31, 2026 provide sufficient capital resources to continue its operations for at least twelve months from the issuance date of the accompanying unaudited condensed consolidated financial statements.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of America (U.S. GAAP) and pursuant to the rules and regulations of the Securities and Exchange Commission (SEC) for interim financial reporting. Accordingly, they do not include all of the information and footnotes required by U.S. GAAP for complete financial statements. The unaudited condensed consolidated financial statements should be read in conjunction with the audited consolidated financial statements and notes included in our Annual Report on Form 10-K for the year ended December 31, 2025, which was filed with the SEC on March 2, 2026. The results of operations for the three months ended March 31, 2026 are not necessarily indicative of the results to be expected for the entire fiscal year or any future periods.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Seer, Inc. and its wholly-owned subsidiaries. All intercompany transactions and balances have been eliminated.</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restricted cash, accounts receivable,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For the three months ended March 31, 2026, there was one customer that accounted for 13% of the Company's total revenue. For the three months ended March 31, 2025, there were two customers that accounted for 12% and 10% of the Company's total revenue.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For the three months ended March 31, 2026 and 2025, 39% and 37% of the Company's total revenue, respectively, was generated outside of the United States, primarily from countries in Asia and Europe.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March 31, 2026, there were two customers, which represented 17% and 11% of the Company's total accounts receivable balance. As of December 31, 2025, there were three customers, which represented 13%, 11%, and 10% of the Company's total accounts receivable balance.</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have been no material changes to the significant accounting policies as of and for the three months ended March 31, 2026, as compared to the significant accounting policies described in the Company's Annual Report on Form 10-K for the fiscal year ended December 31, 2025 filed with the SEC.</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Cash equivalents consist primarily of amounts invested in money market funds, U.S. Treasury securities, U.S. Non-Treasury securities, commercial paper, and corporate debt securities and are stated at fair value.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Restricted cash represents cash held by a financial institution as security for a letter of credit issued to the lessor for one of the Company’s operating leases and is classified as noncurrent.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unaudited condensed consolidated balance sheets that sum to the total of the same amounts shown in the unaudited condensed consolidated statements of cash flows (in thousands):</w:t>
      </w:r>
    </w:p>
    <w:p>
      <w:pPr>
        <w:pStyle w:val="TextBody"/>
        <w:bidi w:val="0"/>
        <w:jc w:val="left"/>
        <w:rPr/>
      </w:pPr>
      <w:r>
        <w:rPr/>
        <w:t> </w:t>
      </w:r>
    </w:p>
    <w:tbl>
      <w:tblPr>
        <w:tblW w:w="6681" w:type="dxa"/>
        <w:jc w:val="left"/>
        <w:tblInd w:w="0" w:type="dxa"/>
        <w:tblLayout w:type="fixed"/>
        <w:tblCellMar>
          <w:top w:w="28" w:type="dxa"/>
          <w:left w:w="28" w:type="dxa"/>
          <w:bottom w:w="28" w:type="dxa"/>
          <w:right w:w="28" w:type="dxa"/>
        </w:tblCellMar>
      </w:tblPr>
      <w:tblGrid>
        <w:gridCol w:w="3946"/>
        <w:gridCol w:w="146"/>
        <w:gridCol w:w="245"/>
        <w:gridCol w:w="785"/>
        <w:gridCol w:w="169"/>
        <w:gridCol w:w="169"/>
        <w:gridCol w:w="245"/>
        <w:gridCol w:w="785"/>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which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which provides a practical expedient to measure credit losses on current accounts receivable and current contract assets that arise from transactions accounted for under Topic 606. The practical expedient assumes that current conditions as of the balance sheet date do not change for the remaining life of the asset when developing reasonable and supportable forecasts as part of estimating expected credit losses. The update is effective for annual reporting periods beginning after December 15, 2025, and interim reporting periods within those annual reporting periods, on a prospective basis, with early adoption permitted. The Company is currently in the process of evaluating the impact of this pronouncement on its consolidated financial statements and related disclosures.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which replaces the current stage-based capitalization model with a principles-based approach. Under the new guidance, costs are capitalized once management authorizes and commits to funding the software project, it is probable that the project will be completed and the software will be used to perform the function intended. The update is effective for annual periods beginning after December 15, 2027, with early adoption permitted as of the beginning of an annual period. The Company is currently in the process of evaluating the impact of this pronouncement on its consolidated financial statements and related disclosures.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w:t>
      </w:r>
    </w:p>
    <w:p>
      <w:pPr>
        <w:pStyle w:val="TextBody"/>
        <w:bidi w:val="0"/>
        <w:jc w:val="left"/>
        <w:rPr>
          <w:rFonts w:ascii="Times New Roman" w:hAnsi="Times New Roman"/>
          <w:b/>
          <w:color w:val="000000"/>
          <w:sz w:val="20"/>
        </w:rPr>
      </w:pPr>
      <w:r>
        <w:rPr>
          <w:rFonts w:ascii="Times New Roman" w:hAnsi="Times New Roman"/>
          <w:b/>
          <w:color w:val="000000"/>
          <w:sz w:val="20"/>
        </w:rPr>
        <w:t>FAIR VALUE MEASUREMENTS AND FAIR VALUE OF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tables set forth the Company’s financial assets that were measured at fair value on a recurring basis by level within the fair value hierarchy utilized to determine such values (in thousands).</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172,202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081"/>
        <w:gridCol w:w="146"/>
        <w:gridCol w:w="211"/>
        <w:gridCol w:w="676"/>
        <w:gridCol w:w="146"/>
        <w:gridCol w:w="146"/>
        <w:gridCol w:w="211"/>
        <w:gridCol w:w="781"/>
        <w:gridCol w:w="146"/>
        <w:gridCol w:w="146"/>
        <w:gridCol w:w="239"/>
        <w:gridCol w:w="391"/>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238,108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is a summary of the Company’s cash equivalents and investments and the gross unrealized holding gains and losses (in thousands):</w:t>
      </w:r>
    </w:p>
    <w:p>
      <w:pPr>
        <w:pStyle w:val="TextBody"/>
        <w:bidi w:val="0"/>
        <w:jc w:val="left"/>
        <w:rPr/>
      </w:pPr>
      <w:r>
        <w:rPr/>
        <w:t> </w:t>
      </w:r>
    </w:p>
    <w:tbl>
      <w:tblPr>
        <w:tblW w:w="998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420"/>
        <w:gridCol w:w="960"/>
        <w:gridCol w:w="16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172,202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tbl>
      <w:tblPr>
        <w:tblW w:w="9966" w:type="dxa"/>
        <w:jc w:val="left"/>
        <w:tblInd w:w="0" w:type="dxa"/>
        <w:tblLayout w:type="fixed"/>
        <w:tblCellMar>
          <w:top w:w="28" w:type="dxa"/>
          <w:left w:w="28" w:type="dxa"/>
          <w:bottom w:w="28" w:type="dxa"/>
          <w:right w:w="28" w:type="dxa"/>
        </w:tblCellMar>
      </w:tblPr>
      <w:tblGrid>
        <w:gridCol w:w="3081"/>
        <w:gridCol w:w="146"/>
        <w:gridCol w:w="351"/>
        <w:gridCol w:w="1299"/>
        <w:gridCol w:w="146"/>
        <w:gridCol w:w="146"/>
        <w:gridCol w:w="449"/>
        <w:gridCol w:w="901"/>
        <w:gridCol w:w="146"/>
        <w:gridCol w:w="146"/>
        <w:gridCol w:w="522"/>
        <w:gridCol w:w="858"/>
        <w:gridCol w:w="146"/>
        <w:gridCol w:w="146"/>
        <w:gridCol w:w="211"/>
        <w:gridCol w:w="781"/>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Non-Treasury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238,108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the Company does not have investments that have been in a continuous unrealized loss position for twelve months or longer. To date, the Company has not recorded any credit loss charges on marketable securities related to other-than-temporary declines in market value. As of March 31, 2026, $52.8 million of available-for-sale investments had remaining maturities between one and two years. The remainder of the available-for-sale investments have a remaining maturity of one year or less. As of March 31, 2026 and December 31, 2025, the Company recorded $1.0 million and $1.4 million, respectively, of accrued interest related to its available-for-sale investments and is presented as other receivables on the unaudited condensed consolidated balance sheets.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OTHER FINANCIAL STATEMENT INFORMATION</w:t>
      </w:r>
    </w:p>
    <w:p>
      <w:pPr>
        <w:pStyle w:val="TextBody"/>
        <w:bidi w:val="0"/>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920" w:type="dxa"/>
        <w:jc w:val="left"/>
        <w:tblInd w:w="0" w:type="dxa"/>
        <w:tblLayout w:type="fixed"/>
        <w:tblCellMar>
          <w:top w:w="28" w:type="dxa"/>
          <w:left w:w="28" w:type="dxa"/>
          <w:bottom w:w="28" w:type="dxa"/>
          <w:right w:w="28" w:type="dxa"/>
        </w:tblCellMar>
      </w:tblPr>
      <w:tblGrid>
        <w:gridCol w:w="1531"/>
        <w:gridCol w:w="146"/>
        <w:gridCol w:w="340"/>
        <w:gridCol w:w="920"/>
        <w:gridCol w:w="146"/>
        <w:gridCol w:w="146"/>
        <w:gridCol w:w="403"/>
        <w:gridCol w:w="1097"/>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4111"/>
        <w:gridCol w:w="146"/>
        <w:gridCol w:w="280"/>
        <w:gridCol w:w="980"/>
        <w:gridCol w:w="166"/>
        <w:gridCol w:w="146"/>
        <w:gridCol w:w="334"/>
        <w:gridCol w:w="116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and 2025, the Company recognized depreciation and amortization expense of $1.5 million and $1.6 million,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5910" w:type="dxa"/>
        <w:jc w:val="left"/>
        <w:tblInd w:w="0" w:type="dxa"/>
        <w:tblLayout w:type="fixed"/>
        <w:tblCellMar>
          <w:top w:w="28" w:type="dxa"/>
          <w:left w:w="28" w:type="dxa"/>
          <w:bottom w:w="28" w:type="dxa"/>
          <w:right w:w="28" w:type="dxa"/>
        </w:tblCellMar>
      </w:tblPr>
      <w:tblGrid>
        <w:gridCol w:w="2521"/>
        <w:gridCol w:w="146"/>
        <w:gridCol w:w="340"/>
        <w:gridCol w:w="920"/>
        <w:gridCol w:w="146"/>
        <w:gridCol w:w="146"/>
        <w:gridCol w:w="403"/>
        <w:gridCol w:w="1097"/>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REVENUE AND DEFERRED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party, as further discussed in Note 10. Other revenue consists of shipping revenue and lease arrangements.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Deferred revenue activities consist of the following (in thousands):</w:t>
      </w:r>
    </w:p>
    <w:p>
      <w:pPr>
        <w:pStyle w:val="TextBody"/>
        <w:bidi w:val="0"/>
        <w:jc w:val="left"/>
        <w:rPr/>
      </w:pPr>
      <w:r>
        <w:rPr/>
        <w:t> </w:t>
      </w:r>
    </w:p>
    <w:tbl>
      <w:tblPr>
        <w:tblW w:w="8620" w:type="dxa"/>
        <w:jc w:val="left"/>
        <w:tblInd w:w="0" w:type="dxa"/>
        <w:tblLayout w:type="fixed"/>
        <w:tblCellMar>
          <w:top w:w="28" w:type="dxa"/>
          <w:left w:w="28" w:type="dxa"/>
          <w:bottom w:w="28" w:type="dxa"/>
          <w:right w:w="28" w:type="dxa"/>
        </w:tblCellMar>
      </w:tblPr>
      <w:tblGrid>
        <w:gridCol w:w="5866"/>
        <w:gridCol w:w="146"/>
        <w:gridCol w:w="298"/>
        <w:gridCol w:w="680"/>
        <w:gridCol w:w="235"/>
        <w:gridCol w:w="206"/>
        <w:gridCol w:w="298"/>
        <w:gridCol w:w="680"/>
        <w:gridCol w:w="2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 and noncurrent, as of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transaction price allocated to remaining performance obligations relates to amounts allocated to products, services and lease arrangements for which revenue has not yet been recognized. A significant portion of these performance obligations relate to service obligations that will be satisfied and recognized as revenue in future periods. As of March 31, 2026, the Company had $0.4 million of remaining performance obligations, of which 93% is expected to be recognized within twelve months.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6. CAPITAL STOCK AND STOCKHOLDERS’ EQUITY</w:t>
      </w:r>
    </w:p>
    <w:p>
      <w:pPr>
        <w:pStyle w:val="TextBody"/>
        <w:bidi w:val="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March 31, 2026, the Company is authorized to issue 99,134,268 shares of capital stock consisting of 94,000,000 shares of Class A common stock, 134,268 shares of Class B common stock, and 5,000,000 shares of preferred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December 9, 2025, all of the Company's outstanding Class B common stock were automatically converted (the "Conversion") into the same number of shares of Class A common stock pursuant to the terms of the Company’s Amended and Restated Certificate of Incorporation, as amended. The Company does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Holders of Class A common stock are entitled to dividends as declared by the Board of Directors, subject to rights of holders of all classes of stock outstanding having priority rights as to dividends. There have been no dividends declared to date.</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May 3, 2024, the Company’s Board of Directors approved a share repurchase program under which the Company is authorized to purchase up to $25.0 million of its issued and outstanding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February 25, 2026, the Company's Board of Directors authorized up to $25.0 million of additional repurchases of its issued and outstanding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summarizes the Company's share repurchase activity for each period indicated (in thousands except per share data):</w:t>
      </w:r>
    </w:p>
    <w:tbl>
      <w:tblPr>
        <w:tblW w:w="5299" w:type="dxa"/>
        <w:jc w:val="left"/>
        <w:tblInd w:w="0" w:type="dxa"/>
        <w:tblLayout w:type="fixed"/>
        <w:tblCellMar>
          <w:top w:w="28" w:type="dxa"/>
          <w:left w:w="28" w:type="dxa"/>
          <w:bottom w:w="28" w:type="dxa"/>
          <w:right w:w="28" w:type="dxa"/>
        </w:tblCellMar>
      </w:tblPr>
      <w:tblGrid>
        <w:gridCol w:w="2536"/>
        <w:gridCol w:w="146"/>
        <w:gridCol w:w="211"/>
        <w:gridCol w:w="931"/>
        <w:gridCol w:w="146"/>
        <w:gridCol w:w="146"/>
        <w:gridCol w:w="211"/>
        <w:gridCol w:w="78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cost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per share cost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broker commissions and excludes excise tax.</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Average price paid per share is calculated on a settlement basis and excludes broker commissions and excise tax.</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March 31, 2026, the Company has a total of $25.5 million, excluding broker commissions and excise tax, available for future share repurchases.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Tax Benefit Preservation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February 26, 2026, the Company's Board of Directors authorized and declared a dividend distribution of one right (a "Right") for each outstanding share of Class A common stock to stockholders of record as of the close of business on March 9, 2026. Each Right entitles the registered holder to purchase from the Company one one-thousandth of a share of Series A Participating Preferred Stock, par value $0.00001 per share (the "Preferred Stock"), of the Company at an exercise price of $11.00 (the "Exercise Price"), subject to adjustment. The complete terms of the Rights are set forth in a Tax Benefit Preservation Plan (the "Plan"), dated as of February 26, 2026, between the Company and Computershare Trust Company, N.A., as rights agent.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Under the Plan, if an Acquiring Person (as defined in the Plan) obtains beneficial ownership of 4.9% or more of the Class A common stock, then each Right will entitle the holder thereof to purchase, for the Exercise Price, a number of shares of Class A common stock (or, in certain circumstances, cash, property or other securities of the Company) having a then-current market value of twice the Exercise Price.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By adopting the Plan, the Board is seeking to protect the Company’s ability to use its net operating losses and other tax attributes. The Company views these tax attributes as highly valuable assets of the Company that are likely to inure to the benefit of the Company and its stockholders.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March 13, 2026, the Company entered into Amendment No. 1 to the Plan to clarify the definition of Beneficial Ownership.</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1,746,903 shares of Class A common stock are reserved for future issuance under the 2020 Equity Incentive Plan.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jc w:val="left"/>
        <w:rPr>
          <w:rFonts w:ascii="Times New Roman" w:hAnsi="Times New Roman"/>
          <w:color w:val="000000"/>
          <w:sz w:val="20"/>
        </w:rPr>
      </w:pPr>
      <w:r>
        <w:rPr>
          <w:rFonts w:ascii="Times New Roman" w:hAnsi="Times New Roman"/>
          <w:color w:val="000000"/>
          <w:sz w:val="20"/>
        </w:rPr>
        <w:t>Stock option activity for the three months ended March 31, 2026 is as follows:</w:t>
      </w:r>
    </w:p>
    <w:p>
      <w:pPr>
        <w:pStyle w:val="TextBody"/>
        <w:bidi w:val="0"/>
        <w:jc w:val="left"/>
        <w:rPr/>
      </w:pPr>
      <w:r>
        <w:rPr/>
        <w:t> </w:t>
      </w:r>
    </w:p>
    <w:tbl>
      <w:tblPr>
        <w:tblW w:w="8165" w:type="dxa"/>
        <w:jc w:val="left"/>
        <w:tblInd w:w="0" w:type="dxa"/>
        <w:tblLayout w:type="fixed"/>
        <w:tblCellMar>
          <w:top w:w="28" w:type="dxa"/>
          <w:left w:w="28" w:type="dxa"/>
          <w:bottom w:w="28" w:type="dxa"/>
          <w:right w:w="28" w:type="dxa"/>
        </w:tblCellMar>
      </w:tblPr>
      <w:tblGrid>
        <w:gridCol w:w="3361"/>
        <w:gridCol w:w="146"/>
        <w:gridCol w:w="200"/>
        <w:gridCol w:w="1420"/>
        <w:gridCol w:w="166"/>
        <w:gridCol w:w="146"/>
        <w:gridCol w:w="789"/>
        <w:gridCol w:w="1746"/>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rFonts w:ascii="Times New Roman" w:hAnsi="Times New Roman"/>
          <w:color w:val="000000"/>
          <w:sz w:val="20"/>
        </w:rPr>
      </w:pPr>
      <w:r>
        <w:rPr>
          <w:rFonts w:ascii="Times New Roman" w:hAnsi="Times New Roman"/>
          <w:color w:val="000000"/>
          <w:sz w:val="20"/>
        </w:rPr>
        <w:t>Restricted stock unit activity for the three months ended March 31, 2026 is as follows: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596"/>
        <w:gridCol w:w="146"/>
        <w:gridCol w:w="191"/>
        <w:gridCol w:w="1219"/>
        <w:gridCol w:w="166"/>
        <w:gridCol w:w="146"/>
        <w:gridCol w:w="472"/>
        <w:gridCol w:w="1043"/>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 xml:space="preserve">Grant 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2,026,531 shares of Class A common stock are reserved for issuance under the employee stock purchase plan (ESPP). During the three months ended March 31, 2026, no shares of Class A common stock were issued under the ESPP.</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components of stock-based compensation recognized in the Company’s unaudited condensed consolidated statements of operations and comprehensive loss (in thousands):</w:t>
      </w:r>
    </w:p>
    <w:p>
      <w:pPr>
        <w:pStyle w:val="TextBody"/>
        <w:bidi w:val="0"/>
        <w:jc w:val="left"/>
        <w:rPr/>
      </w:pPr>
      <w:r>
        <w:rPr/>
        <w:t> </w:t>
      </w:r>
    </w:p>
    <w:tbl>
      <w:tblPr>
        <w:tblW w:w="5689" w:type="dxa"/>
        <w:jc w:val="left"/>
        <w:tblInd w:w="0" w:type="dxa"/>
        <w:tblLayout w:type="fixed"/>
        <w:tblCellMar>
          <w:top w:w="28" w:type="dxa"/>
          <w:left w:w="28" w:type="dxa"/>
          <w:bottom w:w="28" w:type="dxa"/>
          <w:right w:w="28" w:type="dxa"/>
        </w:tblCellMar>
      </w:tblPr>
      <w:tblGrid>
        <w:gridCol w:w="2956"/>
        <w:gridCol w:w="146"/>
        <w:gridCol w:w="272"/>
        <w:gridCol w:w="738"/>
        <w:gridCol w:w="188"/>
        <w:gridCol w:w="188"/>
        <w:gridCol w:w="272"/>
        <w:gridCol w:w="738"/>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March 31, 2026 and December 31, 2025, which is secured by restricted cash and is presented as noncurrent at each date based on the term of the underlying lease.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components of lease expense and supplemental information were as follows (in thousands):</w:t>
      </w:r>
    </w:p>
    <w:p>
      <w:pPr>
        <w:pStyle w:val="TextBody"/>
        <w:bidi w:val="0"/>
        <w:jc w:val="left"/>
        <w:rPr/>
      </w:pPr>
      <w:r>
        <w:rPr/>
        <w:t> </w:t>
      </w:r>
    </w:p>
    <w:tbl>
      <w:tblPr>
        <w:tblW w:w="4609" w:type="dxa"/>
        <w:jc w:val="left"/>
        <w:tblInd w:w="0" w:type="dxa"/>
        <w:tblLayout w:type="fixed"/>
        <w:tblCellMar>
          <w:top w:w="28" w:type="dxa"/>
          <w:left w:w="28" w:type="dxa"/>
          <w:bottom w:w="28" w:type="dxa"/>
          <w:right w:w="28" w:type="dxa"/>
        </w:tblCellMar>
      </w:tblPr>
      <w:tblGrid>
        <w:gridCol w:w="1876"/>
        <w:gridCol w:w="146"/>
        <w:gridCol w:w="272"/>
        <w:gridCol w:w="738"/>
        <w:gridCol w:w="188"/>
        <w:gridCol w:w="188"/>
        <w:gridCol w:w="272"/>
        <w:gridCol w:w="738"/>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984" w:type="dxa"/>
        <w:jc w:val="left"/>
        <w:tblInd w:w="0" w:type="dxa"/>
        <w:tblLayout w:type="fixed"/>
        <w:tblCellMar>
          <w:top w:w="28" w:type="dxa"/>
          <w:left w:w="28" w:type="dxa"/>
          <w:bottom w:w="28" w:type="dxa"/>
          <w:right w:w="28" w:type="dxa"/>
        </w:tblCellMar>
      </w:tblPr>
      <w:tblGrid>
        <w:gridCol w:w="4126"/>
        <w:gridCol w:w="146"/>
        <w:gridCol w:w="244"/>
        <w:gridCol w:w="605"/>
        <w:gridCol w:w="454"/>
        <w:gridCol w:w="244"/>
        <w:gridCol w:w="244"/>
        <w:gridCol w:w="605"/>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Variable lease costs primarily consist of common area maintenance.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tbl>
      <w:tblPr>
        <w:tblW w:w="8541" w:type="dxa"/>
        <w:jc w:val="left"/>
        <w:tblInd w:w="0" w:type="dxa"/>
        <w:tblLayout w:type="fixed"/>
        <w:tblCellMar>
          <w:top w:w="28" w:type="dxa"/>
          <w:left w:w="28" w:type="dxa"/>
          <w:bottom w:w="28" w:type="dxa"/>
          <w:right w:w="28" w:type="dxa"/>
        </w:tblCellMar>
      </w:tblPr>
      <w:tblGrid>
        <w:gridCol w:w="5806"/>
        <w:gridCol w:w="146"/>
        <w:gridCol w:w="325"/>
        <w:gridCol w:w="649"/>
        <w:gridCol w:w="225"/>
        <w:gridCol w:w="225"/>
        <w:gridCol w:w="325"/>
        <w:gridCol w:w="649"/>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future minimum commitments under the Company’s non-cancelable facility operating leases are as follows (in thousands):</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4831"/>
        <w:gridCol w:w="146"/>
        <w:gridCol w:w="211"/>
        <w:gridCol w:w="676"/>
        <w:gridCol w:w="31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adjustment for minimum lease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jc w:val="left"/>
        <w:rPr>
          <w:rFonts w:ascii="Times New Roman" w:hAnsi="Times New Roman"/>
          <w:b/>
          <w:i/>
          <w:color w:val="000000"/>
          <w:sz w:val="20"/>
        </w:rPr>
      </w:pPr>
      <w:r>
        <w:rPr>
          <w:rFonts w:ascii="Times New Roman" w:hAnsi="Times New Roman"/>
          <w:b/>
          <w:i/>
          <w:color w:val="000000"/>
          <w:sz w:val="20"/>
        </w:rPr>
        <w:t>Purchase Commitments and Obligations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From time to time, the Company has certain purchase commitments related to its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were nil and $0.4 million as of March 31, 2026 and December 31, 2025, respectively.</w:t>
      </w:r>
    </w:p>
    <w:p>
      <w:pPr>
        <w:pStyle w:val="TextBody"/>
        <w:bidi w:val="0"/>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March 31, 2026 and December 31, 2025, the Company does not have any material indemnification claims that were probable or reasonably possible and consequently has not recorded related liabilities.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in the ordinary course of business. The Company is not currently a party to any material legal proceedings.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jc w:val="left"/>
        <w:rPr>
          <w:rFonts w:ascii="Times New Roman" w:hAnsi="Times New Roman"/>
          <w:color w:val="000000"/>
          <w:sz w:val="20"/>
        </w:rPr>
      </w:pPr>
      <w:r>
        <w:rPr>
          <w:rFonts w:ascii="Times New Roman" w:hAnsi="Times New Roman"/>
          <w:color w:val="000000"/>
          <w:sz w:val="20"/>
        </w:rPr>
        <w:t>PrognomiQ, Inc. (PrognomiQ) constitutes a related party and, as of March 31, 2026 and December 31, 2025, the Company recorded $56,000 and $0.3 million in related party receivables, respectively, on the condensed consolidated balance sheets. For the three months ended March 31, 2026 and 2025, the Company recognized revenue of $56,000 and $51,900, respectively, primarily from services revenue. This is presented as related party revenue on the unaudited condensed consolidated statements of operations and comprehensive loss.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August 12, 2024, the Company entered into a preferred stock purchase agreement with PrognomiQ, pursuant to which the Company purchased $10.0 million of PrognomiQ's Series D Preferred Stock. The Company made additional investments in the same series, including $1.9 million in July 2025 and $1.5 million in January 2026. The investment is accounted for as an equity security in accordance with ASC 321.</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the carrying value of the investment was $3.1 million and is included in other assets on the unaudited condensed consolidated balance sheets. The carrying value is adjusted by the Company's share in loss in the equity method investment. There were no impairment and recognized gains or losses to the carrying value for the three months ended March 31, 2026.</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discussed in Note 6, on December 9, 2025, all of the Company's outstanding Class B common stock were automatically converted (the "Conversion") into the same number of shares of Class A common stock pursuant to the terms of the Company’s Amended and Restated Certificate of Incorporation, as amended. The Company does not expect to issue any additional shares of Class B common stock following the Conversion. On December 12, 2025, the Company filed a Certificate of Retirement with the Secretary of State of the State of Delaware effecting the retirement of the shares of Class B common stock that were issued but no longer outstanding following the Conversion. As the liquidation and dividend rights were identical, the Company’s undistributed earnings or losses were allocated on a proportionate basis among the holders of Class A and Class B common stock. As a result, the net loss per share attributed to common stockholders was, therefore, the same for both Class A and Class B common stock on an individual or combined basis.</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computation of basic and diluted net loss per share (in thousands, except share and per share data):</w:t>
      </w:r>
    </w:p>
    <w:p>
      <w:pPr>
        <w:pStyle w:val="TextBody"/>
        <w:bidi w:val="0"/>
        <w:jc w:val="left"/>
        <w:rPr/>
      </w:pPr>
      <w:r>
        <w:rPr/>
        <w:t> </w:t>
      </w:r>
    </w:p>
    <w:tbl>
      <w:tblPr>
        <w:tblW w:w="8744" w:type="dxa"/>
        <w:jc w:val="left"/>
        <w:tblInd w:w="0" w:type="dxa"/>
        <w:tblLayout w:type="fixed"/>
        <w:tblCellMar>
          <w:top w:w="28" w:type="dxa"/>
          <w:left w:w="28" w:type="dxa"/>
          <w:bottom w:w="28" w:type="dxa"/>
          <w:right w:w="28" w:type="dxa"/>
        </w:tblCellMar>
      </w:tblPr>
      <w:tblGrid>
        <w:gridCol w:w="5581"/>
        <w:gridCol w:w="146"/>
        <w:gridCol w:w="211"/>
        <w:gridCol w:w="1036"/>
        <w:gridCol w:w="166"/>
        <w:gridCol w:w="146"/>
        <w:gridCol w:w="211"/>
        <w:gridCol w:w="1036"/>
        <w:gridCol w:w="21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attributable to Class A and Class B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Weighted-average shares used in computing net loss per share </w:t>
              <w:br/>
              <w:t>    attributable to Class A and Class B common stockholders, basic</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55,995,933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59,408,711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Class A and Class B common </w:t>
              <w:br/>
              <w:t>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539" w:type="dxa"/>
        <w:jc w:val="left"/>
        <w:tblInd w:w="0" w:type="dxa"/>
        <w:tblLayout w:type="fixed"/>
        <w:tblCellMar>
          <w:top w:w="28" w:type="dxa"/>
          <w:left w:w="28" w:type="dxa"/>
          <w:bottom w:w="28" w:type="dxa"/>
          <w:right w:w="28" w:type="dxa"/>
        </w:tblCellMar>
      </w:tblPr>
      <w:tblGrid>
        <w:gridCol w:w="4546"/>
        <w:gridCol w:w="146"/>
        <w:gridCol w:w="146"/>
        <w:gridCol w:w="1036"/>
        <w:gridCol w:w="146"/>
        <w:gridCol w:w="146"/>
        <w:gridCol w:w="146"/>
        <w:gridCol w:w="1036"/>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13,432,020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4,497,783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ESPP shares to be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17,681,486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17,929,803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spacing w:before="0" w:after="180"/>
        <w:jc w:val="center"/>
        <w:rPr>
          <w:rFonts w:ascii="Times New Roman" w:hAnsi="Times New Roman"/>
          <w:sz w:val="20"/>
        </w:rPr>
      </w:pPr>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sets forth information on segment net loss, including significant segment expenses (in thousands):</w:t>
      </w:r>
    </w:p>
    <w:tbl>
      <w:tblPr>
        <w:tblW w:w="6061" w:type="dxa"/>
        <w:jc w:val="left"/>
        <w:tblInd w:w="0" w:type="dxa"/>
        <w:tblLayout w:type="fixed"/>
        <w:tblCellMar>
          <w:top w:w="28" w:type="dxa"/>
          <w:left w:w="28" w:type="dxa"/>
          <w:bottom w:w="28" w:type="dxa"/>
          <w:right w:w="28" w:type="dxa"/>
        </w:tblCellMar>
      </w:tblPr>
      <w:tblGrid>
        <w:gridCol w:w="2926"/>
        <w:gridCol w:w="146"/>
        <w:gridCol w:w="229"/>
        <w:gridCol w:w="801"/>
        <w:gridCol w:w="180"/>
        <w:gridCol w:w="158"/>
        <w:gridCol w:w="229"/>
        <w:gridCol w:w="801"/>
        <w:gridCol w:w="5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80"/>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180"/>
        <w:jc w:val="left"/>
        <w:rPr>
          <w:rFonts w:ascii="Times New Roman" w:hAnsi="Times New Roman"/>
          <w:color w:val="000000"/>
          <w:sz w:val="16"/>
        </w:rPr>
      </w:pPr>
      <w:r>
        <w:rPr>
          <w:rFonts w:ascii="Times New Roman" w:hAnsi="Times New Roman"/>
          <w:color w:val="000000"/>
          <w:sz w:val="16"/>
        </w:rPr>
        <w:t>Other includes laboratory expenses, travel expenses, and allocated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long-lived assets were primarily located in the United States.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sz w:val="20"/>
        </w:rPr>
      </w:pPr>
      <w:bookmarkStart w:id="9" w:name="item_2_mda"/>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included elsewhere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generate product and service revenue sufficient to achieve profitability, if ever, will depend on the successful commercialization of the Proteograph Product Suite and related products and services. In May 2025, we advanced our commercial offering with the launch of the new Proteograph Product Suite, featuring the Proteograph ONE assay and SP200 automation instrument. With the new Proteograph workflow, we believe we have achieved a transformative milestone by significantly improving the performance and scalability of deep, unbiased proteomic analysis. These advancements push the boundaries of the original capabilities of the Proteograph Product Suite launched in 2021, further addressing limitations in deep, unbiased proteomic workflows, including prohibitive costs of large-scale studies, time-consuming manual workflows, and performance variability introduced by manual handling.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market and sell the Proteograph Product Suite as an integrated solution comprised of consumables, our automation instrument and software. Our commercial strategy is focused on growing adoption of the Proteograph by researchers in academic and commercial settings, expanding the installed base, increasing utilization to generate revenue from the purchase of Proteograph consumables and growing our service offering through the Seer Technology Access Center (STAC). We expect a highly efficient sales model because our workflow integrates with most existing proteomics laboratories’ workflows and also complements large-scale genomics research. We are focused on removing barriers to access to the Proteograph, including through the STAC service offering.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sell the Proteograph Product Suite through a direct sales channel in the United States, and through both direct and distributor sales channels in regions outside the United States.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We are currently manufacturing using our production-scale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designed the automation instrument and have outsourced its manufacturing to Hamilton Company, a leading manufacturer of automated liquid handling workstations. We have entered into a non-exclusive agreement with Hamilton that covers the manufacturing of the automation instrument and its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the three months ended March 31, 2026 and 2025, we incurred a net loss of $16.8 million and $19.9 million and used $15.4 million and $11.4 million of cash in operations, respectively. As of March 31, 2026, we had an accumulated deficit of $482.8 million, and cash, cash equivalents, and investments of $219.5 million. We expect to continue to incur significant losses and do not expect positive cash flows from operations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expenses may increase in connection with our ongoing activities, as we: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broadly market and sell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build our sales, marketing, service, support and distribution infrastructure as part of our commercialization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build-out and expand our in-house NP manufacturing capabilities;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continue to engage in research and development of other products and enhancements to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obtain, maintain, expand, and protect our intellectual property portfolio;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build the infrastructure to operate and scale as a public company.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Other revenue consists of shipping revenue and lease arrangements. Our revenue is primarily generated domestically. We intend to focus our commercial efforts in the United States and expect to grow our international presence.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utilize third-party manufacturers for production of our instruments and we manufacture our NPs and assemble our assay kits internally. Cost of revenue consists primarily of costs of the components of the Proteograph Product Suite, including the instrument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income (expense) consists primarily of interest income earned on cash, cash equivalents and investments, asset disposals, realized and unrealized gains and losses on foreign currency transactions, and loss in the equity method investment.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Income tax expense results from our wholly-owned foreign subsidiaries. We maintain a full valuation allowance on our domestic deferred tax assets as we have concluded that it is more likely than not that the deferred assets will not be realized.</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left"/>
        <w:rPr/>
      </w:pPr>
      <w:r>
        <w:rPr/>
        <w:t> </w:t>
      </w:r>
    </w:p>
    <w:tbl>
      <w:tblPr>
        <w:tblW w:w="8520" w:type="dxa"/>
        <w:jc w:val="left"/>
        <w:tblInd w:w="0" w:type="dxa"/>
        <w:tblLayout w:type="fixed"/>
        <w:tblCellMar>
          <w:top w:w="28" w:type="dxa"/>
          <w:left w:w="28" w:type="dxa"/>
          <w:bottom w:w="28" w:type="dxa"/>
          <w:right w:w="28" w:type="dxa"/>
        </w:tblCellMar>
      </w:tblPr>
      <w:tblGrid>
        <w:gridCol w:w="3256"/>
        <w:gridCol w:w="146"/>
        <w:gridCol w:w="225"/>
        <w:gridCol w:w="786"/>
        <w:gridCol w:w="177"/>
        <w:gridCol w:w="155"/>
        <w:gridCol w:w="225"/>
        <w:gridCol w:w="786"/>
        <w:gridCol w:w="166"/>
        <w:gridCol w:w="146"/>
        <w:gridCol w:w="211"/>
        <w:gridCol w:w="631"/>
        <w:gridCol w:w="166"/>
        <w:gridCol w:w="146"/>
        <w:gridCol w:w="146"/>
        <w:gridCol w:w="376"/>
        <w:gridCol w:w="7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683" w:type="dxa"/>
        <w:jc w:val="left"/>
        <w:tblInd w:w="0" w:type="dxa"/>
        <w:tblLayout w:type="fixed"/>
        <w:tblCellMar>
          <w:top w:w="28" w:type="dxa"/>
          <w:left w:w="28" w:type="dxa"/>
          <w:bottom w:w="28" w:type="dxa"/>
          <w:right w:w="28" w:type="dxa"/>
        </w:tblCellMar>
      </w:tblPr>
      <w:tblGrid>
        <w:gridCol w:w="841"/>
        <w:gridCol w:w="146"/>
        <w:gridCol w:w="267"/>
        <w:gridCol w:w="724"/>
        <w:gridCol w:w="185"/>
        <w:gridCol w:w="185"/>
        <w:gridCol w:w="267"/>
        <w:gridCol w:w="724"/>
        <w:gridCol w:w="146"/>
        <w:gridCol w:w="146"/>
        <w:gridCol w:w="211"/>
        <w:gridCol w:w="631"/>
        <w:gridCol w:w="166"/>
        <w:gridCol w:w="146"/>
        <w:gridCol w:w="146"/>
        <w:gridCol w:w="376"/>
        <w:gridCol w:w="37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for the three months ended March 31, 2026 decreased by $1.4 million, or 34%, compared to the three months ended March 31, 2025. The decrease was due to lower product sales and service revenue during the period.</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tbl>
      <w:tblPr>
        <w:tblW w:w="6088" w:type="dxa"/>
        <w:jc w:val="left"/>
        <w:tblInd w:w="0" w:type="dxa"/>
        <w:tblLayout w:type="fixed"/>
        <w:tblCellMar>
          <w:top w:w="28" w:type="dxa"/>
          <w:left w:w="28" w:type="dxa"/>
          <w:bottom w:w="28" w:type="dxa"/>
          <w:right w:w="28" w:type="dxa"/>
        </w:tblCellMar>
      </w:tblPr>
      <w:tblGrid>
        <w:gridCol w:w="1396"/>
        <w:gridCol w:w="146"/>
        <w:gridCol w:w="267"/>
        <w:gridCol w:w="724"/>
        <w:gridCol w:w="185"/>
        <w:gridCol w:w="185"/>
        <w:gridCol w:w="267"/>
        <w:gridCol w:w="724"/>
        <w:gridCol w:w="146"/>
        <w:gridCol w:w="146"/>
        <w:gridCol w:w="211"/>
        <w:gridCol w:w="481"/>
        <w:gridCol w:w="166"/>
        <w:gridCol w:w="146"/>
        <w:gridCol w:w="146"/>
        <w:gridCol w:w="376"/>
        <w:gridCol w:w="37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Cost of revenue for the three months ended March 31, 2026 decreased by $0.3 million, or 16%, compared to the three months ended March 31, 2025. The decrease was primarily due to lower service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2311"/>
        <w:gridCol w:w="146"/>
        <w:gridCol w:w="253"/>
        <w:gridCol w:w="686"/>
        <w:gridCol w:w="175"/>
        <w:gridCol w:w="175"/>
        <w:gridCol w:w="253"/>
        <w:gridCol w:w="812"/>
        <w:gridCol w:w="146"/>
        <w:gridCol w:w="146"/>
        <w:gridCol w:w="211"/>
        <w:gridCol w:w="631"/>
        <w:gridCol w:w="166"/>
        <w:gridCol w:w="146"/>
        <w:gridCol w:w="146"/>
        <w:gridCol w:w="376"/>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Research and development expenses for the three months ended March 31, 2026 decreased by $2.5 million, or 22%, compared to the three months ended March 31, 2025. The decrease was primarily due to a $1.1 million decrease in employee compensation costs, a $1.1 million decrease in stock-based compensation, and a $0.3 million decrease in professional services.</w:t>
      </w:r>
    </w:p>
    <w:p>
      <w:pPr>
        <w:pStyle w:val="TextBody"/>
        <w:bidi w:val="0"/>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rPr/>
      </w:pPr>
      <w:r>
        <w:rPr/>
        <w:t> </w:t>
      </w:r>
    </w:p>
    <w:tbl>
      <w:tblPr>
        <w:tblW w:w="7800" w:type="dxa"/>
        <w:jc w:val="left"/>
        <w:tblInd w:w="0" w:type="dxa"/>
        <w:tblLayout w:type="fixed"/>
        <w:tblCellMar>
          <w:top w:w="28" w:type="dxa"/>
          <w:left w:w="28" w:type="dxa"/>
          <w:bottom w:w="28" w:type="dxa"/>
          <w:right w:w="28" w:type="dxa"/>
        </w:tblCellMar>
      </w:tblPr>
      <w:tblGrid>
        <w:gridCol w:w="2956"/>
        <w:gridCol w:w="146"/>
        <w:gridCol w:w="253"/>
        <w:gridCol w:w="686"/>
        <w:gridCol w:w="175"/>
        <w:gridCol w:w="175"/>
        <w:gridCol w:w="253"/>
        <w:gridCol w:w="812"/>
        <w:gridCol w:w="146"/>
        <w:gridCol w:w="146"/>
        <w:gridCol w:w="211"/>
        <w:gridCol w:w="631"/>
        <w:gridCol w:w="166"/>
        <w:gridCol w:w="146"/>
        <w:gridCol w:w="146"/>
        <w:gridCol w:w="376"/>
        <w:gridCol w:w="3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Selling, general and administrative expenses for the three months ended March 31, 2026 decreased by $2.0 million, or 18%, compared to the three months ended March 31, 2025. The decrease was primarily due to a $1.4 million decrease in stock-based compensation and a $0.6 million decrease in employee compensation costs.</w:t>
      </w:r>
    </w:p>
    <w:p>
      <w:pPr>
        <w:pStyle w:val="TextBody"/>
        <w:bidi w:val="0"/>
        <w:jc w:val="left"/>
        <w:rPr>
          <w:rFonts w:ascii="Times New Roman" w:hAnsi="Times New Roman"/>
          <w:b/>
          <w:i/>
          <w:color w:val="000000"/>
          <w:sz w:val="20"/>
        </w:rPr>
      </w:pPr>
      <w:r>
        <w:rPr>
          <w:rFonts w:ascii="Times New Roman" w:hAnsi="Times New Roman"/>
          <w:b/>
          <w:i/>
          <w:color w:val="000000"/>
          <w:sz w:val="20"/>
        </w:rPr>
        <w:t>Total Other Income</w:t>
      </w:r>
    </w:p>
    <w:p>
      <w:pPr>
        <w:pStyle w:val="TextBody"/>
        <w:bidi w:val="0"/>
        <w:jc w:val="left"/>
        <w:rPr/>
      </w:pPr>
      <w:r>
        <w:rPr/>
        <w:t> </w:t>
      </w:r>
    </w:p>
    <w:tbl>
      <w:tblPr>
        <w:tblW w:w="6360" w:type="dxa"/>
        <w:jc w:val="left"/>
        <w:tblInd w:w="0" w:type="dxa"/>
        <w:tblLayout w:type="fixed"/>
        <w:tblCellMar>
          <w:top w:w="28" w:type="dxa"/>
          <w:left w:w="28" w:type="dxa"/>
          <w:bottom w:w="28" w:type="dxa"/>
          <w:right w:w="28" w:type="dxa"/>
        </w:tblCellMar>
      </w:tblPr>
      <w:tblGrid>
        <w:gridCol w:w="1666"/>
        <w:gridCol w:w="146"/>
        <w:gridCol w:w="319"/>
        <w:gridCol w:w="637"/>
        <w:gridCol w:w="221"/>
        <w:gridCol w:w="221"/>
        <w:gridCol w:w="319"/>
        <w:gridCol w:w="637"/>
        <w:gridCol w:w="146"/>
        <w:gridCol w:w="146"/>
        <w:gridCol w:w="211"/>
        <w:gridCol w:w="481"/>
        <w:gridCol w:w="166"/>
        <w:gridCol w:w="146"/>
        <w:gridCol w:w="146"/>
        <w:gridCol w:w="376"/>
        <w:gridCol w:w="37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Total other income for the three months ended March 31, 2026, decreased by $0.5 million or 51%, compared to the three months ended March 31, 2025. The decrease was mainly due to the loss in the equity method investment and lower rates of interest earned on cash invested in money market funds, U.S. Treasury securities, U.S. Non-Treasury securities, commercial paper, and corporate debt securities, partially offset by a decrease in other expense.</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Quarterly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operating lease obligations reflect our lease obligations for our office and laboratory space in Redwood City,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March 31, 2026 and December 31, 2025, which is secured by restricted cash and is presented as noncurrent at each date based on the term of the underlying lease.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From time to time, we have certain purchase commitments related to our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subject to change. These outstanding commitments were nil as of March 31,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and equipment, the expansion of sales and marketing and international activities and the extent and magnitude of our ongoing research and development programs.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4711"/>
        <w:gridCol w:w="146"/>
        <w:gridCol w:w="225"/>
        <w:gridCol w:w="786"/>
        <w:gridCol w:w="177"/>
        <w:gridCol w:w="155"/>
        <w:gridCol w:w="225"/>
        <w:gridCol w:w="78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cash used in operating activities was $15.4 million, attributable to a net loss of $16.8 million and a net change in our operating assets and liabilities of $4.7 million, partially offset by non-cash charges of $6.1 million. Non-cash charges primarily consisted of $2.1 million of stock-based compensation, $1.7 million of loss on equity method investment, $1.5 million of depreciation and amortization, and $0.8 million of net amortization of premium on available-for-sale securities. The change in our operating assets and liabilities was primarily due to a decrease of accounts payable of $3.0 million, a decrease of accrued liabilities and other liabilities of $2.4 million, and increase of prepaid expenses and other assets of $0.7 million, which was partially offset by a decrease of accounts receivable of $1.7 million.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March 31, 2025, cash used in operating activities was $11.4 million, attributable to a net loss of $19.9 million and a net change in our operating assets and liabilities of $1.2 million, partially offset by non-cash charges of $9.7 million. Non-cash charges primarily consisted of $4.7 million of stock-based compensation, $1.6 million of depreciation and amortization, $1.6 million of loss on equity method investment, $1.1 million of net amortization of premium on available-for-sale securities, and $0.7 million of loss on disposal of property and equipment. The change in our operating assets and liabilities was primarily due to a decrease of accrued liabilities and other liabilities of $2.0 million, which was partially offset by a decrease of accounts receivable of $0.9 million.</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cash provided by investing activities was $18.1 million, which was attributable to the proceeds from maturities of available-for-sale securities of $68.3 million. This was offset by the purchases of available-for-sale securities of $48.5 million, purchase of investment in equity security of $1.5 million, and purchases of property and equipment, primarily for laboratory equipment, of $0.3 million.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March 31, 2025, cash provided by investing activities was $24.6 million, which was attributable to the proceeds from maturities of available-for-sale securities of $87.6 million and proceeds from disposal of property and equipment of $0.3 million. This was offset by the purchases of available-for-sale securities of $62.7 million and purchases of property and equipment, primarily for laboratory equipment, of $0.7 million.</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cash used in financing activities was $2.6 million, which was primarily attributable to the repurchases of Class A common stock under our share repurchase program.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March 31, 2025, cash used in financing activities was $1.5 million, which was primarily attributable to the taxes withholding payments related to net settlement of restricted stock units of $0.8 million and repurchases of Class A common stock under our share repurchase program of $0.7 million.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as discussed in our Annual Report on Form 10-K for the fiscal year ended December 31, 2025.</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0" w:after="18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have been no material changes in our market risk during the three months ended March 31, 2026, compared to the disclosures in Part II, Item 7A of our Annual Report on Form 10-K for the year ended December 31, 2025.</w:t>
      </w:r>
    </w:p>
    <w:p>
      <w:pPr>
        <w:pStyle w:val="TextBody"/>
        <w:bidi w:val="0"/>
        <w:jc w:val="left"/>
        <w:rPr>
          <w:rFonts w:ascii="Times New Roman" w:hAnsi="Times New Roman"/>
          <w:sz w:val="20"/>
        </w:rPr>
      </w:pPr>
      <w:bookmarkStart w:id="11" w:name="item_4_controls_and_procedures"/>
      <w:bookmarkEnd w:id="11"/>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March 31, 2026,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or 15d-15(f) under the Exchange Act, that occurred during the quarter ended March 31, 2026 that have materially affected, or are reasonably likely to materially affect, our internal control over financial reporting.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80" w:after="18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pStyle w:val="TextBody"/>
        <w:bidi w:val="0"/>
        <w:spacing w:before="0" w:after="180"/>
        <w:jc w:val="left"/>
        <w:rPr>
          <w:rFonts w:ascii="Times New Roman" w:hAnsi="Times New Roman"/>
          <w:sz w:val="20"/>
        </w:rPr>
      </w:pPr>
      <w:bookmarkStart w:id="14" w:name="item_1a_risk_factors"/>
      <w:bookmarkEnd w:id="14"/>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 commercial-stage life sciences technology company with a history of net losses and negative cash flows, which we expect to continue, and we may not be able to generate meaningful revenues or achieve and sustain profitability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able to commercialize the Proteograph Product Suite as planned;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commercialization success depends on broad scientific and market acceptance of the Proteograph Product Suite, which we may fail to achieve;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could adversely impact our business and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identify and recruit qualified employees, and retain or maintain our employee base, it may adversely impact our business and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a commercial-stage life sciences technology company with a history of net losses and negative cash flows, which we expect to continue, and we may not be able to generate meaningful revenues or achieve and sustain profitability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 commercial-stage life sciences technology company, and we have incurred significant losses since we were formed in 2017, and expect to continue to incur losses in the future. We incurred net losses of $16.8 million and $19.9 million during the three months ended March 31, 2026 and 2025, respectively. As of March 31, 2026, we had an accumulated deficit of $482.8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in the commercialization stage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commercialization stage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successfully grow revenue generated from sales of the Proteograph Product Suite on our anticipated timeline;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offer high-quality services, including customer service;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and commercialization activities relating to the Proteograph Product Suite, including our SP100 or SP200 automation instrument, proprietary engineered nanoparticle (NP) technology and Proteograph Analysis Suite software, which may change from time to time;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demand for any products we are able to commercialize, particularly the Proteograph Product Suite, which may vary significantly from period to period;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adoption of the Proteograph in our target markets and our ability to expand into any future target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relationship with third-party distributorships, the quantity of our products they elect to hold in inventory, and their ability to promote and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at which we will be able to sell the Proteograph Product Suite and related services;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volume and mix of our sales between the Proteograph Product Suite and associated consumables, or changes in the manufacturing or sales costs related to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length of time and unpredictable nature of the sales cycle;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lead time needed to procure SP100 and SP200 automation instruments from our third-party contract manufacturer;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our sales force, which if less than anticipated, could significantly impair our ability to generate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of customers to exercise Proteograph purchase options;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effective and efficient use of our financial and other resources, including the timing and amount of expenditures that we may incur to develop, commercialize or acquire additional products and technologies or for other purposes, such as share repurchases, investments or the expansion of our facilities;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governmental funding of life sciences research and development or changes that impact budgets and budget cycles;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seasonal spending patterns and the ability to collect on the accounts receivable of our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timing of when we recognize revenue;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accounting pronouncements, changes in accounting rules and regulations, or modifications to our accounting policies;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outcome of any future litigation or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higher than anticipated service, replacement and warranty costs;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investment in life sciences and research industries, our business operations, and resources and operations of our customers, suppliers, and distributors;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global supply chain interruptions;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industry, economic and market conditions such as inflation, tariffs and trade relations, interest rates, government shutdowns, bank failures and other factors, including factors unrelated to our operating performance or the operating performance of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size of the markets for the Proteograph Product Suite may be smaller or different from estimated, and new market opportunities may not develop as quickly as we expect, or at all, limiting our ability to successfully sell our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including as a result of the impact of artificial intelligence (AI).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commercialize the Proteograph Product Suite as planned.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undertaken the broad commercialization of the Proteograph Product Suite and related products and services, and we may not be able to successfully execute on this phase as planned due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inability to establish the capabilities and value proposition of the Proteograph Product Suite with key opinion leaders and other customers in a timely fashion;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changing industry or market conditions, customer requirements or competitor offerings during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continuing the build-out of our sales, customer support and marketing organization as needed for broad commercialization;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delays in ramping up manufacturing, either internally or through our suppliers, to meet the expected demand for broad commercialization;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health epidemics on the economy and research industries, our business operations, and resources and the operations of our customers, suppliers and supply chain, and distributors.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broad commercial plan is unsuccessful, our financial results will be adversely impacted.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we are able to execute on our commercialization plan, our success depends on broad scientific and market acceptance of the Proteograph Product Suite, which we may fail to achieve.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achieve and maintain scientific and commercial market acceptance of the Proteograph Product Suite will depend on a number of factors. We believe that the Proteograph is subject to the market forces and adoption curves common to other new technologies. The market for novel proteomics technologies and products is in its early stages of development. If widespread adoption of the Proteograph takes longer than anticipated, or broad scientific and market acceptance does not occur, we will continue to experience operating losses.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 factors in achieving commercial market acceptance, include: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market and increase awareness of the capabilities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ability of the Proteograph Product Suite to perform intended use applications broadly in the hands of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customers’ willingness to adopt new products and workflows;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Proteograph’s ease of use and whether it reliably provides advantages over other alternative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rate of adoption of the Proteograph Product Suite by academic institutions, laboratories, biopharmaceutical companies and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prices we charge for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develop new products, services and solutions that achieve commercial market acceptance;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competitors develop and commercialize products that perform similar functions as the Proteograph;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impact of our investments in product innovation and commercial growth.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sales force is less successful than anticipated, we may not be successful in commercializing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limited experience as a company in sales and marketing and our ability to successfully commercialize and grow our revenue depends on our being able to attract customers for the Proteograph Product Suite. Although members of our management team have considerable industry experience, we need to enhance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face a number of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attract, retain and manage the sales, marketing and customer service and support force necessary to commercialize and gain market acceptance for our technology;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time and cost of establishing a specialized sales, marketing and customer service and support force;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sales, marketing and customer service and support force may be unable to execute successful commercialization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Even if the Proteograph Product Suite is successfully commercialized and achieves broad scientific and market acceptance, if we fail to improve it or introduce compelling new products and services, our revenues and our prospects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Health epidemics could adversely impact our business and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reductions in capacity or shutdowns of laboratories and other institutions as well as reduced or delayed spending on instruments and consumables as a result of shutdowns and delays;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and SP200 automation instruments, Hamilton Company, and could worsen over time. Any of these occurrences, and any new epidemics, could significantly harm our business, results of operations and financial condition.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Unfavorable U.S. or global economic conditions could adversely affect our ability to raise capital and our business, results of operations and financial condition.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government shutdowns or bank failures could strain our customers’ budgets or cause delays in their payments to us. Additionally, there is ongoing uncertainty regarding the current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sustain or successfully manage our growth or financial resources, our business and prospects will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depend on our key personnel and other highly qualified personnel, and if we are unable to recruit, train and retain our personnel, we may not achieve our goals.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including with respect to H-1B visas, could restrain the flow of technical and professional talent into the United States and may inhibit our ability to hire qualified personnel.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expect to be dependent upon revenue generated from the sale of the Proteograph Product Suite and related services for the foreseeable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including as a result of AI,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new versions of or enhancements to the Proteograph Product Suite or new products or product enhancements would have a substantial adverse effect on our business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sales have been concentrated in a small number of customers.</w:t>
      </w:r>
    </w:p>
    <w:p>
      <w:pPr>
        <w:pStyle w:val="TextBody"/>
        <w:bidi w:val="0"/>
        <w:jc w:val="left"/>
        <w:rPr>
          <w:rFonts w:ascii="Times New Roman" w:hAnsi="Times New Roman"/>
          <w:color w:val="000000"/>
          <w:sz w:val="20"/>
        </w:rPr>
      </w:pPr>
      <w:r>
        <w:rPr>
          <w:rFonts w:ascii="Times New Roman" w:hAnsi="Times New Roman"/>
          <w:color w:val="000000"/>
          <w:sz w:val="20"/>
        </w:rPr>
        <w:t>We are executing on our commercialization plan and our revenues have been concentrated in a relatively small number of customers. For the three months ended March 31, 2026, there was one customer that accounted for 13% of the Company's total revenue. If one or more customers, terminate all or any portion of their agreements, delay installations or fail to order the anticipated amount of consumables or services, there could be a material adverse effect on our business, financial condition and results of operations.</w:t>
      </w:r>
    </w:p>
    <w:p>
      <w:pPr>
        <w:pStyle w:val="TextBody"/>
        <w:bidi w:val="0"/>
        <w:spacing w:before="180" w:after="180"/>
        <w:jc w:val="left"/>
        <w:rPr>
          <w:rFonts w:ascii="Times New Roman" w:hAnsi="Times New Roman"/>
          <w:sz w:val="20"/>
        </w:rPr>
      </w:pPr>
      <w:r>
        <w:rPr>
          <w:rFonts w:ascii="Times New Roman" w:hAnsi="Times New Roman"/>
          <w:b/>
          <w:i/>
          <w:color w:val="000000"/>
          <w:sz w:val="20"/>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decreases in government funding of research and development;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strategy and funding by commercial companies in their efforts around therapeutic and diagnostic product development and their adoption and use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macroeconomic conditions;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opinions in the scientific community, including researchers’ opinions of the utility of the Proteograph solution;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citation of the Proteograph Product Suite in published research;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 changes in the regulatory environment;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differences in budgetary cycles, especially government- or grant-funded customers, whose cycles often coincide with government fiscal year ends;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 product or service offerings or pricing;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market-driven pressures to consolidate operations and reduce costs;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market acceptance of relatively new technologies, such as the Proteograph Product Suite.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led to budget cuts at various research organizations and institutes that rely on NIH funding. In addition, recent shutdowns of the federal government have halted the flow of government research funding, including from the NIH, for a significant period. There is no guarantee that NIH appropriations will not be halted or decreased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due to tariffs, trade restrictions, or other reasons, our business and commercialization efforts would be harmed.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limited experience producing and supplying our products, and we may be unable to consistently manufacture or source our SP100 and SP200 automation instruments and consumables to the necessary specifications or in quantities necessary to meet demand on a timely basis and at acceptable performance and cost levels.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and SP200 automation instruments so that they consistently achieve the product specifications and produce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manufacturing the Proteograph Product Suite, we depend upon third parties for the supply of our instruments and various components, many of which require a significant degree of technical expertise to produce. If our suppliers fail to produce our SP100 and SP200 automation instruments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Proteograph Product Suite contains defects, we may experience: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failure to achieve market acceptance for the Proteograph or expansion of the Proteograph Product Suite sales;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loss of customer orders and delay in order fulfillment;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damage to our brand reputation;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increased warranty and customer service and support costs due to product repair or replacement;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product recalls or replacements;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inability to attract new customers;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diversion of resources from our manufacturing and research and development departments to our service department;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legal claims against us, including product liability, hazardous material or environmental compliance claims, which could be costly and time consuming to defend and result in substantial damages.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and will continue to spend significant amounts of effort continuing to develop our software to meet our customers’ and potential customers’ evolving needs, including as a result of AI.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Engaging in international business inherently involves a number of difficulties and risks,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required compliance with U.S. laws such as the U.S. Foreign Corrupt Practices Act (FCPA), and other U.S. federal laws and regulations, including with respect to not doing business with sanctioned parties, as prohibited by the office of Foreign Asset Control;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export requirements and import or trade restrictions, including, without limitation, with respect to biological samples, and trade retaliation laws;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restrictions on both inbound and outbound cross-border investment, including enhanced oversight by the Committee on Foreign Investment in the United States (CFIUS) and substantial restrictions on investment from China;</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laws and business practices favoring local companies;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potentially adverse consequences associated with tariffs, changes in trade restrictions or relationships, potential retaliatory tariffs and actions from other countries, customs charges, bureaucratic requirements, and other trade barriers;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and costs of staffing and managing foreign operations;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difficulties protecting, maintaining, enforcing or procuring intellectual property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life sciences technology market is highly competitive. If we fail to compete effectively, our business and results of operations will suffer.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Illumina and Thermo Fisher Scientific. We also compete with a number of companies that have developed, or are developing, proteomic products and solutions, such as Alamar Biosciences, Nautilus Biotechnology, Quanterix, and Quantum-Si.</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our current competitors are large publicly-traded companies, or are divisions of large publicly-traded companies, and may enjoy a number of competitive advantages over us,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name and brand recognition;</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greater financial and human resources;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broader product lines;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sales forces and more established distributor networks;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substantial intellectual property portfolios;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larger and more established customer bases and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better established, larger scale and lower cost manufacturing capabilities.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including through the use of AI,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will consider raising additional capital in the future to expand our business, to pursue strategic investments, to take advantage of financing opportunities or for other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increasing our sales and marketing and other commercialization efforts to drive market adoption of the Proteograph Product Suite;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funding development and marketing efforts of the Proteograph Product Suite or any other future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expanding our technologies into additional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licensing or investing in technologies and other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acquiring or investing in complementary businesses or assets;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financing capital expenditures and general and administrative expenses.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present and future funding requirements will depend on many factors,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commercializing the Proteograph Product Suite and new products, and the cost of the sales and marketing activities associated with establishing adoption of our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rate of progress in, and cost of research and development activities associated with, products in research and development;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realize the benefits of PrognomiQ as a separate healthcare company in the area of disease testing.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it purchased $10.0 million of PrognomiQ's Series D Preferred Stock. The Company subsequently made additional investments in the same series, including $1.9 million in July 2025 and $1.5 million in January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March 31, 2026, we held approximately 24% of the outstanding capital stock of PrognomiQ. We may not realize the potential benefits of forming PrognomiQ for a variety of reasons,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be unable to successfully develop viable testing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PrognomiQ’s business may not help demonstrate the value of the Proteograph;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inability to reach agreement with PrognomiQ on future commercial arrangements;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PrognomiQ may need to raise additional funding in the future and be unable to do so;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formation of PrognomiQ and our continuing equity position in PrognomiQ may add complexities to our business from a finance, tax and accounting perspective.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Financial Reporting</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2025,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Regulatory Compliance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applicable requirements under FDA’s QMSR,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hAnsi="Times New Roman"/>
          <w:i/>
          <w:color w:val="000000"/>
          <w:sz w:val="20"/>
        </w:rPr>
        <w:t>de novo</w:t>
      </w:r>
      <w:r>
        <w:rPr>
          <w:rFonts w:ascii="Times New Roman" w:hAnsi="Times New Roman"/>
          <w:color w:val="000000"/>
          <w:sz w:val="20"/>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sought and received regulatory clearance or approval for certain of our products, we would be subject to ongoing FDA obligations and continued regulatory oversight and review, including the general controls listed above and the FDA’s QMSR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(MDR) and In Vitro Diagnostic Regulation 2017/746 (IVDR), which came into force in 2021 and 2022, respectively. In 2025, the European Commission published its proposals on amendments to the MDR and IVDR as well as new transparency requirements.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hAnsi="Times New Roman"/>
          <w:color w:val="000000"/>
          <w:sz w:val="2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Legislative and administrative proposals to amend the FDA's oversight of LDTs have been introduced in recent years, including the Verifying Accurate Leading-edge IVCT Development Act of 2021 (VALID Act). In May 2024, the FDA published a final rule to regulate LDTs, which was vacated by the Texas district court in March 2025, clarifying that, while the FDA has jurisdiction to regulate diagnostic products, or tangible goods, the FDA does not have authority to regulate professional services performed by CLIA certified laboratories and regulated professionals. In June 2024, the U.S. Supreme Court overruled the case that established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rules and policies of the FDA. We cannot predict the outcome of these judicial challenges or how Congress or the FDA will regulate products in our industry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There is significant uncertainty in the life sciences industry due to potential government shutdowns, layoffs and staff departures at the federal agencies, like the FDA, tariffs, and funding cuts for research, which can have a material effect on the operations of our customers and their demand for our products.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to research and federal agencies, layoffs at federal agencies, hiring freezes, return-to-office policies, the current government shutdown, lapse in government appropriations and other measures taken by the current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Additionally, organizational changes to the USPTO could increase the uncertainties, timing and costs related to the prosecution of our patent applications. Reductions in the staff available to process, review and make decisions regarding patent applications as well as complete other patent-related activities could delay or prevent us from successfully prosecuting our current or future patent applications. Over the last few years, the U.S. government has shut down several times and certain regulatory agencies have had to furlough staff and stop critical activities. A prolonged government shutdown could prevent the timely review of our patent applications by the USPTO, which could delay the issuance of any U.S. patents to which we might otherwise be entitled.</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including our competitors,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particularly as there is limited precedent for the court, increasing the uncertainty of any litigation in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Issued patents covering our products or services could be found invalid or unenforceable if challenged.</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hAnsi="Times New Roman"/>
          <w:i/>
          <w:color w:val="000000"/>
          <w:sz w:val="20"/>
        </w:rPr>
        <w:t>ex parte</w:t>
      </w:r>
      <w:r>
        <w:rPr>
          <w:rFonts w:ascii="Times New Roman" w:hAnsi="Times New Roman"/>
          <w:color w:val="000000"/>
          <w:sz w:val="20"/>
        </w:rPr>
        <w:t xml:space="preserve">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and equivalent proceedings in non-U.S. jurisdictions, such as opposition proceedings. For example, on October 7, 2024, PreOmics GmbH and Biognosys AG filed a petition for </w:t>
      </w:r>
      <w:r>
        <w:rPr>
          <w:rFonts w:ascii="Times New Roman" w:hAnsi="Times New Roman"/>
          <w:i/>
          <w:color w:val="000000"/>
          <w:sz w:val="20"/>
        </w:rPr>
        <w:t>Inter Partes</w:t>
      </w:r>
      <w:r>
        <w:rPr>
          <w:rFonts w:ascii="Times New Roman" w:hAnsi="Times New Roman"/>
          <w:color w:val="000000"/>
          <w:sz w:val="20"/>
        </w:rPr>
        <w:t xml:space="preserve"> Review before the USPTO (Case No. IPR2024-01473) challenging the validity of select claims of U.S. Patent No. 11,435,360, (the 360 patent), which is exclusively licensed from The Brigham and Women’s Hospital, Inc. (BWH);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and on April 17, 2025, the Patent Trial and Appeal Board (PTAB) of the USPTO instituted </w:t>
      </w:r>
      <w:r>
        <w:rPr>
          <w:rFonts w:ascii="Times New Roman" w:hAnsi="Times New Roman"/>
          <w:i/>
          <w:color w:val="000000"/>
          <w:sz w:val="20"/>
        </w:rPr>
        <w:t xml:space="preserve">Inter Partes </w:t>
      </w:r>
      <w:r>
        <w:rPr>
          <w:rFonts w:ascii="Times New Roman" w:hAnsi="Times New Roman"/>
          <w:color w:val="000000"/>
          <w:sz w:val="20"/>
        </w:rPr>
        <w:t>Review of certain claims. The petition alleged, among other things, the challenged claims are invalid for anticipation or obviousness over the prior art. On March 23, 2026, the PTAB issued a Final Written Decision, finding that six (6) of the eleven (11) challenged claims were unpatentable, while five (5) of the eleven (11) challenged claims were upheld as patentable. The PTAB’s Decision remains subject to appeal, and PreOmics GmbH and/or Biognosys AG may appeal the PTAB’s Decision with respect to the five (5) upheld claims. In Germany, an anonymous third party initiated a nullity action against European Patent EP3554681 (the 681 patent) and a cancellation request against Utility Model No. 202017007363 (the 363 patent) on November 18, 2024 and January 13, 2025, respectively, which patents are exclusively licensed from BWH. The nullity action alleges, among other things, that the 681 patent is invalid for lack of novelty and inventive step over the prior art. On January 14, 2026, BWH withdrew its opposition to the cancellation request against the 363 patent, thereby concluding the proceeding and resulting in the cancellation of the 363 patent. The nullity action against the 681 patent is ongoing. Furthermore, on May 27, 2025, an anonymous third party filed an Opposition to European Patent 4,056,263, which is exclusively licensed from BWH, alleging, among other things, that the patent is invalid for lack of novelty and inventive step. These proceedings could result in revocation of or amendment to our patents in such a way that they no longer cover and protect our products, or exclude our competitor’s products. For example, for strategic reasons, including the fact that the 363 patent was approaching the end of its term, we opted to withdraw our opposition to the cancellation request and the 363 patent has since been cancelled. More generally, with respect to the validity of our other patents, we cannot be certain, for example,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technology could be materially adversely affected and our business could be harmed.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in and between academia and industry.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not be able to protect and enforce our trademarks and trade names, or build name recognition in our markets of interest thereby harming our competitive position.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services and technologies, including the Proteograph Product Suite for an adequate amount of time.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the United States owned by a third party directed to methods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or other foreign patent offices review the patent claims, such as in an </w:t>
      </w:r>
      <w:r>
        <w:rPr>
          <w:rFonts w:ascii="Times New Roman" w:hAnsi="Times New Roman"/>
          <w:i/>
          <w:color w:val="000000"/>
          <w:sz w:val="20"/>
        </w:rPr>
        <w:t xml:space="preserve">ex-parte </w:t>
      </w:r>
      <w:r>
        <w:rPr>
          <w:rFonts w:ascii="Times New Roman" w:hAnsi="Times New Roman"/>
          <w:color w:val="000000"/>
          <w:sz w:val="20"/>
        </w:rPr>
        <w:t xml:space="preserve">reexamination, </w:t>
      </w:r>
      <w:r>
        <w:rPr>
          <w:rFonts w:ascii="Times New Roman" w:hAnsi="Times New Roman"/>
          <w:i/>
          <w:color w:val="000000"/>
          <w:sz w:val="20"/>
        </w:rPr>
        <w:t>inter partes</w:t>
      </w:r>
      <w:r>
        <w:rPr>
          <w:rFonts w:ascii="Times New Roman" w:hAnsi="Times New Roman"/>
          <w:color w:val="000000"/>
          <w:sz w:val="20"/>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or take in the future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 of theirs.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Moreover, disputes may also arise between us and our licensor regarding intellectual property subject to a license agreement,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and the extent to which, our products, technology and processes infringe on intellectual property of the licensor that is not subject to the licensing agreement;</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cannot license rights to use technologies on reasonable terms, we may not be able to commercialize new products or services in the future.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be able to make products or services that are similar to products and technologies we may develop or utilize similar technology that are not covered by the claims of the patents that we own or license now or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 or pending patent application that we license or may own in the future;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or their inventions;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it is possible that our pending patent applications, and our licensed pending patent applications, or those that we may own or license in the future, will not lead to issued patents;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and our licensor(s), may not develop additional proprietary technologies that are patentable;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patents of others may harm our business;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Should any of these events occur, they could materially adversely affect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An active trading market for our Class A common stock may not be sustained.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fail to maintain compliance with the listing requirements of the Nasdaq Global Select Market, we may be delisted and the price of our Class A common stock and our ability to access the capital markets could be negatively impacted.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may fail to satisfy one or more of the Nasdaq Global Select Market requirements for continued listing of our Class A common stock in the future.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 market price of our Class A common stock has been and may continue to be volatile.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Some of the factors that may cause the market price of our Class A common stock to fluctuate include, but are not limited to:</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degree to which our launch and commercialization of our products meets the expectations of securities analysts and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fluctuations in our operating results, including fluctuations in our quarterly and annual results;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revenue being less than anticipated or operating expenses being more than anticipated;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failure or discontinuation of any of our product development and research programs;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changes in the structure or funding of research at academic and research laboratories and institutions, including changes that would affect their ability to purchase our instruments or consumables;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success of existing or new competitive businesses or technologies;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announcements about new research programs or products of our competitors;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litigation and governmental investigations involving us, our industry or both;</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investor perceptions of us or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level of expenses related to any of our research and development programs or products;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whether our financial results meet the expectations of securities analysts or investors;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short-selling strategies that may drive down the price of our Class A common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announcement or expectation of additional financing efforts;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our Class A common stock by us or sales of our Class A common stock by our insiders or other stockholders, or future stock issuances;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perceived solvency of financial institutions with which we have financial deposits or investments in excess of insurance limits;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general economic, industry and market conditions, including government shutdowns or changes in tariffs or trade restrictions or relationships;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health epidemics, natural disasters or major catastrophic events.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have been and may in the future become the target of securities litigation or shareholder activism, which could result in substantial costs and divert management’s attention and resources from our business.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industry analysts, including securities analysts do not publish research or reports about our business or if they publish negative evaluations of our Class A common stock, the price of our Class A common stock could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Sales of a substantial number of shares of our Class A common stock by our existing stockholders could cause the price of our Class A common stock to decline.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There can be no assurance that we will repurchase shares of our Class A common stock or that we will repurchase shares at favorable prices.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May 2024, our Board of Directors approved a share repurchase program pursuant to which we are authorized to repurchase up to $25.0 million of our Class A common stock from time to time, including through open market transactions. In February 2026, our Board of Directors authorized an additional share repurchase program of up to $25.0 million of our Class A common stock. The amount and timing of our share repurchases, if any, are subject to the availability of capital and our determination that the share repurchases are in the best interest of the Company and our stockholders. Our share repurchase programs do not obligate us to repurchase any specific number of shares and may be suspended at any time at our discretion.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programs could have a negative effect on our reputation, investor confidence in us and our stock price.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existence of our share repurchase programs could cause our stock price to be higher than it otherwise would be and could potentially reduce the market liquidity for our stock. Although our share repurchase programs are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Repurchasing our Class A common stock reduces the amount of cash we have available, and we may fail to realize the anticipated long-term stockholder value of any share repurchase program.</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bidi w:val="0"/>
        <w:spacing w:before="0" w:after="180"/>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amended and restated bylaws, as well as the terms of our tax benefit preservation plan, might discourage, delay or prevent a change in control of our company or changes in our management and, therefore, depress the trading price of our Class A common stock.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amendments to our amended and restated certificate of incorporation require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stockholder-proposed amendment to our amended and restated bylaws requires the approval of stockholders holding two-thirds of the voting power of our then outstanding capital stock;</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may only be able to take action at a meeting of stockholders and may not be able to take action by written consent for any matter;</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are able to act by written consent only if the action is first recommended or approved by the board of directors;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vacancies on our board of directors may be filled only by our board of directors and not by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only the chair of the board of directors, chief executive officer or a majority of the board of directors are authorized to call a special meeting of stockholders;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litigation against us can only be brought in Delaware;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advance notice procedures apply for stockholders to nominate candidates for election as directors or to bring matters before an annual meeting of stockholders.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 </w:t>
      </w:r>
    </w:p>
    <w:p>
      <w:pPr>
        <w:pStyle w:val="TextBody"/>
        <w:bidi w:val="0"/>
        <w:jc w:val="left"/>
        <w:rPr>
          <w:rFonts w:ascii="Times New Roman" w:hAnsi="Times New Roman"/>
          <w:color w:val="000000"/>
          <w:sz w:val="20"/>
        </w:rPr>
      </w:pPr>
      <w:r>
        <w:rPr>
          <w:rFonts w:ascii="Times New Roman" w:hAnsi="Times New Roman"/>
          <w:color w:val="000000"/>
          <w:sz w:val="20"/>
        </w:rPr>
        <w:t>In February 2026, our Board of Directors adopted a tax benefit preservation plan to protect the Company’s ability to use its net operating losses and other tax attributes (NOLs). Although this is not its purpose, the tax benefit preservation plan could have the effect of making more difficult certain types of transactions that might be attractive to our stockholders and could also affect the price that some investors are willing to pay for our Class A common stock.</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Our ability to use NOLs to offset future taxable income may be subject to certain limitations, and changes to U.S. tax laws may cause us to make adjustments to our financial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December 31, 2025, we had U.S. federal and state NOLs of $262.4 million and $226.6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continue to incur significant increased costs and management resources as a result of operating as a public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as a public company we have been, and are being, targeted by activist stockholders. Responding to actions by activist stockholders can be costly and time-consuming, and could disrupt our operations and divert the attention of management and our employees. Additionally, perceived uncertainties as to our future direction as a result of stockholder activism, or changes to the composition of our Board of Directors,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then our business, financial condition and operating results would be adversely affected. In addition, our share price could experience periods of increased volatility as a result of stockholder activism.</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Environmental, social, and governance (ESG) matters are subject to evolving expectations from customers, regulators, investors and other stakeholders and may expose us to reputational, cost and other risks.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Companies across all industries are subject to evolving expectations regarding ESG matters. Failure to implement the appropriate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facilities in Redwood City and those of our third-party manufacturers are vulnerable to natural disasters, public health crises, including the impact of health epidemics,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If we, or our vendors, partners or customers, experience a significant disruption in our information technology systems or breaches of data security, our business could be adversely affected.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the California Privacy Rights Act (CPRA), which went into effect on January 1, 2023,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15" w:name="item_2_unregistered_sales_of_equity_secu"/>
      <w:bookmarkEnd w:id="15"/>
      <w:r>
        <w:rPr>
          <w:rFonts w:ascii="Times New Roman" w:hAnsi="Times New Roman"/>
          <w:b/>
          <w:color w:val="000000"/>
          <w:sz w:val="20"/>
        </w:rPr>
        <w:t>Item 2. Unregistered Sales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represents a month-to-month summary of information with respect to purchases of common stock made during the three months ended March 31, 2026:</w:t>
      </w:r>
    </w:p>
    <w:tbl>
      <w:tblPr>
        <w:tblW w:w="10205" w:type="dxa"/>
        <w:jc w:val="left"/>
        <w:tblInd w:w="0" w:type="dxa"/>
        <w:tblLayout w:type="fixed"/>
        <w:tblCellMar>
          <w:top w:w="28" w:type="dxa"/>
          <w:left w:w="28" w:type="dxa"/>
          <w:bottom w:w="28" w:type="dxa"/>
          <w:right w:w="28" w:type="dxa"/>
        </w:tblCellMar>
      </w:tblPr>
      <w:tblGrid>
        <w:gridCol w:w="1229"/>
        <w:gridCol w:w="146"/>
        <w:gridCol w:w="202"/>
        <w:gridCol w:w="1292"/>
        <w:gridCol w:w="146"/>
        <w:gridCol w:w="146"/>
        <w:gridCol w:w="352"/>
        <w:gridCol w:w="781"/>
        <w:gridCol w:w="146"/>
        <w:gridCol w:w="146"/>
        <w:gridCol w:w="317"/>
        <w:gridCol w:w="2023"/>
        <w:gridCol w:w="146"/>
        <w:gridCol w:w="146"/>
        <w:gridCol w:w="662"/>
        <w:gridCol w:w="2130"/>
        <w:gridCol w:w="195"/>
      </w:tblGrid>
      <w:tr>
        <w:trPr/>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Number of Shares 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Price Paid per Share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(in thousands) of Shares that May Yet Be Purchased Under the Plans or Programs </w:t>
            </w:r>
            <w:r>
              <w:rPr>
                <w:rFonts w:ascii="Times New Roman" w:hAnsi="Times New Roman"/>
                <w:b/>
                <w:color w:val="000000"/>
                <w:sz w:val="11"/>
              </w:rPr>
              <w:t>(3)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 January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 February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 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All shares of common stock were retired upon repurchase.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Average price paid per share is calculated on a settlement basis and excludes broker commissions and excise tax.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On February 25, 2026, the Company's Board of Directors authorized up to $25.0 million of additional repurchases of its issued and outstanding Class A common stock.</w:t>
      </w:r>
    </w:p>
    <w:p>
      <w:pPr>
        <w:pStyle w:val="TextBody"/>
        <w:bidi w:val="0"/>
        <w:spacing w:before="240" w:after="18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60" w:after="18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our last fiscal quarter, no directors or officers, as defined in Rule 16a-1(f) under the Exchange Act, adopted, modified and/or terminated a “Rule 10b5-1 trading arrangement” or “non-Rule 10b5-1 trading arrangement,” each as defined in Item 408 of Regulation S-K.</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left"/>
        <w:rPr>
          <w:rFonts w:ascii="Times New Roman" w:hAnsi="Times New Roman"/>
          <w:sz w:val="20"/>
        </w:rPr>
      </w:pPr>
      <w:bookmarkStart w:id="19" w:name="item_6_exhibits"/>
      <w:bookmarkEnd w:id="19"/>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885"/>
        <w:gridCol w:w="146"/>
        <w:gridCol w:w="6135"/>
        <w:gridCol w:w="511"/>
        <w:gridCol w:w="146"/>
        <w:gridCol w:w="749"/>
        <w:gridCol w:w="146"/>
        <w:gridCol w:w="631"/>
        <w:gridCol w:w="146"/>
        <w:gridCol w:w="710"/>
      </w:tblGrid>
      <w:tr>
        <w:trPr/>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88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3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Designation of Rights, Powers and Preferences of Series A Participating Preferred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2/26/2026</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9"/>
                  <w:u w:val="single"/>
                </w:rPr>
                <w:t>Tax Benefit Preservation Plan, dated as of February 26, 2026, by and between Seer, Inc. and Computershare Trust Company, N.A., as rights agent.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001-39747</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2/26/2026</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9"/>
                  <w:u w:val="single"/>
                </w:rPr>
                <w:t>Amendment No. 1 to Tax Benefit Preservation Plan, dated as of March 13, 2026, by and between Seer, Inc. and Computershare Trust Company, N.A., as rights agent.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9"/>
              </w:rPr>
            </w:pPr>
            <w:r>
              <w:rPr>
                <w:rFonts w:ascii="Times New Roman" w:hAnsi="Times New Roman"/>
                <w:color w:val="000000"/>
                <w:sz w:val="19"/>
              </w:rPr>
              <w:t>001-39747</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3/13/2026</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9"/>
                  <w:u w:val="single"/>
                </w:rPr>
                <w:t>Outside Director Compensation Policy (as amended on February 25, 2026).</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001-39747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3/2/2026</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hyperlink w:anchor="ck0001726445-ex31_1.htm">
              <w:r>
                <w:rPr>
                  <w:rStyle w:val="InternetLink"/>
                  <w:rFonts w:ascii="Times New Roman" w:hAnsi="Times New Roman"/>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hyperlink w:anchor="ck0001726445-ex31_2.htm">
              <w:r>
                <w:rPr>
                  <w:rStyle w:val="InternetLink"/>
                  <w:rFonts w:ascii="Times New Roman" w:hAnsi="Times New Roman"/>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hyperlink w:anchor="ck0001726445-ex32_1.htm">
              <w:r>
                <w:rPr>
                  <w:rStyle w:val="InternetLink"/>
                  <w:rFonts w:ascii="Times New Roman" w:hAnsi="Times New Roman"/>
                  <w:color w:val="0000FF"/>
                  <w:sz w:val="19"/>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hyperlink w:anchor="ck0001726445-ex32_2.htm">
              <w:r>
                <w:rPr>
                  <w:rStyle w:val="InternetLink"/>
                  <w:rFonts w:ascii="Times New Roman" w:hAnsi="Times New Roman"/>
                  <w:color w:val="0000FF"/>
                  <w:sz w:val="19"/>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Instance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Taxonomy Extension Schema Document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 the Cover Page Interactive Data File does not appear in the Interactive Data File because its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Indicates management contract or compensatory plan.</w:t>
      </w:r>
    </w:p>
    <w:p>
      <w:pPr>
        <w:pStyle w:val="TextBody"/>
        <w:bidi w:val="0"/>
        <w:jc w:val="left"/>
        <w:rPr>
          <w:rFonts w:ascii="Times New Roman" w:hAnsi="Times New Roman"/>
          <w:color w:val="000000"/>
          <w:sz w:val="16"/>
        </w:rPr>
      </w:pPr>
      <w:r>
        <w:rPr>
          <w:rFonts w:ascii="Times New Roman" w:hAnsi="Times New Roman"/>
          <w:color w:val="000000"/>
          <w:sz w:val="16"/>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1741"/>
        <w:gridCol w:w="109"/>
        <w:gridCol w:w="406"/>
        <w:gridCol w:w="264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Omid Farokhzad,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6742" w:type="dxa"/>
        <w:jc w:val="left"/>
        <w:tblInd w:w="0" w:type="dxa"/>
        <w:tblLayout w:type="fixed"/>
        <w:tblCellMar>
          <w:top w:w="28" w:type="dxa"/>
          <w:left w:w="28" w:type="dxa"/>
          <w:bottom w:w="28" w:type="dxa"/>
          <w:right w:w="28" w:type="dxa"/>
        </w:tblCellMar>
      </w:tblPr>
      <w:tblGrid>
        <w:gridCol w:w="1741"/>
        <w:gridCol w:w="109"/>
        <w:gridCol w:w="406"/>
        <w:gridCol w:w="448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R. Horn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 Horn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Accounting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bookmarkStart w:id="21" w:name="ck0001726445-ex31_1.htm"/>
      <w:bookmarkStart w:id="22" w:name="ksck0001726445ex31_1"/>
      <w:bookmarkEnd w:id="21"/>
      <w:bookmarkEnd w:id="22"/>
      <w:r>
        <w:rPr/>
        <w:t> </w:t>
      </w:r>
      <w:r>
        <w:br w:type="page"/>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bookmarkStart w:id="23" w:name="section1"/>
      <w:bookmarkEnd w:id="23"/>
      <w:r>
        <w:rPr>
          <w:rFonts w:ascii="Times New Roman" w:hAnsi="Times New Roman"/>
          <w:b/>
          <w:color w:val="000000"/>
          <w:sz w:val="20"/>
        </w:rPr>
        <w:t>Exhibit 31.1</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Omid Farokhzad,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Seer,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8852" w:type="dxa"/>
        <w:jc w:val="left"/>
        <w:tblInd w:w="0" w:type="dxa"/>
        <w:tblLayout w:type="fixed"/>
        <w:tblCellMar>
          <w:top w:w="28" w:type="dxa"/>
          <w:left w:w="28" w:type="dxa"/>
          <w:bottom w:w="28" w:type="dxa"/>
          <w:right w:w="28" w:type="dxa"/>
        </w:tblCellMar>
      </w:tblPr>
      <w:tblGrid>
        <w:gridCol w:w="3901"/>
        <w:gridCol w:w="4951"/>
      </w:tblGrid>
      <w:tr>
        <w:trPr/>
        <w:tc>
          <w:tcPr>
            <w:tcW w:w="3901"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0"/>
              </w:rPr>
            </w:pPr>
            <w:r>
              <w:rPr>
                <w:rFonts w:ascii="Times New Roman" w:hAnsi="Times New Roman"/>
                <w:color w:val="000000"/>
                <w:sz w:val="20"/>
              </w:rPr>
              <w:t>Date: May 13, 2026</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k0001726445-ex31_2.htm"/>
      <w:bookmarkStart w:id="25" w:name="ksck0001726445ex31_2"/>
      <w:bookmarkEnd w:id="24"/>
      <w:bookmarkEnd w:id="25"/>
      <w:r>
        <w:rPr/>
        <w:t> </w:t>
      </w:r>
      <w:r>
        <w:br w:type="page"/>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bookmarkStart w:id="26" w:name="section11"/>
      <w:bookmarkEnd w:id="26"/>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David Horn,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Seer,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4621"/>
        <w:gridCol w:w="4366"/>
      </w:tblGrid>
      <w:tr>
        <w:trPr/>
        <w:tc>
          <w:tcPr>
            <w:tcW w:w="462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ind w:left="0" w:right="0" w:firstLine="2880"/>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color w:val="000000"/>
                <w:sz w:val="20"/>
              </w:rPr>
            </w:pPr>
            <w:r>
              <w:rPr>
                <w:rFonts w:ascii="Times New Roman" w:hAnsi="Times New Roman"/>
                <w:color w:val="000000"/>
                <w:sz w:val="20"/>
              </w:rPr>
              <w:t>Date: May 13, 2026</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k0001726445-ex32_1.htm"/>
      <w:bookmarkStart w:id="28" w:name="ksck0001726445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rFonts w:ascii="Times New Roman" w:hAnsi="Times New Roman"/>
          <w:b/>
          <w:color w:val="000000"/>
          <w:sz w:val="20"/>
        </w:rPr>
      </w:pPr>
      <w:bookmarkStart w:id="29" w:name="section12"/>
      <w:bookmarkEnd w:id="29"/>
      <w:r>
        <w:rPr>
          <w:rFonts w:ascii="Times New Roman" w:hAnsi="Times New Roman"/>
          <w:b/>
          <w:color w:val="000000"/>
          <w:sz w:val="20"/>
        </w:rPr>
        <w:t>CERTIFICATION OF PRINCIPAL EXECUTIVE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Seer, Inc. (the “Company”) on Form 10-Q for the period ended March 31, 2026 as filed with the Securities and Exchange Commission on the date hereof (the “Report”), I, Omid Farokhzad, hereby certify, pursuant to 18 U.S.C. § 1350, as adopted pursuant to §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8852" w:type="dxa"/>
        <w:jc w:val="left"/>
        <w:tblInd w:w="0" w:type="dxa"/>
        <w:tblLayout w:type="fixed"/>
        <w:tblCellMar>
          <w:top w:w="28" w:type="dxa"/>
          <w:left w:w="28" w:type="dxa"/>
          <w:bottom w:w="28" w:type="dxa"/>
          <w:right w:w="28" w:type="dxa"/>
        </w:tblCellMar>
      </w:tblPr>
      <w:tblGrid>
        <w:gridCol w:w="3901"/>
        <w:gridCol w:w="4951"/>
      </w:tblGrid>
      <w:tr>
        <w:trPr/>
        <w:tc>
          <w:tcPr>
            <w:tcW w:w="3901"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0"/>
              </w:rPr>
            </w:pPr>
            <w:r>
              <w:rPr>
                <w:rFonts w:ascii="Times New Roman" w:hAnsi="Times New Roman"/>
                <w:color w:val="000000"/>
                <w:sz w:val="20"/>
              </w:rPr>
              <w:t>Date: May 13, 2026</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Omid Farokhzad</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Omid Farokhzad</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 of the Board of Directors</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ck0001726445-ex32_2.htm"/>
      <w:bookmarkStart w:id="31" w:name="ksck0001726445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rFonts w:ascii="Times New Roman" w:hAnsi="Times New Roman"/>
          <w:b/>
          <w:color w:val="000000"/>
          <w:sz w:val="20"/>
        </w:rPr>
      </w:pPr>
      <w:bookmarkStart w:id="32" w:name="section13"/>
      <w:bookmarkEnd w:id="32"/>
      <w:r>
        <w:rPr>
          <w:rFonts w:ascii="Times New Roman" w:hAnsi="Times New Roman"/>
          <w:b/>
          <w:color w:val="000000"/>
          <w:sz w:val="20"/>
        </w:rPr>
        <w:t>CERTIFICATION OF PRINCIPAL FINANCIAL OFFICER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Seer, Inc. (the “Company”) on Form 10-Q for the period ended March 31, 2026 as filed with the Securities and Exchange Commission on the date hereof (the “Report”), I, David Horn, hereby certify, pursuant to 18 U.S.C. § 1350, as adopted pursuant to § 906 of the Sarbanes-Oxley Act of 2002,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8987" w:type="dxa"/>
        <w:jc w:val="left"/>
        <w:tblInd w:w="0" w:type="dxa"/>
        <w:tblLayout w:type="fixed"/>
        <w:tblCellMar>
          <w:top w:w="28" w:type="dxa"/>
          <w:left w:w="28" w:type="dxa"/>
          <w:bottom w:w="28" w:type="dxa"/>
          <w:right w:w="28" w:type="dxa"/>
        </w:tblCellMar>
      </w:tblPr>
      <w:tblGrid>
        <w:gridCol w:w="4621"/>
        <w:gridCol w:w="4366"/>
      </w:tblGrid>
      <w:tr>
        <w:trPr/>
        <w:tc>
          <w:tcPr>
            <w:tcW w:w="462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ind w:left="0" w:right="0" w:firstLine="2880"/>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color w:val="000000"/>
                <w:sz w:val="20"/>
              </w:rPr>
            </w:pPr>
            <w:r>
              <w:rPr>
                <w:rFonts w:ascii="Times New Roman" w:hAnsi="Times New Roman"/>
                <w:color w:val="000000"/>
                <w:sz w:val="20"/>
              </w:rPr>
              <w:t>Date: May 13, 2026</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By: /s/ David Horn</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6445/000119312526076684/ck0001726445-ex3_1.htm" TargetMode="External"/><Relationship Id="rId3" Type="http://schemas.openxmlformats.org/officeDocument/2006/relationships/hyperlink" Target="https://www.sec.gov/Archives/edgar/data/1726445/000119312526076684/ck0001726445-ex4_1.htm" TargetMode="External"/><Relationship Id="rId4" Type="http://schemas.openxmlformats.org/officeDocument/2006/relationships/hyperlink" Target="https://www.sec.gov/Archives/edgar/data/1726445/000119312526107335/ck0001726445-ex4_1.htm" TargetMode="External"/><Relationship Id="rId5" Type="http://schemas.openxmlformats.org/officeDocument/2006/relationships/hyperlink" Target="https://www.sec.gov/Archives/edgar/data/1726445/000119312526085481/ck0001726445-ex10_1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44975</Words>
  <Characters>250351</Characters>
  <CharactersWithSpaces>295677</CharactersWithSpaces>
  <Paragraphs>5513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