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71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AINSLIE LEE S III</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5TH AVENUE,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SEER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12/08/2020</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4" w:lineRule="exact"/>
        <w:rPr>
          <w:sz w:val="24"/>
          <w:szCs w:val="24"/>
          <w:color w:val="auto"/>
        </w:rPr>
      </w:pPr>
    </w:p>
    <w:p>
      <w:pPr>
        <w:sectPr>
          <w:pgSz w:w="11900" w:h="16838" w:orient="portrait"/>
          <w:cols w:equalWidth="0" w:num="3">
            <w:col w:w="3200" w:space="720"/>
            <w:col w:w="3095" w:space="720"/>
            <w:col w:w="3345"/>
          </w:cols>
          <w:pgMar w:left="460" w:top="219" w:right="359" w:bottom="719"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6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12/10/2020</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20" w:type="dxa"/>
            <w:vAlign w:val="bottom"/>
            <w:gridSpan w:val="8"/>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2"/>
                <w:szCs w:val="12"/>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10153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2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20" w:type="dxa"/>
            <w:vAlign w:val="bottom"/>
            <w:gridSpan w:val="8"/>
            <w:vMerge w:val="restart"/>
          </w:tcPr>
          <w:p>
            <w:pPr>
              <w:jc w:val="center"/>
              <w:ind w:righ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700" w:type="dxa"/>
            <w:vAlign w:val="bottom"/>
            <w:gridSpan w:val="2"/>
            <w:vMerge w:val="restart"/>
          </w:tcPr>
          <w:p>
            <w:pPr>
              <w:ind w:left="40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8"/>
                <w:szCs w:val="8"/>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6"/>
          </w:tcPr>
          <w:p>
            <w:pPr>
              <w:spacing w:after="0"/>
              <w:rPr>
                <w:sz w:val="10"/>
                <w:szCs w:val="10"/>
                <w:color w:val="auto"/>
              </w:rPr>
            </w:pPr>
          </w:p>
        </w:tc>
        <w:tc>
          <w:tcPr>
            <w:tcW w:w="170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1220" w:type="dxa"/>
            <w:vAlign w:val="bottom"/>
            <w:gridSpan w:val="2"/>
          </w:tcPr>
          <w:p>
            <w:pPr>
              <w:jc w:val="center"/>
              <w:ind w:left="233"/>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w:t>
            </w:r>
          </w:p>
        </w:tc>
        <w:tc>
          <w:tcPr>
            <w:tcW w:w="20" w:type="dxa"/>
            <w:vAlign w:val="bottom"/>
          </w:tcPr>
          <w:p>
            <w:pPr>
              <w:spacing w:after="0"/>
              <w:rPr>
                <w:sz w:val="11"/>
                <w:szCs w:val="11"/>
                <w:color w:val="auto"/>
              </w:rPr>
            </w:pPr>
          </w:p>
        </w:tc>
        <w:tc>
          <w:tcPr>
            <w:tcW w:w="8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2"/>
          </w:tcPr>
          <w:p>
            <w:pPr>
              <w:ind w:left="380"/>
              <w:spacing w:after="0" w:line="129"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 or</w:t>
            </w:r>
          </w:p>
        </w:tc>
        <w:tc>
          <w:tcPr>
            <w:tcW w:w="320" w:type="dxa"/>
            <w:vAlign w:val="bottom"/>
          </w:tcPr>
          <w:p>
            <w:pPr>
              <w:spacing w:after="0"/>
              <w:rPr>
                <w:sz w:val="11"/>
                <w:szCs w:val="11"/>
                <w:color w:val="auto"/>
              </w:rPr>
            </w:pPr>
          </w:p>
        </w:tc>
        <w:tc>
          <w:tcPr>
            <w:tcW w:w="12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  Indirect (I)</w:t>
            </w:r>
          </w:p>
        </w:tc>
        <w:tc>
          <w:tcPr>
            <w:tcW w:w="12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8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6"/>
                <w:szCs w:val="6"/>
                <w:color w:val="auto"/>
              </w:rPr>
            </w:pPr>
          </w:p>
        </w:tc>
        <w:tc>
          <w:tcPr>
            <w:tcW w:w="120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gridSpan w:val="4"/>
            <w:vMerge w:val="restart"/>
          </w:tcPr>
          <w:p>
            <w:pPr>
              <w:jc w:val="right"/>
              <w:ind w:right="637"/>
              <w:spacing w:after="0"/>
              <w:rPr>
                <w:sz w:val="20"/>
                <w:szCs w:val="20"/>
                <w:color w:val="auto"/>
              </w:rPr>
            </w:pPr>
            <w:r>
              <w:rPr>
                <w:rFonts w:ascii="Times New Roman" w:cs="Times New Roman" w:eastAsia="Times New Roman" w:hAnsi="Times New Roman"/>
                <w:sz w:val="17"/>
                <w:szCs w:val="17"/>
                <w:color w:val="0000FF"/>
              </w:rPr>
              <w:t>12/08/2020</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jc w:val="right"/>
              <w:ind w:right="127"/>
              <w:spacing w:after="0"/>
              <w:rPr>
                <w:sz w:val="20"/>
                <w:szCs w:val="20"/>
                <w:color w:val="auto"/>
              </w:rPr>
            </w:pPr>
            <w:r>
              <w:rPr>
                <w:rFonts w:ascii="Times New Roman" w:cs="Times New Roman" w:eastAsia="Times New Roman" w:hAnsi="Times New Roman"/>
                <w:sz w:val="17"/>
                <w:szCs w:val="17"/>
                <w:color w:val="0000FF"/>
              </w:rPr>
              <w:t>18,030</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18,030</w:t>
            </w:r>
          </w:p>
        </w:tc>
        <w:tc>
          <w:tcPr>
            <w:tcW w:w="900" w:type="dxa"/>
            <w:vAlign w:val="bottom"/>
            <w:vMerge w:val="restart"/>
          </w:tcPr>
          <w:p>
            <w:pPr>
              <w:jc w:val="center"/>
              <w:ind w:left="573"/>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1"/>
                <w:szCs w:val="21"/>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2180" w:type="dxa"/>
            <w:vAlign w:val="bottom"/>
            <w:gridSpan w:val="4"/>
            <w:vMerge w:val="continue"/>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top w:val="single" w:sz="8" w:color="2C2C2C"/>
            </w:tcBorders>
            <w:gridSpan w:val="4"/>
            <w:vMerge w:val="restart"/>
          </w:tcPr>
          <w:p>
            <w:pPr>
              <w:jc w:val="right"/>
              <w:ind w:right="637"/>
              <w:spacing w:after="0"/>
              <w:rPr>
                <w:sz w:val="20"/>
                <w:szCs w:val="20"/>
                <w:color w:val="auto"/>
              </w:rPr>
            </w:pPr>
            <w:r>
              <w:rPr>
                <w:rFonts w:ascii="Times New Roman" w:cs="Times New Roman" w:eastAsia="Times New Roman" w:hAnsi="Times New Roman"/>
                <w:sz w:val="17"/>
                <w:szCs w:val="17"/>
                <w:color w:val="0000FF"/>
              </w:rPr>
              <w:t>12/08/2020</w:t>
            </w: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tcBorders>
              <w:top w:val="single" w:sz="8" w:color="2C2C2C"/>
            </w:tcBorders>
            <w:vMerge w:val="restart"/>
          </w:tcPr>
          <w:p>
            <w:pPr>
              <w:jc w:val="right"/>
              <w:ind w:right="127"/>
              <w:spacing w:after="0"/>
              <w:rPr>
                <w:sz w:val="20"/>
                <w:szCs w:val="20"/>
                <w:color w:val="auto"/>
              </w:rPr>
            </w:pPr>
            <w:r>
              <w:rPr>
                <w:rFonts w:ascii="Times New Roman" w:cs="Times New Roman" w:eastAsia="Times New Roman" w:hAnsi="Times New Roman"/>
                <w:sz w:val="17"/>
                <w:szCs w:val="17"/>
                <w:color w:val="0000FF"/>
              </w:rPr>
              <w:t>19,230</w:t>
            </w:r>
          </w:p>
        </w:tc>
        <w:tc>
          <w:tcPr>
            <w:tcW w:w="48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top w:val="single" w:sz="8" w:color="2C2C2C"/>
            </w:tcBorders>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w:t>
            </w:r>
          </w:p>
        </w:tc>
        <w:tc>
          <w:tcPr>
            <w:tcW w:w="82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19,230</w:t>
            </w:r>
          </w:p>
        </w:tc>
        <w:tc>
          <w:tcPr>
            <w:tcW w:w="900" w:type="dxa"/>
            <w:vAlign w:val="bottom"/>
            <w:tcBorders>
              <w:top w:val="single" w:sz="8" w:color="2C2C2C"/>
            </w:tcBorders>
            <w:vMerge w:val="restart"/>
          </w:tcPr>
          <w:p>
            <w:pPr>
              <w:jc w:val="center"/>
              <w:ind w:left="573"/>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2180" w:type="dxa"/>
            <w:vAlign w:val="bottom"/>
            <w:gridSpan w:val="4"/>
            <w:vMerge w:val="continue"/>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top w:val="single" w:sz="8" w:color="2C2C2C"/>
            </w:tcBorders>
            <w:gridSpan w:val="4"/>
            <w:vMerge w:val="restart"/>
          </w:tcPr>
          <w:p>
            <w:pPr>
              <w:jc w:val="right"/>
              <w:ind w:right="637"/>
              <w:spacing w:after="0"/>
              <w:rPr>
                <w:sz w:val="20"/>
                <w:szCs w:val="20"/>
                <w:color w:val="auto"/>
              </w:rPr>
            </w:pPr>
            <w:r>
              <w:rPr>
                <w:rFonts w:ascii="Times New Roman" w:cs="Times New Roman" w:eastAsia="Times New Roman" w:hAnsi="Times New Roman"/>
                <w:sz w:val="17"/>
                <w:szCs w:val="17"/>
                <w:color w:val="0000FF"/>
              </w:rPr>
              <w:t>12/08/2020</w:t>
            </w: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tcBorders>
              <w:top w:val="single" w:sz="8" w:color="2C2C2C"/>
            </w:tcBorders>
            <w:vMerge w:val="restart"/>
          </w:tcPr>
          <w:p>
            <w:pPr>
              <w:jc w:val="right"/>
              <w:ind w:right="127"/>
              <w:spacing w:after="0"/>
              <w:rPr>
                <w:sz w:val="20"/>
                <w:szCs w:val="20"/>
                <w:color w:val="auto"/>
              </w:rPr>
            </w:pPr>
            <w:r>
              <w:rPr>
                <w:rFonts w:ascii="Times New Roman" w:cs="Times New Roman" w:eastAsia="Times New Roman" w:hAnsi="Times New Roman"/>
                <w:sz w:val="17"/>
                <w:szCs w:val="17"/>
                <w:color w:val="0000FF"/>
              </w:rPr>
              <w:t>12,190</w:t>
            </w:r>
          </w:p>
        </w:tc>
        <w:tc>
          <w:tcPr>
            <w:tcW w:w="48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top w:val="single" w:sz="8" w:color="2C2C2C"/>
            </w:tcBorders>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w:t>
            </w:r>
          </w:p>
        </w:tc>
        <w:tc>
          <w:tcPr>
            <w:tcW w:w="82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12,190</w:t>
            </w:r>
          </w:p>
        </w:tc>
        <w:tc>
          <w:tcPr>
            <w:tcW w:w="900" w:type="dxa"/>
            <w:vAlign w:val="bottom"/>
            <w:tcBorders>
              <w:top w:val="single" w:sz="8" w:color="2C2C2C"/>
            </w:tcBorders>
            <w:vMerge w:val="restart"/>
          </w:tcPr>
          <w:p>
            <w:pPr>
              <w:jc w:val="center"/>
              <w:ind w:left="573"/>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2180" w:type="dxa"/>
            <w:vAlign w:val="bottom"/>
            <w:gridSpan w:val="4"/>
            <w:vMerge w:val="continue"/>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top w:val="single" w:sz="8" w:color="2C2C2C"/>
            </w:tcBorders>
            <w:gridSpan w:val="4"/>
            <w:vMerge w:val="restart"/>
          </w:tcPr>
          <w:p>
            <w:pPr>
              <w:jc w:val="right"/>
              <w:ind w:right="637"/>
              <w:spacing w:after="0"/>
              <w:rPr>
                <w:sz w:val="20"/>
                <w:szCs w:val="20"/>
                <w:color w:val="auto"/>
              </w:rPr>
            </w:pPr>
            <w:r>
              <w:rPr>
                <w:rFonts w:ascii="Times New Roman" w:cs="Times New Roman" w:eastAsia="Times New Roman" w:hAnsi="Times New Roman"/>
                <w:sz w:val="17"/>
                <w:szCs w:val="17"/>
                <w:color w:val="0000FF"/>
              </w:rPr>
              <w:t>12/08/2020</w:t>
            </w: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tcBorders>
              <w:top w:val="single" w:sz="8" w:color="2C2C2C"/>
            </w:tcBorders>
            <w:vMerge w:val="restart"/>
          </w:tcPr>
          <w:p>
            <w:pPr>
              <w:jc w:val="right"/>
              <w:ind w:right="127"/>
              <w:spacing w:after="0"/>
              <w:rPr>
                <w:sz w:val="20"/>
                <w:szCs w:val="20"/>
                <w:color w:val="auto"/>
              </w:rPr>
            </w:pPr>
            <w:r>
              <w:rPr>
                <w:rFonts w:ascii="Times New Roman" w:cs="Times New Roman" w:eastAsia="Times New Roman" w:hAnsi="Times New Roman"/>
                <w:sz w:val="17"/>
                <w:szCs w:val="17"/>
                <w:color w:val="0000FF"/>
              </w:rPr>
              <w:t>21,310</w:t>
            </w:r>
          </w:p>
        </w:tc>
        <w:tc>
          <w:tcPr>
            <w:tcW w:w="48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top w:val="single" w:sz="8" w:color="2C2C2C"/>
            </w:tcBorders>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w:t>
            </w:r>
          </w:p>
        </w:tc>
        <w:tc>
          <w:tcPr>
            <w:tcW w:w="82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21,310</w:t>
            </w:r>
          </w:p>
        </w:tc>
        <w:tc>
          <w:tcPr>
            <w:tcW w:w="900" w:type="dxa"/>
            <w:vAlign w:val="bottom"/>
            <w:tcBorders>
              <w:top w:val="single" w:sz="8" w:color="2C2C2C"/>
            </w:tcBorders>
            <w:vMerge w:val="restart"/>
          </w:tcPr>
          <w:p>
            <w:pPr>
              <w:jc w:val="center"/>
              <w:ind w:left="573"/>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2180" w:type="dxa"/>
            <w:vAlign w:val="bottom"/>
            <w:gridSpan w:val="4"/>
            <w:vMerge w:val="continue"/>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top w:val="single" w:sz="8" w:color="2C2C2C"/>
            </w:tcBorders>
            <w:gridSpan w:val="4"/>
            <w:vMerge w:val="restart"/>
          </w:tcPr>
          <w:p>
            <w:pPr>
              <w:jc w:val="right"/>
              <w:ind w:right="637"/>
              <w:spacing w:after="0"/>
              <w:rPr>
                <w:sz w:val="20"/>
                <w:szCs w:val="20"/>
                <w:color w:val="auto"/>
              </w:rPr>
            </w:pPr>
            <w:r>
              <w:rPr>
                <w:rFonts w:ascii="Times New Roman" w:cs="Times New Roman" w:eastAsia="Times New Roman" w:hAnsi="Times New Roman"/>
                <w:sz w:val="17"/>
                <w:szCs w:val="17"/>
                <w:color w:val="0000FF"/>
              </w:rPr>
              <w:t>12/08/2020</w:t>
            </w: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tcBorders>
              <w:top w:val="single" w:sz="8" w:color="2C2C2C"/>
            </w:tcBorders>
            <w:vMerge w:val="restart"/>
          </w:tcPr>
          <w:p>
            <w:pPr>
              <w:jc w:val="right"/>
              <w:ind w:right="127"/>
              <w:spacing w:after="0"/>
              <w:rPr>
                <w:sz w:val="20"/>
                <w:szCs w:val="20"/>
                <w:color w:val="auto"/>
              </w:rPr>
            </w:pPr>
            <w:r>
              <w:rPr>
                <w:rFonts w:ascii="Times New Roman" w:cs="Times New Roman" w:eastAsia="Times New Roman" w:hAnsi="Times New Roman"/>
                <w:sz w:val="17"/>
                <w:szCs w:val="17"/>
                <w:color w:val="0000FF"/>
              </w:rPr>
              <w:t>22,620</w:t>
            </w:r>
          </w:p>
        </w:tc>
        <w:tc>
          <w:tcPr>
            <w:tcW w:w="48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top w:val="single" w:sz="8" w:color="2C2C2C"/>
            </w:tcBorders>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w:t>
            </w:r>
          </w:p>
        </w:tc>
        <w:tc>
          <w:tcPr>
            <w:tcW w:w="82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22,620</w:t>
            </w:r>
          </w:p>
        </w:tc>
        <w:tc>
          <w:tcPr>
            <w:tcW w:w="900" w:type="dxa"/>
            <w:vAlign w:val="bottom"/>
            <w:tcBorders>
              <w:top w:val="single" w:sz="8" w:color="2C2C2C"/>
            </w:tcBorders>
            <w:vMerge w:val="restart"/>
          </w:tcPr>
          <w:p>
            <w:pPr>
              <w:jc w:val="center"/>
              <w:ind w:left="573"/>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2180" w:type="dxa"/>
            <w:vAlign w:val="bottom"/>
            <w:gridSpan w:val="4"/>
            <w:vMerge w:val="continue"/>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jc w:val="center"/>
              <w:ind w:right="8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4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4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77"/>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Date</w:t>
            </w:r>
          </w:p>
        </w:tc>
        <w:tc>
          <w:tcPr>
            <w:tcW w:w="8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vMerge w:val="continue"/>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-4436110</wp:posOffset>
            </wp:positionV>
            <wp:extent cx="7031355" cy="4476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47611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held of record by funds (the "Funds") managed by Maverick Capital, Ltd. Maverick Capital Management, LLC is the general partner of Maverick Capital Ltd. The Reporting Person is the manager of Maverick Capital Management, LLC. The Reporting Person disclaims beneficial ownership of the reported securities held of record by the Funds except to the extent of any pecuniary interest therein.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Maverick Fund II, Ltd.</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Maverick Fund, L.D.C.</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Maverick Long Fund, Ltd.</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Maverick Long Enhanced Fund, Ltd.</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Maverick Fund USA, Ltd.</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Gurevich,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38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of attorney for Lee S. Ainslee</w:t>
        <w:tab/>
        <w:t>12/31/2020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98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86654" TargetMode="External"/><Relationship Id="rId14"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2020-12-31T19:19:28Z</dcterms:created>
  <dcterms:modified xsi:type="dcterms:W3CDTF">2020-12-31T19:19:28Z</dcterms:modified>
</cp:coreProperties>
</file>