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w:t>
      </w:r>
    </w:p>
    <w:p>
      <w:pPr>
        <w:pStyle w:val="TextBody"/>
        <w:spacing w:lineRule="auto" w:line="288" w:before="0" w:after="0"/>
        <w:jc w:val="center"/>
        <w:rPr>
          <w:rFonts w:ascii="Arial;sans-serif" w:hAnsi="Arial;sans-serif"/>
          <w:b/>
          <w:color w:val="000000"/>
          <w:sz w:val="40"/>
        </w:rPr>
      </w:pPr>
      <w:r>
        <w:rPr>
          <w:rFonts w:ascii="Arial;sans-serif" w:hAnsi="Arial;sans-serif"/>
          <w:b/>
          <w:color w:val="000000"/>
          <w:sz w:val="40"/>
        </w:rPr>
        <w:t>SCHEDULE 14A</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PROXY STATEMENT PURSUANT TO SECTION 14(a) OF THE</w: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SECURITIES EXCHANGE ACT OF 1934</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w:t>
      </w:r>
    </w:p>
    <w:p>
      <w:pPr>
        <w:pStyle w:val="TextBody"/>
        <w:spacing w:lineRule="auto" w:line="288" w:before="0" w:after="0"/>
        <w:rPr/>
      </w:pPr>
      <w:r>
        <w:rPr>
          <w:rFonts w:ascii="Arial;sans-serif" w:hAnsi="Arial;sans-serif"/>
          <w:b w:val="false"/>
          <w:color w:val="000000"/>
          <w:sz w:val="18"/>
        </w:rPr>
        <w:t xml:space="preserve">Filed by the Registrant </w:t>
      </w:r>
      <w:r>
        <w:rPr>
          <w:rFonts w:ascii="Wingdings;sans-serif" w:hAnsi="Wingdings;sans-serif"/>
          <w:b w:val="false"/>
          <w:color w:val="000000"/>
          <w:sz w:val="18"/>
        </w:rPr>
        <w:t>x</w:t>
      </w:r>
    </w:p>
    <w:p>
      <w:pPr>
        <w:pStyle w:val="TextBody"/>
        <w:spacing w:lineRule="auto" w:line="288" w:before="0" w:after="0"/>
        <w:rPr/>
      </w:pPr>
      <w:r>
        <w:rPr>
          <w:rFonts w:ascii="Arial;sans-serif" w:hAnsi="Arial;sans-serif"/>
          <w:b w:val="false"/>
          <w:color w:val="000000"/>
          <w:sz w:val="18"/>
        </w:rPr>
        <w:t xml:space="preserve">Filed by a Party other than the Registrant </w:t>
      </w:r>
      <w:r>
        <w:rPr>
          <w:rFonts w:ascii="Wingdings;sans-serif" w:hAnsi="Wingdings;sans-serif"/>
          <w:b w:val="false"/>
          <w:color w:val="000000"/>
          <w:sz w:val="18"/>
        </w:rPr>
        <w:t>o</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Check the appropriate box:</w:t>
      </w:r>
    </w:p>
    <w:p>
      <w:pPr>
        <w:pStyle w:val="TextBody"/>
        <w:spacing w:lineRule="auto" w:line="288" w:before="0" w:after="0"/>
        <w:rPr/>
      </w:pPr>
      <w:r>
        <w:rPr>
          <w:rFonts w:ascii="Wingdings;sans-serif" w:hAnsi="Wingdings;sans-serif"/>
          <w:b w:val="false"/>
          <w:color w:val="000000"/>
          <w:sz w:val="18"/>
        </w:rPr>
        <w:t>o</w:t>
      </w:r>
      <w:r>
        <w:rPr>
          <w:color w:val="000000"/>
        </w:rPr>
        <w:t>    </w:t>
      </w:r>
      <w:r>
        <w:rPr>
          <w:rFonts w:ascii="Arial;sans-serif" w:hAnsi="Arial;sans-serif"/>
          <w:b w:val="false"/>
          <w:color w:val="000000"/>
          <w:sz w:val="18"/>
        </w:rPr>
        <w:t xml:space="preserve">Preliminary Proxy Statement </w:t>
      </w:r>
    </w:p>
    <w:p>
      <w:pPr>
        <w:pStyle w:val="TextBody"/>
        <w:spacing w:lineRule="auto" w:line="288" w:before="0" w:after="0"/>
        <w:rPr/>
      </w:pPr>
      <w:r>
        <w:rPr>
          <w:rFonts w:ascii="Wingdings;sans-serif" w:hAnsi="Wingdings;sans-serif"/>
          <w:b w:val="false"/>
          <w:color w:val="000000"/>
          <w:sz w:val="18"/>
        </w:rPr>
        <w:t>o</w:t>
      </w:r>
      <w:r>
        <w:rPr>
          <w:color w:val="000000"/>
        </w:rPr>
        <w:t>    </w:t>
      </w:r>
      <w:r>
        <w:rPr>
          <w:rFonts w:ascii="Arial;sans-serif" w:hAnsi="Arial;sans-serif"/>
          <w:b w:val="false"/>
          <w:color w:val="000000"/>
          <w:sz w:val="18"/>
        </w:rPr>
        <w:t>Confidential, for Use of the Commission Only (as permitted by Rule 14a-6(e)(2))</w:t>
      </w:r>
    </w:p>
    <w:p>
      <w:pPr>
        <w:pStyle w:val="TextBody"/>
        <w:spacing w:lineRule="auto" w:line="288" w:before="0" w:after="0"/>
        <w:rPr/>
      </w:pPr>
      <w:r>
        <w:rPr>
          <w:rFonts w:ascii="Wingdings;sans-serif" w:hAnsi="Wingdings;sans-serif"/>
          <w:b w:val="false"/>
          <w:color w:val="000000"/>
          <w:sz w:val="18"/>
        </w:rPr>
        <w:t>o</w:t>
      </w:r>
      <w:r>
        <w:rPr>
          <w:color w:val="000000"/>
        </w:rPr>
        <w:t>    </w:t>
      </w:r>
      <w:r>
        <w:rPr>
          <w:rFonts w:ascii="Arial;sans-serif" w:hAnsi="Arial;sans-serif"/>
          <w:b w:val="false"/>
          <w:color w:val="000000"/>
          <w:sz w:val="18"/>
        </w:rPr>
        <w:t>Definitive Proxy Statement</w:t>
      </w:r>
    </w:p>
    <w:p>
      <w:pPr>
        <w:pStyle w:val="TextBody"/>
        <w:spacing w:lineRule="auto" w:line="288" w:before="0" w:after="0"/>
        <w:rPr/>
      </w:pPr>
      <w:r>
        <w:rPr>
          <w:rFonts w:ascii="Wingdings;sans-serif" w:hAnsi="Wingdings;sans-serif"/>
          <w:b w:val="false"/>
          <w:color w:val="000000"/>
          <w:sz w:val="18"/>
        </w:rPr>
        <w:t>x</w:t>
      </w:r>
      <w:r>
        <w:rPr>
          <w:color w:val="000000"/>
        </w:rPr>
        <w:t>    </w:t>
      </w:r>
      <w:r>
        <w:rPr>
          <w:rFonts w:ascii="Arial;sans-serif" w:hAnsi="Arial;sans-serif"/>
          <w:b w:val="false"/>
          <w:color w:val="000000"/>
          <w:sz w:val="18"/>
        </w:rPr>
        <w:t>Definitive Additional Materials</w:t>
      </w:r>
    </w:p>
    <w:p>
      <w:pPr>
        <w:pStyle w:val="TextBody"/>
        <w:spacing w:lineRule="auto" w:line="288" w:before="0" w:after="0"/>
        <w:rPr/>
      </w:pPr>
      <w:r>
        <w:rPr>
          <w:rFonts w:ascii="Wingdings;sans-serif" w:hAnsi="Wingdings;sans-serif"/>
          <w:b w:val="false"/>
          <w:color w:val="000000"/>
          <w:sz w:val="18"/>
        </w:rPr>
        <w:t>o</w:t>
      </w:r>
      <w:r>
        <w:rPr>
          <w:color w:val="000000"/>
        </w:rPr>
        <w:t>    </w:t>
      </w:r>
      <w:r>
        <w:rPr>
          <w:rFonts w:ascii="Arial;sans-serif" w:hAnsi="Arial;sans-serif"/>
          <w:b w:val="false"/>
          <w:color w:val="000000"/>
          <w:sz w:val="18"/>
        </w:rPr>
        <w:t>Soliciting Material Pursuant to §240.14a-11(c) or §240.14a-2</w:t>
      </w:r>
    </w:p>
    <w:tbl>
      <w:tblPr>
        <w:tblW w:w="4200" w:type="dxa"/>
        <w:jc w:val="left"/>
        <w:tblInd w:w="0" w:type="dxa"/>
        <w:tblCellMar>
          <w:top w:w="28" w:type="dxa"/>
          <w:left w:w="28" w:type="dxa"/>
          <w:bottom w:w="28" w:type="dxa"/>
          <w:right w:w="28" w:type="dxa"/>
        </w:tblCellMar>
      </w:tblPr>
      <w:tblGrid>
        <w:gridCol w:w="1344"/>
        <w:gridCol w:w="1181"/>
        <w:gridCol w:w="1675"/>
      </w:tblGrid>
      <w:tr>
        <w:trPr/>
        <w:tc>
          <w:tcPr>
            <w:tcW w:w="1344"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44"/>
              </w:rPr>
            </w:pPr>
            <w:r>
              <w:rPr>
                <w:rFonts w:ascii="Arial;sans-serif" w:hAnsi="Arial;sans-serif"/>
                <w:b/>
                <w:color w:val="000000"/>
                <w:sz w:val="44"/>
              </w:rPr>
              <w:t>Seer, Inc.</w:t>
            </w:r>
          </w:p>
        </w:tc>
      </w:tr>
      <w:tr>
        <w:trPr/>
        <w:tc>
          <w:tcPr>
            <w:tcW w:w="4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(Name of Registrant as Specified In Its Charter)</w:t>
            </w:r>
          </w:p>
        </w:tc>
      </w:tr>
    </w:tbl>
    <w:p>
      <w:pPr>
        <w:pStyle w:val="TextBody"/>
        <w:spacing w:lineRule="auto" w:line="288" w:before="160" w:after="283"/>
        <w:rPr>
          <w:rFonts w:ascii="Arial;sans-serif" w:hAnsi="Arial;sans-serif"/>
          <w:b w:val="false"/>
          <w:color w:val="000000"/>
          <w:sz w:val="18"/>
        </w:rPr>
      </w:pPr>
      <w:r>
        <w:rPr>
          <w:rFonts w:ascii="Arial;sans-serif" w:hAnsi="Arial;sans-serif"/>
          <w:b w:val="false"/>
          <w:color w:val="000000"/>
          <w:sz w:val="18"/>
        </w:rPr>
        <w:t>Payment of Filing Fee (Check the appropriate box):</w:t>
      </w:r>
    </w:p>
    <w:tbl>
      <w:tblPr>
        <w:tblW w:w="10205" w:type="dxa"/>
        <w:jc w:val="left"/>
        <w:tblInd w:w="0" w:type="dxa"/>
        <w:tblCellMar>
          <w:top w:w="28" w:type="dxa"/>
          <w:left w:w="28" w:type="dxa"/>
          <w:bottom w:w="28" w:type="dxa"/>
          <w:right w:w="28" w:type="dxa"/>
        </w:tblCellMar>
      </w:tblPr>
      <w:tblGrid>
        <w:gridCol w:w="124"/>
        <w:gridCol w:w="109"/>
        <w:gridCol w:w="109"/>
        <w:gridCol w:w="603"/>
        <w:gridCol w:w="550"/>
        <w:gridCol w:w="550"/>
        <w:gridCol w:w="2662"/>
        <w:gridCol w:w="2270"/>
        <w:gridCol w:w="322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662" w:type="dxa"/>
            <w:tcBorders/>
            <w:shd w:fill="auto" w:val="clear"/>
            <w:vAlign w:val="center"/>
          </w:tcPr>
          <w:p>
            <w:pPr>
              <w:pStyle w:val="TableContents"/>
              <w:spacing w:before="0" w:after="283"/>
              <w:rPr>
                <w:sz w:val="4"/>
                <w:szCs w:val="4"/>
              </w:rPr>
            </w:pPr>
            <w:r>
              <w:rPr>
                <w:sz w:val="4"/>
                <w:szCs w:val="4"/>
              </w:rPr>
            </w:r>
          </w:p>
        </w:tc>
        <w:tc>
          <w:tcPr>
            <w:tcW w:w="2270" w:type="dxa"/>
            <w:tcBorders/>
            <w:shd w:fill="auto" w:val="clear"/>
            <w:vAlign w:val="center"/>
          </w:tcPr>
          <w:p>
            <w:pPr>
              <w:pStyle w:val="TableContents"/>
              <w:spacing w:before="0" w:after="283"/>
              <w:rPr>
                <w:sz w:val="4"/>
                <w:szCs w:val="4"/>
              </w:rPr>
            </w:pPr>
            <w:r>
              <w:rPr>
                <w:sz w:val="4"/>
                <w:szCs w:val="4"/>
              </w:rPr>
            </w:r>
          </w:p>
        </w:tc>
        <w:tc>
          <w:tcPr>
            <w:tcW w:w="322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computed on table below per Exchange Act Rules 14a-6(i)(1) and 0-11.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8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 of each class of securities to which transaction applies: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8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Aggregate number of securities to which transaction applies: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8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 unit price or other underlying value of transaction computed pursuant to Exchange Act Rule 0-11 (set forth the amount on which the filing fee is calculated and state how it was determined):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8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Proposed maximum aggregate value of transaction: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w:t>
            </w:r>
          </w:p>
        </w:tc>
        <w:tc>
          <w:tcPr>
            <w:tcW w:w="81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fee paid: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863" w:type="dxa"/>
            <w:gridSpan w:val="6"/>
            <w:tcBorders/>
            <w:shd w:fill="auto" w:val="clear"/>
            <w:tcMar>
              <w:top w:w="0" w:type="dxa"/>
              <w:left w:w="0" w:type="dxa"/>
              <w:bottom w:w="0" w:type="dxa"/>
              <w:right w:w="0" w:type="dxa"/>
            </w:tcMar>
            <w:vAlign w:val="center"/>
          </w:tcPr>
          <w:p>
            <w:pPr>
              <w:pStyle w:val="TableContents"/>
              <w:spacing w:lineRule="auto" w:line="242" w:before="0" w:after="283"/>
              <w:jc w:val="left"/>
              <w:rPr>
                <w:rFonts w:ascii="Arial;sans-serif" w:hAnsi="Arial;sans-serif"/>
                <w:b w:val="false"/>
                <w:color w:val="000000"/>
                <w:sz w:val="18"/>
              </w:rPr>
            </w:pPr>
            <w:r>
              <w:rPr>
                <w:rFonts w:ascii="Arial;sans-serif" w:hAnsi="Arial;sans-serif"/>
                <w:b w:val="false"/>
                <w:color w:val="000000"/>
                <w:sz w:val="18"/>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w:t>
            </w:r>
          </w:p>
        </w:tc>
        <w:tc>
          <w:tcPr>
            <w:tcW w:w="8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Previously Paid: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w:t>
            </w:r>
          </w:p>
        </w:tc>
        <w:tc>
          <w:tcPr>
            <w:tcW w:w="8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 Schedule or Registration Statement No.: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w:t>
            </w:r>
          </w:p>
        </w:tc>
        <w:tc>
          <w:tcPr>
            <w:tcW w:w="8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Filing Party: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w:t>
            </w:r>
          </w:p>
        </w:tc>
        <w:tc>
          <w:tcPr>
            <w:tcW w:w="81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Filed:</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April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rPr/>
      </w:pPr>
      <w:r>
        <w:rPr/>
        <w:drawing>
          <wp:inline distT="0" distB="63500" distL="0" distR="0">
            <wp:extent cx="6496050" cy="82296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496050" cy="8229600"/>
                    </a:xfrm>
                    <a:prstGeom prst="rect">
                      <a:avLst/>
                    </a:prstGeom>
                  </pic:spPr>
                </pic:pic>
              </a:graphicData>
            </a:graphic>
          </wp:inline>
        </w:drawing>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rPr/>
      </w:pPr>
      <w:r>
        <w:rPr/>
        <w:drawing>
          <wp:inline distT="0" distB="63500" distL="0" distR="0">
            <wp:extent cx="6572250" cy="80867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572250" cy="8086725"/>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253</Words>
  <CharactersWithSpaces>1596</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