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Horn David R.</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SEER,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10/04/2024</w:t>
      </w:r>
    </w:p>
    <w:p>
      <w:pPr>
        <w:spacing w:after="0" w:line="20" w:lineRule="exact"/>
        <w:rPr>
          <w:sz w:val="24"/>
          <w:szCs w:val="24"/>
          <w:color w:val="auto"/>
        </w:rPr>
      </w:pPr>
      <w:r>
        <w:rPr>
          <w:sz w:val="24"/>
          <w:szCs w:val="24"/>
          <w:color w:val="auto"/>
        </w:rPr>
        <w:br w:type="column"/>
      </w:r>
    </w:p>
    <w:p>
      <w:pPr>
        <w:ind w:left="5" w:right="720" w:hanging="5"/>
        <w:spacing w:after="0" w:line="27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6"/>
          <w:szCs w:val="16"/>
          <w:color w:val="0000FF"/>
        </w:rPr>
        <w:t>President &amp; CFO</w:t>
      </w:r>
    </w:p>
    <w:p>
      <w:pPr>
        <w:spacing w:after="0" w:line="57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42"/>
        </w:trPr>
        <w:tc>
          <w:tcPr>
            <w:tcW w:w="20" w:type="dxa"/>
            <w:vAlign w:val="bottom"/>
            <w:vMerge w:val="restart"/>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restart"/>
          </w:tcPr>
          <w:p>
            <w:pPr>
              <w:jc w:val="center"/>
              <w:ind w:right="299"/>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36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94065</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60" w:type="dxa"/>
            <w:vAlign w:val="bottom"/>
            <w:tcBorders>
              <w:bottom w:val="single" w:sz="8" w:color="2C2C2C"/>
            </w:tcBorders>
            <w:gridSpan w:val="10"/>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25"/>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25"/>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566,460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566,460</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04/01/2030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566,460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566,460</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04/01/2030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566,460</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140,662</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140,662</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07/28/2030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140,662</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140,662</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07/28/2030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140,662</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w w:val="99"/>
              </w:rPr>
              <w:t>87</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87</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87</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21"/>
              <w:spacing w:after="0" w:line="137" w:lineRule="exact"/>
              <w:rPr>
                <w:sz w:val="20"/>
                <w:szCs w:val="20"/>
                <w:color w:val="auto"/>
              </w:rPr>
            </w:pPr>
            <w:r>
              <w:rPr>
                <w:rFonts w:ascii="Times New Roman" w:cs="Times New Roman" w:eastAsia="Times New Roman" w:hAnsi="Times New Roman"/>
                <w:sz w:val="12"/>
                <w:szCs w:val="12"/>
                <w:color w:val="0000FF"/>
                <w:w w:val="99"/>
              </w:rPr>
              <w:t>87</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3.47</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w w:val="99"/>
              </w:rPr>
              <w:t>20</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2"/>
                <w:szCs w:val="12"/>
                <w:color w:val="0000FF"/>
              </w:rPr>
              <w:t>20</w:t>
            </w: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08/21/2030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21"/>
              <w:spacing w:after="0" w:line="137" w:lineRule="exact"/>
              <w:rPr>
                <w:sz w:val="20"/>
                <w:szCs w:val="20"/>
                <w:color w:val="auto"/>
              </w:rPr>
            </w:pPr>
            <w:r>
              <w:rPr>
                <w:rFonts w:ascii="Times New Roman" w:cs="Times New Roman" w:eastAsia="Times New Roman" w:hAnsi="Times New Roman"/>
                <w:sz w:val="12"/>
                <w:szCs w:val="12"/>
                <w:color w:val="0000FF"/>
                <w:w w:val="99"/>
              </w:rPr>
              <w:t>20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135,100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(2)(3)</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line="137" w:lineRule="exact"/>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19</w:t>
            </w:r>
          </w:p>
        </w:tc>
        <w:tc>
          <w:tcPr>
            <w:tcW w:w="12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10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tcPr>
          <w:p>
            <w:pPr>
              <w:jc w:val="center"/>
              <w:ind w:right="39"/>
              <w:spacing w:after="0" w:line="137" w:lineRule="exact"/>
              <w:rPr>
                <w:sz w:val="20"/>
                <w:szCs w:val="20"/>
                <w:color w:val="auto"/>
              </w:rPr>
            </w:pPr>
            <w:r>
              <w:rPr>
                <w:rFonts w:ascii="Times New Roman" w:cs="Times New Roman" w:eastAsia="Times New Roman" w:hAnsi="Times New Roman"/>
                <w:sz w:val="12"/>
                <w:szCs w:val="12"/>
                <w:color w:val="0000FF"/>
              </w:rPr>
              <w:t>135,100</w:t>
            </w:r>
          </w:p>
        </w:tc>
        <w:tc>
          <w:tcPr>
            <w:tcW w:w="740" w:type="dxa"/>
            <w:vAlign w:val="bottom"/>
            <w:vMerge w:val="continue"/>
          </w:tcPr>
          <w:p>
            <w:pPr>
              <w:spacing w:after="0"/>
              <w:rPr>
                <w:sz w:val="11"/>
                <w:szCs w:val="11"/>
                <w:color w:val="auto"/>
              </w:rPr>
            </w:pPr>
          </w:p>
        </w:tc>
        <w:tc>
          <w:tcPr>
            <w:tcW w:w="6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12/02/2030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jc w:val="center"/>
              <w:ind w:left="241"/>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-5902960</wp:posOffset>
            </wp:positionV>
            <wp:extent cx="28575" cy="6172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617220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4877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9135" cy="4877435"/>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135,100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135,100</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12/02/2030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135,100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34,125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60.15</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11"/>
                <w:szCs w:val="11"/>
                <w:color w:val="auto"/>
              </w:rPr>
            </w:pPr>
          </w:p>
        </w:tc>
        <w:tc>
          <w:tcPr>
            <w:tcW w:w="4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34,125</w:t>
            </w: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01/31/2031</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34,125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34,125</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01/31/2031</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34,125</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124,000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16.61</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11"/>
                <w:szCs w:val="11"/>
                <w:color w:val="auto"/>
              </w:rPr>
            </w:pPr>
          </w:p>
        </w:tc>
        <w:tc>
          <w:tcPr>
            <w:tcW w:w="480" w:type="dxa"/>
            <w:vAlign w:val="bottom"/>
          </w:tcPr>
          <w:p>
            <w:pPr>
              <w:jc w:val="center"/>
              <w:ind w:right="19"/>
              <w:spacing w:after="0" w:line="137" w:lineRule="exact"/>
              <w:rPr>
                <w:sz w:val="20"/>
                <w:szCs w:val="20"/>
                <w:color w:val="auto"/>
              </w:rPr>
            </w:pPr>
            <w:r>
              <w:rPr>
                <w:rFonts w:ascii="Times New Roman" w:cs="Times New Roman" w:eastAsia="Times New Roman" w:hAnsi="Times New Roman"/>
                <w:sz w:val="12"/>
                <w:szCs w:val="12"/>
                <w:color w:val="0000FF"/>
              </w:rPr>
              <w:t>124,000</w:t>
            </w: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02/08/2032</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124,000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(2)(3)</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124,000</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02/08/2032</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124,000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(2)(8)</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11"/>
                <w:szCs w:val="11"/>
                <w:color w:val="auto"/>
              </w:rPr>
            </w:pPr>
          </w:p>
        </w:tc>
        <w:tc>
          <w:tcPr>
            <w:tcW w:w="480" w:type="dxa"/>
            <w:vAlign w:val="bottom"/>
          </w:tcPr>
          <w:p>
            <w:pPr>
              <w:jc w:val="center"/>
              <w:ind w:right="19"/>
              <w:spacing w:after="0" w:line="137" w:lineRule="exact"/>
              <w:rPr>
                <w:sz w:val="20"/>
                <w:szCs w:val="20"/>
                <w:color w:val="auto"/>
              </w:rPr>
            </w:pPr>
            <w:r>
              <w:rPr>
                <w:rFonts w:ascii="Times New Roman" w:cs="Times New Roman" w:eastAsia="Times New Roman" w:hAnsi="Times New Roman"/>
                <w:sz w:val="12"/>
                <w:szCs w:val="12"/>
                <w:color w:val="0000FF"/>
              </w:rPr>
              <w:t>140,000</w:t>
            </w: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02/15/2030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140,000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(2)(8)</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10/04/2024</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140,000</w:t>
            </w:r>
          </w:p>
        </w:tc>
        <w:tc>
          <w:tcPr>
            <w:tcW w:w="4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02/15/2030</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140,000</w:t>
            </w:r>
          </w:p>
        </w:tc>
        <w:tc>
          <w:tcPr>
            <w:tcW w:w="7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underlying the option are fully vested are immediately exercisable.</w:t>
      </w:r>
    </w:p>
    <w:p>
      <w:pPr>
        <w:spacing w:after="0" w:line="48" w:lineRule="exact"/>
        <w:rPr>
          <w:rFonts w:ascii="Times New Roman" w:cs="Times New Roman" w:eastAsia="Times New Roman" w:hAnsi="Times New Roman"/>
          <w:sz w:val="12"/>
          <w:szCs w:val="12"/>
          <w:color w:val="008000"/>
        </w:rPr>
      </w:pPr>
    </w:p>
    <w:p>
      <w:pPr>
        <w:ind w:left="20" w:right="46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October 4, 2024 (the "Effective Date"). The Option Repricing applies to nonstatutory options with exercise prices greater than $2.00 per share held by all continuing employees of the Issuer as of the Effective Date.</w:t>
      </w:r>
    </w:p>
    <w:p>
      <w:pPr>
        <w:ind w:left="20" w:right="180" w:hanging="3"/>
        <w:spacing w:after="0" w:line="248"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Option Repricing, the exercise price of the repriced options, including the reported option, has been amended to reduce the exercise price to $2.00 per share, the closing price of the Issuer's Class A common stock on the Effective Date. However, if an employee exercises a repriced option before the end of a "Retention Period" that begins on the Effective Date of the Option Repricing and ends on the earliest to occur of the following: (i) April 4, 2026; (ii) a Change in Control, as defined in the Issuer's Equity Incentive Plan, as amended (the "2020 Plan"); and (iii) the optionholder's death or Disability (as defined in the 2020 Plan), then the employee will be required to pay a premium exercise price that is equal to the original exercise price per share of such option. There was no change to the vesting schedules, expiration dates or number of shares underlying the repriced options.</w:t>
      </w:r>
    </w:p>
    <w:p>
      <w:pPr>
        <w:spacing w:after="0" w:line="20"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underlying the option vested on December 3, 2021 and the remaining shares vest in 36 equal monthly installments thereafter.</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underlying the option vested on February 1, 2022 and the remaining shares vest in 36 equal monthly installments thereafter.</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One-fourth of the shares underlying the option vested on February 8, 2023 and the remaining shares vest in 36 equal monthly installments thereafter.</w:t>
      </w:r>
    </w:p>
    <w:p>
      <w:pPr>
        <w:spacing w:after="0" w:line="48" w:lineRule="exact"/>
        <w:rPr>
          <w:rFonts w:ascii="Times New Roman" w:cs="Times New Roman" w:eastAsia="Times New Roman" w:hAnsi="Times New Roman"/>
          <w:sz w:val="12"/>
          <w:szCs w:val="12"/>
          <w:color w:val="008000"/>
        </w:rPr>
      </w:pPr>
    </w:p>
    <w:p>
      <w:pPr>
        <w:ind w:left="20" w:right="120" w:hanging="3"/>
        <w:spacing w:after="0" w:line="252"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"Original Stock Price Hurdle") which requires that the Issuer achieve a stock price equal to or greater than 150% of the option exercise price during the period beginning on the grant date and ending on February 15, 2030 (the "Original Performance Period"). If the Original Stock Price Hurdle is achieved within the Original Performance Period, then one-fourth of the shares subject to the option vest on the date that achievement of the Original Stock Price Hurdle is certified and the remaining shares vest annually thereafter in three equal installments.</w:t>
      </w:r>
    </w:p>
    <w:p>
      <w:pPr>
        <w:spacing w:after="0" w:line="17" w:lineRule="exact"/>
        <w:rPr>
          <w:rFonts w:ascii="Times New Roman" w:cs="Times New Roman" w:eastAsia="Times New Roman" w:hAnsi="Times New Roman"/>
          <w:sz w:val="12"/>
          <w:szCs w:val="12"/>
          <w:color w:val="008000"/>
        </w:rPr>
      </w:pPr>
    </w:p>
    <w:p>
      <w:pPr>
        <w:jc w:val="both"/>
        <w:ind w:left="20" w:right="300" w:hanging="3"/>
        <w:spacing w:after="0" w:line="259"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150% of the option exercise price during the period beginning on the Effective Date and ending on February 15, 2030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w:t>
      </w:r>
    </w:p>
    <w:p>
      <w:pPr>
        <w:spacing w:after="0" w:line="2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/s/ David Horn</w:t>
            </w:r>
          </w:p>
        </w:tc>
        <w:tc>
          <w:tcPr>
            <w:tcW w:w="124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10/07/2024</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4217"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2024-10-07T05:52:46Z</dcterms:created>
  <dcterms:modified xsi:type="dcterms:W3CDTF">2024-10-07T05:52:46Z</dcterms:modified>
</cp:coreProperties>
</file>