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285115</wp:posOffset>
            </wp:positionH>
            <wp:positionV relativeFrom="page">
              <wp:posOffset>1023620</wp:posOffset>
            </wp:positionV>
            <wp:extent cx="69862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17145"/>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997585</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jc w:val="center"/>
        <w:ind w:right="-73"/>
        <w:spacing w:after="0"/>
        <w:rPr>
          <w:sz w:val="20"/>
          <w:szCs w:val="20"/>
          <w:color w:val="auto"/>
        </w:rPr>
      </w:pPr>
      <w:r>
        <w:rPr>
          <w:rFonts w:ascii="Arial" w:cs="Arial" w:eastAsia="Arial" w:hAnsi="Arial"/>
          <w:sz w:val="29"/>
          <w:szCs w:val="29"/>
          <w:b w:val="1"/>
          <w:bCs w:val="1"/>
          <w:color w:val="auto"/>
        </w:rPr>
        <w:t>UNITED STATES</w:t>
      </w:r>
    </w:p>
    <w:p>
      <w:pPr>
        <w:spacing w:after="0" w:line="112" w:lineRule="exact"/>
        <w:rPr>
          <w:sz w:val="24"/>
          <w:szCs w:val="24"/>
          <w:color w:val="auto"/>
        </w:rPr>
      </w:pPr>
    </w:p>
    <w:p>
      <w:pPr>
        <w:jc w:val="center"/>
        <w:ind w:right="-73"/>
        <w:spacing w:after="0"/>
        <w:rPr>
          <w:sz w:val="20"/>
          <w:szCs w:val="20"/>
          <w:color w:val="auto"/>
        </w:rPr>
      </w:pPr>
      <w:r>
        <w:rPr>
          <w:rFonts w:ascii="Arial" w:cs="Arial" w:eastAsia="Arial" w:hAnsi="Arial"/>
          <w:sz w:val="29"/>
          <w:szCs w:val="29"/>
          <w:b w:val="1"/>
          <w:bCs w:val="1"/>
          <w:color w:val="auto"/>
        </w:rPr>
        <w:t>SECURITIES AND EXCHANGE COMMISSION</w:t>
      </w:r>
    </w:p>
    <w:p>
      <w:pPr>
        <w:spacing w:after="0" w:line="41" w:lineRule="exact"/>
        <w:rPr>
          <w:sz w:val="24"/>
          <w:szCs w:val="24"/>
          <w:color w:val="auto"/>
        </w:rPr>
      </w:pPr>
    </w:p>
    <w:p>
      <w:pPr>
        <w:jc w:val="center"/>
        <w:ind w:right="-73"/>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65405</wp:posOffset>
            </wp:positionV>
            <wp:extent cx="23056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66" w:lineRule="exact"/>
        <w:rPr>
          <w:sz w:val="24"/>
          <w:szCs w:val="24"/>
          <w:color w:val="auto"/>
        </w:rPr>
      </w:pPr>
    </w:p>
    <w:p>
      <w:pPr>
        <w:jc w:val="center"/>
        <w:ind w:right="-73"/>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40005</wp:posOffset>
            </wp:positionV>
            <wp:extent cx="23056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86" w:lineRule="exact"/>
        <w:rPr>
          <w:sz w:val="24"/>
          <w:szCs w:val="24"/>
          <w:color w:val="auto"/>
        </w:rPr>
      </w:pPr>
    </w:p>
    <w:p>
      <w:pPr>
        <w:jc w:val="center"/>
        <w:ind w:right="-73"/>
        <w:spacing w:after="0"/>
        <w:rPr>
          <w:sz w:val="20"/>
          <w:szCs w:val="20"/>
          <w:color w:val="auto"/>
        </w:rPr>
      </w:pPr>
      <w:r>
        <w:rPr>
          <w:rFonts w:ascii="Arial" w:cs="Arial" w:eastAsia="Arial" w:hAnsi="Arial"/>
          <w:sz w:val="22"/>
          <w:szCs w:val="22"/>
          <w:b w:val="1"/>
          <w:bCs w:val="1"/>
          <w:color w:val="auto"/>
        </w:rPr>
        <w:t>CURRENT REPORT</w:t>
      </w:r>
    </w:p>
    <w:p>
      <w:pPr>
        <w:spacing w:after="0" w:line="107"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17"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81" w:lineRule="exact"/>
        <w:rPr>
          <w:sz w:val="24"/>
          <w:szCs w:val="24"/>
          <w:color w:val="auto"/>
        </w:rPr>
      </w:pPr>
    </w:p>
    <w:p>
      <w:pPr>
        <w:jc w:val="center"/>
        <w:ind w:right="-73"/>
        <w:spacing w:after="0"/>
        <w:rPr>
          <w:sz w:val="20"/>
          <w:szCs w:val="20"/>
          <w:color w:val="auto"/>
        </w:rPr>
      </w:pPr>
      <w:r>
        <w:rPr>
          <w:rFonts w:ascii="Arial" w:cs="Arial" w:eastAsia="Arial" w:hAnsi="Arial"/>
          <w:sz w:val="22"/>
          <w:szCs w:val="22"/>
          <w:b w:val="1"/>
          <w:bCs w:val="1"/>
          <w:color w:val="auto"/>
        </w:rPr>
        <w:t>May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62230</wp:posOffset>
            </wp:positionV>
            <wp:extent cx="23056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62" w:lineRule="exact"/>
        <w:rPr>
          <w:sz w:val="24"/>
          <w:szCs w:val="24"/>
          <w:color w:val="auto"/>
        </w:rPr>
      </w:pPr>
    </w:p>
    <w:p>
      <w:pPr>
        <w:jc w:val="center"/>
        <w:ind w:right="-73"/>
        <w:spacing w:after="0"/>
        <w:rPr>
          <w:sz w:val="20"/>
          <w:szCs w:val="20"/>
          <w:color w:val="auto"/>
        </w:rPr>
      </w:pPr>
      <w:r>
        <w:rPr>
          <w:rFonts w:ascii="Arial" w:cs="Arial" w:eastAsia="Arial" w:hAnsi="Arial"/>
          <w:sz w:val="29"/>
          <w:szCs w:val="29"/>
          <w:b w:val="1"/>
          <w:bCs w:val="1"/>
          <w:color w:val="auto"/>
        </w:rPr>
        <w:t>Seer, Inc.</w:t>
      </w:r>
    </w:p>
    <w:p>
      <w:pPr>
        <w:spacing w:after="0" w:line="29"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22225</wp:posOffset>
            </wp:positionV>
            <wp:extent cx="23056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76" w:lineRule="exact"/>
        <w:rPr>
          <w:sz w:val="24"/>
          <w:szCs w:val="24"/>
          <w:color w:val="auto"/>
        </w:rPr>
      </w:pPr>
    </w:p>
    <w:tbl>
      <w:tblPr>
        <w:tblLayout w:type="fixed"/>
        <w:tblInd w:w="894" w:type="dxa"/>
        <w:tblCellMar>
          <w:top w:w="0" w:type="dxa"/>
          <w:left w:w="0" w:type="dxa"/>
          <w:bottom w:w="0" w:type="dxa"/>
          <w:right w:w="0" w:type="dxa"/>
        </w:tblCellMar>
      </w:tblPr>
      <w:tr>
        <w:trPr>
          <w:trHeight w:val="186"/>
        </w:trPr>
        <w:tc>
          <w:tcPr>
            <w:tcW w:w="3020" w:type="dxa"/>
            <w:vAlign w:val="bottom"/>
          </w:tcPr>
          <w:p>
            <w:pPr>
              <w:jc w:val="center"/>
              <w:ind w:right="1168"/>
              <w:spacing w:after="0"/>
              <w:rPr>
                <w:sz w:val="20"/>
                <w:szCs w:val="20"/>
                <w:color w:val="auto"/>
              </w:rPr>
            </w:pPr>
            <w:r>
              <w:rPr>
                <w:rFonts w:ascii="Arial" w:cs="Arial" w:eastAsia="Arial" w:hAnsi="Arial"/>
                <w:sz w:val="14"/>
                <w:szCs w:val="14"/>
                <w:b w:val="1"/>
                <w:bCs w:val="1"/>
                <w:color w:val="auto"/>
                <w:w w:val="94"/>
              </w:rPr>
              <w:t>Delaware</w:t>
            </w:r>
          </w:p>
        </w:tc>
        <w:tc>
          <w:tcPr>
            <w:tcW w:w="3460" w:type="dxa"/>
            <w:vAlign w:val="bottom"/>
          </w:tcPr>
          <w:p>
            <w:pPr>
              <w:jc w:val="center"/>
              <w:ind w:right="128"/>
              <w:spacing w:after="0"/>
              <w:rPr>
                <w:sz w:val="20"/>
                <w:szCs w:val="20"/>
                <w:color w:val="auto"/>
              </w:rPr>
            </w:pPr>
            <w:r>
              <w:rPr>
                <w:rFonts w:ascii="Arial" w:cs="Arial" w:eastAsia="Arial" w:hAnsi="Arial"/>
                <w:sz w:val="14"/>
                <w:szCs w:val="14"/>
                <w:b w:val="1"/>
                <w:bCs w:val="1"/>
                <w:color w:val="auto"/>
                <w:w w:val="92"/>
              </w:rPr>
              <w:t>001-39747</w:t>
            </w:r>
          </w:p>
        </w:tc>
        <w:tc>
          <w:tcPr>
            <w:tcW w:w="2560" w:type="dxa"/>
            <w:vAlign w:val="bottom"/>
          </w:tcPr>
          <w:p>
            <w:pPr>
              <w:jc w:val="center"/>
              <w:ind w:left="1348"/>
              <w:spacing w:after="0"/>
              <w:rPr>
                <w:sz w:val="20"/>
                <w:szCs w:val="20"/>
                <w:color w:val="auto"/>
              </w:rPr>
            </w:pPr>
            <w:r>
              <w:rPr>
                <w:rFonts w:ascii="Arial" w:cs="Arial" w:eastAsia="Arial" w:hAnsi="Arial"/>
                <w:sz w:val="14"/>
                <w:szCs w:val="14"/>
                <w:b w:val="1"/>
                <w:bCs w:val="1"/>
                <w:color w:val="auto"/>
                <w:w w:val="93"/>
              </w:rPr>
              <w:t>82-1153150</w:t>
            </w:r>
          </w:p>
        </w:tc>
      </w:tr>
      <w:tr>
        <w:trPr>
          <w:trHeight w:val="189"/>
        </w:trPr>
        <w:tc>
          <w:tcPr>
            <w:tcW w:w="3020" w:type="dxa"/>
            <w:vAlign w:val="bottom"/>
          </w:tcPr>
          <w:p>
            <w:pPr>
              <w:jc w:val="center"/>
              <w:ind w:right="1168"/>
              <w:spacing w:after="0"/>
              <w:rPr>
                <w:sz w:val="20"/>
                <w:szCs w:val="20"/>
                <w:color w:val="auto"/>
              </w:rPr>
            </w:pPr>
            <w:r>
              <w:rPr>
                <w:rFonts w:ascii="Arial" w:cs="Arial" w:eastAsia="Arial" w:hAnsi="Arial"/>
                <w:sz w:val="14"/>
                <w:szCs w:val="14"/>
                <w:b w:val="1"/>
                <w:bCs w:val="1"/>
                <w:color w:val="auto"/>
                <w:w w:val="92"/>
              </w:rPr>
              <w:t>(State or other jurisdiction of</w:t>
            </w:r>
          </w:p>
        </w:tc>
        <w:tc>
          <w:tcPr>
            <w:tcW w:w="3460" w:type="dxa"/>
            <w:vAlign w:val="bottom"/>
          </w:tcPr>
          <w:p>
            <w:pPr>
              <w:jc w:val="center"/>
              <w:ind w:right="108"/>
              <w:spacing w:after="0"/>
              <w:rPr>
                <w:sz w:val="20"/>
                <w:szCs w:val="20"/>
                <w:color w:val="auto"/>
              </w:rPr>
            </w:pPr>
            <w:r>
              <w:rPr>
                <w:rFonts w:ascii="Arial" w:cs="Arial" w:eastAsia="Arial" w:hAnsi="Arial"/>
                <w:sz w:val="14"/>
                <w:szCs w:val="14"/>
                <w:b w:val="1"/>
                <w:bCs w:val="1"/>
                <w:color w:val="auto"/>
                <w:w w:val="90"/>
              </w:rPr>
              <w:t>(Commission</w:t>
            </w:r>
          </w:p>
        </w:tc>
        <w:tc>
          <w:tcPr>
            <w:tcW w:w="2560" w:type="dxa"/>
            <w:vAlign w:val="bottom"/>
          </w:tcPr>
          <w:p>
            <w:pPr>
              <w:jc w:val="center"/>
              <w:ind w:left="1368"/>
              <w:spacing w:after="0"/>
              <w:rPr>
                <w:sz w:val="20"/>
                <w:szCs w:val="20"/>
                <w:color w:val="auto"/>
              </w:rPr>
            </w:pPr>
            <w:r>
              <w:rPr>
                <w:rFonts w:ascii="Arial" w:cs="Arial" w:eastAsia="Arial" w:hAnsi="Arial"/>
                <w:sz w:val="14"/>
                <w:szCs w:val="14"/>
                <w:b w:val="1"/>
                <w:bCs w:val="1"/>
                <w:color w:val="auto"/>
                <w:w w:val="96"/>
              </w:rPr>
              <w:t>(I.R.S. Employer</w:t>
            </w:r>
          </w:p>
        </w:tc>
      </w:tr>
      <w:tr>
        <w:trPr>
          <w:trHeight w:val="189"/>
        </w:trPr>
        <w:tc>
          <w:tcPr>
            <w:tcW w:w="3020" w:type="dxa"/>
            <w:vAlign w:val="bottom"/>
          </w:tcPr>
          <w:p>
            <w:pPr>
              <w:jc w:val="center"/>
              <w:ind w:right="1168"/>
              <w:spacing w:after="0"/>
              <w:rPr>
                <w:sz w:val="20"/>
                <w:szCs w:val="20"/>
                <w:color w:val="auto"/>
              </w:rPr>
            </w:pPr>
            <w:r>
              <w:rPr>
                <w:rFonts w:ascii="Arial" w:cs="Arial" w:eastAsia="Arial" w:hAnsi="Arial"/>
                <w:sz w:val="14"/>
                <w:szCs w:val="14"/>
                <w:b w:val="1"/>
                <w:bCs w:val="1"/>
                <w:color w:val="auto"/>
                <w:w w:val="94"/>
              </w:rPr>
              <w:t>incorporation)</w:t>
            </w:r>
          </w:p>
        </w:tc>
        <w:tc>
          <w:tcPr>
            <w:tcW w:w="346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File Number)</w:t>
            </w:r>
          </w:p>
        </w:tc>
        <w:tc>
          <w:tcPr>
            <w:tcW w:w="2560" w:type="dxa"/>
            <w:vAlign w:val="bottom"/>
          </w:tcPr>
          <w:p>
            <w:pPr>
              <w:jc w:val="center"/>
              <w:ind w:left="1348"/>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ind w:left="4374"/>
        <w:spacing w:after="0"/>
        <w:rPr>
          <w:sz w:val="20"/>
          <w:szCs w:val="20"/>
          <w:color w:val="auto"/>
        </w:rPr>
      </w:pPr>
      <w:r>
        <w:rPr>
          <w:rFonts w:ascii="Arial" w:cs="Arial" w:eastAsia="Arial" w:hAnsi="Arial"/>
          <w:sz w:val="18"/>
          <w:szCs w:val="18"/>
          <w:b w:val="1"/>
          <w:bCs w:val="1"/>
          <w:color w:val="auto"/>
        </w:rPr>
        <w:t>3800 Bridge Parkway, Suite 102</w:t>
      </w:r>
    </w:p>
    <w:p>
      <w:pPr>
        <w:spacing w:after="0" w:line="27" w:lineRule="exact"/>
        <w:rPr>
          <w:sz w:val="24"/>
          <w:szCs w:val="24"/>
          <w:color w:val="auto"/>
        </w:rPr>
      </w:pPr>
    </w:p>
    <w:p>
      <w:pPr>
        <w:ind w:left="4374"/>
        <w:spacing w:after="0"/>
        <w:rPr>
          <w:sz w:val="20"/>
          <w:szCs w:val="20"/>
          <w:color w:val="auto"/>
        </w:rPr>
      </w:pPr>
      <w:r>
        <w:rPr>
          <w:rFonts w:ascii="Arial" w:cs="Arial" w:eastAsia="Arial" w:hAnsi="Arial"/>
          <w:sz w:val="18"/>
          <w:szCs w:val="18"/>
          <w:b w:val="1"/>
          <w:bCs w:val="1"/>
          <w:color w:val="auto"/>
        </w:rPr>
        <w:t>Redwood City, California 94065</w:t>
      </w:r>
    </w:p>
    <w:p>
      <w:pPr>
        <w:spacing w:after="0" w:line="2"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232"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650-453-0000</w:t>
      </w:r>
    </w:p>
    <w:p>
      <w:pPr>
        <w:spacing w:after="0" w:line="21"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32"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(Former name or former address, if changed since last reports)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22225</wp:posOffset>
            </wp:positionV>
            <wp:extent cx="23056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61" w:lineRule="exact"/>
        <w:rPr>
          <w:sz w:val="24"/>
          <w:szCs w:val="24"/>
          <w:color w:val="auto"/>
        </w:rPr>
      </w:pPr>
    </w:p>
    <w:p>
      <w:pPr>
        <w:ind w:left="134"/>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00" w:lineRule="exact"/>
        <w:rPr>
          <w:sz w:val="24"/>
          <w:szCs w:val="24"/>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0"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16" w:lineRule="exact"/>
        <w:rPr>
          <w:sz w:val="24"/>
          <w:szCs w:val="24"/>
          <w:color w:val="auto"/>
        </w:rPr>
      </w:pPr>
    </w:p>
    <w:tbl>
      <w:tblPr>
        <w:tblLayout w:type="fixed"/>
        <w:tblInd w:w="104" w:type="dxa"/>
        <w:tblCellMar>
          <w:top w:w="0" w:type="dxa"/>
          <w:left w:w="0" w:type="dxa"/>
          <w:bottom w:w="0" w:type="dxa"/>
          <w:right w:w="0" w:type="dxa"/>
        </w:tblCellMar>
      </w:tblPr>
      <w:tr>
        <w:trPr>
          <w:trHeight w:val="227"/>
        </w:trPr>
        <w:tc>
          <w:tcPr>
            <w:tcW w:w="43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43"/>
        </w:trPr>
        <w:tc>
          <w:tcPr>
            <w:tcW w:w="4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Class A Common Stock, par value $0.00001 per share</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SEER</w:t>
            </w:r>
          </w:p>
        </w:tc>
        <w:tc>
          <w:tcPr>
            <w:tcW w:w="4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The NASDAQ Stock Market LLC</w:t>
            </w:r>
          </w:p>
        </w:tc>
      </w:tr>
      <w:tr>
        <w:trPr>
          <w:trHeight w:val="219"/>
        </w:trPr>
        <w:tc>
          <w:tcPr>
            <w:tcW w:w="4360" w:type="dxa"/>
            <w:vAlign w:val="bottom"/>
            <w:tcBorders>
              <w:left w:val="single" w:sz="8" w:color="auto"/>
              <w:bottom w:val="single" w:sz="8" w:color="auto"/>
              <w:right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spacing w:after="0"/>
              <w:rPr>
                <w:sz w:val="19"/>
                <w:szCs w:val="19"/>
                <w:color w:val="auto"/>
              </w:rPr>
            </w:pP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(The NASDAQ Global Select Market)</w:t>
            </w:r>
          </w:p>
        </w:tc>
      </w:tr>
    </w:tbl>
    <w:p>
      <w:pPr>
        <w:spacing w:after="0" w:line="202" w:lineRule="exact"/>
        <w:rPr>
          <w:sz w:val="24"/>
          <w:szCs w:val="24"/>
          <w:color w:val="auto"/>
        </w:rPr>
      </w:pPr>
    </w:p>
    <w:p>
      <w:pPr>
        <w:ind w:left="634" w:right="80"/>
        <w:spacing w:after="0" w:line="277"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634"/>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99" w:lineRule="exact"/>
        <w:rPr>
          <w:sz w:val="24"/>
          <w:szCs w:val="24"/>
          <w:color w:val="auto"/>
        </w:rPr>
      </w:pPr>
    </w:p>
    <w:p>
      <w:pPr>
        <w:ind w:left="634" w:right="160"/>
        <w:spacing w:after="0" w:line="168"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36195</wp:posOffset>
            </wp:positionV>
            <wp:extent cx="69862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86270" cy="1714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10795</wp:posOffset>
            </wp:positionV>
            <wp:extent cx="69862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1114"/>
          </w:cols>
          <w:pgMar w:left="346" w:top="1440" w:right="439" w:bottom="1440" w:gutter="0" w:footer="0" w:header="0"/>
        </w:sectPr>
      </w:pPr>
    </w:p>
    <w:bookmarkStart w:id="1" w:name="page2"/>
    <w:bookmarkEnd w:id="1"/>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10, 2021, Seer, Inc. (the “Company”) issued a press release (the “Press Release”) announcing results for the quarter ended March 31, 2021. A copy of the Press Release is attached as Exhibit 99.1 to this current report on Form 8-K and is incorporated by reference herein.</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ectPr>
          <w:pgSz w:w="11900" w:h="16838" w:orient="portrait"/>
          <w:cols w:equalWidth="0" w:num="1">
            <w:col w:w="11240"/>
          </w:cols>
          <w:pgMar w:left="320" w:top="1440" w:right="339" w:bottom="1440" w:gutter="0" w:footer="0" w:header="0"/>
        </w:sectPr>
      </w:pPr>
    </w:p>
    <w:bookmarkStart w:id="2" w:name="page3"/>
    <w:bookmarkEnd w:id="2"/>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2800" w:type="dxa"/>
            <w:vAlign w:val="bottom"/>
          </w:tcPr>
          <w:p>
            <w:pPr>
              <w:ind w:left="340"/>
              <w:spacing w:after="0"/>
              <w:rPr>
                <w:sz w:val="20"/>
                <w:szCs w:val="20"/>
                <w:color w:val="auto"/>
              </w:rPr>
            </w:pPr>
            <w:r>
              <w:rPr>
                <w:rFonts w:ascii="Arial" w:cs="Arial" w:eastAsia="Arial" w:hAnsi="Arial"/>
                <w:sz w:val="18"/>
                <w:szCs w:val="18"/>
                <w:b w:val="1"/>
                <w:bCs w:val="1"/>
                <w:color w:val="auto"/>
              </w:rPr>
              <w:t>Description</w:t>
            </w:r>
          </w:p>
        </w:tc>
      </w:tr>
      <w:tr>
        <w:trPr>
          <w:trHeight w:val="324"/>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4">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900" w:type="dxa"/>
            <w:vAlign w:val="bottom"/>
          </w:tcPr>
          <w:p>
            <w:pPr>
              <w:spacing w:after="0"/>
              <w:rPr>
                <w:sz w:val="24"/>
                <w:szCs w:val="24"/>
                <w:color w:val="auto"/>
              </w:rPr>
            </w:pPr>
          </w:p>
        </w:tc>
        <w:tc>
          <w:tcPr>
            <w:tcW w:w="2800" w:type="dxa"/>
            <w:vAlign w:val="bottom"/>
          </w:tcPr>
          <w:p>
            <w:pPr>
              <w:ind w:left="340"/>
              <w:spacing w:after="0"/>
              <w:rPr>
                <w:sz w:val="20"/>
                <w:szCs w:val="20"/>
                <w:color w:val="auto"/>
              </w:rPr>
            </w:pPr>
            <w:r>
              <w:rPr>
                <w:rFonts w:ascii="Arial" w:cs="Arial" w:eastAsia="Arial" w:hAnsi="Arial"/>
                <w:sz w:val="18"/>
                <w:szCs w:val="18"/>
                <w:color w:val="auto"/>
                <w:w w:val="86"/>
              </w:rPr>
              <w:t>Press Release dated May 10, 2021</w:t>
            </w:r>
          </w:p>
        </w:tc>
      </w:tr>
    </w:tbl>
    <w:p>
      <w:pPr>
        <w:sectPr>
          <w:pgSz w:w="11900" w:h="16838" w:orient="portrait"/>
          <w:cols w:equalWidth="0" w:num="1">
            <w:col w:w="10139"/>
          </w:cols>
          <w:pgMar w:left="320" w:top="1440" w:right="1440" w:bottom="1440" w:gutter="0" w:footer="0" w:header="0"/>
        </w:sectPr>
      </w:pPr>
    </w:p>
    <w:bookmarkStart w:id="3" w:name="page4"/>
    <w:bookmarkEnd w:id="3"/>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4"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7520" w:type="dxa"/>
            <w:vAlign w:val="bottom"/>
            <w:gridSpan w:val="2"/>
          </w:tcPr>
          <w:p>
            <w:pPr>
              <w:ind w:left="2080"/>
              <w:spacing w:after="0"/>
              <w:rPr>
                <w:sz w:val="20"/>
                <w:szCs w:val="20"/>
                <w:color w:val="auto"/>
              </w:rPr>
            </w:pPr>
            <w:r>
              <w:rPr>
                <w:rFonts w:ascii="Arial" w:cs="Arial" w:eastAsia="Arial" w:hAnsi="Arial"/>
                <w:sz w:val="18"/>
                <w:szCs w:val="18"/>
                <w:b w:val="1"/>
                <w:bCs w:val="1"/>
                <w:color w:val="auto"/>
              </w:rPr>
              <w:t>SEER, INC.</w:t>
            </w:r>
          </w:p>
        </w:tc>
      </w:tr>
      <w:tr>
        <w:trPr>
          <w:trHeight w:val="459"/>
        </w:trPr>
        <w:tc>
          <w:tcPr>
            <w:tcW w:w="3060" w:type="dxa"/>
            <w:vAlign w:val="bottom"/>
          </w:tcPr>
          <w:p>
            <w:pPr>
              <w:spacing w:after="0"/>
              <w:rPr>
                <w:sz w:val="20"/>
                <w:szCs w:val="20"/>
                <w:color w:val="auto"/>
              </w:rPr>
            </w:pPr>
            <w:r>
              <w:rPr>
                <w:rFonts w:ascii="Arial" w:cs="Arial" w:eastAsia="Arial" w:hAnsi="Arial"/>
                <w:sz w:val="18"/>
                <w:szCs w:val="18"/>
                <w:color w:val="auto"/>
              </w:rPr>
              <w:t>May 10, 2021</w:t>
            </w:r>
          </w:p>
        </w:tc>
        <w:tc>
          <w:tcPr>
            <w:tcW w:w="2520" w:type="dxa"/>
            <w:vAlign w:val="bottom"/>
          </w:tcPr>
          <w:p>
            <w:pPr>
              <w:spacing w:after="0"/>
              <w:rPr>
                <w:sz w:val="24"/>
                <w:szCs w:val="24"/>
                <w:color w:val="auto"/>
              </w:rPr>
            </w:pP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Horn</w:t>
            </w:r>
          </w:p>
        </w:tc>
      </w:tr>
      <w:tr>
        <w:trPr>
          <w:trHeight w:val="222"/>
        </w:trPr>
        <w:tc>
          <w:tcPr>
            <w:tcW w:w="30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David Horn</w:t>
            </w:r>
          </w:p>
        </w:tc>
      </w:tr>
      <w:tr>
        <w:trPr>
          <w:trHeight w:val="230"/>
        </w:trPr>
        <w:tc>
          <w:tcPr>
            <w:tcW w:w="30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Ex. 99.1</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Seer Reports First Quarter 2021 Financial Results</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20"/>
          <w:szCs w:val="20"/>
          <w:i w:val="1"/>
          <w:iCs w:val="1"/>
          <w:color w:val="auto"/>
        </w:rPr>
        <w:t>Second Phase of Commercialization Advances with the Addition of Multiple Limited Release Customers</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REDWOOD CITY, Calif. </w:t>
      </w:r>
      <w:r>
        <w:rPr>
          <w:rFonts w:ascii="Arial" w:cs="Arial" w:eastAsia="Arial" w:hAnsi="Arial"/>
          <w:sz w:val="18"/>
          <w:szCs w:val="18"/>
          <w:color w:val="auto"/>
        </w:rPr>
        <w:t>May 10, 2021 – Seer, Inc. (Nasdaq: SEER), a life sciences company commercializing a disruptive new platform for proteomics,</w:t>
      </w:r>
      <w:r>
        <w:rPr>
          <w:rFonts w:ascii="Arial" w:cs="Arial" w:eastAsia="Arial" w:hAnsi="Arial"/>
          <w:sz w:val="18"/>
          <w:szCs w:val="18"/>
          <w:b w:val="1"/>
          <w:bCs w:val="1"/>
          <w:color w:val="auto"/>
        </w:rPr>
        <w:t xml:space="preserve"> </w:t>
      </w:r>
      <w:r>
        <w:rPr>
          <w:rFonts w:ascii="Arial" w:cs="Arial" w:eastAsia="Arial" w:hAnsi="Arial"/>
          <w:sz w:val="18"/>
          <w:szCs w:val="18"/>
          <w:color w:val="auto"/>
        </w:rPr>
        <w:t>today reported financial results for the first quarter ended March 31, 2021.</w:t>
      </w:r>
    </w:p>
    <w:p>
      <w:pPr>
        <w:spacing w:after="0" w:line="19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 am so incredibly proud of and amazed by our team for the progress we have made this quarter,” said Omid Farokhzad, Chair and Chief Executive Officer. “Unbiased, deep, rapid proteomics at scale will pave the way for broad-scale and novel biological insight – with incredible impact across science and medicine. We look forward to continuing to build our commercial momentum throughout 2021 as we bring the next phase in omics to labs around the globe.”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w:t>
      </w:r>
    </w:p>
    <w:p>
      <w:pPr>
        <w:spacing w:after="0" w:line="25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Advanced phase two of our three-phase commercial plan by signing agreements with multiple Limited Release customers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installation at Salk Institute, bringing total number of active collaboration sites to four</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OHSU Knight Cancer Institute and the Broad Institute successfully completed their initial pilot studies and are progressing toward larger-scale follow-on studies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Strengthened leadership team with the addition of Kenny Ross as VP Operations and Quality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Doubled the size of Redwood City headquarters with a new lease to support growing organization</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2021 Financial Results</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Revenue was $62,000 for the three months ended March 31, 2021, as compared to $177,000 for the three months ended March 31, 2020. The decrease was due to less activity associated with our Small Business Innovation Research grant from the NIH.</w:t>
      </w:r>
    </w:p>
    <w:p>
      <w:pPr>
        <w:spacing w:after="0" w:line="19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Operating expenses were $16.6 million for the first quarter of 2021, as compared to $6.0 million for the corresponding prior year period. The increase in expenses was driven by higher employee compensation costs and other expenses related to being a publicly traded company, as well as an increase in product development expenses related to our Proteograph Product Suite.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Net loss was $16.4 million for the first quarter of 2021, as compared to $5.5 million for the corresponding prior year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investments were approximately $531 million as of March 31,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Information</w:t>
      </w:r>
    </w:p>
    <w:p>
      <w:pPr>
        <w:spacing w:after="0" w:line="25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Seer will host a conference call to discuss the first quarter 2021 financial results on Monday, May 10, 2021 at 1:30 pm Pacific Time / 4:30 pm Eastern Time. A webcast of the conference call can be accessed at http://investor.seer.bio. The webcast will be archived and available for replay for at least 90 days after the event.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Seer</w:t>
      </w:r>
    </w:p>
    <w:p>
      <w:pPr>
        <w:sectPr>
          <w:pgSz w:w="11900" w:h="16838" w:orient="portrait"/>
          <w:cols w:equalWidth="0" w:num="1">
            <w:col w:w="11220"/>
          </w:cols>
          <w:pgMar w:left="320" w:top="1417" w:right="35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Seer is a life sciences company developing transformative products that open up a new gateway to the proteome. Seer is commercializing its Proteograph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Product Suite, an integrated solution that includes proprietary engineered nanoparticles, consumables, automation instrumentation and software to perform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deep, unbiased proteomic analysis at scale in a matter of hours. Seer designed the Proteograph workflow to be efficient and easy-to-use, leveraging widely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adopted laboratory instrumentation to provide a decentralized solution that can be adopted by nearly any lab. Seer’s Proteograph Product Suite is for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research use only and is not intended for diagnostic procedures.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www.seer.bio.</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5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Such forward-looking statements are based on the Company’s beliefs and assumptions and on information currently available to it on the date of this press release. Forward-looking statements may involve known and unknown risks, uncertainties and other factors that may cause the Company’s actual results, performance or achievements to be materially different from those expressed or implied by the forward-looking statements, including but not limited to statements regarding our timing and ability to enable unbiased, deep and rapid proteomics available at scale. These and other risks are described more fully in the Company’s filings with the Securities and Exchange Commission (“SEC”), including the Company’s Quarterly Report on Form 10-Q, to be filed with the SEC on May 10, 2021, and other documents the Company subsequently files with the SEC from time to time. Except to the extent required by law, the Company undertakes no obligation to update such statements to reflect events that occur or circumstances that exist after the date on which they were made.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Carrie Mendivil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investor@seer.bio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Karen Possemato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00FF"/>
        </w:rPr>
        <w:t>pr@seer.bio</w:t>
      </w:r>
    </w:p>
    <w:p>
      <w:pPr>
        <w:sectPr>
          <w:pgSz w:w="11900" w:h="16838" w:orient="portrait"/>
          <w:cols w:equalWidth="0" w:num="1">
            <w:col w:w="11220"/>
          </w:cols>
          <w:pgMar w:left="320" w:top="1421" w:right="359" w:bottom="1440" w:gutter="0" w:footer="0" w:header="0"/>
        </w:sectPr>
      </w:pPr>
    </w:p>
    <w:bookmarkStart w:id="6" w:name="page7"/>
    <w:bookmarkEnd w:id="6"/>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Pr>
          <w:p>
            <w:pPr>
              <w:spacing w:after="0"/>
              <w:rPr>
                <w:sz w:val="17"/>
                <w:szCs w:val="17"/>
                <w:color w:val="auto"/>
              </w:rPr>
            </w:pPr>
          </w:p>
        </w:tc>
        <w:tc>
          <w:tcPr>
            <w:tcW w:w="3180" w:type="dxa"/>
            <w:vAlign w:val="bottom"/>
            <w:gridSpan w:val="4"/>
          </w:tcPr>
          <w:p>
            <w:pPr>
              <w:ind w:left="1720"/>
              <w:spacing w:after="0"/>
              <w:rPr>
                <w:sz w:val="20"/>
                <w:szCs w:val="20"/>
                <w:color w:val="auto"/>
              </w:rPr>
            </w:pPr>
            <w:r>
              <w:rPr>
                <w:rFonts w:ascii="Arial" w:cs="Arial" w:eastAsia="Arial" w:hAnsi="Arial"/>
                <w:sz w:val="18"/>
                <w:szCs w:val="18"/>
                <w:b w:val="1"/>
                <w:bCs w:val="1"/>
                <w:color w:val="auto"/>
              </w:rPr>
              <w:t>Seer, Inc.</w:t>
            </w: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2"/>
        </w:trPr>
        <w:tc>
          <w:tcPr>
            <w:tcW w:w="7520" w:type="dxa"/>
            <w:vAlign w:val="bottom"/>
            <w:gridSpan w:val="7"/>
          </w:tcPr>
          <w:p>
            <w:pPr>
              <w:jc w:val="center"/>
              <w:ind w:left="1690"/>
              <w:spacing w:after="0"/>
              <w:rPr>
                <w:sz w:val="20"/>
                <w:szCs w:val="20"/>
                <w:color w:val="auto"/>
              </w:rPr>
            </w:pPr>
            <w:r>
              <w:rPr>
                <w:rFonts w:ascii="Arial" w:cs="Arial" w:eastAsia="Arial" w:hAnsi="Arial"/>
                <w:sz w:val="18"/>
                <w:szCs w:val="18"/>
                <w:b w:val="1"/>
                <w:bCs w:val="1"/>
                <w:color w:val="auto"/>
                <w:w w:val="98"/>
              </w:rPr>
              <w:t>CONDENSED CONSOLIDATED STATEMENTS OF OPERATIONS</w:t>
            </w:r>
          </w:p>
        </w:tc>
      </w:tr>
      <w:tr>
        <w:trPr>
          <w:trHeight w:val="162"/>
        </w:trPr>
        <w:tc>
          <w:tcPr>
            <w:tcW w:w="2900" w:type="dxa"/>
            <w:vAlign w:val="bottom"/>
          </w:tcPr>
          <w:p>
            <w:pPr>
              <w:spacing w:after="0"/>
              <w:rPr>
                <w:sz w:val="14"/>
                <w:szCs w:val="14"/>
                <w:color w:val="auto"/>
              </w:rPr>
            </w:pPr>
          </w:p>
        </w:tc>
        <w:tc>
          <w:tcPr>
            <w:tcW w:w="35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(In thousands, except share and per share amounts)</w:t>
            </w:r>
          </w:p>
        </w:tc>
        <w:tc>
          <w:tcPr>
            <w:tcW w:w="1080" w:type="dxa"/>
            <w:vAlign w:val="bottom"/>
          </w:tcPr>
          <w:p>
            <w:pPr>
              <w:spacing w:after="0"/>
              <w:rPr>
                <w:sz w:val="14"/>
                <w:szCs w:val="14"/>
                <w:color w:val="auto"/>
              </w:rPr>
            </w:pPr>
          </w:p>
        </w:tc>
      </w:tr>
      <w:tr>
        <w:trPr>
          <w:trHeight w:val="186"/>
        </w:trPr>
        <w:tc>
          <w:tcPr>
            <w:tcW w:w="2900" w:type="dxa"/>
            <w:vAlign w:val="bottom"/>
          </w:tcPr>
          <w:p>
            <w:pPr>
              <w:spacing w:after="0"/>
              <w:rPr>
                <w:sz w:val="16"/>
                <w:szCs w:val="16"/>
                <w:color w:val="auto"/>
              </w:rPr>
            </w:pPr>
          </w:p>
        </w:tc>
        <w:tc>
          <w:tcPr>
            <w:tcW w:w="2140" w:type="dxa"/>
            <w:vAlign w:val="bottom"/>
            <w:gridSpan w:val="2"/>
          </w:tcPr>
          <w:p>
            <w:pPr>
              <w:jc w:val="center"/>
              <w:ind w:left="1259"/>
              <w:spacing w:after="0"/>
              <w:rPr>
                <w:sz w:val="20"/>
                <w:szCs w:val="20"/>
                <w:color w:val="auto"/>
              </w:rPr>
            </w:pPr>
            <w:r>
              <w:rPr>
                <w:rFonts w:ascii="Arial" w:cs="Arial" w:eastAsia="Arial" w:hAnsi="Arial"/>
                <w:sz w:val="14"/>
                <w:szCs w:val="14"/>
                <w:b w:val="1"/>
                <w:bCs w:val="1"/>
                <w:color w:val="auto"/>
                <w:w w:val="94"/>
              </w:rPr>
              <w:t>(unaudited)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452"/>
        </w:trPr>
        <w:tc>
          <w:tcPr>
            <w:tcW w:w="29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187"/>
        </w:trPr>
        <w:tc>
          <w:tcPr>
            <w:tcW w:w="29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197"/>
        </w:trPr>
        <w:tc>
          <w:tcPr>
            <w:tcW w:w="29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54"/>
        </w:trPr>
        <w:tc>
          <w:tcPr>
            <w:tcW w:w="2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29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6,227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4,222</w:t>
            </w:r>
          </w:p>
        </w:tc>
      </w:tr>
      <w:tr>
        <w:trPr>
          <w:trHeight w:val="229"/>
        </w:trPr>
        <w:tc>
          <w:tcPr>
            <w:tcW w:w="29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5"/>
              </w:rPr>
              <w:t>Selling, general and administrative</w:t>
            </w:r>
          </w:p>
        </w:tc>
        <w:tc>
          <w:tcPr>
            <w:tcW w:w="17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r>
      <w:tr>
        <w:trPr>
          <w:trHeight w:val="223"/>
        </w:trPr>
        <w:tc>
          <w:tcPr>
            <w:tcW w:w="29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1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6,002</w:t>
            </w:r>
          </w:p>
        </w:tc>
      </w:tr>
      <w:tr>
        <w:trPr>
          <w:trHeight w:val="223"/>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(5,825)</w:t>
            </w: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17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23"/>
        </w:trPr>
        <w:tc>
          <w:tcPr>
            <w:tcW w:w="29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74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(16,429)</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(5,493)</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4"/>
        </w:trPr>
        <w:tc>
          <w:tcPr>
            <w:tcW w:w="29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9159"/>
          </w:cols>
          <w:pgMar w:left="1300" w:top="1440" w:right="1440" w:bottom="1440" w:gutter="0" w:footer="0" w:header="0"/>
        </w:sectPr>
      </w:pPr>
    </w:p>
    <w:p>
      <w:pPr>
        <w:ind w:left="180" w:hanging="161"/>
        <w:spacing w:after="0" w:line="234" w:lineRule="auto"/>
        <w:rPr>
          <w:sz w:val="20"/>
          <w:szCs w:val="20"/>
          <w:color w:val="auto"/>
        </w:rPr>
      </w:pPr>
      <w:r>
        <w:rPr>
          <w:rFonts w:ascii="Arial" w:cs="Arial" w:eastAsia="Arial" w:hAnsi="Arial"/>
          <w:sz w:val="18"/>
          <w:szCs w:val="18"/>
          <w:color w:val="auto"/>
        </w:rPr>
        <w:t>Net loss per share attributable to common stockholders,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4774565" cy="257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74565" cy="257175"/>
                    </a:xfrm>
                    <a:prstGeom prst="rect">
                      <a:avLst/>
                    </a:prstGeom>
                    <a:noFill/>
                  </pic:spPr>
                </pic:pic>
              </a:graphicData>
            </a:graphic>
          </wp:anchor>
        </w:drawing>
      </w:r>
    </w:p>
    <w:p>
      <w:pPr>
        <w:ind w:left="180" w:right="300" w:hanging="161"/>
        <w:spacing w:after="0" w:line="234" w:lineRule="auto"/>
        <w:rPr>
          <w:sz w:val="20"/>
          <w:szCs w:val="20"/>
          <w:color w:val="auto"/>
        </w:rPr>
      </w:pPr>
      <w:r>
        <w:rPr>
          <w:rFonts w:ascii="Arial" w:cs="Arial" w:eastAsia="Arial" w:hAnsi="Arial"/>
          <w:sz w:val="18"/>
          <w:szCs w:val="18"/>
          <w:color w:val="auto"/>
        </w:rPr>
        <w:t>Weighted-average common shares outstanding, basic and diluted</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14605</wp:posOffset>
            </wp:positionV>
            <wp:extent cx="8572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78"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59,887,842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55245</wp:posOffset>
            </wp:positionV>
            <wp:extent cx="8572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right"/>
        <w:ind w:right="1659"/>
        <w:spacing w:after="0"/>
        <w:rPr>
          <w:sz w:val="20"/>
          <w:szCs w:val="20"/>
          <w:color w:val="auto"/>
        </w:rPr>
      </w:pPr>
      <w:r>
        <w:rPr>
          <w:rFonts w:ascii="Arial" w:cs="Arial" w:eastAsia="Arial" w:hAnsi="Arial"/>
          <w:sz w:val="18"/>
          <w:szCs w:val="18"/>
          <w:color w:val="auto"/>
        </w:rPr>
        <w:t>$(0.61)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14605</wp:posOffset>
            </wp:positionV>
            <wp:extent cx="9086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8,944,284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55245</wp:posOffset>
            </wp:positionV>
            <wp:extent cx="9086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ectPr>
          <w:pgSz w:w="11900" w:h="16838" w:orient="portrait"/>
          <w:cols w:equalWidth="0" w:num="3">
            <w:col w:w="4440" w:space="720"/>
            <w:col w:w="900" w:space="720"/>
            <w:col w:w="2379"/>
          </w:cols>
          <w:pgMar w:left="1300" w:top="1440" w:right="1440"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9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445,763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333,585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40"/>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85,379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240"/>
              <w:spacing w:after="0"/>
              <w:rPr>
                <w:sz w:val="20"/>
                <w:szCs w:val="20"/>
                <w:color w:val="auto"/>
              </w:rPr>
            </w:pPr>
            <w:r>
              <w:rPr>
                <w:rFonts w:ascii="Arial" w:cs="Arial" w:eastAsia="Arial" w:hAnsi="Arial"/>
                <w:sz w:val="18"/>
                <w:szCs w:val="18"/>
                <w:color w:val="auto"/>
              </w:rPr>
              <w:t>Other receivables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receivables, related parties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536,237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433,128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8,682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9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545,639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442,319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rent, current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7,396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rent, net of current portion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20" w:type="dxa"/>
            <w:vAlign w:val="bottom"/>
          </w:tcPr>
          <w:p>
            <w:pPr>
              <w:ind w:left="20"/>
              <w:spacing w:after="0"/>
              <w:rPr>
                <w:sz w:val="20"/>
                <w:szCs w:val="20"/>
                <w:color w:val="auto"/>
              </w:rPr>
            </w:pPr>
            <w:r>
              <w:rPr>
                <w:rFonts w:ascii="Arial" w:cs="Arial" w:eastAsia="Arial" w:hAnsi="Arial"/>
                <w:sz w:val="18"/>
                <w:szCs w:val="18"/>
                <w:color w:val="auto"/>
              </w:rPr>
              <w:t>Commitments (Note 10)</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40"/>
              <w:spacing w:after="0"/>
              <w:rPr>
                <w:sz w:val="20"/>
                <w:szCs w:val="20"/>
                <w:color w:val="auto"/>
              </w:rPr>
            </w:pPr>
            <w:r>
              <w:rPr>
                <w:rFonts w:ascii="Arial" w:cs="Arial" w:eastAsia="Arial" w:hAnsi="Arial"/>
                <w:sz w:val="18"/>
                <w:szCs w:val="18"/>
                <w:color w:val="auto"/>
              </w:rPr>
              <w:t>Preferred stock</w:t>
            </w: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Common stock</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607,531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486,915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Accumulated deficit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(71,790)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(55,361)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535,770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431,609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Pr>
          <w:p>
            <w:pPr>
              <w:ind w:left="46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545,639</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442,319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2021-05-10T15:19:16Z</dcterms:created>
  <dcterms:modified xsi:type="dcterms:W3CDTF">2021-05-10T15:19:16Z</dcterms:modified>
</cp:coreProperties>
</file>