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98" w:lineRule="exact"/>
        <w:rPr>
          <w:sz w:val="24"/>
          <w:szCs w:val="24"/>
          <w:color w:val="auto"/>
        </w:rPr>
      </w:pPr>
    </w:p>
    <w:tbl>
      <w:tblPr>
        <w:tblLayout w:type="fixed"/>
        <w:tblInd w:w="860" w:type="dxa"/>
        <w:tblCellMar>
          <w:top w:w="0" w:type="dxa"/>
          <w:left w:w="0" w:type="dxa"/>
          <w:bottom w:w="0" w:type="dxa"/>
          <w:right w:w="0" w:type="dxa"/>
        </w:tblCellMar>
      </w:tblPr>
      <w:tr>
        <w:trPr>
          <w:trHeight w:val="190"/>
        </w:trPr>
        <w:tc>
          <w:tcPr>
            <w:tcW w:w="23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040" w:type="dxa"/>
            <w:vAlign w:val="bottom"/>
          </w:tcPr>
          <w:p>
            <w:pPr>
              <w:jc w:val="right"/>
              <w:ind w:right="2221"/>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29"/>
        </w:trPr>
        <w:tc>
          <w:tcPr>
            <w:tcW w:w="232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30"/>
        </w:trPr>
        <w:tc>
          <w:tcPr>
            <w:tcW w:w="23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04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7"/>
        </w:trPr>
        <w:tc>
          <w:tcPr>
            <w:tcW w:w="2320" w:type="dxa"/>
            <w:vAlign w:val="bottom"/>
          </w:tcPr>
          <w:p>
            <w:pPr>
              <w:spacing w:after="0"/>
              <w:rPr>
                <w:sz w:val="24"/>
                <w:szCs w:val="24"/>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tc>
        <w:tc>
          <w:tcPr>
            <w:tcW w:w="1800" w:type="dxa"/>
            <w:vAlign w:val="bottom"/>
          </w:tcPr>
          <w:p>
            <w:pPr>
              <w:spacing w:after="0"/>
              <w:rPr>
                <w:sz w:val="24"/>
                <w:szCs w:val="24"/>
                <w:color w:val="auto"/>
              </w:rPr>
            </w:pPr>
          </w:p>
        </w:tc>
      </w:tr>
      <w:tr>
        <w:trPr>
          <w:trHeight w:val="297"/>
        </w:trPr>
        <w:tc>
          <w:tcPr>
            <w:tcW w:w="2320" w:type="dxa"/>
            <w:vAlign w:val="bottom"/>
          </w:tcPr>
          <w:p>
            <w:pPr>
              <w:spacing w:after="0"/>
              <w:rPr>
                <w:sz w:val="24"/>
                <w:szCs w:val="24"/>
                <w:color w:val="auto"/>
              </w:rPr>
            </w:pP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tc>
        <w:tc>
          <w:tcPr>
            <w:tcW w:w="1800" w:type="dxa"/>
            <w:vAlign w:val="bottom"/>
          </w:tcPr>
          <w:p>
            <w:pPr>
              <w:spacing w:after="0"/>
              <w:rPr>
                <w:sz w:val="24"/>
                <w:szCs w:val="24"/>
                <w:color w:val="auto"/>
              </w:rPr>
            </w:pPr>
          </w:p>
        </w:tc>
      </w:tr>
      <w:tr>
        <w:trPr>
          <w:trHeight w:val="233"/>
        </w:trPr>
        <w:tc>
          <w:tcPr>
            <w:tcW w:w="2320" w:type="dxa"/>
            <w:vAlign w:val="bottom"/>
          </w:tcPr>
          <w:p>
            <w:pPr>
              <w:spacing w:after="0"/>
              <w:rPr>
                <w:sz w:val="20"/>
                <w:szCs w:val="20"/>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800" w:type="dxa"/>
            <w:vAlign w:val="bottom"/>
          </w:tcPr>
          <w:p>
            <w:pPr>
              <w:spacing w:after="0"/>
              <w:rPr>
                <w:sz w:val="20"/>
                <w:szCs w:val="20"/>
                <w:color w:val="auto"/>
              </w:rPr>
            </w:pPr>
          </w:p>
        </w:tc>
      </w:tr>
      <w:tr>
        <w:trPr>
          <w:trHeight w:val="242"/>
        </w:trPr>
        <w:tc>
          <w:tcPr>
            <w:tcW w:w="2320" w:type="dxa"/>
            <w:vAlign w:val="bottom"/>
          </w:tcPr>
          <w:p>
            <w:pPr>
              <w:spacing w:after="0"/>
              <w:rPr>
                <w:sz w:val="21"/>
                <w:szCs w:val="21"/>
                <w:color w:val="auto"/>
              </w:rPr>
            </w:pPr>
          </w:p>
        </w:tc>
        <w:tc>
          <w:tcPr>
            <w:tcW w:w="5040" w:type="dxa"/>
            <w:vAlign w:val="bottom"/>
          </w:tcPr>
          <w:p>
            <w:pPr>
              <w:jc w:val="right"/>
              <w:ind w:right="2021"/>
              <w:spacing w:after="0"/>
              <w:rPr>
                <w:sz w:val="20"/>
                <w:szCs w:val="20"/>
                <w:color w:val="auto"/>
              </w:rPr>
            </w:pPr>
            <w:r>
              <w:rPr>
                <w:rFonts w:ascii="Times New Roman" w:cs="Times New Roman" w:eastAsia="Times New Roman" w:hAnsi="Times New Roman"/>
                <w:sz w:val="18"/>
                <w:szCs w:val="18"/>
                <w:b w:val="1"/>
                <w:bCs w:val="1"/>
                <w:color w:val="auto"/>
              </w:rPr>
              <w:t>650-453-0000</w:t>
            </w:r>
          </w:p>
        </w:tc>
        <w:tc>
          <w:tcPr>
            <w:tcW w:w="1800" w:type="dxa"/>
            <w:vAlign w:val="bottom"/>
          </w:tcPr>
          <w:p>
            <w:pPr>
              <w:spacing w:after="0"/>
              <w:rPr>
                <w:sz w:val="21"/>
                <w:szCs w:val="21"/>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00" w:type="dxa"/>
            <w:vAlign w:val="bottom"/>
          </w:tcPr>
          <w:p>
            <w:pPr>
              <w:spacing w:after="0"/>
              <w:rPr>
                <w:sz w:val="16"/>
                <w:szCs w:val="16"/>
                <w:color w:val="auto"/>
              </w:rPr>
            </w:pPr>
          </w:p>
        </w:tc>
      </w:tr>
      <w:tr>
        <w:trPr>
          <w:trHeight w:val="255"/>
        </w:trPr>
        <w:tc>
          <w:tcPr>
            <w:tcW w:w="2320" w:type="dxa"/>
            <w:vAlign w:val="bottom"/>
          </w:tcPr>
          <w:p>
            <w:pPr>
              <w:spacing w:after="0"/>
              <w:rPr>
                <w:sz w:val="22"/>
                <w:szCs w:val="22"/>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00" w:type="dxa"/>
            <w:vAlign w:val="bottom"/>
          </w:tcPr>
          <w:p>
            <w:pPr>
              <w:spacing w:after="0"/>
              <w:rPr>
                <w:sz w:val="22"/>
                <w:szCs w:val="22"/>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tc>
        <w:tc>
          <w:tcPr>
            <w:tcW w:w="18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23495</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Exchange Act:</w:t>
      </w:r>
    </w:p>
    <w:p>
      <w:pPr>
        <w:spacing w:after="0" w:line="293"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47"/>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SEER</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30"/>
        </w:trPr>
        <w:tc>
          <w:tcPr>
            <w:tcW w:w="448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3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44"/>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Preferred Stock Purchase Rights</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3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pacing w:after="0" w:line="49" w:lineRule="exact"/>
        <w:rPr>
          <w:sz w:val="24"/>
          <w:szCs w:val="24"/>
          <w:color w:val="auto"/>
        </w:rPr>
      </w:pPr>
    </w:p>
    <w:p>
      <w:pPr>
        <w:ind w:right="54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4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On May 13, 2026, Seer, Inc. issued a press release (the “Press Release”) announcing results for the quarter ended March 31, 2026. A copy of the Press Release is attached as Exhibit 99.1 to this current report on Form 8-K and is incorporated by reference herein.</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1141730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7" w:right="379" w:bottom="1440" w:gutter="0" w:footer="0" w:header="0"/>
        </w:sectPr>
      </w:pPr>
    </w:p>
    <w:bookmarkStart w:id="2" w:name="page3"/>
    <w:bookmarkEnd w:id="2"/>
    <w:p>
      <w:pPr>
        <w:ind w:left="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No.</w:t>
      </w:r>
      <w:r>
        <w:rPr>
          <w:rFonts w:ascii="Times New Roman" w:cs="Times New Roman" w:eastAsia="Times New Roman" w:hAnsi="Times New Roman"/>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19685</wp:posOffset>
            </wp:positionV>
            <wp:extent cx="64808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11" w:lineRule="exact"/>
        <w:rPr>
          <w:sz w:val="20"/>
          <w:szCs w:val="20"/>
          <w:color w:val="auto"/>
        </w:rPr>
      </w:pPr>
    </w:p>
    <w:p>
      <w:pPr>
        <w:ind w:left="28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dated 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-10795</wp:posOffset>
            </wp:positionV>
            <wp:extent cx="200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3" w:lineRule="exact"/>
        <w:rPr>
          <w:sz w:val="20"/>
          <w:szCs w:val="20"/>
          <w:color w:val="auto"/>
        </w:rPr>
      </w:pPr>
    </w:p>
    <w:p>
      <w:pPr>
        <w:ind w:left="300"/>
        <w:spacing w:after="0"/>
        <w:tabs>
          <w:tab w:leader="none" w:pos="100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1029335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27" w:right="1440"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596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SEER, INC.</w:t>
            </w:r>
          </w:p>
        </w:tc>
      </w:tr>
      <w:tr>
        <w:trPr>
          <w:trHeight w:val="391"/>
        </w:trPr>
        <w:tc>
          <w:tcPr>
            <w:tcW w:w="5280" w:type="dxa"/>
            <w:vAlign w:val="bottom"/>
          </w:tcPr>
          <w:p>
            <w:pPr>
              <w:ind w:left="3440"/>
              <w:spacing w:after="0"/>
              <w:rPr>
                <w:sz w:val="20"/>
                <w:szCs w:val="20"/>
                <w:color w:val="auto"/>
              </w:rPr>
            </w:pPr>
            <w:r>
              <w:rPr>
                <w:rFonts w:ascii="Times New Roman" w:cs="Times New Roman" w:eastAsia="Times New Roman" w:hAnsi="Times New Roman"/>
                <w:sz w:val="18"/>
                <w:szCs w:val="18"/>
                <w:color w:val="auto"/>
              </w:rPr>
              <w:t>Date: May 13, 2026</w:t>
            </w:r>
          </w:p>
        </w:tc>
        <w:tc>
          <w:tcPr>
            <w:tcW w:w="59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By:   /s/ David Horn</w:t>
            </w:r>
          </w:p>
        </w:tc>
      </w:tr>
      <w:tr>
        <w:trPr>
          <w:trHeight w:val="218"/>
        </w:trPr>
        <w:tc>
          <w:tcPr>
            <w:tcW w:w="5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Horn</w:t>
            </w:r>
          </w:p>
        </w:tc>
        <w:tc>
          <w:tcPr>
            <w:tcW w:w="4000" w:type="dxa"/>
            <w:vAlign w:val="bottom"/>
          </w:tcPr>
          <w:p>
            <w:pPr>
              <w:spacing w:after="0"/>
              <w:rPr>
                <w:sz w:val="18"/>
                <w:szCs w:val="18"/>
                <w:color w:val="auto"/>
              </w:rPr>
            </w:pPr>
          </w:p>
        </w:tc>
      </w:tr>
      <w:tr>
        <w:trPr>
          <w:trHeight w:val="234"/>
        </w:trPr>
        <w:tc>
          <w:tcPr>
            <w:tcW w:w="5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1627"/>
        </w:trPr>
        <w:tc>
          <w:tcPr>
            <w:tcW w:w="5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Seer Reports First Quarter 2026 Financial Results</w:t>
      </w:r>
    </w:p>
    <w:p>
      <w:pPr>
        <w:spacing w:after="0" w:line="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and Reaffirms Full Year 2026 Outlook</w:t>
      </w:r>
    </w:p>
    <w:p>
      <w:pPr>
        <w:spacing w:after="0" w:line="21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REDWOOD CITY, Calif. – May 13, 2026 </w:t>
      </w:r>
      <w:r>
        <w:rPr>
          <w:rFonts w:ascii="Times New Roman" w:cs="Times New Roman" w:eastAsia="Times New Roman" w:hAnsi="Times New Roman"/>
          <w:sz w:val="18"/>
          <w:szCs w:val="18"/>
          <w:color w:val="auto"/>
        </w:rPr>
        <w:t>– Seer, Inc. (Nasdaq: SEER) (“Seer” or the “Company”), the pioneer and trusted partner for deep, unbiased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proteomic insights, today announced financial results for the quarter ended March 31,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w:t>
      </w:r>
    </w:p>
    <w:p>
      <w:pPr>
        <w:spacing w:after="0" w:line="31"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revenue of $2.8 million in the first quarter of 2026</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a doubling of independent publications year-over-year to 84 total, accelerating third-party validation of Seer’s platform</w:t>
      </w:r>
    </w:p>
    <w:p>
      <w:pPr>
        <w:spacing w:after="0" w:line="9"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a collaboration with Precision Health Research, Singapore to provide deep, unbiased proteomics on 10,000 samples for their PRECISE-SG100K study, a landmark multi-ancestry, population-scale cohort of approximately 100,000 Singapore residents</w:t>
      </w:r>
    </w:p>
    <w:p>
      <w:pPr>
        <w:ind w:left="760" w:right="280" w:hanging="378"/>
        <w:spacing w:after="0" w:line="250"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the leadership team with the appointment of Anthony (Tony) Bazarko as Chief Commercial Officer, bringing deep expertise to drive strategy, partnerships, and market adoption.</w:t>
      </w: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defended and reinforced Seer's IP position through a U.S. Patent and Trademark Office Final Written Decision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approximately 1.5 million Class A common shares under our share repurchase program authorization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Ended the quarter with approximately $220 million of cash, cash equivalents, and investments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"Seer executed on several important drivers to advance the long-term trajectory of the business by generating traction on large-scale contracts with biobanks and supporting continued third-party validation of our platform," said Omid Farokhzad, Chair and Chief Executive Officer. "Seer sits at the forefront of deep, unbiased proteomics, a large and expanding market with profound scientific and commercial potential. We are building this market from the ground up, and the foundation we are laying is increasingly recognized by the world's leading scientists and institutions. We look forward to advancing our vision to empower the scientific community with unbiased proteomics solutions while creating value for all stakeholders."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Revenue was $2.8 million for the first quarter of 2026, a 34% decrease from $4.2 million for the corresponding prior year period, primarily due to the continued depressed academic funding environment and competitive activity in the space we have pioneered. Product revenue for the first quarter of 2026 was $2.1 million, consisting of sales of Proteograph instruments and consumable kits. Service revenue was $596 thousand for the first quarter of 2026, including $56 thousand of related party revenue, and primarily consisting of revenue related to Seer Technology Access Center service projects. Other revenue was $87 thousand for the first quarter of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was $982 thousand and gross margin was 35% for the first quarter of 2026.</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Operating expenses were $18.2 million for the first quarter of 2026, including $2.1 million in stock-based compensation, a decrease of 20% compared to $22.8 million for the corresponding prior year period, including $4.5 million in stock-based compensation. The decrease in operating expenses was primarily driven by a decrease in employee compensation expenses, including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4"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Net loss was $16.8 million for the first quarter of 2026, compared to $19.9 million for the corresponding prior year period.</w:t>
      </w:r>
    </w:p>
    <w:p>
      <w:pPr>
        <w:spacing w:after="0" w:line="22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Free cash flow, defined as net cash used in operating activities of approximately $15.4 million, less net purchases of property and equipment of approximately $270 thousand, for the quarter was approximately negative $15.7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investments were approximately $220 million as of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Guidance</w:t>
      </w:r>
    </w:p>
    <w:p>
      <w:pPr>
        <w:spacing w:after="0" w:line="3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Seer continues to expect full year 2026 revenue to be in the range of $16 million to $18 million, representing growth of 3% at the midpoint over full year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Information</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Seer will host a conference call to discuss the first quarter 2026 financial results on Wednesday, May 13, 2026, at 1:30 pm Pacific Time / 4:30 pm Eastern Time. A webcast of the conference call can be accessed at https://investor.seer.bio. The webcast will be archived and available for replay for at least 90 days after the event.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Seer, Inc.</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Seer, Inc. (Nasdaq: SEER) sets the standard in deep, unbiased proteomics, delivering insights with a scale, speed, precision and reproducibility previously unattainable. Seer’s Proteograph® Product Suite integrates proprietary engineered nanoparticles, streamlined automation instrumentation, optimized consumables and advanced analytical software to overcome the limitations of traditional proteomic methods. Seer’s products are for research use only and are not intended for diagnostic procedures. For more information, visit www.seer.bio.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email us at pr@seer.bio.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plans and expectations regarding the adoption of Seer’s products. These and other risks are described more fully in Seer’s filings with the Securities and Exchange Commission (“SEC”) and other documents that Seer subsequently files with the SEC from time to time. Except to the extent required by law, Seer undertakes no obligation to update such statements to reflect events that occur or circumstances that exist after the date on which they were made.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Schmidt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pr@seer.bio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Marissa Bych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investor@seer.bio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4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52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3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Service</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party</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Service</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party</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cost of revenue</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18,238</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(17,256)</w:t>
            </w:r>
          </w:p>
        </w:tc>
        <w:tc>
          <w:tcPr>
            <w:tcW w:w="3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(20,731)</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3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(1,728)</w:t>
            </w: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38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w:t>
            </w:r>
          </w:p>
        </w:tc>
        <w:tc>
          <w:tcPr>
            <w:tcW w:w="3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10"/>
        </w:trPr>
        <w:tc>
          <w:tcPr>
            <w:tcW w:w="75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other income</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8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(16,827)</w:t>
            </w:r>
          </w:p>
        </w:tc>
        <w:tc>
          <w:tcPr>
            <w:tcW w:w="3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(19,847)</w:t>
            </w: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(16,837)</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(19,948)</w:t>
            </w: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38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(523)</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(17,360)</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(19,779)</w:t>
            </w:r>
          </w:p>
        </w:tc>
        <w:tc>
          <w:tcPr>
            <w:tcW w:w="0" w:type="dxa"/>
            <w:vAlign w:val="bottom"/>
          </w:tcPr>
          <w:p>
            <w:pPr>
              <w:spacing w:after="0"/>
              <w:rPr>
                <w:sz w:val="1"/>
                <w:szCs w:val="1"/>
                <w:color w:val="auto"/>
              </w:rPr>
            </w:pPr>
          </w:p>
        </w:tc>
      </w:tr>
      <w:tr>
        <w:trPr>
          <w:trHeight w:val="20"/>
        </w:trPr>
        <w:tc>
          <w:tcPr>
            <w:tcW w:w="75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5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Class A and Class B common stockholders,</w:t>
            </w:r>
          </w:p>
        </w:tc>
        <w:tc>
          <w:tcPr>
            <w:tcW w:w="380" w:type="dxa"/>
            <w:vAlign w:val="bottom"/>
            <w:vMerge w:val="restart"/>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(0.30)</w:t>
            </w: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194"/>
        </w:trPr>
        <w:tc>
          <w:tcPr>
            <w:tcW w:w="752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basic and diluted</w:t>
            </w:r>
          </w:p>
        </w:tc>
        <w:tc>
          <w:tcPr>
            <w:tcW w:w="38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52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380" w:type="dxa"/>
            <w:vAlign w:val="bottom"/>
            <w:shd w:val="clear" w:color="auto" w:fill="CFF0FC"/>
          </w:tcPr>
          <w:p>
            <w:pPr>
              <w:spacing w:after="0"/>
              <w:rPr>
                <w:sz w:val="15"/>
                <w:szCs w:val="15"/>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55,995,933</w:t>
            </w: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59,408,711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520" w:type="dxa"/>
            <w:vAlign w:val="bottom"/>
            <w:tcBorders>
              <w:bottom w:val="single" w:sz="8" w:color="CFF0FC"/>
            </w:tcBorders>
            <w:shd w:val="clear" w:color="auto" w:fill="CFF0FC"/>
          </w:tcPr>
          <w:p>
            <w:pPr>
              <w:ind w:left="100"/>
              <w:spacing w:after="0" w:line="194" w:lineRule="exact"/>
              <w:rPr>
                <w:sz w:val="20"/>
                <w:szCs w:val="20"/>
                <w:color w:val="auto"/>
              </w:rPr>
            </w:pPr>
            <w:r>
              <w:rPr>
                <w:rFonts w:ascii="Times New Roman" w:cs="Times New Roman" w:eastAsia="Times New Roman" w:hAnsi="Times New Roman"/>
                <w:sz w:val="18"/>
                <w:szCs w:val="18"/>
                <w:color w:val="auto"/>
              </w:rPr>
              <w:t>Class A and Class B common stockholders, basic and diluted</w:t>
            </w:r>
          </w:p>
        </w:tc>
        <w:tc>
          <w:tcPr>
            <w:tcW w:w="3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2173605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-3959860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-3128010</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-3128010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-2836545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-2270760</wp:posOffset>
            </wp:positionV>
            <wp:extent cx="77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-1430655</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-1148080</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-573405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-556260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-556260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ind w:left="516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7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9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47,318</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47,285</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investments</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119,354</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138,612</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Accounts receivable, net</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3,200</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4,282</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Related party receivables</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Other receivables</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1,370</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Inventory</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8,079</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7,795</w:t>
            </w:r>
          </w:p>
        </w:tc>
        <w:tc>
          <w:tcPr>
            <w:tcW w:w="100" w:type="dxa"/>
            <w:vAlign w:val="bottom"/>
          </w:tcPr>
          <w:p>
            <w:pPr>
              <w:spacing w:after="0"/>
              <w:rPr>
                <w:sz w:val="17"/>
                <w:szCs w:val="17"/>
                <w:color w:val="auto"/>
              </w:rPr>
            </w:pPr>
          </w:p>
        </w:tc>
      </w:tr>
      <w:tr>
        <w:trPr>
          <w:trHeight w:val="203"/>
        </w:trPr>
        <w:tc>
          <w:tcPr>
            <w:tcW w:w="7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2,586</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1,890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current assets</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181,593</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201,534</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Long-term investments</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52,848</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54,686</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19,890</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20,488</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13,485</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14,754</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100" w:type="dxa"/>
            <w:vAlign w:val="bottom"/>
          </w:tcPr>
          <w:p>
            <w:pPr>
              <w:spacing w:after="0"/>
              <w:rPr>
                <w:sz w:val="17"/>
                <w:szCs w:val="17"/>
                <w:color w:val="auto"/>
              </w:rPr>
            </w:pPr>
          </w:p>
        </w:tc>
      </w:tr>
      <w:tr>
        <w:trPr>
          <w:trHeight w:val="20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3,792</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4,097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272,132</w:t>
            </w:r>
          </w:p>
        </w:tc>
        <w:tc>
          <w:tcPr>
            <w:tcW w:w="300" w:type="dxa"/>
            <w:vAlign w:val="bottom"/>
          </w:tcPr>
          <w:p>
            <w:pPr>
              <w:spacing w:after="0"/>
              <w:rPr>
                <w:sz w:val="17"/>
                <w:szCs w:val="17"/>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296,083</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2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2,497</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5,611</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expenses</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4,730</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7,135</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Deferred revenue</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2,575</w:t>
            </w:r>
          </w:p>
        </w:tc>
        <w:tc>
          <w:tcPr>
            <w:tcW w:w="100" w:type="dxa"/>
            <w:vAlign w:val="bottom"/>
          </w:tcPr>
          <w:p>
            <w:pPr>
              <w:spacing w:after="0"/>
              <w:rPr>
                <w:sz w:val="17"/>
                <w:szCs w:val="17"/>
                <w:color w:val="auto"/>
              </w:rPr>
            </w:pPr>
          </w:p>
        </w:tc>
      </w:tr>
      <w:tr>
        <w:trPr>
          <w:trHeight w:val="203"/>
        </w:trPr>
        <w:tc>
          <w:tcPr>
            <w:tcW w:w="7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10,243</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15,691</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20,384</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21,077</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7"/>
                <w:szCs w:val="17"/>
                <w:color w:val="auto"/>
              </w:rPr>
            </w:pPr>
          </w:p>
        </w:tc>
      </w:tr>
      <w:tr>
        <w:trPr>
          <w:trHeight w:val="196"/>
        </w:trPr>
        <w:tc>
          <w:tcPr>
            <w:tcW w:w="77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30,653</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36,776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1"/>
        </w:trPr>
        <w:tc>
          <w:tcPr>
            <w:tcW w:w="772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Preferred stock, $0.00001 par value; 5,000,000 shares authorized as of</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March 31, 2026 and December 31, 2025; zero shares issued and</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77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outstanding as of March 31, 2026 and December 31, 2025</w:t>
            </w:r>
          </w:p>
        </w:tc>
        <w:tc>
          <w:tcPr>
            <w:tcW w:w="28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182"/>
        </w:trPr>
        <w:tc>
          <w:tcPr>
            <w:tcW w:w="7720" w:type="dxa"/>
            <w:vAlign w:val="bottom"/>
            <w:shd w:val="clear" w:color="auto" w:fill="CFF0FC"/>
          </w:tcPr>
          <w:p>
            <w:pPr>
              <w:ind w:left="140"/>
              <w:spacing w:after="0" w:line="182" w:lineRule="exact"/>
              <w:rPr>
                <w:sz w:val="20"/>
                <w:szCs w:val="20"/>
                <w:color w:val="auto"/>
              </w:rPr>
            </w:pPr>
            <w:r>
              <w:rPr>
                <w:rFonts w:ascii="Times New Roman" w:cs="Times New Roman" w:eastAsia="Times New Roman" w:hAnsi="Times New Roman"/>
                <w:sz w:val="17"/>
                <w:szCs w:val="17"/>
                <w:color w:val="auto"/>
              </w:rPr>
              <w:t>Class A common stock, $0.00001 par value; 94,000,000 shares authorized</w:t>
            </w: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as of March 31, 2026 and December 31, 2025; 55,065,984 and</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56,219,599 shares issued and outstanding as of March 31, 2026 and</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4"/>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December 31, 2025, respectively</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9"/>
                <w:szCs w:val="19"/>
                <w:color w:val="auto"/>
              </w:rPr>
            </w:pPr>
          </w:p>
        </w:tc>
      </w:tr>
      <w:tr>
        <w:trPr>
          <w:trHeight w:val="181"/>
        </w:trPr>
        <w:tc>
          <w:tcPr>
            <w:tcW w:w="772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Class B common stock, $0.00001 par value; 134,268 shares authorized</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as of March 31, 2026 and December 31, 2025; zero shares</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77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issued and outstanding as of March 31, 2026 and December 31, 2025</w:t>
            </w:r>
          </w:p>
        </w:tc>
        <w:tc>
          <w:tcPr>
            <w:tcW w:w="28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724,351</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724,819</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gain (loss)</w:t>
            </w:r>
          </w:p>
        </w:tc>
        <w:tc>
          <w:tcPr>
            <w:tcW w:w="280" w:type="dxa"/>
            <w:vAlign w:val="bottom"/>
          </w:tcPr>
          <w:p>
            <w:pPr>
              <w:spacing w:after="0"/>
              <w:rPr>
                <w:sz w:val="17"/>
                <w:szCs w:val="17"/>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(64)</w:t>
            </w: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Accumulated deficit</w:t>
            </w:r>
          </w:p>
        </w:tc>
        <w:tc>
          <w:tcPr>
            <w:tcW w:w="2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(482,809)</w:t>
            </w:r>
          </w:p>
        </w:tc>
        <w:tc>
          <w:tcPr>
            <w:tcW w:w="2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(465,972)</w:t>
            </w:r>
          </w:p>
        </w:tc>
      </w:tr>
      <w:tr>
        <w:trPr>
          <w:trHeight w:val="196"/>
        </w:trPr>
        <w:tc>
          <w:tcPr>
            <w:tcW w:w="772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241,479</w:t>
            </w:r>
          </w:p>
        </w:tc>
        <w:tc>
          <w:tcPr>
            <w:tcW w:w="30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259,307</w:t>
            </w:r>
          </w:p>
        </w:tc>
        <w:tc>
          <w:tcPr>
            <w:tcW w:w="100" w:type="dxa"/>
            <w:vAlign w:val="bottom"/>
            <w:tcBorders>
              <w:top w:val="single" w:sz="8" w:color="CFF0FC"/>
            </w:tcBorders>
          </w:tcPr>
          <w:p>
            <w:pPr>
              <w:spacing w:after="0"/>
              <w:rPr>
                <w:sz w:val="17"/>
                <w:szCs w:val="17"/>
                <w:color w:val="auto"/>
              </w:rPr>
            </w:pPr>
          </w:p>
        </w:tc>
      </w:tr>
      <w:tr>
        <w:trPr>
          <w:trHeight w:val="236"/>
        </w:trPr>
        <w:tc>
          <w:tcPr>
            <w:tcW w:w="77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272,132</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296,083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32"/>
        </w:trPr>
        <w:tc>
          <w:tcPr>
            <w:tcW w:w="7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-5862955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-5862955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-5082540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-5082540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-4019550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-3488055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-3488055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-1551305</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-1551305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-1276350</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-1259205</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2026-05-13T15:36:20Z</dcterms:created>
  <dcterms:modified xsi:type="dcterms:W3CDTF">2026-05-13T15:36:20Z</dcterms:modified>
</cp:coreProperties>
</file>