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671195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688340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71" w:lineRule="exact"/>
        <w:rPr>
          <w:sz w:val="24"/>
          <w:szCs w:val="24"/>
          <w:color w:val="auto"/>
        </w:rPr>
      </w:pPr>
    </w:p>
    <w:p>
      <w:pPr>
        <w:ind w:left="4160" w:right="2700" w:hanging="4152"/>
        <w:spacing w:after="0" w:line="335" w:lineRule="auto"/>
        <w:tabs>
          <w:tab w:leader="none" w:pos="267" w:val="left"/>
        </w:tabs>
        <w:numPr>
          <w:ilvl w:val="0"/>
          <w:numId w:val="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QUARTERLY REPORT PURSUANT TO SECTION 13 OR 15(d) OF THE SECURITIES EXCHANGE ACT OF 1934 </w:t>
      </w:r>
      <w:r>
        <w:rPr>
          <w:rFonts w:ascii="Times New Roman" w:cs="Times New Roman" w:eastAsia="Times New Roman" w:hAnsi="Times New Roman"/>
          <w:sz w:val="16"/>
          <w:szCs w:val="16"/>
          <w:color w:val="auto"/>
        </w:rPr>
        <w:t>For the quarterly period ended June 30, 2025</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or</w:t>
      </w:r>
    </w:p>
    <w:p>
      <w:pPr>
        <w:spacing w:after="0" w:line="71" w:lineRule="exact"/>
        <w:rPr>
          <w:sz w:val="24"/>
          <w:szCs w:val="24"/>
          <w:color w:val="auto"/>
        </w:rPr>
      </w:pPr>
    </w:p>
    <w:p>
      <w:pPr>
        <w:ind w:left="3320" w:right="2780" w:hanging="3312"/>
        <w:spacing w:after="0" w:line="335" w:lineRule="auto"/>
        <w:tabs>
          <w:tab w:leader="none" w:pos="100" w:val="left"/>
        </w:tabs>
        <w:numPr>
          <w:ilvl w:val="0"/>
          <w:numId w:val="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 TRANSITION REPORT PURSUANT TO SECTION 13 OR 15(d) OF THE SECURITIES EXCHANGE ACT OF 1934 </w:t>
      </w:r>
      <w:r>
        <w:rPr>
          <w:rFonts w:ascii="Times New Roman" w:cs="Times New Roman" w:eastAsia="Times New Roman" w:hAnsi="Times New Roman"/>
          <w:sz w:val="16"/>
          <w:szCs w:val="16"/>
          <w:color w:val="auto"/>
        </w:rPr>
        <w:t>For the transition period from _______________ to _______________</w:t>
      </w:r>
    </w:p>
    <w:p>
      <w:pPr>
        <w:spacing w:after="0" w:line="1" w:lineRule="exact"/>
        <w:rPr>
          <w:rFonts w:ascii="Times New Roman" w:cs="Times New Roman" w:eastAsia="Times New Roman" w:hAnsi="Times New Roman"/>
          <w:sz w:val="16"/>
          <w:szCs w:val="16"/>
          <w:b w:val="1"/>
          <w:bCs w:val="1"/>
          <w:color w:val="auto"/>
        </w:rPr>
      </w:pPr>
    </w:p>
    <w:p>
      <w:pPr>
        <w:ind w:left="44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Commission file number 001-39747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80645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SEER, INC.</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132"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82-1153150</w:t>
      </w:r>
    </w:p>
    <w:p>
      <w:pPr>
        <w:spacing w:after="0" w:line="42" w:lineRule="exact"/>
        <w:rPr>
          <w:sz w:val="24"/>
          <w:szCs w:val="24"/>
          <w:color w:val="auto"/>
        </w:rPr>
      </w:pPr>
    </w:p>
    <w:p>
      <w:pPr>
        <w:sectPr>
          <w:pgSz w:w="11900" w:h="16838" w:orient="portrait"/>
          <w:cols w:equalWidth="0" w:num="2">
            <w:col w:w="7940" w:space="720"/>
            <w:col w:w="2580"/>
          </w:cols>
          <w:pgMar w:left="320" w:top="225" w:right="339" w:bottom="1440" w:gutter="0" w:footer="0" w:header="0"/>
          <w:type w:val="continuous"/>
        </w:sectPr>
      </w:pPr>
    </w:p>
    <w:p>
      <w:pPr>
        <w:ind w:left="40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Number)</w:t>
      </w:r>
    </w:p>
    <w:p>
      <w:pPr>
        <w:spacing w:after="0" w:line="42" w:lineRule="exact"/>
        <w:rPr>
          <w:sz w:val="24"/>
          <w:szCs w:val="24"/>
          <w:color w:val="auto"/>
        </w:rPr>
      </w:pPr>
    </w:p>
    <w:p>
      <w:pPr>
        <w:sectPr>
          <w:pgSz w:w="11900" w:h="16838" w:orient="portrait"/>
          <w:cols w:equalWidth="0" w:num="2">
            <w:col w:w="7020" w:space="720"/>
            <w:col w:w="3500"/>
          </w:cols>
          <w:pgMar w:left="320" w:top="225"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3800 Bridge Parkway, Suite 102</w:t>
      </w:r>
    </w:p>
    <w:p>
      <w:pPr>
        <w:jc w:val="center"/>
        <w:ind w:right="-19"/>
        <w:spacing w:after="0" w:line="229" w:lineRule="auto"/>
        <w:rPr>
          <w:sz w:val="20"/>
          <w:szCs w:val="20"/>
          <w:color w:val="auto"/>
        </w:rPr>
      </w:pPr>
      <w:r>
        <w:rPr>
          <w:rFonts w:ascii="Times New Roman" w:cs="Times New Roman" w:eastAsia="Times New Roman" w:hAnsi="Times New Roman"/>
          <w:sz w:val="14"/>
          <w:szCs w:val="14"/>
          <w:b w:val="1"/>
          <w:bCs w:val="1"/>
          <w:color w:val="auto"/>
        </w:rPr>
        <w:t>Redwood City, California 94065</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650-453-0000</w:t>
      </w:r>
    </w:p>
    <w:p>
      <w:pPr>
        <w:sectPr>
          <w:pgSz w:w="11900" w:h="16838" w:orient="portrait"/>
          <w:cols w:equalWidth="0" w:num="1">
            <w:col w:w="11240"/>
          </w:cols>
          <w:pgMar w:left="320" w:top="225" w:right="339" w:bottom="1440" w:gutter="0" w:footer="0" w:header="0"/>
          <w:type w:val="continuous"/>
        </w:sectPr>
      </w:pP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93345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600" w:type="dxa"/>
            <w:vAlign w:val="bottom"/>
          </w:tcPr>
          <w:p>
            <w:pPr>
              <w:spacing w:after="0"/>
              <w:rPr>
                <w:sz w:val="16"/>
                <w:szCs w:val="16"/>
                <w:color w:val="auto"/>
              </w:rPr>
            </w:pPr>
          </w:p>
        </w:tc>
        <w:tc>
          <w:tcPr>
            <w:tcW w:w="3960" w:type="dxa"/>
            <w:vAlign w:val="bottom"/>
            <w:gridSpan w:val="5"/>
          </w:tcPr>
          <w:p>
            <w:pPr>
              <w:jc w:val="center"/>
              <w:ind w:left="28"/>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680" w:type="dxa"/>
            <w:vAlign w:val="bottom"/>
          </w:tcPr>
          <w:p>
            <w:pPr>
              <w:spacing w:after="0"/>
              <w:rPr>
                <w:sz w:val="16"/>
                <w:szCs w:val="16"/>
                <w:color w:val="auto"/>
              </w:rPr>
            </w:pPr>
          </w:p>
        </w:tc>
      </w:tr>
      <w:tr>
        <w:trPr>
          <w:trHeight w:val="131"/>
        </w:trPr>
        <w:tc>
          <w:tcPr>
            <w:tcW w:w="3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80" w:type="dxa"/>
            <w:vAlign w:val="bottom"/>
          </w:tcPr>
          <w:p>
            <w:pPr>
              <w:spacing w:after="0"/>
              <w:rPr>
                <w:sz w:val="11"/>
                <w:szCs w:val="11"/>
                <w:color w:val="auto"/>
              </w:rPr>
            </w:pPr>
          </w:p>
        </w:tc>
      </w:tr>
      <w:tr>
        <w:trPr>
          <w:trHeight w:val="267"/>
        </w:trPr>
        <w:tc>
          <w:tcPr>
            <w:tcW w:w="36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60" w:type="dxa"/>
            <w:vAlign w:val="bottom"/>
            <w:gridSpan w:val="3"/>
          </w:tcPr>
          <w:p>
            <w:pPr>
              <w:jc w:val="center"/>
              <w:ind w:right="820"/>
              <w:spacing w:after="0"/>
              <w:rPr>
                <w:sz w:val="20"/>
                <w:szCs w:val="20"/>
                <w:color w:val="auto"/>
              </w:rPr>
            </w:pPr>
            <w:r>
              <w:rPr>
                <w:rFonts w:ascii="Times New Roman" w:cs="Times New Roman" w:eastAsia="Times New Roman" w:hAnsi="Times New Roman"/>
                <w:sz w:val="14"/>
                <w:szCs w:val="14"/>
                <w:i w:val="1"/>
                <w:iCs w:val="1"/>
                <w:color w:val="auto"/>
              </w:rPr>
              <w:t>Copies to:</w:t>
            </w:r>
          </w:p>
        </w:tc>
        <w:tc>
          <w:tcPr>
            <w:tcW w:w="3680" w:type="dxa"/>
            <w:vAlign w:val="bottom"/>
          </w:tcPr>
          <w:p>
            <w:pPr>
              <w:spacing w:after="0"/>
              <w:rPr>
                <w:sz w:val="23"/>
                <w:szCs w:val="23"/>
                <w:color w:val="auto"/>
              </w:rPr>
            </w:pPr>
          </w:p>
        </w:tc>
      </w:tr>
      <w:tr>
        <w:trPr>
          <w:trHeight w:val="213"/>
        </w:trPr>
        <w:tc>
          <w:tcPr>
            <w:tcW w:w="3600" w:type="dxa"/>
            <w:vAlign w:val="bottom"/>
          </w:tcPr>
          <w:p>
            <w:pPr>
              <w:jc w:val="center"/>
              <w:ind w:left="72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gridSpan w:val="3"/>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680" w:type="dxa"/>
            <w:vAlign w:val="bottom"/>
          </w:tcPr>
          <w:p>
            <w:pPr>
              <w:jc w:val="center"/>
              <w:ind w:right="648"/>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182"/>
        </w:trPr>
        <w:tc>
          <w:tcPr>
            <w:tcW w:w="3600" w:type="dxa"/>
            <w:vAlign w:val="bottom"/>
            <w:tcBorders>
              <w:top w:val="single" w:sz="8" w:color="auto"/>
            </w:tcBorders>
          </w:tcPr>
          <w:p>
            <w:pPr>
              <w:jc w:val="center"/>
              <w:ind w:left="728"/>
              <w:spacing w:after="0"/>
              <w:rPr>
                <w:sz w:val="20"/>
                <w:szCs w:val="20"/>
                <w:color w:val="auto"/>
              </w:rPr>
            </w:pPr>
            <w:r>
              <w:rPr>
                <w:rFonts w:ascii="Times New Roman" w:cs="Times New Roman" w:eastAsia="Times New Roman" w:hAnsi="Times New Roman"/>
                <w:sz w:val="14"/>
                <w:szCs w:val="14"/>
                <w:color w:val="auto"/>
              </w:rPr>
              <w:t>Common Stock, par value $0.00001</w:t>
            </w: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SEER</w:t>
            </w:r>
          </w:p>
        </w:tc>
        <w:tc>
          <w:tcPr>
            <w:tcW w:w="12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3680" w:type="dxa"/>
            <w:vAlign w:val="bottom"/>
            <w:tcBorders>
              <w:top w:val="single" w:sz="8" w:color="auto"/>
            </w:tcBorders>
          </w:tcPr>
          <w:p>
            <w:pPr>
              <w:jc w:val="center"/>
              <w:ind w:right="628"/>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194" w:lineRule="exact"/>
        <w:rPr>
          <w:sz w:val="24"/>
          <w:szCs w:val="24"/>
          <w:color w:val="auto"/>
        </w:rPr>
      </w:pPr>
    </w:p>
    <w:p>
      <w:pPr>
        <w:ind w:right="2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6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40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4" w:lineRule="exact"/>
        <w:rPr>
          <w:sz w:val="24"/>
          <w:szCs w:val="24"/>
          <w:color w:val="auto"/>
        </w:rPr>
      </w:pPr>
    </w:p>
    <w:tbl>
      <w:tblPr>
        <w:tblLayout w:type="fixed"/>
        <w:tblInd w:w="0" w:type="dxa"/>
        <w:tblCellMar>
          <w:top w:w="0" w:type="dxa"/>
          <w:left w:w="0" w:type="dxa"/>
          <w:bottom w:w="0" w:type="dxa"/>
          <w:right w:w="0" w:type="dxa"/>
        </w:tblCellMar>
      </w:tblPr>
      <w:tr>
        <w:trPr>
          <w:trHeight w:val="242"/>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56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4820" w:type="dxa"/>
            <w:vAlign w:val="bottom"/>
          </w:tcPr>
          <w:p>
            <w:pPr>
              <w:ind w:left="2860"/>
              <w:spacing w:after="0"/>
              <w:rPr>
                <w:sz w:val="20"/>
                <w:szCs w:val="20"/>
                <w:color w:val="auto"/>
              </w:rPr>
            </w:pPr>
            <w:r>
              <w:rPr>
                <w:rFonts w:ascii="Times New Roman" w:cs="Times New Roman" w:eastAsia="Times New Roman" w:hAnsi="Times New Roman"/>
                <w:sz w:val="14"/>
                <w:szCs w:val="14"/>
                <w:color w:val="auto"/>
              </w:rPr>
              <w:t>Accelerated filer</w:t>
            </w:r>
          </w:p>
        </w:tc>
        <w:tc>
          <w:tcPr>
            <w:tcW w:w="5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70"/>
        </w:trPr>
        <w:tc>
          <w:tcPr>
            <w:tcW w:w="184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4820" w:type="dxa"/>
            <w:vAlign w:val="bottom"/>
          </w:tcPr>
          <w:p>
            <w:pPr>
              <w:ind w:left="28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70"/>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56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4820" w:type="dxa"/>
            <w:vAlign w:val="bottom"/>
          </w:tcPr>
          <w:p>
            <w:pPr>
              <w:ind w:left="2860"/>
              <w:spacing w:after="0"/>
              <w:rPr>
                <w:sz w:val="20"/>
                <w:szCs w:val="20"/>
                <w:color w:val="auto"/>
              </w:rPr>
            </w:pPr>
            <w:r>
              <w:rPr>
                <w:rFonts w:ascii="Times New Roman" w:cs="Times New Roman" w:eastAsia="Times New Roman" w:hAnsi="Times New Roman"/>
                <w:sz w:val="14"/>
                <w:szCs w:val="14"/>
                <w:color w:val="auto"/>
              </w:rPr>
              <w:t>Emerging growth company</w:t>
            </w:r>
          </w:p>
        </w:tc>
        <w:tc>
          <w:tcPr>
            <w:tcW w:w="5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6" w:lineRule="exact"/>
        <w:rPr>
          <w:sz w:val="24"/>
          <w:szCs w:val="24"/>
          <w:color w:val="auto"/>
        </w:r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700" w:val="left"/>
          <w:tab w:leader="none" w:pos="728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74" w:lineRule="exact"/>
        <w:rPr>
          <w:sz w:val="24"/>
          <w:szCs w:val="24"/>
          <w:color w:val="auto"/>
        </w:rPr>
      </w:pPr>
    </w:p>
    <w:p>
      <w:pPr>
        <w:ind w:right="520"/>
        <w:spacing w:after="0" w:line="261" w:lineRule="auto"/>
        <w:rPr>
          <w:sz w:val="20"/>
          <w:szCs w:val="20"/>
          <w:color w:val="auto"/>
        </w:rPr>
      </w:pPr>
      <w:r>
        <w:rPr>
          <w:rFonts w:ascii="Times New Roman" w:cs="Times New Roman" w:eastAsia="Times New Roman" w:hAnsi="Times New Roman"/>
          <w:sz w:val="14"/>
          <w:szCs w:val="14"/>
          <w:color w:val="auto"/>
        </w:rPr>
        <w:t>As of July 30, 2025, the registrant had 52,294,370 shares of Class A common stock, $0.00001 par value per share, and 4,044,969 of Class B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756920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940" w:type="dxa"/>
            <w:vAlign w:val="bottom"/>
            <w:gridSpan w:val="7"/>
          </w:tcPr>
          <w:p>
            <w:pPr>
              <w:ind w:left="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594"/>
        </w:trPr>
        <w:tc>
          <w:tcPr>
            <w:tcW w:w="460" w:type="dxa"/>
            <w:vAlign w:val="bottom"/>
          </w:tcPr>
          <w:p>
            <w:pPr>
              <w:spacing w:after="0"/>
              <w:rPr>
                <w:sz w:val="24"/>
                <w:szCs w:val="24"/>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PART I.</w:t>
            </w: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156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0000FF"/>
              </w:rPr>
              <w:t>1</w:t>
            </w:r>
          </w:p>
        </w:tc>
        <w:tc>
          <w:tcPr>
            <w:tcW w:w="320" w:type="dxa"/>
            <w:vAlign w:val="bottom"/>
          </w:tcPr>
          <w:p>
            <w:pPr>
              <w:spacing w:after="0"/>
              <w:rPr>
                <w:sz w:val="24"/>
                <w:szCs w:val="24"/>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156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0000FF"/>
              </w:rPr>
              <w:t>1</w:t>
            </w:r>
          </w:p>
        </w:tc>
        <w:tc>
          <w:tcPr>
            <w:tcW w:w="320" w:type="dxa"/>
            <w:vAlign w:val="bottom"/>
          </w:tcPr>
          <w:p>
            <w:pPr>
              <w:spacing w:after="0"/>
              <w:rPr>
                <w:sz w:val="22"/>
                <w:szCs w:val="22"/>
                <w:color w:val="auto"/>
              </w:rPr>
            </w:pPr>
          </w:p>
        </w:tc>
      </w:tr>
      <w:tr>
        <w:trPr>
          <w:trHeight w:val="20"/>
        </w:trPr>
        <w:tc>
          <w:tcPr>
            <w:tcW w:w="4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156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0000FF"/>
              </w:rPr>
              <w:t>1</w:t>
            </w:r>
          </w:p>
        </w:tc>
        <w:tc>
          <w:tcPr>
            <w:tcW w:w="320" w:type="dxa"/>
            <w:vAlign w:val="bottom"/>
          </w:tcPr>
          <w:p>
            <w:pPr>
              <w:spacing w:after="0"/>
              <w:rPr>
                <w:sz w:val="22"/>
                <w:szCs w:val="22"/>
                <w:color w:val="auto"/>
              </w:rPr>
            </w:pPr>
          </w:p>
        </w:tc>
      </w:tr>
      <w:tr>
        <w:trPr>
          <w:trHeight w:val="20"/>
        </w:trPr>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w:t>
            </w:r>
          </w:p>
        </w:tc>
        <w:tc>
          <w:tcPr>
            <w:tcW w:w="156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0000FF"/>
              </w:rPr>
              <w:t>2</w:t>
            </w:r>
          </w:p>
        </w:tc>
        <w:tc>
          <w:tcPr>
            <w:tcW w:w="320" w:type="dxa"/>
            <w:vAlign w:val="bottom"/>
          </w:tcPr>
          <w:p>
            <w:pPr>
              <w:spacing w:after="0"/>
              <w:rPr>
                <w:sz w:val="22"/>
                <w:szCs w:val="22"/>
                <w:color w:val="auto"/>
              </w:rPr>
            </w:pPr>
          </w:p>
        </w:tc>
      </w:tr>
      <w:tr>
        <w:trPr>
          <w:trHeight w:val="20"/>
        </w:trPr>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w:t>
            </w:r>
          </w:p>
        </w:tc>
        <w:tc>
          <w:tcPr>
            <w:tcW w:w="156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0000FF"/>
              </w:rPr>
              <w:t>3</w:t>
            </w:r>
          </w:p>
        </w:tc>
        <w:tc>
          <w:tcPr>
            <w:tcW w:w="320" w:type="dxa"/>
            <w:vAlign w:val="bottom"/>
          </w:tcPr>
          <w:p>
            <w:pPr>
              <w:spacing w:after="0"/>
              <w:rPr>
                <w:sz w:val="22"/>
                <w:szCs w:val="22"/>
                <w:color w:val="auto"/>
              </w:rPr>
            </w:pPr>
          </w:p>
        </w:tc>
      </w:tr>
      <w:tr>
        <w:trPr>
          <w:trHeight w:val="20"/>
        </w:trPr>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156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0000FF"/>
              </w:rPr>
              <w:t>5</w:t>
            </w:r>
          </w:p>
        </w:tc>
        <w:tc>
          <w:tcPr>
            <w:tcW w:w="320" w:type="dxa"/>
            <w:vAlign w:val="bottom"/>
          </w:tcPr>
          <w:p>
            <w:pPr>
              <w:spacing w:after="0"/>
              <w:rPr>
                <w:sz w:val="22"/>
                <w:szCs w:val="22"/>
                <w:color w:val="auto"/>
              </w:rPr>
            </w:pPr>
          </w:p>
        </w:tc>
      </w:tr>
      <w:tr>
        <w:trPr>
          <w:trHeight w:val="20"/>
        </w:trPr>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920" w:type="dxa"/>
            <w:vAlign w:val="bottom"/>
            <w:tcBorders>
              <w:right w:val="single" w:sz="8" w:color="0000EE"/>
            </w:tcBorders>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4"/>
        </w:trPr>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156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0000FF"/>
              </w:rPr>
              <w:t>6</w:t>
            </w:r>
          </w:p>
        </w:tc>
        <w:tc>
          <w:tcPr>
            <w:tcW w:w="320" w:type="dxa"/>
            <w:vAlign w:val="bottom"/>
          </w:tcPr>
          <w:p>
            <w:pPr>
              <w:spacing w:after="0"/>
              <w:rPr>
                <w:sz w:val="22"/>
                <w:szCs w:val="22"/>
                <w:color w:val="auto"/>
              </w:rPr>
            </w:pPr>
          </w:p>
        </w:tc>
      </w:tr>
      <w:tr>
        <w:trPr>
          <w:trHeight w:val="20"/>
        </w:trPr>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2.</w:t>
            </w: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80" w:type="dxa"/>
            <w:vAlign w:val="bottom"/>
            <w:gridSpan w:val="3"/>
          </w:tcPr>
          <w:p>
            <w:pPr>
              <w:jc w:val="center"/>
              <w:ind w:left="1050"/>
              <w:spacing w:after="0"/>
              <w:rPr>
                <w:sz w:val="20"/>
                <w:szCs w:val="20"/>
                <w:color w:val="auto"/>
              </w:rPr>
            </w:pPr>
            <w:r>
              <w:rPr>
                <w:rFonts w:ascii="Times New Roman" w:cs="Times New Roman" w:eastAsia="Times New Roman" w:hAnsi="Times New Roman"/>
                <w:sz w:val="18"/>
                <w:szCs w:val="18"/>
                <w:color w:val="0000FF"/>
                <w:w w:val="99"/>
              </w:rPr>
              <w:t>18</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2100" w:type="dxa"/>
            <w:vAlign w:val="bottom"/>
            <w:gridSpan w:val="4"/>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3.</w:t>
            </w: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880" w:type="dxa"/>
            <w:vAlign w:val="bottom"/>
            <w:gridSpan w:val="3"/>
          </w:tcPr>
          <w:p>
            <w:pPr>
              <w:jc w:val="center"/>
              <w:ind w:left="1050"/>
              <w:spacing w:after="0"/>
              <w:rPr>
                <w:sz w:val="20"/>
                <w:szCs w:val="20"/>
                <w:color w:val="auto"/>
              </w:rPr>
            </w:pPr>
            <w:r>
              <w:rPr>
                <w:rFonts w:ascii="Times New Roman" w:cs="Times New Roman" w:eastAsia="Times New Roman" w:hAnsi="Times New Roman"/>
                <w:sz w:val="18"/>
                <w:szCs w:val="18"/>
                <w:color w:val="0000FF"/>
                <w:w w:val="99"/>
              </w:rPr>
              <w:t>27</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3540" w:type="dxa"/>
            <w:vAlign w:val="bottom"/>
            <w:gridSpan w:val="5"/>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880" w:type="dxa"/>
            <w:vAlign w:val="bottom"/>
            <w:gridSpan w:val="3"/>
          </w:tcPr>
          <w:p>
            <w:pPr>
              <w:jc w:val="center"/>
              <w:ind w:left="1050"/>
              <w:spacing w:after="0"/>
              <w:rPr>
                <w:sz w:val="20"/>
                <w:szCs w:val="20"/>
                <w:color w:val="auto"/>
              </w:rPr>
            </w:pPr>
            <w:r>
              <w:rPr>
                <w:rFonts w:ascii="Times New Roman" w:cs="Times New Roman" w:eastAsia="Times New Roman" w:hAnsi="Times New Roman"/>
                <w:sz w:val="18"/>
                <w:szCs w:val="18"/>
                <w:color w:val="0000FF"/>
                <w:w w:val="99"/>
              </w:rPr>
              <w:t>27</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080" w:type="dxa"/>
            <w:vAlign w:val="bottom"/>
            <w:gridSpan w:val="8"/>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PART II.</w:t>
            </w: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880" w:type="dxa"/>
            <w:vAlign w:val="bottom"/>
            <w:gridSpan w:val="3"/>
          </w:tcPr>
          <w:p>
            <w:pPr>
              <w:jc w:val="center"/>
              <w:ind w:left="1050"/>
              <w:spacing w:after="0"/>
              <w:rPr>
                <w:sz w:val="20"/>
                <w:szCs w:val="20"/>
                <w:color w:val="auto"/>
              </w:rPr>
            </w:pPr>
            <w:r>
              <w:rPr>
                <w:rFonts w:ascii="Times New Roman" w:cs="Times New Roman" w:eastAsia="Times New Roman" w:hAnsi="Times New Roman"/>
                <w:sz w:val="18"/>
                <w:szCs w:val="18"/>
                <w:color w:val="0000FF"/>
                <w:w w:val="99"/>
              </w:rPr>
              <w:t>29</w:t>
            </w:r>
          </w:p>
        </w:tc>
      </w:tr>
      <w:tr>
        <w:trPr>
          <w:trHeight w:val="20"/>
        </w:trPr>
        <w:tc>
          <w:tcPr>
            <w:tcW w:w="460" w:type="dxa"/>
            <w:vAlign w:val="bottom"/>
            <w:tcBorders>
              <w:right w:val="single" w:sz="8" w:color="0000FF"/>
            </w:tcBorders>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080" w:type="dxa"/>
            <w:vAlign w:val="bottom"/>
            <w:gridSpan w:val="8"/>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86"/>
              </w:rPr>
              <w:t>Item 1.</w:t>
            </w:r>
          </w:p>
        </w:tc>
        <w:tc>
          <w:tcPr>
            <w:tcW w:w="140" w:type="dxa"/>
            <w:vAlign w:val="bottom"/>
            <w:gridSpan w:val="2"/>
          </w:tcPr>
          <w:p>
            <w:pPr>
              <w:spacing w:after="0"/>
              <w:rPr>
                <w:sz w:val="22"/>
                <w:szCs w:val="22"/>
                <w:color w:val="auto"/>
              </w:rPr>
            </w:pPr>
          </w:p>
        </w:tc>
        <w:tc>
          <w:tcPr>
            <w:tcW w:w="400" w:type="dxa"/>
            <w:vAlign w:val="bottom"/>
          </w:tcPr>
          <w:p>
            <w:pPr>
              <w:spacing w:after="0"/>
              <w:rPr>
                <w:sz w:val="22"/>
                <w:szCs w:val="22"/>
                <w:color w:val="auto"/>
              </w:rPr>
            </w:pP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880" w:type="dxa"/>
            <w:vAlign w:val="bottom"/>
            <w:gridSpan w:val="3"/>
          </w:tcPr>
          <w:p>
            <w:pPr>
              <w:jc w:val="center"/>
              <w:ind w:left="1050"/>
              <w:spacing w:after="0"/>
              <w:rPr>
                <w:sz w:val="20"/>
                <w:szCs w:val="20"/>
                <w:color w:val="auto"/>
              </w:rPr>
            </w:pPr>
            <w:r>
              <w:rPr>
                <w:rFonts w:ascii="Times New Roman" w:cs="Times New Roman" w:eastAsia="Times New Roman" w:hAnsi="Times New Roman"/>
                <w:sz w:val="18"/>
                <w:szCs w:val="18"/>
                <w:color w:val="0000FF"/>
                <w:w w:val="99"/>
              </w:rPr>
              <w:t>29</w:t>
            </w:r>
          </w:p>
        </w:tc>
      </w:tr>
      <w:tr>
        <w:trPr>
          <w:trHeight w:val="20"/>
        </w:trPr>
        <w:tc>
          <w:tcPr>
            <w:tcW w:w="46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080" w:type="dxa"/>
            <w:vAlign w:val="bottom"/>
            <w:gridSpan w:val="8"/>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880" w:type="dxa"/>
            <w:vAlign w:val="bottom"/>
            <w:gridSpan w:val="3"/>
          </w:tcPr>
          <w:p>
            <w:pPr>
              <w:jc w:val="center"/>
              <w:ind w:left="1050"/>
              <w:spacing w:after="0"/>
              <w:rPr>
                <w:sz w:val="20"/>
                <w:szCs w:val="20"/>
                <w:color w:val="auto"/>
              </w:rPr>
            </w:pPr>
            <w:r>
              <w:rPr>
                <w:rFonts w:ascii="Times New Roman" w:cs="Times New Roman" w:eastAsia="Times New Roman" w:hAnsi="Times New Roman"/>
                <w:sz w:val="18"/>
                <w:szCs w:val="18"/>
                <w:color w:val="0000FF"/>
                <w:w w:val="99"/>
              </w:rPr>
              <w:t>29</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080" w:type="dxa"/>
            <w:vAlign w:val="bottom"/>
            <w:gridSpan w:val="8"/>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64"/>
        </w:trPr>
        <w:tc>
          <w:tcPr>
            <w:tcW w:w="460" w:type="dxa"/>
            <w:vAlign w:val="bottom"/>
          </w:tcPr>
          <w:p>
            <w:pPr>
              <w:spacing w:after="0"/>
              <w:rPr>
                <w:sz w:val="22"/>
                <w:szCs w:val="22"/>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2.</w:t>
            </w: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w:t>
            </w:r>
          </w:p>
        </w:tc>
        <w:tc>
          <w:tcPr>
            <w:tcW w:w="1880" w:type="dxa"/>
            <w:vAlign w:val="bottom"/>
            <w:gridSpan w:val="3"/>
          </w:tcPr>
          <w:p>
            <w:pPr>
              <w:jc w:val="center"/>
              <w:ind w:left="1050"/>
              <w:spacing w:after="0"/>
              <w:rPr>
                <w:sz w:val="20"/>
                <w:szCs w:val="20"/>
                <w:color w:val="auto"/>
              </w:rPr>
            </w:pPr>
            <w:r>
              <w:rPr>
                <w:rFonts w:ascii="Times New Roman" w:cs="Times New Roman" w:eastAsia="Times New Roman" w:hAnsi="Times New Roman"/>
                <w:sz w:val="18"/>
                <w:szCs w:val="18"/>
                <w:color w:val="0000FF"/>
                <w:w w:val="99"/>
              </w:rPr>
              <w:t>85</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0" w:type="dxa"/>
            <w:vAlign w:val="bottom"/>
            <w:tcBorders>
              <w:left w:val="single" w:sz="8" w:color="0000EE"/>
            </w:tcBorders>
            <w:gridSpan w:val="3"/>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080" w:type="dxa"/>
            <w:vAlign w:val="bottom"/>
            <w:gridSpan w:val="8"/>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3.</w:t>
            </w: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880" w:type="dxa"/>
            <w:vAlign w:val="bottom"/>
            <w:gridSpan w:val="3"/>
          </w:tcPr>
          <w:p>
            <w:pPr>
              <w:jc w:val="center"/>
              <w:ind w:left="1050"/>
              <w:spacing w:after="0"/>
              <w:rPr>
                <w:sz w:val="20"/>
                <w:szCs w:val="20"/>
                <w:color w:val="auto"/>
              </w:rPr>
            </w:pPr>
            <w:r>
              <w:rPr>
                <w:rFonts w:ascii="Times New Roman" w:cs="Times New Roman" w:eastAsia="Times New Roman" w:hAnsi="Times New Roman"/>
                <w:sz w:val="18"/>
                <w:szCs w:val="18"/>
                <w:color w:val="0000FF"/>
                <w:w w:val="99"/>
              </w:rPr>
              <w:t>85</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0" w:type="dxa"/>
            <w:vAlign w:val="bottom"/>
            <w:tcBorders>
              <w:left w:val="single" w:sz="8" w:color="0000EE"/>
            </w:tcBorders>
            <w:gridSpan w:val="3"/>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5580" w:type="dxa"/>
            <w:vAlign w:val="bottom"/>
            <w:gridSpan w:val="10"/>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Mine Safety Disclosure</w:t>
            </w:r>
          </w:p>
        </w:tc>
        <w:tc>
          <w:tcPr>
            <w:tcW w:w="1880" w:type="dxa"/>
            <w:vAlign w:val="bottom"/>
            <w:gridSpan w:val="3"/>
          </w:tcPr>
          <w:p>
            <w:pPr>
              <w:jc w:val="center"/>
              <w:ind w:left="1050"/>
              <w:spacing w:after="0"/>
              <w:rPr>
                <w:sz w:val="20"/>
                <w:szCs w:val="20"/>
                <w:color w:val="auto"/>
              </w:rPr>
            </w:pPr>
            <w:r>
              <w:rPr>
                <w:rFonts w:ascii="Times New Roman" w:cs="Times New Roman" w:eastAsia="Times New Roman" w:hAnsi="Times New Roman"/>
                <w:sz w:val="18"/>
                <w:szCs w:val="18"/>
                <w:color w:val="0000FF"/>
                <w:w w:val="99"/>
              </w:rPr>
              <w:t>85</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0" w:type="dxa"/>
            <w:vAlign w:val="bottom"/>
            <w:tcBorders>
              <w:left w:val="single" w:sz="8" w:color="0000EE"/>
            </w:tcBorders>
            <w:gridSpan w:val="3"/>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6200" w:type="dxa"/>
            <w:vAlign w:val="bottom"/>
            <w:gridSpan w:val="13"/>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5.</w:t>
            </w: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880" w:type="dxa"/>
            <w:vAlign w:val="bottom"/>
            <w:gridSpan w:val="3"/>
          </w:tcPr>
          <w:p>
            <w:pPr>
              <w:jc w:val="center"/>
              <w:ind w:left="1050"/>
              <w:spacing w:after="0"/>
              <w:rPr>
                <w:sz w:val="20"/>
                <w:szCs w:val="20"/>
                <w:color w:val="auto"/>
              </w:rPr>
            </w:pPr>
            <w:r>
              <w:rPr>
                <w:rFonts w:ascii="Times New Roman" w:cs="Times New Roman" w:eastAsia="Times New Roman" w:hAnsi="Times New Roman"/>
                <w:sz w:val="18"/>
                <w:szCs w:val="18"/>
                <w:color w:val="0000FF"/>
                <w:w w:val="99"/>
              </w:rPr>
              <w:t>85</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0" w:type="dxa"/>
            <w:vAlign w:val="bottom"/>
            <w:tcBorders>
              <w:left w:val="single" w:sz="8" w:color="0000EE"/>
            </w:tcBorders>
            <w:gridSpan w:val="3"/>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580" w:type="dxa"/>
            <w:vAlign w:val="bottom"/>
            <w:gridSpan w:val="14"/>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6.</w:t>
            </w: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Exhibits</w:t>
            </w:r>
          </w:p>
        </w:tc>
        <w:tc>
          <w:tcPr>
            <w:tcW w:w="1880" w:type="dxa"/>
            <w:vAlign w:val="bottom"/>
            <w:gridSpan w:val="3"/>
          </w:tcPr>
          <w:p>
            <w:pPr>
              <w:jc w:val="center"/>
              <w:ind w:left="1050"/>
              <w:spacing w:after="0"/>
              <w:rPr>
                <w:sz w:val="20"/>
                <w:szCs w:val="20"/>
                <w:color w:val="auto"/>
              </w:rPr>
            </w:pPr>
            <w:r>
              <w:rPr>
                <w:rFonts w:ascii="Times New Roman" w:cs="Times New Roman" w:eastAsia="Times New Roman" w:hAnsi="Times New Roman"/>
                <w:sz w:val="18"/>
                <w:szCs w:val="18"/>
                <w:color w:val="0000FF"/>
                <w:w w:val="99"/>
              </w:rPr>
              <w:t>86</w:t>
            </w:r>
          </w:p>
        </w:tc>
      </w:tr>
      <w:tr>
        <w:trPr>
          <w:trHeight w:val="20"/>
        </w:trPr>
        <w:tc>
          <w:tcPr>
            <w:tcW w:w="4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140" w:type="dxa"/>
            <w:vAlign w:val="bottom"/>
            <w:gridSpan w:val="16"/>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64"/>
        </w:trPr>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1647"/>
        </w:trPr>
        <w:tc>
          <w:tcPr>
            <w:tcW w:w="4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(Quarterly Report) contains forward-looking statements. All statements other than statements of historical facts contained in this Quarterly Report, including statements regarding our future results of operations and financial position, business strategy, commercial activities and costs, research and development costs,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3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Quarterly Report include, but are not limited to, statements about:</w:t>
      </w:r>
    </w:p>
    <w:p>
      <w:pPr>
        <w:spacing w:after="0" w:line="122" w:lineRule="exact"/>
        <w:rPr>
          <w:sz w:val="20"/>
          <w:szCs w:val="20"/>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addressable market, market growth, key performance indicators, capital requirements and our needs for additional financing;</w:t>
      </w:r>
    </w:p>
    <w:p>
      <w:pPr>
        <w:spacing w:after="0" w:line="171" w:lineRule="exact"/>
        <w:rPr>
          <w:rFonts w:ascii="Times New Roman" w:cs="Times New Roman" w:eastAsia="Times New Roman" w:hAnsi="Times New Roman"/>
          <w:sz w:val="18"/>
          <w:szCs w:val="18"/>
          <w:color w:val="auto"/>
        </w:rPr>
      </w:pPr>
    </w:p>
    <w:p>
      <w:pPr>
        <w:ind w:left="760" w:right="200" w:hanging="752"/>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financial performance, including among others, revenue, cost of revenue, gross profit, operating expenses, loss from operations and net losses;</w:t>
      </w:r>
    </w:p>
    <w:p>
      <w:pPr>
        <w:spacing w:after="0" w:line="107"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our commercial strategy and attract customers, including our plans for international expansion;</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strategic plans and pricing for the Proteograph™ Product Suite;</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rate and degree of market acceptance of the Proteograph Product Suite;</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Proteograph Product Suite on the field of proteomics and the size and growth of the addressable proteomics market;</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companies and technologies and our industry;</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grow our business;</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commercialize new products;</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intellectual property protection for our products or avoid or defend claims of infringement;</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third-party manufacturers and suppliers;</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effects of government regulation and legislation;</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key personnel and to manage our future growth effectively;</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trading price of our Class A common stock;</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and risks of our investment in PrognomiQ, Inc.;</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local, regional, and national and international economic conditions and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998855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760" w:right="60" w:hanging="752"/>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macroeconomic factors, such as tariffs and trade relations, pandemics, inflation, supply chain interruptions and foreign hostilities, on our business; and</w:t>
      </w:r>
    </w:p>
    <w:p>
      <w:pPr>
        <w:spacing w:after="0" w:line="107"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about market trends.</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and are subject to a number of risks, uncertainties and assumptions described in the section titled “Risk Factors” and elsewhere in this Quarterly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undertake no obligation to update or revise any forward-looking statements contained herein to reflect events or circumstances after the date of this Quarterly Report, whether as a result of any new information, future events or otherwise.</w:t>
      </w:r>
    </w:p>
    <w:p>
      <w:pPr>
        <w:spacing w:after="0" w:line="13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7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amounts)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9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48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560" w:type="dxa"/>
            <w:vAlign w:val="bottom"/>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37,931</w:t>
            </w:r>
          </w:p>
        </w:tc>
        <w:tc>
          <w:tcPr>
            <w:tcW w:w="16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40,753</w:t>
            </w:r>
          </w:p>
        </w:tc>
        <w:tc>
          <w:tcPr>
            <w:tcW w:w="100" w:type="dxa"/>
            <w:vAlign w:val="bottom"/>
            <w:shd w:val="clear" w:color="auto" w:fill="CFF0FC"/>
          </w:tcPr>
          <w:p>
            <w:pPr>
              <w:spacing w:after="0"/>
              <w:rPr>
                <w:sz w:val="17"/>
                <w:szCs w:val="17"/>
                <w:color w:val="auto"/>
              </w:rPr>
            </w:pPr>
          </w:p>
        </w:tc>
      </w:tr>
      <w:tr>
        <w:trPr>
          <w:trHeight w:val="203"/>
        </w:trPr>
        <w:tc>
          <w:tcPr>
            <w:tcW w:w="6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Short-term investments</w:t>
            </w: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171,895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195,657</w:t>
            </w:r>
          </w:p>
        </w:tc>
        <w:tc>
          <w:tcPr>
            <w:tcW w:w="100" w:type="dxa"/>
            <w:vAlign w:val="bottom"/>
          </w:tcPr>
          <w:p>
            <w:pPr>
              <w:spacing w:after="0"/>
              <w:rPr>
                <w:sz w:val="17"/>
                <w:szCs w:val="17"/>
                <w:color w:val="auto"/>
              </w:rPr>
            </w:pPr>
          </w:p>
        </w:tc>
      </w:tr>
      <w:tr>
        <w:trPr>
          <w:trHeight w:val="203"/>
        </w:trPr>
        <w:tc>
          <w:tcPr>
            <w:tcW w:w="6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Accounts receivable, net</w:t>
            </w:r>
          </w:p>
        </w:tc>
        <w:tc>
          <w:tcPr>
            <w:tcW w:w="1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3,905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3,997</w:t>
            </w:r>
          </w:p>
        </w:tc>
        <w:tc>
          <w:tcPr>
            <w:tcW w:w="100" w:type="dxa"/>
            <w:vAlign w:val="bottom"/>
            <w:shd w:val="clear" w:color="auto" w:fill="CFF0FC"/>
          </w:tcPr>
          <w:p>
            <w:pPr>
              <w:spacing w:after="0"/>
              <w:rPr>
                <w:sz w:val="17"/>
                <w:szCs w:val="17"/>
                <w:color w:val="auto"/>
              </w:rPr>
            </w:pPr>
          </w:p>
        </w:tc>
      </w:tr>
      <w:tr>
        <w:trPr>
          <w:trHeight w:val="203"/>
        </w:trPr>
        <w:tc>
          <w:tcPr>
            <w:tcW w:w="6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Related party receivables</w:t>
            </w: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w:t>
            </w:r>
          </w:p>
        </w:tc>
        <w:tc>
          <w:tcPr>
            <w:tcW w:w="100" w:type="dxa"/>
            <w:vAlign w:val="bottom"/>
          </w:tcPr>
          <w:p>
            <w:pPr>
              <w:spacing w:after="0"/>
              <w:rPr>
                <w:sz w:val="17"/>
                <w:szCs w:val="17"/>
                <w:color w:val="auto"/>
              </w:rPr>
            </w:pPr>
          </w:p>
        </w:tc>
      </w:tr>
      <w:tr>
        <w:trPr>
          <w:trHeight w:val="203"/>
        </w:trPr>
        <w:tc>
          <w:tcPr>
            <w:tcW w:w="6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Other receivables</w:t>
            </w:r>
          </w:p>
        </w:tc>
        <w:tc>
          <w:tcPr>
            <w:tcW w:w="1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1,400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1,853</w:t>
            </w:r>
          </w:p>
        </w:tc>
        <w:tc>
          <w:tcPr>
            <w:tcW w:w="100" w:type="dxa"/>
            <w:vAlign w:val="bottom"/>
            <w:shd w:val="clear" w:color="auto" w:fill="CFF0FC"/>
          </w:tcPr>
          <w:p>
            <w:pPr>
              <w:spacing w:after="0"/>
              <w:rPr>
                <w:sz w:val="17"/>
                <w:szCs w:val="17"/>
                <w:color w:val="auto"/>
              </w:rPr>
            </w:pPr>
          </w:p>
        </w:tc>
      </w:tr>
      <w:tr>
        <w:trPr>
          <w:trHeight w:val="203"/>
        </w:trPr>
        <w:tc>
          <w:tcPr>
            <w:tcW w:w="6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Inventory</w:t>
            </w: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7,512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7,436</w:t>
            </w:r>
          </w:p>
        </w:tc>
        <w:tc>
          <w:tcPr>
            <w:tcW w:w="100" w:type="dxa"/>
            <w:vAlign w:val="bottom"/>
          </w:tcPr>
          <w:p>
            <w:pPr>
              <w:spacing w:after="0"/>
              <w:rPr>
                <w:sz w:val="17"/>
                <w:szCs w:val="17"/>
                <w:color w:val="auto"/>
              </w:rPr>
            </w:pPr>
          </w:p>
        </w:tc>
      </w:tr>
      <w:tr>
        <w:trPr>
          <w:trHeight w:val="203"/>
        </w:trPr>
        <w:tc>
          <w:tcPr>
            <w:tcW w:w="64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2,586</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3,248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4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Total current assets</w:t>
            </w: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225,638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253,323</w:t>
            </w:r>
          </w:p>
        </w:tc>
        <w:tc>
          <w:tcPr>
            <w:tcW w:w="100" w:type="dxa"/>
            <w:vAlign w:val="bottom"/>
          </w:tcPr>
          <w:p>
            <w:pPr>
              <w:spacing w:after="0"/>
              <w:rPr>
                <w:sz w:val="17"/>
                <w:szCs w:val="17"/>
                <w:color w:val="auto"/>
              </w:rPr>
            </w:pPr>
          </w:p>
        </w:tc>
      </w:tr>
      <w:tr>
        <w:trPr>
          <w:trHeight w:val="202"/>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Long-term investments</w:t>
            </w:r>
          </w:p>
        </w:tc>
        <w:tc>
          <w:tcPr>
            <w:tcW w:w="1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53,426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63,103</w:t>
            </w:r>
          </w:p>
        </w:tc>
        <w:tc>
          <w:tcPr>
            <w:tcW w:w="100" w:type="dxa"/>
            <w:vAlign w:val="bottom"/>
            <w:shd w:val="clear" w:color="auto" w:fill="CFF0FC"/>
          </w:tcPr>
          <w:p>
            <w:pPr>
              <w:spacing w:after="0"/>
              <w:rPr>
                <w:sz w:val="17"/>
                <w:szCs w:val="17"/>
                <w:color w:val="auto"/>
              </w:rPr>
            </w:pPr>
          </w:p>
        </w:tc>
      </w:tr>
      <w:tr>
        <w:trPr>
          <w:trHeight w:val="203"/>
        </w:trPr>
        <w:tc>
          <w:tcPr>
            <w:tcW w:w="648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21,657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22,791</w:t>
            </w:r>
          </w:p>
        </w:tc>
        <w:tc>
          <w:tcPr>
            <w:tcW w:w="100" w:type="dxa"/>
            <w:vAlign w:val="bottom"/>
          </w:tcPr>
          <w:p>
            <w:pPr>
              <w:spacing w:after="0"/>
              <w:rPr>
                <w:sz w:val="17"/>
                <w:szCs w:val="17"/>
                <w:color w:val="auto"/>
              </w:rPr>
            </w:pPr>
          </w:p>
        </w:tc>
      </w:tr>
      <w:tr>
        <w:trPr>
          <w:trHeight w:val="203"/>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16,496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18,575</w:t>
            </w:r>
          </w:p>
        </w:tc>
        <w:tc>
          <w:tcPr>
            <w:tcW w:w="100" w:type="dxa"/>
            <w:vAlign w:val="bottom"/>
            <w:shd w:val="clear" w:color="auto" w:fill="CFF0FC"/>
          </w:tcPr>
          <w:p>
            <w:pPr>
              <w:spacing w:after="0"/>
              <w:rPr>
                <w:sz w:val="17"/>
                <w:szCs w:val="17"/>
                <w:color w:val="auto"/>
              </w:rPr>
            </w:pPr>
          </w:p>
        </w:tc>
      </w:tr>
      <w:tr>
        <w:trPr>
          <w:trHeight w:val="203"/>
        </w:trPr>
        <w:tc>
          <w:tcPr>
            <w:tcW w:w="6480" w:type="dxa"/>
            <w:vAlign w:val="bottom"/>
          </w:tcPr>
          <w:p>
            <w:pPr>
              <w:spacing w:after="0"/>
              <w:rPr>
                <w:sz w:val="20"/>
                <w:szCs w:val="20"/>
                <w:color w:val="auto"/>
              </w:rPr>
            </w:pPr>
            <w:r>
              <w:rPr>
                <w:rFonts w:ascii="Times New Roman" w:cs="Times New Roman" w:eastAsia="Times New Roman" w:hAnsi="Times New Roman"/>
                <w:sz w:val="17"/>
                <w:szCs w:val="17"/>
                <w:color w:val="auto"/>
              </w:rPr>
              <w:t>Restricted cash</w:t>
            </w: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w:t>
            </w:r>
          </w:p>
        </w:tc>
        <w:tc>
          <w:tcPr>
            <w:tcW w:w="100" w:type="dxa"/>
            <w:vAlign w:val="bottom"/>
          </w:tcPr>
          <w:p>
            <w:pPr>
              <w:spacing w:after="0"/>
              <w:rPr>
                <w:sz w:val="17"/>
                <w:szCs w:val="17"/>
                <w:color w:val="auto"/>
              </w:rPr>
            </w:pPr>
          </w:p>
        </w:tc>
      </w:tr>
      <w:tr>
        <w:trPr>
          <w:trHeight w:val="203"/>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1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4,746</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8,281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4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Total assets</w:t>
            </w:r>
          </w:p>
        </w:tc>
        <w:tc>
          <w:tcPr>
            <w:tcW w:w="1560" w:type="dxa"/>
            <w:vAlign w:val="bottom"/>
            <w:gridSpan w:val="2"/>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322,487</w:t>
            </w:r>
          </w:p>
        </w:tc>
        <w:tc>
          <w:tcPr>
            <w:tcW w:w="16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366,597</w:t>
            </w:r>
          </w:p>
        </w:tc>
        <w:tc>
          <w:tcPr>
            <w:tcW w:w="100" w:type="dxa"/>
            <w:vAlign w:val="bottom"/>
          </w:tcPr>
          <w:p>
            <w:pPr>
              <w:spacing w:after="0"/>
              <w:rPr>
                <w:sz w:val="17"/>
                <w:szCs w:val="17"/>
                <w:color w:val="auto"/>
              </w:rPr>
            </w:pPr>
          </w:p>
        </w:tc>
      </w:tr>
      <w:tr>
        <w:trPr>
          <w:trHeight w:val="20"/>
        </w:trPr>
        <w:tc>
          <w:tcPr>
            <w:tcW w:w="6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480" w:type="dxa"/>
            <w:vAlign w:val="bottom"/>
            <w:shd w:val="clear" w:color="auto" w:fill="CFF0FC"/>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1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480" w:type="dxa"/>
            <w:vAlign w:val="bottom"/>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1560" w:type="dxa"/>
            <w:vAlign w:val="bottom"/>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2,672</w:t>
            </w:r>
          </w:p>
        </w:tc>
        <w:tc>
          <w:tcPr>
            <w:tcW w:w="16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4,621</w:t>
            </w:r>
          </w:p>
        </w:tc>
        <w:tc>
          <w:tcPr>
            <w:tcW w:w="100" w:type="dxa"/>
            <w:vAlign w:val="bottom"/>
            <w:shd w:val="clear" w:color="auto" w:fill="CFF0FC"/>
          </w:tcPr>
          <w:p>
            <w:pPr>
              <w:spacing w:after="0"/>
              <w:rPr>
                <w:sz w:val="17"/>
                <w:szCs w:val="17"/>
                <w:color w:val="auto"/>
              </w:rPr>
            </w:pPr>
          </w:p>
        </w:tc>
      </w:tr>
      <w:tr>
        <w:trPr>
          <w:trHeight w:val="203"/>
        </w:trPr>
        <w:tc>
          <w:tcPr>
            <w:tcW w:w="6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Accrued expenses</w:t>
            </w: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6,106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7,937</w:t>
            </w:r>
          </w:p>
        </w:tc>
        <w:tc>
          <w:tcPr>
            <w:tcW w:w="100" w:type="dxa"/>
            <w:vAlign w:val="bottom"/>
          </w:tcPr>
          <w:p>
            <w:pPr>
              <w:spacing w:after="0"/>
              <w:rPr>
                <w:sz w:val="17"/>
                <w:szCs w:val="17"/>
                <w:color w:val="auto"/>
              </w:rPr>
            </w:pPr>
          </w:p>
        </w:tc>
      </w:tr>
      <w:tr>
        <w:trPr>
          <w:trHeight w:val="203"/>
        </w:trPr>
        <w:tc>
          <w:tcPr>
            <w:tcW w:w="6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Deferred revenue</w:t>
            </w:r>
          </w:p>
        </w:tc>
        <w:tc>
          <w:tcPr>
            <w:tcW w:w="1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408</w:t>
            </w:r>
          </w:p>
        </w:tc>
        <w:tc>
          <w:tcPr>
            <w:tcW w:w="100" w:type="dxa"/>
            <w:vAlign w:val="bottom"/>
            <w:shd w:val="clear" w:color="auto" w:fill="CFF0FC"/>
          </w:tcPr>
          <w:p>
            <w:pPr>
              <w:spacing w:after="0"/>
              <w:rPr>
                <w:sz w:val="17"/>
                <w:szCs w:val="17"/>
                <w:color w:val="auto"/>
              </w:rPr>
            </w:pPr>
          </w:p>
        </w:tc>
      </w:tr>
      <w:tr>
        <w:trPr>
          <w:trHeight w:val="203"/>
        </w:trPr>
        <w:tc>
          <w:tcPr>
            <w:tcW w:w="6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lease liabilities, current</w:t>
            </w: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2,312</w:t>
            </w:r>
          </w:p>
        </w:tc>
        <w:tc>
          <w:tcPr>
            <w:tcW w:w="100" w:type="dxa"/>
            <w:vAlign w:val="bottom"/>
          </w:tcPr>
          <w:p>
            <w:pPr>
              <w:spacing w:after="0"/>
              <w:rPr>
                <w:sz w:val="17"/>
                <w:szCs w:val="17"/>
                <w:color w:val="auto"/>
              </w:rPr>
            </w:pPr>
          </w:p>
        </w:tc>
      </w:tr>
      <w:tr>
        <w:trPr>
          <w:trHeight w:val="203"/>
        </w:trPr>
        <w:tc>
          <w:tcPr>
            <w:tcW w:w="64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4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11,785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15,328</w:t>
            </w:r>
          </w:p>
        </w:tc>
        <w:tc>
          <w:tcPr>
            <w:tcW w:w="100" w:type="dxa"/>
            <w:vAlign w:val="bottom"/>
          </w:tcPr>
          <w:p>
            <w:pPr>
              <w:spacing w:after="0"/>
              <w:rPr>
                <w:sz w:val="17"/>
                <w:szCs w:val="17"/>
                <w:color w:val="auto"/>
              </w:rPr>
            </w:pPr>
          </w:p>
        </w:tc>
      </w:tr>
      <w:tr>
        <w:trPr>
          <w:trHeight w:val="203"/>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Operating lease liabilities, net of current portion</w:t>
            </w:r>
          </w:p>
        </w:tc>
        <w:tc>
          <w:tcPr>
            <w:tcW w:w="1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22,390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23,652</w:t>
            </w:r>
          </w:p>
        </w:tc>
        <w:tc>
          <w:tcPr>
            <w:tcW w:w="100" w:type="dxa"/>
            <w:vAlign w:val="bottom"/>
            <w:shd w:val="clear" w:color="auto" w:fill="CFF0FC"/>
          </w:tcPr>
          <w:p>
            <w:pPr>
              <w:spacing w:after="0"/>
              <w:rPr>
                <w:sz w:val="17"/>
                <w:szCs w:val="17"/>
                <w:color w:val="auto"/>
              </w:rPr>
            </w:pPr>
          </w:p>
        </w:tc>
      </w:tr>
      <w:tr>
        <w:trPr>
          <w:trHeight w:val="203"/>
        </w:trPr>
        <w:tc>
          <w:tcPr>
            <w:tcW w:w="6480" w:type="dxa"/>
            <w:vAlign w:val="bottom"/>
          </w:tcPr>
          <w:p>
            <w:pPr>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1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Pr>
          <w:p>
            <w:pPr>
              <w:spacing w:after="0"/>
              <w:rPr>
                <w:sz w:val="17"/>
                <w:szCs w:val="17"/>
                <w:color w:val="auto"/>
              </w:rPr>
            </w:pPr>
          </w:p>
        </w:tc>
      </w:tr>
      <w:tr>
        <w:trPr>
          <w:trHeight w:val="196"/>
        </w:trPr>
        <w:tc>
          <w:tcPr>
            <w:tcW w:w="64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Total liabilities</w:t>
            </w:r>
          </w:p>
        </w:tc>
        <w:tc>
          <w:tcPr>
            <w:tcW w:w="1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34,195</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39,028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480" w:type="dxa"/>
            <w:vAlign w:val="bottom"/>
          </w:tcPr>
          <w:p>
            <w:pPr>
              <w:spacing w:after="0"/>
              <w:rPr>
                <w:sz w:val="20"/>
                <w:szCs w:val="20"/>
                <w:color w:val="auto"/>
              </w:rPr>
            </w:pPr>
            <w:r>
              <w:rPr>
                <w:rFonts w:ascii="Times New Roman" w:cs="Times New Roman" w:eastAsia="Times New Roman" w:hAnsi="Times New Roman"/>
                <w:sz w:val="17"/>
                <w:szCs w:val="17"/>
                <w:color w:val="auto"/>
              </w:rPr>
              <w:t>Commitments and contingencies (Note 9)</w:t>
            </w: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1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1"/>
        </w:trPr>
        <w:tc>
          <w:tcPr>
            <w:tcW w:w="6480" w:type="dxa"/>
            <w:vAlign w:val="bottom"/>
          </w:tcPr>
          <w:p>
            <w:pPr>
              <w:ind w:left="140"/>
              <w:spacing w:after="0" w:line="181" w:lineRule="exact"/>
              <w:rPr>
                <w:sz w:val="20"/>
                <w:szCs w:val="20"/>
                <w:color w:val="auto"/>
              </w:rPr>
            </w:pPr>
            <w:r>
              <w:rPr>
                <w:rFonts w:ascii="Times New Roman" w:cs="Times New Roman" w:eastAsia="Times New Roman" w:hAnsi="Times New Roman"/>
                <w:sz w:val="17"/>
                <w:szCs w:val="17"/>
                <w:color w:val="auto"/>
              </w:rPr>
              <w:t>Preferred stock, $0.00001 par value; 5,000,000 shares authorized as of</w:t>
            </w: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64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June 30, 2025 and December 31, 2024; zero shares issued and</w:t>
            </w: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64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outstanding as of June 30, 2025 and December 31, 2024</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182"/>
        </w:trPr>
        <w:tc>
          <w:tcPr>
            <w:tcW w:w="6480" w:type="dxa"/>
            <w:vAlign w:val="bottom"/>
            <w:shd w:val="clear" w:color="auto" w:fill="CFF0FC"/>
          </w:tcPr>
          <w:p>
            <w:pPr>
              <w:ind w:left="140"/>
              <w:spacing w:after="0" w:line="182" w:lineRule="exact"/>
              <w:rPr>
                <w:sz w:val="20"/>
                <w:szCs w:val="20"/>
                <w:color w:val="auto"/>
              </w:rPr>
            </w:pPr>
            <w:r>
              <w:rPr>
                <w:rFonts w:ascii="Times New Roman" w:cs="Times New Roman" w:eastAsia="Times New Roman" w:hAnsi="Times New Roman"/>
                <w:sz w:val="17"/>
                <w:szCs w:val="17"/>
                <w:color w:val="auto"/>
              </w:rPr>
              <w:t>Class A common stock, $0.00001 par value; 94,000,000 shares authorized</w:t>
            </w:r>
          </w:p>
        </w:tc>
        <w:tc>
          <w:tcPr>
            <w:tcW w:w="1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4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as of June 30, 2025 and December 31, 2024; 52,283,570 and</w:t>
            </w:r>
          </w:p>
        </w:tc>
        <w:tc>
          <w:tcPr>
            <w:tcW w:w="1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4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55,083,123 shares issued and outstanding as of June 30, 2025 and</w:t>
            </w:r>
          </w:p>
        </w:tc>
        <w:tc>
          <w:tcPr>
            <w:tcW w:w="1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4"/>
        </w:trPr>
        <w:tc>
          <w:tcPr>
            <w:tcW w:w="64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December 31, 2024, respectively</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FF0FC"/>
          </w:tcPr>
          <w:p>
            <w:pPr>
              <w:spacing w:after="0"/>
              <w:rPr>
                <w:sz w:val="19"/>
                <w:szCs w:val="19"/>
                <w:color w:val="auto"/>
              </w:rPr>
            </w:pPr>
          </w:p>
        </w:tc>
      </w:tr>
      <w:tr>
        <w:trPr>
          <w:trHeight w:val="181"/>
        </w:trPr>
        <w:tc>
          <w:tcPr>
            <w:tcW w:w="6480" w:type="dxa"/>
            <w:vAlign w:val="bottom"/>
          </w:tcPr>
          <w:p>
            <w:pPr>
              <w:ind w:left="140"/>
              <w:spacing w:after="0" w:line="181" w:lineRule="exact"/>
              <w:rPr>
                <w:sz w:val="20"/>
                <w:szCs w:val="20"/>
                <w:color w:val="auto"/>
              </w:rPr>
            </w:pPr>
            <w:r>
              <w:rPr>
                <w:rFonts w:ascii="Times New Roman" w:cs="Times New Roman" w:eastAsia="Times New Roman" w:hAnsi="Times New Roman"/>
                <w:sz w:val="17"/>
                <w:szCs w:val="17"/>
                <w:color w:val="auto"/>
              </w:rPr>
              <w:t>Class B common stock, $0.00001 par value; 6,000,000 shares authorized</w:t>
            </w: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64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as of June 30, 2025 and December 31, 2024; 4,044,969 shares</w:t>
            </w: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64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issued and outstanding as of June 30, 2025 and December 31, 2024</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6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719,728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719,804</w:t>
            </w:r>
          </w:p>
        </w:tc>
        <w:tc>
          <w:tcPr>
            <w:tcW w:w="100" w:type="dxa"/>
            <w:vAlign w:val="bottom"/>
            <w:shd w:val="clear" w:color="auto" w:fill="CFF0FC"/>
          </w:tcPr>
          <w:p>
            <w:pPr>
              <w:spacing w:after="0"/>
              <w:rPr>
                <w:sz w:val="17"/>
                <w:szCs w:val="17"/>
                <w:color w:val="auto"/>
              </w:rPr>
            </w:pPr>
          </w:p>
        </w:tc>
      </w:tr>
      <w:tr>
        <w:trPr>
          <w:trHeight w:val="203"/>
        </w:trPr>
        <w:tc>
          <w:tcPr>
            <w:tcW w:w="6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Accumulated other comprehensive gain</w:t>
            </w: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00" w:type="dxa"/>
            <w:vAlign w:val="bottom"/>
          </w:tcPr>
          <w:p>
            <w:pPr>
              <w:spacing w:after="0"/>
              <w:rPr>
                <w:sz w:val="17"/>
                <w:szCs w:val="17"/>
                <w:color w:val="auto"/>
              </w:rPr>
            </w:pPr>
          </w:p>
        </w:tc>
      </w:tr>
      <w:tr>
        <w:trPr>
          <w:trHeight w:val="203"/>
        </w:trPr>
        <w:tc>
          <w:tcPr>
            <w:tcW w:w="6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Accumulated deficit</w:t>
            </w:r>
          </w:p>
        </w:tc>
        <w:tc>
          <w:tcPr>
            <w:tcW w:w="1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(431,744)</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(392,372)</w:t>
            </w:r>
          </w:p>
        </w:tc>
      </w:tr>
      <w:tr>
        <w:trPr>
          <w:trHeight w:val="196"/>
        </w:trPr>
        <w:tc>
          <w:tcPr>
            <w:tcW w:w="648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26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288,292</w:t>
            </w: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327,569</w:t>
            </w:r>
          </w:p>
        </w:tc>
        <w:tc>
          <w:tcPr>
            <w:tcW w:w="100" w:type="dxa"/>
            <w:vAlign w:val="bottom"/>
            <w:tcBorders>
              <w:top w:val="single" w:sz="8" w:color="CFF0FC"/>
            </w:tcBorders>
          </w:tcPr>
          <w:p>
            <w:pPr>
              <w:spacing w:after="0"/>
              <w:rPr>
                <w:sz w:val="17"/>
                <w:szCs w:val="17"/>
                <w:color w:val="auto"/>
              </w:rPr>
            </w:pPr>
          </w:p>
        </w:tc>
      </w:tr>
      <w:tr>
        <w:trPr>
          <w:trHeight w:val="216"/>
        </w:trPr>
        <w:tc>
          <w:tcPr>
            <w:tcW w:w="64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322,487</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366,597</w:t>
            </w:r>
          </w:p>
        </w:tc>
        <w:tc>
          <w:tcPr>
            <w:tcW w:w="100" w:type="dxa"/>
            <w:vAlign w:val="bottom"/>
            <w:shd w:val="clear" w:color="auto" w:fill="CFF0FC"/>
          </w:tcPr>
          <w:p>
            <w:pPr>
              <w:spacing w:after="0"/>
              <w:rPr>
                <w:sz w:val="18"/>
                <w:szCs w:val="18"/>
                <w:color w:val="auto"/>
              </w:rPr>
            </w:pPr>
          </w:p>
        </w:tc>
      </w:tr>
      <w:tr>
        <w:trPr>
          <w:trHeight w:val="20"/>
        </w:trPr>
        <w:tc>
          <w:tcPr>
            <w:tcW w:w="648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-4611370</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-4611370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-3830955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-3830955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-2767965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-2767965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-2236470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-2236470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-299720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amounts)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8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58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5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2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5,616</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Service</w:t>
            </w: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Related party</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Borders>
              <w:bottom w:val="single" w:sz="8" w:color="CFF0FC"/>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Service</w:t>
            </w: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Related party</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Borders>
              <w:bottom w:val="single" w:sz="8" w:color="CFF0FC"/>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cost of revenue</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8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11,985</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23,335</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10,656</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22,098</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80" w:type="dxa"/>
            <w:vAlign w:val="bottom"/>
            <w:tcBorders>
              <w:bottom w:val="single" w:sz="8" w:color="CFF0FC"/>
              <w:right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22,641</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28,827</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45,433</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55,380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(20,530)</w:t>
            </w:r>
          </w:p>
        </w:tc>
        <w:tc>
          <w:tcPr>
            <w:tcW w:w="2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(27,096)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(41,261)</w:t>
            </w: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(52,288)</w:t>
            </w:r>
          </w:p>
        </w:tc>
        <w:tc>
          <w:tcPr>
            <w:tcW w:w="0" w:type="dxa"/>
            <w:vAlign w:val="bottom"/>
          </w:tcPr>
          <w:p>
            <w:pPr>
              <w:spacing w:after="0"/>
              <w:rPr>
                <w:sz w:val="1"/>
                <w:szCs w:val="1"/>
                <w:color w:val="auto"/>
              </w:rPr>
            </w:pPr>
          </w:p>
        </w:tc>
      </w:tr>
      <w:tr>
        <w:trPr>
          <w:trHeight w:val="216"/>
        </w:trPr>
        <w:tc>
          <w:tcPr>
            <w:tcW w:w="55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on equity method investment</w:t>
            </w:r>
          </w:p>
        </w:tc>
        <w:tc>
          <w:tcPr>
            <w:tcW w:w="2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(1,841)</w:t>
            </w: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(3,416)</w:t>
            </w: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(755)</w:t>
            </w: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09"/>
        </w:trPr>
        <w:tc>
          <w:tcPr>
            <w:tcW w:w="5580" w:type="dxa"/>
            <w:vAlign w:val="bottom"/>
            <w:tcBorders>
              <w:bottom w:val="single" w:sz="8" w:color="CFF0FC"/>
              <w:right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other income</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(19,376)</w:t>
            </w:r>
          </w:p>
        </w:tc>
        <w:tc>
          <w:tcPr>
            <w:tcW w:w="2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(22,850)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(39,223)</w:t>
            </w: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(43,529)</w:t>
            </w:r>
          </w:p>
        </w:tc>
        <w:tc>
          <w:tcPr>
            <w:tcW w:w="0" w:type="dxa"/>
            <w:vAlign w:val="bottom"/>
          </w:tcPr>
          <w:p>
            <w:pPr>
              <w:spacing w:after="0"/>
              <w:rPr>
                <w:sz w:val="1"/>
                <w:szCs w:val="1"/>
                <w:color w:val="auto"/>
              </w:rPr>
            </w:pPr>
          </w:p>
        </w:tc>
      </w:tr>
      <w:tr>
        <w:trPr>
          <w:trHeight w:val="216"/>
        </w:trPr>
        <w:tc>
          <w:tcPr>
            <w:tcW w:w="558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(19,424)</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(22,850)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(39,372)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(43,529)</w:t>
            </w:r>
          </w:p>
        </w:tc>
        <w:tc>
          <w:tcPr>
            <w:tcW w:w="0" w:type="dxa"/>
            <w:vAlign w:val="bottom"/>
          </w:tcPr>
          <w:p>
            <w:pPr>
              <w:spacing w:after="0"/>
              <w:rPr>
                <w:sz w:val="1"/>
                <w:szCs w:val="1"/>
                <w:color w:val="auto"/>
              </w:rPr>
            </w:pPr>
          </w:p>
        </w:tc>
      </w:tr>
      <w:tr>
        <w:trPr>
          <w:trHeight w:val="210"/>
        </w:trPr>
        <w:tc>
          <w:tcPr>
            <w:tcW w:w="55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gain (loss) on available-for-sale securities</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(19,422)</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(22,955)</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(39,201)</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(43,963)</w:t>
            </w:r>
          </w:p>
        </w:tc>
        <w:tc>
          <w:tcPr>
            <w:tcW w:w="0" w:type="dxa"/>
            <w:vAlign w:val="bottom"/>
          </w:tcPr>
          <w:p>
            <w:pPr>
              <w:spacing w:after="0"/>
              <w:rPr>
                <w:sz w:val="1"/>
                <w:szCs w:val="1"/>
                <w:color w:val="auto"/>
              </w:rPr>
            </w:pPr>
          </w:p>
        </w:tc>
      </w:tr>
      <w:tr>
        <w:trPr>
          <w:trHeight w:val="20"/>
        </w:trPr>
        <w:tc>
          <w:tcPr>
            <w:tcW w:w="55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58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Net loss per share attributable to Class A and Class B common stockholders,</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(0.33)</w:t>
            </w:r>
          </w:p>
        </w:tc>
        <w:tc>
          <w:tcPr>
            <w:tcW w:w="24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(0.35)</w:t>
            </w: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(0.67)</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(0.67)</w:t>
            </w:r>
          </w:p>
        </w:tc>
        <w:tc>
          <w:tcPr>
            <w:tcW w:w="0" w:type="dxa"/>
            <w:vAlign w:val="bottom"/>
          </w:tcPr>
          <w:p>
            <w:pPr>
              <w:spacing w:after="0"/>
              <w:rPr>
                <w:sz w:val="1"/>
                <w:szCs w:val="1"/>
                <w:color w:val="auto"/>
              </w:rPr>
            </w:pPr>
          </w:p>
        </w:tc>
      </w:tr>
      <w:tr>
        <w:trPr>
          <w:trHeight w:val="194"/>
        </w:trPr>
        <w:tc>
          <w:tcPr>
            <w:tcW w:w="5580" w:type="dxa"/>
            <w:vAlign w:val="bottom"/>
          </w:tcPr>
          <w:p>
            <w:pPr>
              <w:ind w:left="100"/>
              <w:spacing w:after="0" w:line="194" w:lineRule="exact"/>
              <w:rPr>
                <w:sz w:val="20"/>
                <w:szCs w:val="20"/>
                <w:color w:val="auto"/>
              </w:rPr>
            </w:pPr>
            <w:r>
              <w:rPr>
                <w:rFonts w:ascii="Times New Roman" w:cs="Times New Roman" w:eastAsia="Times New Roman" w:hAnsi="Times New Roman"/>
                <w:sz w:val="18"/>
                <w:szCs w:val="18"/>
                <w:color w:val="auto"/>
              </w:rPr>
              <w:t>basic and diluted</w:t>
            </w:r>
          </w:p>
        </w:tc>
        <w:tc>
          <w:tcPr>
            <w:tcW w:w="240" w:type="dxa"/>
            <w:vAlign w:val="bottom"/>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580" w:type="dxa"/>
            <w:vAlign w:val="bottom"/>
            <w:tcBorders>
              <w:right w:val="single" w:sz="8" w:color="CFF0FC"/>
            </w:tcBorders>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w:t>
            </w:r>
          </w:p>
        </w:tc>
        <w:tc>
          <w:tcPr>
            <w:tcW w:w="240" w:type="dxa"/>
            <w:vAlign w:val="bottom"/>
            <w:shd w:val="clear" w:color="auto" w:fill="CFF0FC"/>
          </w:tcPr>
          <w:p>
            <w:pPr>
              <w:spacing w:after="0"/>
              <w:rPr>
                <w:sz w:val="15"/>
                <w:szCs w:val="15"/>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58,087,565</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64,576,399</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58,744,490</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64,581,228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580" w:type="dxa"/>
            <w:vAlign w:val="bottom"/>
            <w:tcBorders>
              <w:bottom w:val="single" w:sz="8" w:color="CFF0FC"/>
              <w:right w:val="single" w:sz="8" w:color="CFF0FC"/>
            </w:tcBorders>
            <w:shd w:val="clear" w:color="auto" w:fill="CFF0FC"/>
          </w:tcPr>
          <w:p>
            <w:pPr>
              <w:ind w:left="100"/>
              <w:spacing w:after="0" w:line="194" w:lineRule="exact"/>
              <w:rPr>
                <w:sz w:val="20"/>
                <w:szCs w:val="20"/>
                <w:color w:val="auto"/>
              </w:rPr>
            </w:pPr>
            <w:r>
              <w:rPr>
                <w:rFonts w:ascii="Times New Roman" w:cs="Times New Roman" w:eastAsia="Times New Roman" w:hAnsi="Times New Roman"/>
                <w:sz w:val="18"/>
                <w:szCs w:val="18"/>
                <w:color w:val="auto"/>
              </w:rPr>
              <w:t>Class A and Class B common stockholders, basic and diluted</w:t>
            </w:r>
          </w:p>
        </w:tc>
        <w:tc>
          <w:tcPr>
            <w:tcW w:w="24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-3959860</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-3959860</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-3959860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-3959860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-3128645</wp:posOffset>
            </wp:positionV>
            <wp:extent cx="774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-3128645</wp:posOffset>
            </wp:positionV>
            <wp:extent cx="774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-3128645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-3128645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-2836545</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-2836545</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-2836545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-2836545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-2271395</wp:posOffset>
            </wp:positionV>
            <wp:extent cx="774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-2271395</wp:posOffset>
            </wp:positionV>
            <wp:extent cx="774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-2271395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-2271395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-1431290</wp:posOffset>
            </wp:positionV>
            <wp:extent cx="774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-1431290</wp:posOffset>
            </wp:positionV>
            <wp:extent cx="774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-1431290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-1431290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-1148080</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-1148080</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-1148080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-574040</wp:posOffset>
            </wp:positionV>
            <wp:extent cx="774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-556895</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-574040</wp:posOffset>
            </wp:positionV>
            <wp:extent cx="774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-556895</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-574040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-556895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-574040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-556895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-24765</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-8255</wp:posOffset>
            </wp:positionV>
            <wp:extent cx="774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-24765</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-8255</wp:posOffset>
            </wp:positionV>
            <wp:extent cx="774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-8255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40" w:type="dxa"/>
            <w:vAlign w:val="bottom"/>
          </w:tcPr>
          <w:p>
            <w:pPr>
              <w:spacing w:after="0"/>
              <w:rPr>
                <w:sz w:val="12"/>
                <w:szCs w:val="12"/>
                <w:color w:val="auto"/>
              </w:rPr>
            </w:pPr>
          </w:p>
        </w:tc>
        <w:tc>
          <w:tcPr>
            <w:tcW w:w="1840" w:type="dxa"/>
            <w:vAlign w:val="bottom"/>
            <w:gridSpan w:val="3"/>
            <w:vMerge w:val="restart"/>
          </w:tcPr>
          <w:p>
            <w:pPr>
              <w:jc w:val="right"/>
              <w:ind w:right="205"/>
              <w:spacing w:after="0"/>
              <w:rPr>
                <w:sz w:val="20"/>
                <w:szCs w:val="20"/>
                <w:color w:val="auto"/>
              </w:rPr>
            </w:pPr>
            <w:r>
              <w:rPr>
                <w:rFonts w:ascii="Times New Roman" w:cs="Times New Roman" w:eastAsia="Times New Roman" w:hAnsi="Times New Roman"/>
                <w:sz w:val="13"/>
                <w:szCs w:val="13"/>
                <w:b w:val="1"/>
                <w:bCs w:val="1"/>
                <w:color w:val="auto"/>
              </w:rPr>
              <w:t>Class A and Class B</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640" w:type="dxa"/>
            <w:vAlign w:val="bottom"/>
          </w:tcPr>
          <w:p>
            <w:pPr>
              <w:spacing w:after="0"/>
              <w:rPr>
                <w:sz w:val="11"/>
                <w:szCs w:val="11"/>
                <w:color w:val="auto"/>
              </w:rPr>
            </w:pPr>
          </w:p>
        </w:tc>
        <w:tc>
          <w:tcPr>
            <w:tcW w:w="184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400"/>
              <w:spacing w:after="0" w:line="128"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center"/>
              <w:ind w:right="141"/>
              <w:spacing w:after="0" w:line="128" w:lineRule="exact"/>
              <w:rPr>
                <w:sz w:val="20"/>
                <w:szCs w:val="20"/>
                <w:color w:val="auto"/>
              </w:rPr>
            </w:pPr>
            <w:r>
              <w:rPr>
                <w:rFonts w:ascii="Times New Roman" w:cs="Times New Roman" w:eastAsia="Times New Roman" w:hAnsi="Times New Roman"/>
                <w:sz w:val="13"/>
                <w:szCs w:val="13"/>
                <w:b w:val="1"/>
                <w:bCs w:val="1"/>
                <w:color w:val="auto"/>
              </w:rPr>
              <w:t>Other</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840" w:type="dxa"/>
            <w:vAlign w:val="bottom"/>
            <w:tcBorders>
              <w:bottom w:val="single" w:sz="8" w:color="auto"/>
            </w:tcBorders>
            <w:gridSpan w:val="3"/>
          </w:tcPr>
          <w:p>
            <w:pPr>
              <w:jc w:val="right"/>
              <w:ind w:right="345"/>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2"/>
                <w:szCs w:val="12"/>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640" w:type="dxa"/>
            <w:vAlign w:val="bottom"/>
          </w:tcPr>
          <w:p>
            <w:pPr>
              <w:spacing w:after="0"/>
              <w:rPr>
                <w:sz w:val="11"/>
                <w:szCs w:val="11"/>
                <w:color w:val="auto"/>
              </w:rPr>
            </w:pPr>
          </w:p>
        </w:tc>
        <w:tc>
          <w:tcPr>
            <w:tcW w:w="920" w:type="dxa"/>
            <w:vAlign w:val="bottom"/>
            <w:tcBorders>
              <w:bottom w:val="single" w:sz="8" w:color="auto"/>
            </w:tcBorders>
          </w:tcPr>
          <w:p>
            <w:pPr>
              <w:jc w:val="right"/>
              <w:ind w:right="202"/>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1"/>
                <w:szCs w:val="11"/>
                <w:color w:val="auto"/>
              </w:rPr>
            </w:pPr>
          </w:p>
        </w:tc>
        <w:tc>
          <w:tcPr>
            <w:tcW w:w="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162"/>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01"/>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101"/>
              <w:spacing w:after="0" w:line="129" w:lineRule="exact"/>
              <w:rPr>
                <w:sz w:val="20"/>
                <w:szCs w:val="20"/>
                <w:color w:val="auto"/>
              </w:rPr>
            </w:pPr>
            <w:r>
              <w:rPr>
                <w:rFonts w:ascii="Times New Roman" w:cs="Times New Roman" w:eastAsia="Times New Roman" w:hAnsi="Times New Roman"/>
                <w:sz w:val="13"/>
                <w:szCs w:val="13"/>
                <w:b w:val="1"/>
                <w:bCs w:val="1"/>
                <w:color w:val="auto"/>
                <w:w w:val="94"/>
              </w:rPr>
              <w:t>Gain</w:t>
            </w: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40"/>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59,128,092</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545"/>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719,804</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(392,372)</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327,569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Issuance of Class A common stock from release of restricted stock</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units, net of shares settled for tax withholding</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653,943</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(827)</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(827)</w:t>
            </w:r>
          </w:p>
        </w:tc>
        <w:tc>
          <w:tcPr>
            <w:tcW w:w="0" w:type="dxa"/>
            <w:vAlign w:val="bottom"/>
          </w:tcPr>
          <w:p>
            <w:pPr>
              <w:spacing w:after="0"/>
              <w:rPr>
                <w:sz w:val="1"/>
                <w:szCs w:val="1"/>
                <w:color w:val="auto"/>
              </w:rPr>
            </w:pPr>
          </w:p>
        </w:tc>
      </w:tr>
      <w:tr>
        <w:trPr>
          <w:trHeight w:val="192"/>
        </w:trPr>
        <w:tc>
          <w:tcPr>
            <w:tcW w:w="4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Repurchases of Class A common stock under share repurchase</w:t>
            </w:r>
          </w:p>
        </w:tc>
        <w:tc>
          <w:tcPr>
            <w:tcW w:w="9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program</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(352,000)</w:t>
            </w: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(675)</w:t>
            </w:r>
          </w:p>
        </w:tc>
        <w:tc>
          <w:tcPr>
            <w:tcW w:w="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(675)</w:t>
            </w:r>
          </w:p>
        </w:tc>
        <w:tc>
          <w:tcPr>
            <w:tcW w:w="0" w:type="dxa"/>
            <w:vAlign w:val="bottom"/>
          </w:tcPr>
          <w:p>
            <w:pPr>
              <w:spacing w:after="0"/>
              <w:rPr>
                <w:sz w:val="1"/>
                <w:szCs w:val="1"/>
                <w:color w:val="auto"/>
              </w:rPr>
            </w:pPr>
          </w:p>
        </w:tc>
      </w:tr>
      <w:tr>
        <w:trPr>
          <w:trHeight w:val="203"/>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4,718</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Other comprehensive gain</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(19,948)</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(19,948)</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March 31, 2025</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59,430,035</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723,020</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(412,320)</w:t>
            </w: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311,006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Issuance of Class A common stock from exercise of options and</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release of restricted stock units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653,506</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Repurchases of Class A common stock under share repurchase</w:t>
            </w:r>
          </w:p>
        </w:tc>
        <w:tc>
          <w:tcPr>
            <w:tcW w:w="9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program</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(3,874,486)</w:t>
            </w: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(7,453)</w:t>
            </w:r>
          </w:p>
        </w:tc>
        <w:tc>
          <w:tcPr>
            <w:tcW w:w="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(7,453)</w:t>
            </w:r>
          </w:p>
        </w:tc>
        <w:tc>
          <w:tcPr>
            <w:tcW w:w="0" w:type="dxa"/>
            <w:vAlign w:val="bottom"/>
          </w:tcPr>
          <w:p>
            <w:pPr>
              <w:spacing w:after="0"/>
              <w:rPr>
                <w:sz w:val="1"/>
                <w:szCs w:val="1"/>
                <w:color w:val="auto"/>
              </w:rPr>
            </w:pPr>
          </w:p>
        </w:tc>
      </w:tr>
      <w:tr>
        <w:trPr>
          <w:trHeight w:val="189"/>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Issuance of Class A common stock in connection with</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119,484</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3,927</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3,927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comprehensive gain</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(19,424)</w:t>
            </w: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(19,424)</w:t>
            </w:r>
          </w:p>
        </w:tc>
        <w:tc>
          <w:tcPr>
            <w:tcW w:w="0" w:type="dxa"/>
            <w:vAlign w:val="bottom"/>
          </w:tcPr>
          <w:p>
            <w:pPr>
              <w:spacing w:after="0"/>
              <w:rPr>
                <w:sz w:val="1"/>
                <w:szCs w:val="1"/>
                <w:color w:val="auto"/>
              </w:rPr>
            </w:pPr>
          </w:p>
        </w:tc>
      </w:tr>
      <w:tr>
        <w:trPr>
          <w:trHeight w:val="20"/>
        </w:trPr>
        <w:tc>
          <w:tcPr>
            <w:tcW w:w="46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Balance at June 30, 2025</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56,328,539</w:t>
            </w:r>
          </w:p>
        </w:tc>
        <w:tc>
          <w:tcPr>
            <w:tcW w:w="220" w:type="dxa"/>
            <w:vAlign w:val="bottom"/>
          </w:tcPr>
          <w:p>
            <w:pPr>
              <w:spacing w:after="0"/>
              <w:rPr>
                <w:sz w:val="17"/>
                <w:szCs w:val="17"/>
                <w:color w:val="auto"/>
              </w:rPr>
            </w:pPr>
          </w:p>
        </w:tc>
        <w:tc>
          <w:tcPr>
            <w:tcW w:w="700" w:type="dxa"/>
            <w:vAlign w:val="bottom"/>
          </w:tcPr>
          <w:p>
            <w:pPr>
              <w:jc w:val="right"/>
              <w:ind w:right="545"/>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719,728</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(431,744)</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288,292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-162560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-162560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-162560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-162560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-162560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40" w:type="dxa"/>
            <w:vAlign w:val="bottom"/>
          </w:tcPr>
          <w:p>
            <w:pPr>
              <w:spacing w:after="0"/>
              <w:rPr>
                <w:sz w:val="12"/>
                <w:szCs w:val="12"/>
                <w:color w:val="auto"/>
              </w:rPr>
            </w:pPr>
          </w:p>
        </w:tc>
        <w:tc>
          <w:tcPr>
            <w:tcW w:w="1840" w:type="dxa"/>
            <w:vAlign w:val="bottom"/>
            <w:gridSpan w:val="3"/>
            <w:vMerge w:val="restart"/>
          </w:tcPr>
          <w:p>
            <w:pPr>
              <w:jc w:val="right"/>
              <w:ind w:right="205"/>
              <w:spacing w:after="0"/>
              <w:rPr>
                <w:sz w:val="20"/>
                <w:szCs w:val="20"/>
                <w:color w:val="auto"/>
              </w:rPr>
            </w:pPr>
            <w:r>
              <w:rPr>
                <w:rFonts w:ascii="Times New Roman" w:cs="Times New Roman" w:eastAsia="Times New Roman" w:hAnsi="Times New Roman"/>
                <w:sz w:val="13"/>
                <w:szCs w:val="13"/>
                <w:b w:val="1"/>
                <w:bCs w:val="1"/>
                <w:color w:val="auto"/>
              </w:rPr>
              <w:t>Class A and Class B</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640" w:type="dxa"/>
            <w:vAlign w:val="bottom"/>
          </w:tcPr>
          <w:p>
            <w:pPr>
              <w:spacing w:after="0"/>
              <w:rPr>
                <w:sz w:val="11"/>
                <w:szCs w:val="11"/>
                <w:color w:val="auto"/>
              </w:rPr>
            </w:pPr>
          </w:p>
        </w:tc>
        <w:tc>
          <w:tcPr>
            <w:tcW w:w="184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400"/>
              <w:spacing w:after="0" w:line="128"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center"/>
              <w:ind w:right="440"/>
              <w:spacing w:after="0" w:line="128" w:lineRule="exact"/>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840" w:type="dxa"/>
            <w:vAlign w:val="bottom"/>
            <w:tcBorders>
              <w:bottom w:val="single" w:sz="8" w:color="auto"/>
            </w:tcBorders>
            <w:gridSpan w:val="3"/>
          </w:tcPr>
          <w:p>
            <w:pPr>
              <w:jc w:val="right"/>
              <w:ind w:right="345"/>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2"/>
                <w:szCs w:val="12"/>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640" w:type="dxa"/>
            <w:vAlign w:val="bottom"/>
          </w:tcPr>
          <w:p>
            <w:pPr>
              <w:spacing w:after="0"/>
              <w:rPr>
                <w:sz w:val="11"/>
                <w:szCs w:val="11"/>
                <w:color w:val="auto"/>
              </w:rPr>
            </w:pPr>
          </w:p>
        </w:tc>
        <w:tc>
          <w:tcPr>
            <w:tcW w:w="920" w:type="dxa"/>
            <w:vAlign w:val="bottom"/>
            <w:tcBorders>
              <w:bottom w:val="single" w:sz="8" w:color="auto"/>
            </w:tcBorders>
          </w:tcPr>
          <w:p>
            <w:pPr>
              <w:jc w:val="right"/>
              <w:ind w:right="202"/>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1"/>
                <w:szCs w:val="11"/>
                <w:color w:val="auto"/>
              </w:rPr>
            </w:pPr>
          </w:p>
        </w:tc>
        <w:tc>
          <w:tcPr>
            <w:tcW w:w="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162"/>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01"/>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121"/>
              <w:spacing w:after="0" w:line="129" w:lineRule="exact"/>
              <w:rPr>
                <w:sz w:val="20"/>
                <w:szCs w:val="20"/>
                <w:color w:val="auto"/>
              </w:rPr>
            </w:pPr>
            <w:r>
              <w:rPr>
                <w:rFonts w:ascii="Times New Roman" w:cs="Times New Roman" w:eastAsia="Times New Roman" w:hAnsi="Times New Roman"/>
                <w:sz w:val="13"/>
                <w:szCs w:val="13"/>
                <w:b w:val="1"/>
                <w:bCs w:val="1"/>
                <w:color w:val="auto"/>
                <w:w w:val="94"/>
              </w:rPr>
              <w:t>Loss</w:t>
            </w: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40"/>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64,298,676</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545"/>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702,868</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(305,773)</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(192)</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396,904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Issuance of Class A common stock from</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release of restricted stock units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638,004</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4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Vesting of early exercised stock options and restricted</w:t>
            </w:r>
          </w:p>
        </w:tc>
        <w:tc>
          <w:tcPr>
            <w:tcW w:w="9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common stock</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7,655</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(329)</w:t>
            </w:r>
          </w:p>
        </w:tc>
        <w:tc>
          <w:tcPr>
            <w:tcW w:w="1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(329)</w:t>
            </w:r>
          </w:p>
        </w:tc>
        <w:tc>
          <w:tcPr>
            <w:tcW w:w="0" w:type="dxa"/>
            <w:vAlign w:val="bottom"/>
          </w:tcPr>
          <w:p>
            <w:pPr>
              <w:spacing w:after="0"/>
              <w:rPr>
                <w:sz w:val="1"/>
                <w:szCs w:val="1"/>
                <w:color w:val="auto"/>
              </w:rPr>
            </w:pPr>
          </w:p>
        </w:tc>
      </w:tr>
      <w:tr>
        <w:trPr>
          <w:trHeight w:val="203"/>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(20,679)</w:t>
            </w:r>
          </w:p>
        </w:tc>
        <w:tc>
          <w:tcPr>
            <w:tcW w:w="18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(20,679)</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March 31, 2024</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64,936,680</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710,527</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(326,452)</w:t>
            </w:r>
          </w:p>
        </w:tc>
        <w:tc>
          <w:tcPr>
            <w:tcW w:w="1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(521)</w:t>
            </w: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383,555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Issuance of Class A common stock from</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release of restricted stock units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200,944</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4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Issuance of Class A common stock in connection with</w:t>
            </w:r>
          </w:p>
        </w:tc>
        <w:tc>
          <w:tcPr>
            <w:tcW w:w="9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117,399</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Repurchases of Class A common stock under share repurchase</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program</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(2,029,429)</w:t>
            </w:r>
          </w:p>
        </w:tc>
        <w:tc>
          <w:tcPr>
            <w:tcW w:w="7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(3,747)</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(3,747)</w:t>
            </w:r>
          </w:p>
        </w:tc>
        <w:tc>
          <w:tcPr>
            <w:tcW w:w="0" w:type="dxa"/>
            <w:vAlign w:val="bottom"/>
          </w:tcPr>
          <w:p>
            <w:pPr>
              <w:spacing w:after="0"/>
              <w:rPr>
                <w:sz w:val="1"/>
                <w:szCs w:val="1"/>
                <w:color w:val="auto"/>
              </w:rPr>
            </w:pPr>
          </w:p>
        </w:tc>
      </w:tr>
      <w:tr>
        <w:trPr>
          <w:trHeight w:val="205"/>
        </w:trPr>
        <w:tc>
          <w:tcPr>
            <w:tcW w:w="4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7,699</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7,699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(105)</w:t>
            </w:r>
          </w:p>
        </w:tc>
        <w:tc>
          <w:tcPr>
            <w:tcW w:w="1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03"/>
        </w:trPr>
        <w:tc>
          <w:tcPr>
            <w:tcW w:w="4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(22,850)</w:t>
            </w:r>
          </w:p>
        </w:tc>
        <w:tc>
          <w:tcPr>
            <w:tcW w:w="1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(22,850)</w:t>
            </w:r>
          </w:p>
        </w:tc>
        <w:tc>
          <w:tcPr>
            <w:tcW w:w="0" w:type="dxa"/>
            <w:vAlign w:val="bottom"/>
          </w:tcPr>
          <w:p>
            <w:pPr>
              <w:spacing w:after="0"/>
              <w:rPr>
                <w:sz w:val="1"/>
                <w:szCs w:val="1"/>
                <w:color w:val="auto"/>
              </w:rPr>
            </w:pPr>
          </w:p>
        </w:tc>
      </w:tr>
      <w:tr>
        <w:trPr>
          <w:trHeight w:val="20"/>
        </w:trPr>
        <w:tc>
          <w:tcPr>
            <w:tcW w:w="46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Balance at June 30, 2024</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63,225,594</w:t>
            </w:r>
          </w:p>
        </w:tc>
        <w:tc>
          <w:tcPr>
            <w:tcW w:w="220" w:type="dxa"/>
            <w:vAlign w:val="bottom"/>
          </w:tcPr>
          <w:p>
            <w:pPr>
              <w:spacing w:after="0"/>
              <w:rPr>
                <w:sz w:val="17"/>
                <w:szCs w:val="17"/>
                <w:color w:val="auto"/>
              </w:rPr>
            </w:pPr>
          </w:p>
        </w:tc>
        <w:tc>
          <w:tcPr>
            <w:tcW w:w="700" w:type="dxa"/>
            <w:vAlign w:val="bottom"/>
          </w:tcPr>
          <w:p>
            <w:pPr>
              <w:jc w:val="right"/>
              <w:ind w:right="545"/>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714,626</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(349,302)</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(626)</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364,699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-162560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-162560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-162560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-162560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-162560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74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Six Months Ended June 30,</w:t>
            </w:r>
          </w:p>
        </w:tc>
        <w:tc>
          <w:tcPr>
            <w:tcW w:w="9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8"/>
        </w:trPr>
        <w:tc>
          <w:tcPr>
            <w:tcW w:w="7740" w:type="dxa"/>
            <w:vAlign w:val="bottom"/>
          </w:tcPr>
          <w:p>
            <w:pPr>
              <w:spacing w:after="0"/>
              <w:rPr>
                <w:sz w:val="11"/>
                <w:szCs w:val="11"/>
                <w:color w:val="auto"/>
              </w:rPr>
            </w:pPr>
          </w:p>
        </w:tc>
        <w:tc>
          <w:tcPr>
            <w:tcW w:w="920" w:type="dxa"/>
            <w:vAlign w:val="bottom"/>
            <w:tcBorders>
              <w:bottom w:val="single" w:sz="8" w:color="auto"/>
            </w:tcBorders>
          </w:tcPr>
          <w:p>
            <w:pPr>
              <w:jc w:val="right"/>
              <w:ind w:right="9"/>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6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608"/>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Pr>
          <w:p>
            <w:pPr>
              <w:spacing w:after="0"/>
              <w:rPr>
                <w:sz w:val="11"/>
                <w:szCs w:val="11"/>
                <w:color w:val="auto"/>
              </w:rPr>
            </w:pPr>
          </w:p>
        </w:tc>
      </w:tr>
      <w:tr>
        <w:trPr>
          <w:trHeight w:val="142"/>
        </w:trPr>
        <w:tc>
          <w:tcPr>
            <w:tcW w:w="7740" w:type="dxa"/>
            <w:vAlign w:val="bottom"/>
            <w:tcBorders>
              <w:right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ACTIVITIES</w:t>
            </w:r>
          </w:p>
        </w:tc>
        <w:tc>
          <w:tcPr>
            <w:tcW w:w="9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7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Pr>
          <w:p>
            <w:pPr>
              <w:jc w:val="right"/>
              <w:ind w:right="849"/>
              <w:spacing w:after="0"/>
              <w:rPr>
                <w:sz w:val="20"/>
                <w:szCs w:val="20"/>
                <w:color w:val="auto"/>
              </w:rPr>
            </w:pPr>
            <w:r>
              <w:rPr>
                <w:rFonts w:ascii="Times New Roman" w:cs="Times New Roman" w:eastAsia="Times New Roman" w:hAnsi="Times New Roman"/>
                <w:sz w:val="5"/>
                <w:szCs w:val="5"/>
                <w:color w:val="auto"/>
                <w:w w:val="78"/>
              </w:rPr>
              <w:t>$</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(39,372)</w:t>
            </w:r>
          </w:p>
        </w:tc>
        <w:tc>
          <w:tcPr>
            <w:tcW w:w="620" w:type="dxa"/>
            <w:vAlign w:val="bottom"/>
          </w:tcPr>
          <w:p>
            <w:pPr>
              <w:jc w:val="right"/>
              <w:ind w:right="4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(43,529)</w:t>
            </w:r>
          </w:p>
        </w:tc>
      </w:tr>
      <w:tr>
        <w:trPr>
          <w:trHeight w:val="148"/>
        </w:trPr>
        <w:tc>
          <w:tcPr>
            <w:tcW w:w="7740" w:type="dxa"/>
            <w:vAlign w:val="bottom"/>
            <w:tcBorders>
              <w:right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9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77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8,535</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15,245</w:t>
            </w:r>
          </w:p>
        </w:tc>
        <w:tc>
          <w:tcPr>
            <w:tcW w:w="100" w:type="dxa"/>
            <w:vAlign w:val="bottom"/>
          </w:tcPr>
          <w:p>
            <w:pPr>
              <w:spacing w:after="0"/>
              <w:rPr>
                <w:sz w:val="12"/>
                <w:szCs w:val="12"/>
                <w:color w:val="auto"/>
              </w:rPr>
            </w:pPr>
          </w:p>
        </w:tc>
      </w:tr>
      <w:tr>
        <w:trPr>
          <w:trHeight w:val="148"/>
        </w:trPr>
        <w:tc>
          <w:tcPr>
            <w:tcW w:w="7740" w:type="dxa"/>
            <w:vAlign w:val="bottom"/>
            <w:tcBorders>
              <w:right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9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3,142</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2,996</w:t>
            </w:r>
          </w:p>
        </w:tc>
        <w:tc>
          <w:tcPr>
            <w:tcW w:w="100" w:type="dxa"/>
            <w:vAlign w:val="bottom"/>
            <w:shd w:val="clear" w:color="auto" w:fill="CFF0FC"/>
          </w:tcPr>
          <w:p>
            <w:pPr>
              <w:spacing w:after="0"/>
              <w:rPr>
                <w:sz w:val="12"/>
                <w:szCs w:val="12"/>
                <w:color w:val="auto"/>
              </w:rPr>
            </w:pPr>
          </w:p>
        </w:tc>
      </w:tr>
      <w:tr>
        <w:trPr>
          <w:trHeight w:val="148"/>
        </w:trPr>
        <w:tc>
          <w:tcPr>
            <w:tcW w:w="77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Loss on disposal of property and equipment</w:t>
            </w:r>
          </w:p>
        </w:tc>
        <w:tc>
          <w:tcPr>
            <w:tcW w:w="9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811</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249</w:t>
            </w:r>
          </w:p>
        </w:tc>
        <w:tc>
          <w:tcPr>
            <w:tcW w:w="100" w:type="dxa"/>
            <w:vAlign w:val="bottom"/>
          </w:tcPr>
          <w:p>
            <w:pPr>
              <w:spacing w:after="0"/>
              <w:rPr>
                <w:sz w:val="12"/>
                <w:szCs w:val="12"/>
                <w:color w:val="auto"/>
              </w:rPr>
            </w:pPr>
          </w:p>
        </w:tc>
      </w:tr>
      <w:tr>
        <w:trPr>
          <w:trHeight w:val="148"/>
        </w:trPr>
        <w:tc>
          <w:tcPr>
            <w:tcW w:w="7740" w:type="dxa"/>
            <w:vAlign w:val="bottom"/>
            <w:tcBorders>
              <w:right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amortization of premium on available-for-sale securities</w:t>
            </w:r>
          </w:p>
        </w:tc>
        <w:tc>
          <w:tcPr>
            <w:tcW w:w="9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821</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1,954</w:t>
            </w:r>
          </w:p>
        </w:tc>
        <w:tc>
          <w:tcPr>
            <w:tcW w:w="100" w:type="dxa"/>
            <w:vAlign w:val="bottom"/>
            <w:shd w:val="clear" w:color="auto" w:fill="CFF0FC"/>
          </w:tcPr>
          <w:p>
            <w:pPr>
              <w:spacing w:after="0"/>
              <w:rPr>
                <w:sz w:val="12"/>
                <w:szCs w:val="12"/>
                <w:color w:val="auto"/>
              </w:rPr>
            </w:pPr>
          </w:p>
        </w:tc>
      </w:tr>
      <w:tr>
        <w:trPr>
          <w:trHeight w:val="148"/>
        </w:trPr>
        <w:tc>
          <w:tcPr>
            <w:tcW w:w="77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Provision for inventory excess and obsolescence</w:t>
            </w:r>
          </w:p>
        </w:tc>
        <w:tc>
          <w:tcPr>
            <w:tcW w:w="9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2"/>
                <w:szCs w:val="12"/>
                <w:color w:val="auto"/>
              </w:rPr>
            </w:pPr>
          </w:p>
        </w:tc>
      </w:tr>
      <w:tr>
        <w:trPr>
          <w:trHeight w:val="149"/>
        </w:trPr>
        <w:tc>
          <w:tcPr>
            <w:tcW w:w="7740" w:type="dxa"/>
            <w:vAlign w:val="bottom"/>
            <w:tcBorders>
              <w:right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Non-cash operating lease expense</w:t>
            </w:r>
          </w:p>
        </w:tc>
        <w:tc>
          <w:tcPr>
            <w:tcW w:w="9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FF0FC"/>
          </w:tcPr>
          <w:p>
            <w:pPr>
              <w:spacing w:after="0"/>
              <w:rPr>
                <w:sz w:val="12"/>
                <w:szCs w:val="12"/>
                <w:color w:val="auto"/>
              </w:rPr>
            </w:pPr>
          </w:p>
        </w:tc>
      </w:tr>
      <w:tr>
        <w:trPr>
          <w:trHeight w:val="148"/>
        </w:trPr>
        <w:tc>
          <w:tcPr>
            <w:tcW w:w="77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Loss on equity method investment</w:t>
            </w:r>
          </w:p>
        </w:tc>
        <w:tc>
          <w:tcPr>
            <w:tcW w:w="9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3,416</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7740" w:type="dxa"/>
            <w:vAlign w:val="bottom"/>
            <w:tcBorders>
              <w:right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77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9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515</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1,015</w:t>
            </w:r>
          </w:p>
        </w:tc>
        <w:tc>
          <w:tcPr>
            <w:tcW w:w="100" w:type="dxa"/>
            <w:vAlign w:val="bottom"/>
          </w:tcPr>
          <w:p>
            <w:pPr>
              <w:spacing w:after="0"/>
              <w:rPr>
                <w:sz w:val="12"/>
                <w:szCs w:val="12"/>
                <w:color w:val="auto"/>
              </w:rPr>
            </w:pPr>
          </w:p>
        </w:tc>
      </w:tr>
      <w:tr>
        <w:trPr>
          <w:trHeight w:val="148"/>
        </w:trPr>
        <w:tc>
          <w:tcPr>
            <w:tcW w:w="7740" w:type="dxa"/>
            <w:vAlign w:val="bottom"/>
            <w:tcBorders>
              <w:right w:val="single" w:sz="8" w:color="CFF0FC"/>
            </w:tcBorders>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Prepaid expenses and other assets</w:t>
            </w:r>
          </w:p>
        </w:tc>
        <w:tc>
          <w:tcPr>
            <w:tcW w:w="9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782</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314</w:t>
            </w:r>
          </w:p>
        </w:tc>
        <w:tc>
          <w:tcPr>
            <w:tcW w:w="100" w:type="dxa"/>
            <w:vAlign w:val="bottom"/>
            <w:shd w:val="clear" w:color="auto" w:fill="CFF0FC"/>
          </w:tcPr>
          <w:p>
            <w:pPr>
              <w:spacing w:after="0"/>
              <w:rPr>
                <w:sz w:val="12"/>
                <w:szCs w:val="12"/>
                <w:color w:val="auto"/>
              </w:rPr>
            </w:pPr>
          </w:p>
        </w:tc>
      </w:tr>
      <w:tr>
        <w:trPr>
          <w:trHeight w:val="149"/>
        </w:trPr>
        <w:tc>
          <w:tcPr>
            <w:tcW w:w="77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9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(1,243)</w:t>
            </w:r>
          </w:p>
        </w:tc>
        <w:tc>
          <w:tcPr>
            <w:tcW w:w="62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(2,793)</w:t>
            </w:r>
          </w:p>
        </w:tc>
      </w:tr>
      <w:tr>
        <w:trPr>
          <w:trHeight w:val="148"/>
        </w:trPr>
        <w:tc>
          <w:tcPr>
            <w:tcW w:w="7740" w:type="dxa"/>
            <w:vAlign w:val="bottom"/>
            <w:tcBorders>
              <w:right w:val="single" w:sz="8" w:color="CFF0FC"/>
            </w:tcBorders>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9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(1,819)</w:t>
            </w:r>
          </w:p>
        </w:tc>
        <w:tc>
          <w:tcPr>
            <w:tcW w:w="6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3,413</w:t>
            </w:r>
          </w:p>
        </w:tc>
        <w:tc>
          <w:tcPr>
            <w:tcW w:w="100" w:type="dxa"/>
            <w:vAlign w:val="bottom"/>
            <w:shd w:val="clear" w:color="auto" w:fill="CFF0FC"/>
          </w:tcPr>
          <w:p>
            <w:pPr>
              <w:spacing w:after="0"/>
              <w:rPr>
                <w:sz w:val="12"/>
                <w:szCs w:val="12"/>
                <w:color w:val="auto"/>
              </w:rPr>
            </w:pPr>
          </w:p>
        </w:tc>
      </w:tr>
      <w:tr>
        <w:trPr>
          <w:trHeight w:val="148"/>
        </w:trPr>
        <w:tc>
          <w:tcPr>
            <w:tcW w:w="77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9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w:t>
            </w:r>
          </w:p>
        </w:tc>
      </w:tr>
      <w:tr>
        <w:trPr>
          <w:trHeight w:val="148"/>
        </w:trPr>
        <w:tc>
          <w:tcPr>
            <w:tcW w:w="7740" w:type="dxa"/>
            <w:vAlign w:val="bottom"/>
            <w:tcBorders>
              <w:right w:val="single" w:sz="8" w:color="CFF0FC"/>
            </w:tcBorders>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Accrued liabilities and other liabilities</w:t>
            </w:r>
          </w:p>
        </w:tc>
        <w:tc>
          <w:tcPr>
            <w:tcW w:w="9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(1,883)</w:t>
            </w:r>
          </w:p>
        </w:tc>
        <w:tc>
          <w:tcPr>
            <w:tcW w:w="6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508</w:t>
            </w:r>
          </w:p>
        </w:tc>
        <w:tc>
          <w:tcPr>
            <w:tcW w:w="100" w:type="dxa"/>
            <w:vAlign w:val="bottom"/>
            <w:shd w:val="clear" w:color="auto" w:fill="CFF0FC"/>
          </w:tcPr>
          <w:p>
            <w:pPr>
              <w:spacing w:after="0"/>
              <w:rPr>
                <w:sz w:val="12"/>
                <w:szCs w:val="12"/>
                <w:color w:val="auto"/>
              </w:rPr>
            </w:pPr>
          </w:p>
        </w:tc>
      </w:tr>
      <w:tr>
        <w:trPr>
          <w:trHeight w:val="20"/>
        </w:trPr>
        <w:tc>
          <w:tcPr>
            <w:tcW w:w="7740" w:type="dxa"/>
            <w:vAlign w:val="bottom"/>
            <w:tcBorders>
              <w:right w:val="single" w:sz="8" w:color="CFF0FC"/>
            </w:tcBorders>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7740" w:type="dxa"/>
            <w:vAlign w:val="bottom"/>
          </w:tcPr>
          <w:p>
            <w:pPr>
              <w:ind w:left="420"/>
              <w:spacing w:after="0" w:line="142"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920" w:type="dxa"/>
            <w:vAlign w:val="bottom"/>
          </w:tcPr>
          <w:p>
            <w:pPr>
              <w:spacing w:after="0"/>
              <w:rPr>
                <w:sz w:val="12"/>
                <w:szCs w:val="12"/>
                <w:color w:val="auto"/>
              </w:rPr>
            </w:pPr>
          </w:p>
        </w:tc>
        <w:tc>
          <w:tcPr>
            <w:tcW w:w="90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(26,075)</w:t>
            </w:r>
          </w:p>
        </w:tc>
        <w:tc>
          <w:tcPr>
            <w:tcW w:w="620" w:type="dxa"/>
            <w:vAlign w:val="bottom"/>
          </w:tcPr>
          <w:p>
            <w:pPr>
              <w:spacing w:after="0"/>
              <w:rPr>
                <w:sz w:val="12"/>
                <w:szCs w:val="12"/>
                <w:color w:val="auto"/>
              </w:rPr>
            </w:pPr>
          </w:p>
        </w:tc>
        <w:tc>
          <w:tcPr>
            <w:tcW w:w="10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(20,525)</w:t>
            </w:r>
          </w:p>
        </w:tc>
      </w:tr>
      <w:tr>
        <w:trPr>
          <w:trHeight w:val="142"/>
        </w:trPr>
        <w:tc>
          <w:tcPr>
            <w:tcW w:w="7740" w:type="dxa"/>
            <w:vAlign w:val="bottom"/>
            <w:tcBorders>
              <w:right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INVESTING ACTIVITIES</w:t>
            </w:r>
          </w:p>
        </w:tc>
        <w:tc>
          <w:tcPr>
            <w:tcW w:w="92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7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9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(1,222)</w:t>
            </w:r>
          </w:p>
        </w:tc>
        <w:tc>
          <w:tcPr>
            <w:tcW w:w="62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(1,928)</w:t>
            </w:r>
          </w:p>
        </w:tc>
      </w:tr>
      <w:tr>
        <w:trPr>
          <w:trHeight w:val="148"/>
        </w:trPr>
        <w:tc>
          <w:tcPr>
            <w:tcW w:w="7740" w:type="dxa"/>
            <w:vAlign w:val="bottom"/>
            <w:tcBorders>
              <w:right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Proceeds from disposal of property and equipment</w:t>
            </w:r>
          </w:p>
        </w:tc>
        <w:tc>
          <w:tcPr>
            <w:tcW w:w="9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406</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7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available-for-sale securities</w:t>
            </w:r>
          </w:p>
        </w:tc>
        <w:tc>
          <w:tcPr>
            <w:tcW w:w="9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(100,174)</w:t>
            </w:r>
          </w:p>
        </w:tc>
        <w:tc>
          <w:tcPr>
            <w:tcW w:w="62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(168,524)</w:t>
            </w:r>
          </w:p>
        </w:tc>
      </w:tr>
      <w:tr>
        <w:trPr>
          <w:trHeight w:val="149"/>
        </w:trPr>
        <w:tc>
          <w:tcPr>
            <w:tcW w:w="7740" w:type="dxa"/>
            <w:vAlign w:val="bottom"/>
            <w:tcBorders>
              <w:bottom w:val="single" w:sz="8" w:color="CFF0FC"/>
              <w:right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Proceeds from maturities of available-for-sale securities</w:t>
            </w:r>
          </w:p>
        </w:tc>
        <w:tc>
          <w:tcPr>
            <w:tcW w:w="92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132,964</w:t>
            </w:r>
          </w:p>
        </w:tc>
        <w:tc>
          <w:tcPr>
            <w:tcW w:w="26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194,025</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7740" w:type="dxa"/>
            <w:vAlign w:val="bottom"/>
          </w:tcPr>
          <w:p>
            <w:pPr>
              <w:ind w:left="420"/>
              <w:spacing w:after="0" w:line="142" w:lineRule="exact"/>
              <w:rPr>
                <w:sz w:val="20"/>
                <w:szCs w:val="20"/>
                <w:color w:val="auto"/>
              </w:rPr>
            </w:pPr>
            <w:r>
              <w:rPr>
                <w:rFonts w:ascii="Times New Roman" w:cs="Times New Roman" w:eastAsia="Times New Roman" w:hAnsi="Times New Roman"/>
                <w:sz w:val="14"/>
                <w:szCs w:val="14"/>
                <w:color w:val="auto"/>
              </w:rPr>
              <w:t>Net cash provided by investing activities</w:t>
            </w:r>
          </w:p>
        </w:tc>
        <w:tc>
          <w:tcPr>
            <w:tcW w:w="9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31,974</w:t>
            </w:r>
          </w:p>
        </w:tc>
        <w:tc>
          <w:tcPr>
            <w:tcW w:w="26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23,573</w:t>
            </w:r>
          </w:p>
        </w:tc>
        <w:tc>
          <w:tcPr>
            <w:tcW w:w="100" w:type="dxa"/>
            <w:vAlign w:val="bottom"/>
          </w:tcPr>
          <w:p>
            <w:pPr>
              <w:spacing w:after="0"/>
              <w:rPr>
                <w:sz w:val="12"/>
                <w:szCs w:val="12"/>
                <w:color w:val="auto"/>
              </w:rPr>
            </w:pPr>
          </w:p>
        </w:tc>
      </w:tr>
      <w:tr>
        <w:trPr>
          <w:trHeight w:val="142"/>
        </w:trPr>
        <w:tc>
          <w:tcPr>
            <w:tcW w:w="7740" w:type="dxa"/>
            <w:vAlign w:val="bottom"/>
            <w:tcBorders>
              <w:right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FINANCING ACTIVITIES</w:t>
            </w:r>
          </w:p>
        </w:tc>
        <w:tc>
          <w:tcPr>
            <w:tcW w:w="9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7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stock option exercises</w:t>
            </w:r>
          </w:p>
        </w:tc>
        <w:tc>
          <w:tcPr>
            <w:tcW w:w="9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7740" w:type="dxa"/>
            <w:vAlign w:val="bottom"/>
            <w:tcBorders>
              <w:right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Repurchases of Class A common stock under share repurchase program</w:t>
            </w:r>
          </w:p>
        </w:tc>
        <w:tc>
          <w:tcPr>
            <w:tcW w:w="9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(8,128)</w:t>
            </w:r>
          </w:p>
        </w:tc>
        <w:tc>
          <w:tcPr>
            <w:tcW w:w="6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(3,747)</w:t>
            </w:r>
          </w:p>
        </w:tc>
      </w:tr>
      <w:tr>
        <w:trPr>
          <w:trHeight w:val="149"/>
        </w:trPr>
        <w:tc>
          <w:tcPr>
            <w:tcW w:w="7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Taxes paid related to net settlement of restricted stock units</w:t>
            </w:r>
          </w:p>
        </w:tc>
        <w:tc>
          <w:tcPr>
            <w:tcW w:w="9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(827)</w:t>
            </w:r>
          </w:p>
        </w:tc>
        <w:tc>
          <w:tcPr>
            <w:tcW w:w="62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7740" w:type="dxa"/>
            <w:vAlign w:val="bottom"/>
            <w:tcBorders>
              <w:bottom w:val="single" w:sz="8" w:color="CFF0FC"/>
              <w:right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Proceeds from issuance of Class A common stock in connection with employee stock purchase plan</w:t>
            </w:r>
          </w:p>
        </w:tc>
        <w:tc>
          <w:tcPr>
            <w:tcW w:w="92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211</w:t>
            </w:r>
          </w:p>
        </w:tc>
        <w:tc>
          <w:tcPr>
            <w:tcW w:w="26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147</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7740" w:type="dxa"/>
            <w:vAlign w:val="bottom"/>
          </w:tcPr>
          <w:p>
            <w:pPr>
              <w:ind w:left="420"/>
              <w:spacing w:after="0" w:line="142" w:lineRule="exact"/>
              <w:rPr>
                <w:sz w:val="20"/>
                <w:szCs w:val="20"/>
                <w:color w:val="auto"/>
              </w:rPr>
            </w:pPr>
            <w:r>
              <w:rPr>
                <w:rFonts w:ascii="Times New Roman" w:cs="Times New Roman" w:eastAsia="Times New Roman" w:hAnsi="Times New Roman"/>
                <w:sz w:val="14"/>
                <w:szCs w:val="14"/>
                <w:color w:val="auto"/>
              </w:rPr>
              <w:t>Net cash used in financing activities</w:t>
            </w:r>
          </w:p>
        </w:tc>
        <w:tc>
          <w:tcPr>
            <w:tcW w:w="920" w:type="dxa"/>
            <w:vAlign w:val="bottom"/>
          </w:tcPr>
          <w:p>
            <w:pPr>
              <w:spacing w:after="0"/>
              <w:rPr>
                <w:sz w:val="12"/>
                <w:szCs w:val="12"/>
                <w:color w:val="auto"/>
              </w:rPr>
            </w:pPr>
          </w:p>
        </w:tc>
        <w:tc>
          <w:tcPr>
            <w:tcW w:w="90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(8,721)</w:t>
            </w:r>
          </w:p>
        </w:tc>
        <w:tc>
          <w:tcPr>
            <w:tcW w:w="620" w:type="dxa"/>
            <w:vAlign w:val="bottom"/>
          </w:tcPr>
          <w:p>
            <w:pPr>
              <w:spacing w:after="0"/>
              <w:rPr>
                <w:sz w:val="12"/>
                <w:szCs w:val="12"/>
                <w:color w:val="auto"/>
              </w:rPr>
            </w:pPr>
          </w:p>
        </w:tc>
        <w:tc>
          <w:tcPr>
            <w:tcW w:w="10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(3,600)</w:t>
            </w:r>
          </w:p>
        </w:tc>
      </w:tr>
      <w:tr>
        <w:trPr>
          <w:trHeight w:val="20"/>
        </w:trPr>
        <w:tc>
          <w:tcPr>
            <w:tcW w:w="77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7740" w:type="dxa"/>
            <w:vAlign w:val="bottom"/>
            <w:tcBorders>
              <w:right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decrease in cash, cash equivalents and restricted cash</w:t>
            </w:r>
          </w:p>
        </w:tc>
        <w:tc>
          <w:tcPr>
            <w:tcW w:w="9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(2,822)</w:t>
            </w:r>
          </w:p>
        </w:tc>
        <w:tc>
          <w:tcPr>
            <w:tcW w:w="6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(552)</w:t>
            </w:r>
          </w:p>
        </w:tc>
      </w:tr>
      <w:tr>
        <w:trPr>
          <w:trHeight w:val="148"/>
        </w:trPr>
        <w:tc>
          <w:tcPr>
            <w:tcW w:w="7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9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41,277</w:t>
            </w:r>
          </w:p>
        </w:tc>
        <w:tc>
          <w:tcPr>
            <w:tcW w:w="26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33,023</w:t>
            </w:r>
          </w:p>
        </w:tc>
        <w:tc>
          <w:tcPr>
            <w:tcW w:w="100" w:type="dxa"/>
            <w:vAlign w:val="bottom"/>
          </w:tcPr>
          <w:p>
            <w:pPr>
              <w:spacing w:after="0"/>
              <w:rPr>
                <w:sz w:val="12"/>
                <w:szCs w:val="12"/>
                <w:color w:val="auto"/>
              </w:rPr>
            </w:pPr>
          </w:p>
        </w:tc>
      </w:tr>
      <w:tr>
        <w:trPr>
          <w:trHeight w:val="182"/>
        </w:trPr>
        <w:tc>
          <w:tcPr>
            <w:tcW w:w="7740" w:type="dxa"/>
            <w:vAlign w:val="bottom"/>
            <w:tcBorders>
              <w:right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920" w:type="dxa"/>
            <w:vAlign w:val="bottom"/>
            <w:shd w:val="clear" w:color="auto" w:fill="CFF0FC"/>
          </w:tcPr>
          <w:p>
            <w:pPr>
              <w:jc w:val="right"/>
              <w:ind w:right="849"/>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38,455</w:t>
            </w:r>
          </w:p>
        </w:tc>
        <w:tc>
          <w:tcPr>
            <w:tcW w:w="26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4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32,471</w:t>
            </w:r>
          </w:p>
        </w:tc>
        <w:tc>
          <w:tcPr>
            <w:tcW w:w="100" w:type="dxa"/>
            <w:vAlign w:val="bottom"/>
            <w:shd w:val="clear" w:color="auto" w:fill="CFF0FC"/>
          </w:tcPr>
          <w:p>
            <w:pPr>
              <w:spacing w:after="0"/>
              <w:rPr>
                <w:sz w:val="15"/>
                <w:szCs w:val="15"/>
                <w:color w:val="auto"/>
              </w:rPr>
            </w:pPr>
          </w:p>
        </w:tc>
      </w:tr>
      <w:tr>
        <w:trPr>
          <w:trHeight w:val="278"/>
        </w:trPr>
        <w:tc>
          <w:tcPr>
            <w:tcW w:w="7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 OF NON-CASH ACTIVITIES</w:t>
            </w:r>
          </w:p>
        </w:tc>
        <w:tc>
          <w:tcPr>
            <w:tcW w:w="9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68"/>
        </w:trPr>
        <w:tc>
          <w:tcPr>
            <w:tcW w:w="7740" w:type="dxa"/>
            <w:vAlign w:val="bottom"/>
            <w:tcBorders>
              <w:right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Capitalized stock-based compensation related to internal-use software development</w:t>
            </w:r>
          </w:p>
        </w:tc>
        <w:tc>
          <w:tcPr>
            <w:tcW w:w="920" w:type="dxa"/>
            <w:vAlign w:val="bottom"/>
            <w:shd w:val="clear" w:color="auto" w:fill="CFF0FC"/>
          </w:tcPr>
          <w:p>
            <w:pPr>
              <w:jc w:val="right"/>
              <w:ind w:right="849"/>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26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4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100" w:type="dxa"/>
            <w:vAlign w:val="bottom"/>
            <w:shd w:val="clear" w:color="auto" w:fill="CFF0FC"/>
          </w:tcPr>
          <w:p>
            <w:pPr>
              <w:spacing w:after="0"/>
              <w:rPr>
                <w:sz w:val="14"/>
                <w:szCs w:val="14"/>
                <w:color w:val="auto"/>
              </w:rPr>
            </w:pPr>
          </w:p>
        </w:tc>
      </w:tr>
      <w:tr>
        <w:trPr>
          <w:trHeight w:val="20"/>
        </w:trPr>
        <w:tc>
          <w:tcPr>
            <w:tcW w:w="77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29"/>
        </w:trPr>
        <w:tc>
          <w:tcPr>
            <w:tcW w:w="774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Property and equipment purchases included in accounts payable and accrued expenses</w:t>
            </w:r>
          </w:p>
        </w:tc>
        <w:tc>
          <w:tcPr>
            <w:tcW w:w="920" w:type="dxa"/>
            <w:vAlign w:val="bottom"/>
          </w:tcPr>
          <w:p>
            <w:pPr>
              <w:jc w:val="right"/>
              <w:ind w:right="849"/>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116</w:t>
            </w:r>
          </w:p>
        </w:tc>
        <w:tc>
          <w:tcPr>
            <w:tcW w:w="260" w:type="dxa"/>
            <w:vAlign w:val="bottom"/>
          </w:tcPr>
          <w:p>
            <w:pPr>
              <w:spacing w:after="0"/>
              <w:rPr>
                <w:sz w:val="11"/>
                <w:szCs w:val="11"/>
                <w:color w:val="auto"/>
              </w:rPr>
            </w:pPr>
          </w:p>
        </w:tc>
        <w:tc>
          <w:tcPr>
            <w:tcW w:w="620" w:type="dxa"/>
            <w:vAlign w:val="bottom"/>
          </w:tcPr>
          <w:p>
            <w:pPr>
              <w:jc w:val="right"/>
              <w:ind w:right="4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224</w:t>
            </w:r>
          </w:p>
        </w:tc>
        <w:tc>
          <w:tcPr>
            <w:tcW w:w="100" w:type="dxa"/>
            <w:vAlign w:val="bottom"/>
          </w:tcPr>
          <w:p>
            <w:pPr>
              <w:spacing w:after="0"/>
              <w:rPr>
                <w:sz w:val="11"/>
                <w:szCs w:val="11"/>
                <w:color w:val="auto"/>
              </w:rPr>
            </w:pPr>
          </w:p>
        </w:tc>
      </w:tr>
      <w:tr>
        <w:trPr>
          <w:trHeight w:val="20"/>
        </w:trPr>
        <w:tc>
          <w:tcPr>
            <w:tcW w:w="77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9"/>
        </w:trPr>
        <w:tc>
          <w:tcPr>
            <w:tcW w:w="7740" w:type="dxa"/>
            <w:vAlign w:val="bottom"/>
            <w:tcBorders>
              <w:right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Inventory transferred to property and equipment</w:t>
            </w:r>
          </w:p>
        </w:tc>
        <w:tc>
          <w:tcPr>
            <w:tcW w:w="920" w:type="dxa"/>
            <w:vAlign w:val="bottom"/>
            <w:shd w:val="clear" w:color="auto" w:fill="CFF0FC"/>
          </w:tcPr>
          <w:p>
            <w:pPr>
              <w:jc w:val="right"/>
              <w:ind w:right="849"/>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1,080</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4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FF0FC"/>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77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29"/>
        </w:trPr>
        <w:tc>
          <w:tcPr>
            <w:tcW w:w="774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Property and equipment transferred to inventory</w:t>
            </w:r>
          </w:p>
        </w:tc>
        <w:tc>
          <w:tcPr>
            <w:tcW w:w="920" w:type="dxa"/>
            <w:vAlign w:val="bottom"/>
          </w:tcPr>
          <w:p>
            <w:pPr>
              <w:jc w:val="right"/>
              <w:ind w:right="849"/>
              <w:spacing w:after="0"/>
              <w:rPr>
                <w:sz w:val="20"/>
                <w:szCs w:val="20"/>
                <w:color w:val="auto"/>
              </w:rPr>
            </w:pPr>
            <w:r>
              <w:rPr>
                <w:rFonts w:ascii="Times New Roman" w:cs="Times New Roman" w:eastAsia="Times New Roman" w:hAnsi="Times New Roman"/>
                <w:sz w:val="5"/>
                <w:szCs w:val="5"/>
                <w:color w:val="auto"/>
                <w:w w:val="78"/>
              </w:rPr>
              <w:t>$</w:t>
            </w:r>
          </w:p>
        </w:tc>
        <w:tc>
          <w:tcPr>
            <w:tcW w:w="900" w:type="dxa"/>
            <w:vAlign w:val="bottom"/>
            <w:gridSpan w:val="2"/>
          </w:tcPr>
          <w:p>
            <w:pPr>
              <w:jc w:val="right"/>
              <w:ind w:right="280"/>
              <w:spacing w:after="0" w:line="12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359</w:t>
            </w:r>
          </w:p>
        </w:tc>
        <w:tc>
          <w:tcPr>
            <w:tcW w:w="100" w:type="dxa"/>
            <w:vAlign w:val="bottom"/>
          </w:tcPr>
          <w:p>
            <w:pPr>
              <w:spacing w:after="0"/>
              <w:rPr>
                <w:sz w:val="11"/>
                <w:szCs w:val="11"/>
                <w:color w:val="auto"/>
              </w:rPr>
            </w:pPr>
          </w:p>
        </w:tc>
      </w:tr>
      <w:tr>
        <w:trPr>
          <w:trHeight w:val="20"/>
        </w:trPr>
        <w:tc>
          <w:tcPr>
            <w:tcW w:w="77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-2262505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-1679575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-1679575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-1096645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-693420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-676275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-693420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-676275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-385445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-367665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-145415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-128270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49"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DESCRIPTION OF THE BUSINESS</w:t>
      </w:r>
    </w:p>
    <w:p>
      <w:pPr>
        <w:spacing w:after="0" w:line="175"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Seer, Inc. (the Company) was incorporated in Delaware on March 16, 2017, and is headquartered in Redwood City, California. The Company is a life sciences company focused on capturing deep molecular insights from the proteome to enable novel insights and breakthroughs in the understanding of biology and disease.</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75" w:lineRule="exact"/>
        <w:rPr>
          <w:sz w:val="20"/>
          <w:szCs w:val="20"/>
          <w:color w:val="auto"/>
        </w:rPr>
      </w:pPr>
    </w:p>
    <w:p>
      <w:pPr>
        <w:jc w:val="both"/>
        <w:ind w:right="60"/>
        <w:spacing w:after="0" w:line="257" w:lineRule="auto"/>
        <w:rPr>
          <w:sz w:val="20"/>
          <w:szCs w:val="20"/>
          <w:color w:val="auto"/>
        </w:rPr>
      </w:pPr>
      <w:r>
        <w:rPr>
          <w:rFonts w:ascii="Times New Roman" w:cs="Times New Roman" w:eastAsia="Times New Roman" w:hAnsi="Times New Roman"/>
          <w:sz w:val="18"/>
          <w:szCs w:val="18"/>
          <w:color w:val="auto"/>
        </w:rPr>
        <w:t>The Company has incurred significant losses and has had negative cash flows from operations since inception. As of June 30, 2025, the Company had cash and cash equivalents and investments of $263.3 million and an accumulated deficit of $431.7 million. Management expects to continue to incur significant expenses for the foreseeable future and to incur operating losses in the near term while the Company makes investments to support its anticipated growth.</w:t>
      </w:r>
    </w:p>
    <w:p>
      <w:pPr>
        <w:spacing w:after="0" w:line="1"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18"/>
          <w:szCs w:val="18"/>
          <w:color w:val="auto"/>
        </w:rPr>
        <w:t>The Company believes that its cash and cash equivalents and investments as of June 30, 2025 provide sufficient capital resources to continue its operations for at least twelve months from the issuance date of the accompanying unaudited condensed consolidated financial statements.</w:t>
      </w:r>
    </w:p>
    <w:p>
      <w:pPr>
        <w:spacing w:after="0" w:line="123" w:lineRule="exact"/>
        <w:rPr>
          <w:sz w:val="20"/>
          <w:szCs w:val="20"/>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AND BASIS OF PRESENTATION</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7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in accordance with accounting principles generally accepted in the United States of America (U.S. GAAP) and pursuant to the rules and regulations of the Securities and Exchange Commission (SEC) for interim financial reporting. Accordingly, they do not include all of the information and footnotes required by U.S. GAAP for complete financial statements. The unaudited condensed consolidated financial statements should be read in conjunction with the audited consolidated financial statements and notes included in our Annual Report on Form 10-K for the year ended December 31, 2024, which was filed with the SEC on March 3, 2025. The results of operations for the three and six months ended June 30, 2025 are not necessarily indicative of the results to be expected for the entire fiscal year or any future periods.</w:t>
      </w:r>
    </w:p>
    <w:p>
      <w:pPr>
        <w:spacing w:after="0" w:line="133"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Seer, Inc. and its wholly-owned subsidiaries. All intercompany transactions and balances have been eliminated.</w:t>
      </w:r>
    </w:p>
    <w:p>
      <w:pPr>
        <w:spacing w:after="0" w:line="1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cash equivalents, restricted cash, accounts receivable, and investments. The Company maintains bank deposits in federally insured financial institutions, and these deposits may exceed federally insured limits. The Company is exposed to credit risk in the event of default by the financial institutions holding its cash and cash equivalents and issuers of investments to the extent account balances exceed the amount insured by the Federal Deposit Insurance Corporation.</w:t>
      </w:r>
    </w:p>
    <w:p>
      <w:pPr>
        <w:spacing w:after="0" w:line="12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2025, the Company recognized revenue from three customers, including a related party, that accounted for 13%, 11%, and 10% of the Company's total revenue. For the six months ended June 30, 2025, the Company recognized revenue from one customer that accounted for 10% of the Company's total revenue. For the three and six months ended June 30, 2024, the Company recognized revenue from a related party that accounted for 19% and 25%, respectively, of the Company’s total revenue.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5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2025, 33% and 35%, respectively, of the Company's total revenue, was generated outside of the United States, primarily from countries in Asia and Europe. For the three and six months ended June 30, 2024, 55% and 34%, respectively, of the Company's total revenue, was generated outside of the United States, from countries in Asia and Europe.</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June 30, 2025, there were two customers, which represented 14% and 10% of the Company's total accounts receivable balance, including related party receivables. As of December 31, 2024, no single customer accounted for 10% or more of the total accounts receivable balance, including related party receivables.</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75"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significant accounting policies as of and for the three and six months ended June 30, 2025, as compared to the significant accounting policies described in the Company's Annual Report on Form 10-K for the fiscal year ended December 31, 2024 filed with the SEC.</w:t>
      </w:r>
    </w:p>
    <w:p>
      <w:pPr>
        <w:spacing w:after="0" w:line="10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The OBBBA makes permanent key elements of the Tax Cuts and Jobs Act of 2017, including 100% bonus depreciation and immediate deduction of domestic research and development costs, among other tax changes. The new legislation has multiple effective dates, with certain provisions effective in 2025 and others in the future. The Company is currently evaluating the provisions of the newly enacted tax law and its impact on the Company's consolidated financial statements.</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at the date of purchase to be cash equivalents. Cash equivalents consist primarily of amounts invested in money market funds, U.S. Treasury securities, commercial paper, and corporate debt securities and are stated at fair value.</w:t>
      </w:r>
    </w:p>
    <w:p>
      <w:pPr>
        <w:spacing w:after="0" w:line="12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Restricted cash represents cash held by a financial institution as security for a letter of credit issued to the lessor for one of the Company’s operating leases and is classified as noncurrent.</w:t>
      </w:r>
    </w:p>
    <w:p>
      <w:pPr>
        <w:spacing w:after="0" w:line="10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to the total amount presented in the unaudited condensed consolidated statements of cash flows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820" w:type="dxa"/>
            <w:vAlign w:val="bottom"/>
            <w:tcBorders>
              <w:bottom w:val="single" w:sz="8" w:color="auto"/>
            </w:tcBorders>
            <w:gridSpan w:val="5"/>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5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0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4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37,931</w:t>
            </w:r>
          </w:p>
        </w:tc>
        <w:tc>
          <w:tcPr>
            <w:tcW w:w="112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31,947</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2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18"/>
                <w:szCs w:val="18"/>
                <w:color w:val="auto"/>
              </w:rPr>
            </w:pPr>
          </w:p>
        </w:tc>
      </w:tr>
      <w:tr>
        <w:trPr>
          <w:trHeight w:val="250"/>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424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38,455</w:t>
            </w:r>
          </w:p>
        </w:tc>
        <w:tc>
          <w:tcPr>
            <w:tcW w:w="112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32,471</w:t>
            </w:r>
          </w:p>
        </w:tc>
      </w:tr>
      <w:tr>
        <w:trPr>
          <w:trHeight w:val="845"/>
        </w:trPr>
        <w:tc>
          <w:tcPr>
            <w:tcW w:w="4500" w:type="dxa"/>
            <w:vAlign w:val="bottom"/>
            <w:tcBorders>
              <w:top w:val="single" w:sz="8" w:color="CFF0FC"/>
            </w:tcBorders>
          </w:tcPr>
          <w:p>
            <w:pPr>
              <w:spacing w:after="0"/>
              <w:rPr>
                <w:sz w:val="24"/>
                <w:szCs w:val="24"/>
                <w:color w:val="auto"/>
              </w:rPr>
            </w:pPr>
          </w:p>
        </w:tc>
        <w:tc>
          <w:tcPr>
            <w:tcW w:w="3240" w:type="dxa"/>
            <w:vAlign w:val="bottom"/>
            <w:tcBorders>
              <w:top w:val="single" w:sz="8" w:color="CFF0FC"/>
            </w:tcBorders>
          </w:tcPr>
          <w:p>
            <w:pPr>
              <w:jc w:val="right"/>
              <w:ind w:right="1990"/>
              <w:spacing w:after="0"/>
              <w:rPr>
                <w:sz w:val="20"/>
                <w:szCs w:val="20"/>
                <w:color w:val="auto"/>
              </w:rPr>
            </w:pPr>
            <w:r>
              <w:rPr>
                <w:rFonts w:ascii="Times New Roman" w:cs="Times New Roman" w:eastAsia="Times New Roman" w:hAnsi="Times New Roman"/>
                <w:sz w:val="18"/>
                <w:szCs w:val="18"/>
                <w:color w:val="auto"/>
              </w:rPr>
              <w:t>7</w:t>
            </w:r>
          </w:p>
        </w:tc>
        <w:tc>
          <w:tcPr>
            <w:tcW w:w="10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50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-1070610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-1053465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(ASU 2023-09), which requires that an entity disclose specific categories in the effective tax rate reconciliation as well as provide additional information for reconciling items that meet a quantitative threshold. Further, the ASU requires certain disclosures of state versus federal income tax expense and taxes paid. The requirements of the ASU are effective for annual periods beginning after December 15, 2024, with early adoption permitted. The Company is currently in the process of evaluating the impact of this pronouncement on its consolidated financial statements and related disclosures.</w:t>
      </w:r>
    </w:p>
    <w:p>
      <w:pPr>
        <w:spacing w:after="0" w:line="1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w:t>
      </w:r>
      <w:r>
        <w:rPr>
          <w:rFonts w:ascii="Times New Roman" w:cs="Times New Roman" w:eastAsia="Times New Roman" w:hAnsi="Times New Roman"/>
          <w:sz w:val="18"/>
          <w:szCs w:val="18"/>
          <w:color w:val="auto"/>
        </w:rPr>
        <w:t>which requires public business entities to disclose in the notes to the financial statements, among other things, specific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about certain costs and expenses including purchases of inventory, employee compensation, and depreciation and amortization expense for each caption on the income statement where such expenses are included. The update is effective for annual reporting periods beginning after December 15, 2026, and interim reporting periods beginning after December 15, 2027. Early adoption is permitted, and the amendments may be applied prospectively to reporting periods after the effective date or retrospectively to all periods presented in the financial statements. The Company is currently evaluating the impact the new accounting standard will have on its expense disclosures in the notes to the consolidated financial statements and related disclosures.</w:t>
      </w:r>
    </w:p>
    <w:p>
      <w:pPr>
        <w:spacing w:after="0" w:line="13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Company continues to monitor new accounting pronouncements issued by the FASB and does not believe any accounting pronouncements issued through the date of this report will have a material impact on the Company’s consolidated financial statements.</w:t>
      </w:r>
    </w:p>
    <w:p>
      <w:pPr>
        <w:spacing w:after="0" w:line="104"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 AND FAIR VALUE OF FINANCIAL INSTRUMENTS</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fair value of the Company’s financial assets that were measured at fair value on a recurring basis by level within the fair value hierarchy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0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2"/>
                <w:szCs w:val="12"/>
                <w:color w:val="auto"/>
              </w:rPr>
            </w:pPr>
          </w:p>
        </w:tc>
        <w:tc>
          <w:tcPr>
            <w:tcW w:w="8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209"/>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34,697</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34,697</w:t>
            </w:r>
          </w:p>
        </w:tc>
        <w:tc>
          <w:tcPr>
            <w:tcW w:w="120" w:type="dxa"/>
            <w:vAlign w:val="bottom"/>
            <w:shd w:val="clear" w:color="auto" w:fill="CFF0FC"/>
          </w:tcPr>
          <w:p>
            <w:pPr>
              <w:spacing w:after="0"/>
              <w:rPr>
                <w:sz w:val="18"/>
                <w:szCs w:val="18"/>
                <w:color w:val="auto"/>
              </w:rPr>
            </w:pPr>
          </w:p>
        </w:tc>
      </w:tr>
      <w:tr>
        <w:trPr>
          <w:trHeight w:val="216"/>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7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2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20" w:type="dxa"/>
            <w:vAlign w:val="bottom"/>
          </w:tcPr>
          <w:p>
            <w:pPr>
              <w:spacing w:after="0"/>
              <w:rPr>
                <w:sz w:val="18"/>
                <w:szCs w:val="18"/>
                <w:color w:val="auto"/>
              </w:rPr>
            </w:pPr>
          </w:p>
        </w:tc>
      </w:tr>
      <w:tr>
        <w:trPr>
          <w:trHeight w:val="210"/>
        </w:trPr>
        <w:tc>
          <w:tcPr>
            <w:tcW w:w="40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cash equivalents</w:t>
            </w:r>
          </w:p>
        </w:tc>
        <w:tc>
          <w:tcPr>
            <w:tcW w:w="1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34,697</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36,305</w:t>
            </w:r>
          </w:p>
        </w:tc>
        <w:tc>
          <w:tcPr>
            <w:tcW w:w="120" w:type="dxa"/>
            <w:vAlign w:val="bottom"/>
            <w:shd w:val="clear" w:color="auto" w:fill="CFF0FC"/>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112,210</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112,210</w:t>
            </w:r>
          </w:p>
        </w:tc>
        <w:tc>
          <w:tcPr>
            <w:tcW w:w="120" w:type="dxa"/>
            <w:vAlign w:val="bottom"/>
            <w:shd w:val="clear" w:color="auto" w:fill="CFF0FC"/>
          </w:tcPr>
          <w:p>
            <w:pPr>
              <w:spacing w:after="0"/>
              <w:rPr>
                <w:sz w:val="18"/>
                <w:szCs w:val="18"/>
                <w:color w:val="auto"/>
              </w:rPr>
            </w:pPr>
          </w:p>
        </w:tc>
      </w:tr>
      <w:tr>
        <w:trPr>
          <w:trHeight w:val="216"/>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15,648</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15,648</w:t>
            </w:r>
          </w:p>
        </w:tc>
        <w:tc>
          <w:tcPr>
            <w:tcW w:w="120" w:type="dxa"/>
            <w:vAlign w:val="bottom"/>
          </w:tcPr>
          <w:p>
            <w:pPr>
              <w:spacing w:after="0"/>
              <w:rPr>
                <w:sz w:val="18"/>
                <w:szCs w:val="18"/>
                <w:color w:val="auto"/>
              </w:rPr>
            </w:pPr>
          </w:p>
        </w:tc>
      </w:tr>
      <w:tr>
        <w:trPr>
          <w:trHeight w:val="216"/>
        </w:trPr>
        <w:tc>
          <w:tcPr>
            <w:tcW w:w="40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7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97,463</w:t>
            </w:r>
          </w:p>
        </w:tc>
        <w:tc>
          <w:tcPr>
            <w:tcW w:w="24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97,463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investments</w:t>
            </w:r>
          </w:p>
        </w:tc>
        <w:tc>
          <w:tcPr>
            <w:tcW w:w="17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225,321</w:t>
            </w:r>
          </w:p>
        </w:tc>
        <w:tc>
          <w:tcPr>
            <w:tcW w:w="2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225,321</w:t>
            </w:r>
          </w:p>
        </w:tc>
        <w:tc>
          <w:tcPr>
            <w:tcW w:w="120" w:type="dxa"/>
            <w:vAlign w:val="bottom"/>
          </w:tcPr>
          <w:p>
            <w:pPr>
              <w:spacing w:after="0"/>
              <w:rPr>
                <w:sz w:val="18"/>
                <w:szCs w:val="18"/>
                <w:color w:val="auto"/>
              </w:rPr>
            </w:pPr>
          </w:p>
        </w:tc>
      </w:tr>
      <w:tr>
        <w:trPr>
          <w:trHeight w:val="250"/>
        </w:trPr>
        <w:tc>
          <w:tcPr>
            <w:tcW w:w="4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34,697</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226,929</w:t>
            </w:r>
          </w:p>
        </w:tc>
        <w:tc>
          <w:tcPr>
            <w:tcW w:w="112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261,626</w:t>
            </w:r>
          </w:p>
        </w:tc>
        <w:tc>
          <w:tcPr>
            <w:tcW w:w="120" w:type="dxa"/>
            <w:vAlign w:val="bottom"/>
            <w:shd w:val="clear" w:color="auto" w:fill="CFF0FC"/>
          </w:tcPr>
          <w:p>
            <w:pPr>
              <w:spacing w:after="0"/>
              <w:rPr>
                <w:sz w:val="21"/>
                <w:szCs w:val="21"/>
                <w:color w:val="auto"/>
              </w:rPr>
            </w:pPr>
          </w:p>
        </w:tc>
      </w:tr>
      <w:tr>
        <w:trPr>
          <w:trHeight w:val="845"/>
        </w:trPr>
        <w:tc>
          <w:tcPr>
            <w:tcW w:w="4080" w:type="dxa"/>
            <w:vAlign w:val="bottom"/>
            <w:tcBorders>
              <w:top w:val="single" w:sz="8" w:color="CFF0FC"/>
            </w:tcBorders>
          </w:tcPr>
          <w:p>
            <w:pPr>
              <w:spacing w:after="0"/>
              <w:rPr>
                <w:sz w:val="24"/>
                <w:szCs w:val="24"/>
                <w:color w:val="auto"/>
              </w:rPr>
            </w:pPr>
          </w:p>
        </w:tc>
        <w:tc>
          <w:tcPr>
            <w:tcW w:w="1740" w:type="dxa"/>
            <w:vAlign w:val="bottom"/>
            <w:tcBorders>
              <w:top w:val="single" w:sz="8" w:color="CFF0FC"/>
            </w:tcBorders>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763"/>
        </w:trPr>
        <w:tc>
          <w:tcPr>
            <w:tcW w:w="40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-1362075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-1362075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-1362075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-1362075</wp:posOffset>
            </wp:positionV>
            <wp:extent cx="774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-1071245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-1053465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-1071245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-1053465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-1071245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-1053465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-1071245</wp:posOffset>
            </wp:positionV>
            <wp:extent cx="774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-1053465</wp:posOffset>
            </wp:positionV>
            <wp:extent cx="774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2"/>
                <w:szCs w:val="12"/>
                <w:color w:val="auto"/>
              </w:rPr>
            </w:pPr>
          </w:p>
        </w:tc>
        <w:tc>
          <w:tcPr>
            <w:tcW w:w="880" w:type="dxa"/>
            <w:vAlign w:val="bottom"/>
            <w:tcBorders>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209"/>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8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36,097</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36,097</w:t>
            </w:r>
          </w:p>
        </w:tc>
        <w:tc>
          <w:tcPr>
            <w:tcW w:w="120" w:type="dxa"/>
            <w:vAlign w:val="bottom"/>
            <w:shd w:val="clear" w:color="auto" w:fill="CFF0FC"/>
          </w:tcPr>
          <w:p>
            <w:pPr>
              <w:spacing w:after="0"/>
              <w:rPr>
                <w:sz w:val="18"/>
                <w:szCs w:val="18"/>
                <w:color w:val="auto"/>
              </w:rPr>
            </w:pPr>
          </w:p>
        </w:tc>
      </w:tr>
      <w:tr>
        <w:trPr>
          <w:trHeight w:val="216"/>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2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120" w:type="dxa"/>
            <w:vAlign w:val="bottom"/>
          </w:tcPr>
          <w:p>
            <w:pPr>
              <w:spacing w:after="0"/>
              <w:rPr>
                <w:sz w:val="18"/>
                <w:szCs w:val="18"/>
                <w:color w:val="auto"/>
              </w:rPr>
            </w:pPr>
          </w:p>
        </w:tc>
      </w:tr>
      <w:tr>
        <w:trPr>
          <w:trHeight w:val="209"/>
        </w:trPr>
        <w:tc>
          <w:tcPr>
            <w:tcW w:w="4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cash equivalents</w:t>
            </w:r>
          </w:p>
        </w:tc>
        <w:tc>
          <w:tcPr>
            <w:tcW w:w="1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36,097</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40,288</w:t>
            </w:r>
          </w:p>
        </w:tc>
        <w:tc>
          <w:tcPr>
            <w:tcW w:w="120" w:type="dxa"/>
            <w:vAlign w:val="bottom"/>
            <w:shd w:val="clear" w:color="auto" w:fill="CFF0FC"/>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150,116</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150,116</w:t>
            </w:r>
          </w:p>
        </w:tc>
        <w:tc>
          <w:tcPr>
            <w:tcW w:w="120" w:type="dxa"/>
            <w:vAlign w:val="bottom"/>
            <w:shd w:val="clear" w:color="auto" w:fill="CFF0FC"/>
          </w:tcPr>
          <w:p>
            <w:pPr>
              <w:spacing w:after="0"/>
              <w:rPr>
                <w:sz w:val="18"/>
                <w:szCs w:val="18"/>
                <w:color w:val="auto"/>
              </w:rPr>
            </w:pPr>
          </w:p>
        </w:tc>
      </w:tr>
      <w:tr>
        <w:trPr>
          <w:trHeight w:val="216"/>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12,239</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12,239</w:t>
            </w:r>
          </w:p>
        </w:tc>
        <w:tc>
          <w:tcPr>
            <w:tcW w:w="120" w:type="dxa"/>
            <w:vAlign w:val="bottom"/>
          </w:tcPr>
          <w:p>
            <w:pPr>
              <w:spacing w:after="0"/>
              <w:rPr>
                <w:sz w:val="18"/>
                <w:szCs w:val="18"/>
                <w:color w:val="auto"/>
              </w:rPr>
            </w:pPr>
          </w:p>
        </w:tc>
      </w:tr>
      <w:tr>
        <w:trPr>
          <w:trHeight w:val="216"/>
        </w:trPr>
        <w:tc>
          <w:tcPr>
            <w:tcW w:w="42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96,405</w:t>
            </w:r>
          </w:p>
        </w:tc>
        <w:tc>
          <w:tcPr>
            <w:tcW w:w="24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96,405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investments</w:t>
            </w:r>
          </w:p>
        </w:tc>
        <w:tc>
          <w:tcPr>
            <w:tcW w:w="1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258,760</w:t>
            </w:r>
          </w:p>
        </w:tc>
        <w:tc>
          <w:tcPr>
            <w:tcW w:w="2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258,760</w:t>
            </w:r>
          </w:p>
        </w:tc>
        <w:tc>
          <w:tcPr>
            <w:tcW w:w="120" w:type="dxa"/>
            <w:vAlign w:val="bottom"/>
          </w:tcPr>
          <w:p>
            <w:pPr>
              <w:spacing w:after="0"/>
              <w:rPr>
                <w:sz w:val="18"/>
                <w:szCs w:val="18"/>
                <w:color w:val="auto"/>
              </w:rPr>
            </w:pPr>
          </w:p>
        </w:tc>
      </w:tr>
      <w:tr>
        <w:trPr>
          <w:trHeight w:val="229"/>
        </w:trPr>
        <w:tc>
          <w:tcPr>
            <w:tcW w:w="4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6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36,097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262,951</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299,048</w:t>
            </w:r>
          </w:p>
        </w:tc>
        <w:tc>
          <w:tcPr>
            <w:tcW w:w="120" w:type="dxa"/>
            <w:vAlign w:val="bottom"/>
            <w:shd w:val="clear" w:color="auto" w:fill="CFF0FC"/>
          </w:tcPr>
          <w:p>
            <w:pPr>
              <w:spacing w:after="0"/>
              <w:rPr>
                <w:sz w:val="19"/>
                <w:szCs w:val="19"/>
                <w:color w:val="auto"/>
              </w:rPr>
            </w:pPr>
          </w:p>
        </w:tc>
      </w:tr>
      <w:tr>
        <w:trPr>
          <w:trHeight w:val="20"/>
        </w:trPr>
        <w:tc>
          <w:tcPr>
            <w:tcW w:w="422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-316230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-316230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-316230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-316230</wp:posOffset>
            </wp:positionV>
            <wp:extent cx="774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-25400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-25400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There were no financial liabilities measured at fair value. The Company classifies money market funds within Level 1 of the fair value hierarchy because they are valued using quoted market prices. The Company classifies its investments in U.S. Treasury securities (Treasury bills, Treasury notes, and Treasury bonds), U.S. Non-Treasury securities (government agency debt), commercial paper, and corporate debt securities as Level 2 instruments and obtains fair value from an independent pricing service, which may use quoted market prices for identical or comparable instruments or model-driven valuations using observable market data or inputs corroborated by observable market data.</w:t>
      </w:r>
    </w:p>
    <w:p>
      <w:pPr>
        <w:spacing w:after="0" w:line="1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carrying amount of the Company’s accounts receivable, other receivables, prepaid expenses and other current assets, accounts payable and accrued expenses approximate fair value due to their short maturities.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cash equivalents and investments and the gross unrealized holding gains and losses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5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0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140" w:type="dxa"/>
            <w:vAlign w:val="bottom"/>
            <w:gridSpan w:val="2"/>
          </w:tcPr>
          <w:p>
            <w:pPr>
              <w:jc w:val="right"/>
              <w:ind w:right="12"/>
              <w:spacing w:after="0" w:line="118" w:lineRule="exact"/>
              <w:rPr>
                <w:sz w:val="20"/>
                <w:szCs w:val="20"/>
                <w:color w:val="auto"/>
              </w:rPr>
            </w:pPr>
            <w:r>
              <w:rPr>
                <w:rFonts w:ascii="Times New Roman" w:cs="Times New Roman" w:eastAsia="Times New Roman" w:hAnsi="Times New Roman"/>
                <w:sz w:val="13"/>
                <w:szCs w:val="13"/>
                <w:b w:val="1"/>
                <w:bCs w:val="1"/>
                <w:color w:val="auto"/>
              </w:rPr>
              <w:t>Amortized Cost</w:t>
            </w:r>
          </w:p>
        </w:tc>
        <w:tc>
          <w:tcPr>
            <w:tcW w:w="240" w:type="dxa"/>
            <w:vAlign w:val="bottom"/>
          </w:tcPr>
          <w:p>
            <w:pPr>
              <w:spacing w:after="0"/>
              <w:rPr>
                <w:sz w:val="10"/>
                <w:szCs w:val="10"/>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40" w:type="dxa"/>
            <w:vAlign w:val="bottom"/>
          </w:tcPr>
          <w:p>
            <w:pPr>
              <w:spacing w:after="0"/>
              <w:rPr>
                <w:sz w:val="10"/>
                <w:szCs w:val="10"/>
                <w:color w:val="auto"/>
              </w:rPr>
            </w:pPr>
          </w:p>
        </w:tc>
        <w:tc>
          <w:tcPr>
            <w:tcW w:w="1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60" w:type="dxa"/>
            <w:vAlign w:val="bottom"/>
          </w:tcPr>
          <w:p>
            <w:pPr>
              <w:spacing w:after="0"/>
              <w:rPr>
                <w:sz w:val="10"/>
                <w:szCs w:val="10"/>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Basis</w:t>
            </w:r>
          </w:p>
        </w:tc>
        <w:tc>
          <w:tcPr>
            <w:tcW w:w="2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7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2000" w:type="dxa"/>
            <w:vAlign w:val="bottom"/>
            <w:gridSpan w:val="2"/>
            <w:shd w:val="clear" w:color="auto" w:fill="CFF0FC"/>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34,697</w:t>
            </w:r>
          </w:p>
        </w:tc>
        <w:tc>
          <w:tcPr>
            <w:tcW w:w="720" w:type="dxa"/>
            <w:vAlign w:val="bottom"/>
            <w:gridSpan w:val="2"/>
            <w:shd w:val="clear" w:color="auto" w:fill="CFF0FC"/>
          </w:tcPr>
          <w:p>
            <w:pPr>
              <w:jc w:val="right"/>
              <w:ind w:right="29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34,697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7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2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cash equivalents</w:t>
            </w:r>
          </w:p>
        </w:tc>
        <w:tc>
          <w:tcPr>
            <w:tcW w:w="1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36,305</w:t>
            </w: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36,305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112,072</w:t>
            </w: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112,210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15,640</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97,302</w:t>
            </w: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97,463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shd w:val="clear" w:color="auto" w:fill="CFF0FC"/>
          </w:tcPr>
          <w:p>
            <w:pPr>
              <w:spacing w:after="0" w:line="20" w:lineRule="exact"/>
              <w:rPr>
                <w:sz w:val="1"/>
                <w:szCs w:val="1"/>
                <w:color w:val="auto"/>
              </w:rPr>
            </w:pPr>
          </w:p>
        </w:tc>
        <w:tc>
          <w:tcPr>
            <w:tcW w:w="17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investments</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225,014</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7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261,319</w:t>
            </w:r>
          </w:p>
        </w:tc>
        <w:tc>
          <w:tcPr>
            <w:tcW w:w="24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261,626</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845"/>
        </w:trPr>
        <w:tc>
          <w:tcPr>
            <w:tcW w:w="4080" w:type="dxa"/>
            <w:vAlign w:val="bottom"/>
            <w:tcBorders>
              <w:top w:val="single" w:sz="8" w:color="CFF0FC"/>
            </w:tcBorders>
          </w:tcPr>
          <w:p>
            <w:pPr>
              <w:spacing w:after="0"/>
              <w:rPr>
                <w:sz w:val="24"/>
                <w:szCs w:val="24"/>
                <w:color w:val="auto"/>
              </w:rPr>
            </w:pPr>
          </w:p>
        </w:tc>
        <w:tc>
          <w:tcPr>
            <w:tcW w:w="1740" w:type="dxa"/>
            <w:vAlign w:val="bottom"/>
            <w:tcBorders>
              <w:top w:val="single" w:sz="8" w:color="CFF0FC"/>
            </w:tcBorders>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0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-1362075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-1362075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-1362075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-1362075</wp:posOffset>
            </wp:positionV>
            <wp:extent cx="774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-1071245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-1053465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-1071245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-1053465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-1071245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-1053465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-1071245</wp:posOffset>
            </wp:positionV>
            <wp:extent cx="7747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-1053465</wp:posOffset>
            </wp:positionV>
            <wp:extent cx="7747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5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140" w:type="dxa"/>
            <w:vAlign w:val="bottom"/>
            <w:gridSpan w:val="2"/>
          </w:tcPr>
          <w:p>
            <w:pPr>
              <w:jc w:val="right"/>
              <w:ind w:right="12"/>
              <w:spacing w:after="0" w:line="118" w:lineRule="exact"/>
              <w:rPr>
                <w:sz w:val="20"/>
                <w:szCs w:val="20"/>
                <w:color w:val="auto"/>
              </w:rPr>
            </w:pPr>
            <w:r>
              <w:rPr>
                <w:rFonts w:ascii="Times New Roman" w:cs="Times New Roman" w:eastAsia="Times New Roman" w:hAnsi="Times New Roman"/>
                <w:sz w:val="13"/>
                <w:szCs w:val="13"/>
                <w:b w:val="1"/>
                <w:bCs w:val="1"/>
                <w:color w:val="auto"/>
              </w:rPr>
              <w:t>Amortized Cost</w:t>
            </w:r>
          </w:p>
        </w:tc>
        <w:tc>
          <w:tcPr>
            <w:tcW w:w="240" w:type="dxa"/>
            <w:vAlign w:val="bottom"/>
          </w:tcPr>
          <w:p>
            <w:pPr>
              <w:spacing w:after="0"/>
              <w:rPr>
                <w:sz w:val="10"/>
                <w:szCs w:val="10"/>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40" w:type="dxa"/>
            <w:vAlign w:val="bottom"/>
          </w:tcPr>
          <w:p>
            <w:pPr>
              <w:spacing w:after="0"/>
              <w:rPr>
                <w:sz w:val="10"/>
                <w:szCs w:val="10"/>
                <w:color w:val="auto"/>
              </w:rPr>
            </w:pPr>
          </w:p>
        </w:tc>
        <w:tc>
          <w:tcPr>
            <w:tcW w:w="1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60" w:type="dxa"/>
            <w:vAlign w:val="bottom"/>
          </w:tcPr>
          <w:p>
            <w:pPr>
              <w:spacing w:after="0"/>
              <w:rPr>
                <w:sz w:val="10"/>
                <w:szCs w:val="10"/>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4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Basis</w:t>
            </w:r>
          </w:p>
        </w:tc>
        <w:tc>
          <w:tcPr>
            <w:tcW w:w="2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6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860" w:type="dxa"/>
            <w:vAlign w:val="bottom"/>
            <w:gridSpan w:val="2"/>
            <w:shd w:val="clear" w:color="auto" w:fill="CFF0FC"/>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36,097</w:t>
            </w:r>
          </w:p>
        </w:tc>
        <w:tc>
          <w:tcPr>
            <w:tcW w:w="62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36,097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6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cash equivalents</w:t>
            </w:r>
          </w:p>
        </w:tc>
        <w:tc>
          <w:tcPr>
            <w:tcW w:w="1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40,288</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40,288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150,095</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150,116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12,227</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96,302</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96,405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shd w:val="clear" w:color="auto" w:fill="CFF0FC"/>
          </w:tcPr>
          <w:p>
            <w:pPr>
              <w:spacing w:after="0" w:line="20" w:lineRule="exact"/>
              <w:rPr>
                <w:sz w:val="1"/>
                <w:szCs w:val="1"/>
                <w:color w:val="auto"/>
              </w:rPr>
            </w:pPr>
          </w:p>
        </w:tc>
        <w:tc>
          <w:tcPr>
            <w:tcW w:w="16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investments</w:t>
            </w: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258,624</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(206)</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6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298,912</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(206)</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299,048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-316230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-316230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-316230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-316230</wp:posOffset>
            </wp:positionV>
            <wp:extent cx="774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As of June 30, 2025 and December 31, 2024, unrealized losses on available-for-sale investments are not attributable to credit risk and are considered to be temporary. As of June 30, 2025, the Company does not have investments that have been in a continuous unrealized loss position for twelve months or longer. The Company believes it is more likely than not that investments in an unrealized loss position will be held until maturity or until the recovery of the amortized cost basis of the investment. To date, the Company has not recorded any credit loss charges on marketable securities related to other-than-temporary declines in market value. As of June 30, 2025, $53.4 million of available-for-sale investments had remaining maturities primarily between one and two years. The remainder of the available-for-sale investments have a remaining maturity of one year or less. As of June 30, 2025 and December 31, 2024, the Company recorded $1.4 million and $1.9 million, respectively, of accrued interest related to its available-for-sale investments and is presented as other receivables on the unaudited condensed consolidated balance sheets.</w:t>
      </w:r>
    </w:p>
    <w:p>
      <w:pPr>
        <w:spacing w:after="0" w:line="134" w:lineRule="exact"/>
        <w:rPr>
          <w:sz w:val="20"/>
          <w:szCs w:val="20"/>
          <w:color w:val="auto"/>
        </w:rPr>
      </w:pPr>
    </w:p>
    <w:p>
      <w:pPr>
        <w:ind w:left="380" w:right="6580" w:hanging="372"/>
        <w:spacing w:after="0" w:line="440" w:lineRule="auto"/>
        <w:tabs>
          <w:tab w:leader="none" w:pos="3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FINANCIAL STATEMENT INFORMATION </w:t>
      </w:r>
      <w:r>
        <w:rPr>
          <w:rFonts w:ascii="Times New Roman" w:cs="Times New Roman" w:eastAsia="Times New Roman" w:hAnsi="Times New Roman"/>
          <w:sz w:val="18"/>
          <w:szCs w:val="18"/>
          <w:b w:val="1"/>
          <w:bCs w:val="1"/>
          <w:i w:val="1"/>
          <w:iCs w:val="1"/>
          <w:color w:val="auto"/>
        </w:rPr>
        <w:t>Inventory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consists of the following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4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Work-in-progress</w:t>
            </w:r>
          </w:p>
        </w:tc>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43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4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7,512</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4320" w:type="dxa"/>
            <w:vAlign w:val="bottom"/>
            <w:vMerge w:val="restart"/>
          </w:tcPr>
          <w:p>
            <w:pPr>
              <w:jc w:val="right"/>
              <w:ind w:right="193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420" w:type="dxa"/>
            <w:vAlign w:val="bottom"/>
          </w:tcPr>
          <w:p>
            <w:pPr>
              <w:spacing w:after="0"/>
              <w:rPr>
                <w:sz w:val="24"/>
                <w:szCs w:val="24"/>
                <w:color w:val="auto"/>
              </w:rPr>
            </w:pPr>
          </w:p>
        </w:tc>
        <w:tc>
          <w:tcPr>
            <w:tcW w:w="43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42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-1216660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28,023</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28,723</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35,389</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(18,813)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(16,814)</w:t>
            </w:r>
          </w:p>
        </w:tc>
      </w:tr>
      <w:tr>
        <w:trPr>
          <w:trHeight w:val="20"/>
        </w:trPr>
        <w:tc>
          <w:tcPr>
            <w:tcW w:w="77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16,496</w:t>
            </w:r>
          </w:p>
        </w:tc>
        <w:tc>
          <w:tcPr>
            <w:tcW w:w="16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18,575</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-454025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2025, the Company recognized depreciation and amortization expense of $1.5 million and $3.1 million, respectively. For the three and six months ended June 30, 2024, the Company recognized depreciation and amortization expense of $1.5 million and $3.0 million, respectively.</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6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209"/>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30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4,534</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5,972</w:t>
            </w:r>
          </w:p>
        </w:tc>
        <w:tc>
          <w:tcPr>
            <w:tcW w:w="100" w:type="dxa"/>
            <w:vAlign w:val="bottom"/>
            <w:shd w:val="clear" w:color="auto" w:fill="CFF0FC"/>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2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18"/>
                <w:szCs w:val="18"/>
                <w:color w:val="auto"/>
              </w:rPr>
            </w:pPr>
          </w:p>
        </w:tc>
      </w:tr>
      <w:tr>
        <w:trPr>
          <w:trHeight w:val="216"/>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taxes</w:t>
            </w:r>
          </w:p>
        </w:tc>
        <w:tc>
          <w:tcPr>
            <w:tcW w:w="2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shd w:val="clear" w:color="auto" w:fill="CFF0FC"/>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7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tcPr>
          <w:p>
            <w:pPr>
              <w:spacing w:after="0"/>
              <w:rPr>
                <w:sz w:val="18"/>
                <w:szCs w:val="18"/>
                <w:color w:val="auto"/>
              </w:rPr>
            </w:pPr>
          </w:p>
        </w:tc>
      </w:tr>
      <w:tr>
        <w:trPr>
          <w:trHeight w:val="230"/>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27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6,106</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7,937</w:t>
            </w:r>
          </w:p>
        </w:tc>
        <w:tc>
          <w:tcPr>
            <w:tcW w:w="100" w:type="dxa"/>
            <w:vAlign w:val="bottom"/>
            <w:shd w:val="clear" w:color="auto" w:fill="CFF0FC"/>
          </w:tcPr>
          <w:p>
            <w:pPr>
              <w:spacing w:after="0"/>
              <w:rPr>
                <w:sz w:val="19"/>
                <w:szCs w:val="19"/>
                <w:color w:val="auto"/>
              </w:rPr>
            </w:pPr>
          </w:p>
        </w:tc>
      </w:tr>
      <w:tr>
        <w:trPr>
          <w:trHeight w:val="20"/>
        </w:trPr>
        <w:tc>
          <w:tcPr>
            <w:tcW w:w="4960" w:type="dxa"/>
            <w:vAlign w:val="bottom"/>
            <w:tcBorders>
              <w:top w:val="single" w:sz="8" w:color="CFF0FC"/>
            </w:tcBorders>
            <w:shd w:val="clear" w:color="auto" w:fill="CFF0FC"/>
          </w:tcPr>
          <w:p>
            <w:pPr>
              <w:spacing w:after="0" w:line="20" w:lineRule="exact"/>
              <w:rPr>
                <w:sz w:val="1"/>
                <w:szCs w:val="1"/>
                <w:color w:val="auto"/>
              </w:rPr>
            </w:pPr>
          </w:p>
        </w:tc>
        <w:tc>
          <w:tcPr>
            <w:tcW w:w="27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0" w:lineRule="exact"/>
        <w:rPr>
          <w:sz w:val="20"/>
          <w:szCs w:val="20"/>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AND DEFERRED REVENUE</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Product revenue consists of instruments with embedded software essential to the instrument's functionality and consumables. Service revenue primarily consists of revenue received from the generation and analysis of proteomic data on behalf of customers. Related party revenue is comprised of both the sale of products and services performed for related parties, as further discussed in Note 10. Other revenue consists of shipping revenue and lease arrangements.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revenue activities consist of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60" w:type="dxa"/>
            <w:vAlign w:val="bottom"/>
          </w:tcPr>
          <w:p>
            <w:pPr>
              <w:spacing w:after="0"/>
              <w:rPr>
                <w:sz w:val="15"/>
                <w:szCs w:val="15"/>
                <w:color w:val="auto"/>
              </w:rPr>
            </w:pPr>
          </w:p>
        </w:tc>
        <w:tc>
          <w:tcPr>
            <w:tcW w:w="2900" w:type="dxa"/>
            <w:vAlign w:val="bottom"/>
            <w:tcBorders>
              <w:bottom w:val="single" w:sz="8" w:color="auto"/>
            </w:tcBorders>
            <w:gridSpan w:val="5"/>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60" w:type="dxa"/>
            <w:vAlign w:val="bottom"/>
          </w:tcPr>
          <w:p>
            <w:pPr>
              <w:spacing w:after="0"/>
              <w:rPr>
                <w:sz w:val="12"/>
                <w:szCs w:val="12"/>
                <w:color w:val="auto"/>
              </w:rPr>
            </w:pPr>
          </w:p>
        </w:tc>
        <w:tc>
          <w:tcPr>
            <w:tcW w:w="1060" w:type="dxa"/>
            <w:vAlign w:val="bottom"/>
            <w:tcBorders>
              <w:bottom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current and noncurrent, as of the beginning of period</w:t>
            </w:r>
          </w:p>
        </w:tc>
        <w:tc>
          <w:tcPr>
            <w:tcW w:w="1060" w:type="dxa"/>
            <w:vAlign w:val="bottom"/>
            <w:shd w:val="clear" w:color="auto" w:fill="CFF0FC"/>
          </w:tcPr>
          <w:p>
            <w:pPr>
              <w:jc w:val="right"/>
              <w:ind w:right="902"/>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270</w:t>
            </w: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0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r>
      <w:tr>
        <w:trPr>
          <w:trHeight w:val="216"/>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106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(282)</w:t>
            </w:r>
          </w:p>
        </w:tc>
      </w:tr>
      <w:tr>
        <w:trPr>
          <w:trHeight w:val="20"/>
        </w:trPr>
        <w:tc>
          <w:tcPr>
            <w:tcW w:w="7760" w:type="dxa"/>
            <w:vAlign w:val="bottom"/>
            <w:tcBorders>
              <w:right w:val="single" w:sz="8" w:color="CFF0FC"/>
            </w:tcBorders>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current and noncurrent, as of the end of period</w:t>
            </w:r>
          </w:p>
        </w:tc>
        <w:tc>
          <w:tcPr>
            <w:tcW w:w="1060" w:type="dxa"/>
            <w:vAlign w:val="bottom"/>
          </w:tcPr>
          <w:p>
            <w:pPr>
              <w:jc w:val="right"/>
              <w:ind w:right="902"/>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60" w:type="dxa"/>
            <w:vAlign w:val="bottom"/>
          </w:tcPr>
          <w:p>
            <w:pPr>
              <w:spacing w:after="0"/>
              <w:rPr>
                <w:sz w:val="18"/>
                <w:szCs w:val="18"/>
                <w:color w:val="auto"/>
              </w:rPr>
            </w:pPr>
          </w:p>
        </w:tc>
        <w:tc>
          <w:tcPr>
            <w:tcW w:w="1200" w:type="dxa"/>
            <w:vAlign w:val="bottom"/>
            <w:gridSpan w:val="2"/>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w:t>
            </w:r>
          </w:p>
        </w:tc>
      </w:tr>
      <w:tr>
        <w:trPr>
          <w:trHeight w:val="20"/>
        </w:trPr>
        <w:tc>
          <w:tcPr>
            <w:tcW w:w="77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transaction price allocated to remaining performance obligations relates to amounts allocated to products, services and lease arrangements for which revenue has not yet been recognized. A significant portion of these performance obligations relate to service obligations that will be satisfied and recognized as revenue in future periods. As of June 30, 2025, the Company had $0.6 million of remaining performance obligations, of which 94% is expected to be recognized within twelve months.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49" w:lineRule="exact"/>
        <w:rPr>
          <w:sz w:val="20"/>
          <w:szCs w:val="20"/>
          <w:color w:val="auto"/>
        </w:rPr>
      </w:pPr>
    </w:p>
    <w:p>
      <w:pPr>
        <w:ind w:left="380" w:right="6440" w:hanging="372"/>
        <w:spacing w:after="0" w:line="440" w:lineRule="auto"/>
        <w:tabs>
          <w:tab w:leader="none" w:pos="366"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 STOCK AND STOCKHOLDERS’ EQUITY </w:t>
      </w:r>
      <w:r>
        <w:rPr>
          <w:rFonts w:ascii="Times New Roman" w:cs="Times New Roman" w:eastAsia="Times New Roman" w:hAnsi="Times New Roman"/>
          <w:sz w:val="18"/>
          <w:szCs w:val="18"/>
          <w:b w:val="1"/>
          <w:bCs w:val="1"/>
          <w:i w:val="1"/>
          <w:iCs w:val="1"/>
          <w:color w:val="auto"/>
        </w:rPr>
        <w:t>Common Stock</w:t>
      </w:r>
    </w:p>
    <w:p>
      <w:pPr>
        <w:spacing w:after="0" w:line="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June 30, 2025, the Company is authorized to issue 105,000,000 shares of capital stock consisting of 94,000,000 shares of Class A common stock, 6,000,000 shares of Class B common stock, and 5,000,000 shares of preferred stock.</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Class A and Class B common stock have a par value of $0.00001 per share. Holders of Class A common stock are entitled to one vote per share and holders of Class B common stock are entitled to 10 votes per share. Class B common shares are convertible to Class A common shares at any time at the option of the holder on a one-for-one basis. The Class B common stock will also automatically convert into Class A common stock on December 9, 2025. Holders of common stock are entitled to dividends as declared by the Board of Directors, subject to rights of holders of all classes of stock outstanding having priority rights as to dividends. There have been no dividends declared to date.</w:t>
      </w:r>
    </w:p>
    <w:p>
      <w:pPr>
        <w:spacing w:after="0" w:line="200" w:lineRule="exact"/>
        <w:rPr>
          <w:sz w:val="20"/>
          <w:szCs w:val="20"/>
          <w:color w:val="auto"/>
        </w:rPr>
      </w:pPr>
    </w:p>
    <w:p>
      <w:pPr>
        <w:spacing w:after="0" w:line="36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7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share repurchase activity under the Share Repurchase Program for the period indicated (in thousands except per share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gridSpan w:val="4"/>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6"/>
        </w:trPr>
        <w:tc>
          <w:tcPr>
            <w:tcW w:w="40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r>
      <w:tr>
        <w:trPr>
          <w:trHeight w:val="209"/>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Number of shares repurchased</w:t>
            </w:r>
          </w:p>
        </w:tc>
        <w:tc>
          <w:tcPr>
            <w:tcW w:w="1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3,874,486</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2,029,429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4,226,486</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2,029,429</w:t>
            </w:r>
          </w:p>
        </w:tc>
        <w:tc>
          <w:tcPr>
            <w:tcW w:w="120" w:type="dxa"/>
            <w:vAlign w:val="bottom"/>
            <w:shd w:val="clear" w:color="auto" w:fill="CFF0FC"/>
          </w:tcPr>
          <w:p>
            <w:pPr>
              <w:spacing w:after="0"/>
              <w:rPr>
                <w:sz w:val="18"/>
                <w:szCs w:val="18"/>
                <w:color w:val="auto"/>
              </w:rPr>
            </w:pPr>
          </w:p>
        </w:tc>
      </w:tr>
      <w:tr>
        <w:trPr>
          <w:trHeight w:val="216"/>
        </w:trPr>
        <w:tc>
          <w:tcPr>
            <w:tcW w:w="40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Total cost </w:t>
            </w:r>
            <w:r>
              <w:rPr>
                <w:rFonts w:ascii="Times New Roman" w:cs="Times New Roman" w:eastAsia="Times New Roman" w:hAnsi="Times New Roman"/>
                <w:sz w:val="24"/>
                <w:szCs w:val="24"/>
                <w:color w:val="auto"/>
                <w:vertAlign w:val="superscript"/>
              </w:rPr>
              <w:t>(1)</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7,453</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8,128</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120" w:type="dxa"/>
            <w:vAlign w:val="bottom"/>
          </w:tcPr>
          <w:p>
            <w:pPr>
              <w:spacing w:after="0"/>
              <w:rPr>
                <w:sz w:val="18"/>
                <w:szCs w:val="18"/>
                <w:color w:val="auto"/>
              </w:rPr>
            </w:pPr>
          </w:p>
        </w:tc>
      </w:tr>
      <w:tr>
        <w:trPr>
          <w:trHeight w:val="216"/>
        </w:trPr>
        <w:tc>
          <w:tcPr>
            <w:tcW w:w="40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Average per share cost </w:t>
            </w:r>
            <w:r>
              <w:rPr>
                <w:rFonts w:ascii="Times New Roman" w:cs="Times New Roman" w:eastAsia="Times New Roman" w:hAnsi="Times New Roman"/>
                <w:sz w:val="24"/>
                <w:szCs w:val="24"/>
                <w:color w:val="auto"/>
                <w:vertAlign w:val="superscript"/>
              </w:rPr>
              <w:t>(2)</w:t>
            </w:r>
          </w:p>
        </w:tc>
        <w:tc>
          <w:tcPr>
            <w:tcW w:w="2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shd w:val="clear" w:color="auto" w:fill="CFF0FC"/>
          </w:tcPr>
          <w:p>
            <w:pPr>
              <w:spacing w:after="0"/>
              <w:rPr>
                <w:sz w:val="18"/>
                <w:szCs w:val="18"/>
                <w:color w:val="auto"/>
              </w:rPr>
            </w:pPr>
          </w:p>
        </w:tc>
      </w:tr>
    </w:tbl>
    <w:p>
      <w:pPr>
        <w:spacing w:after="0" w:line="55" w:lineRule="exact"/>
        <w:rPr>
          <w:sz w:val="20"/>
          <w:szCs w:val="20"/>
          <w:color w:val="auto"/>
        </w:rPr>
      </w:pPr>
    </w:p>
    <w:p>
      <w:pPr>
        <w:ind w:left="300" w:hanging="292"/>
        <w:spacing w:after="0"/>
        <w:tabs>
          <w:tab w:leader="none" w:pos="30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broker commissions and excludes excise tax.</w:t>
      </w:r>
    </w:p>
    <w:p>
      <w:pPr>
        <w:spacing w:after="0" w:line="72" w:lineRule="exact"/>
        <w:rPr>
          <w:rFonts w:ascii="Times New Roman" w:cs="Times New Roman" w:eastAsia="Times New Roman" w:hAnsi="Times New Roman"/>
          <w:sz w:val="19"/>
          <w:szCs w:val="19"/>
          <w:color w:val="auto"/>
          <w:vertAlign w:val="superscript"/>
        </w:rPr>
      </w:pPr>
    </w:p>
    <w:p>
      <w:pPr>
        <w:ind w:left="300" w:hanging="292"/>
        <w:spacing w:after="0" w:line="201" w:lineRule="auto"/>
        <w:tabs>
          <w:tab w:leader="none" w:pos="30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Average price paid per share is calculated on a settlement basis and excludes broker commissions and excise tax.</w:t>
      </w:r>
    </w:p>
    <w:p>
      <w:pPr>
        <w:spacing w:after="0" w:line="12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June 30, 2025, the Company has a total of $5.1 million, excluding broker commissions and excise tax, available under the current authorization for additional share repurchases.</w:t>
      </w:r>
    </w:p>
    <w:p>
      <w:pPr>
        <w:spacing w:after="0" w:line="104" w:lineRule="exact"/>
        <w:rPr>
          <w:sz w:val="20"/>
          <w:szCs w:val="20"/>
          <w:color w:val="auto"/>
        </w:rPr>
      </w:pPr>
    </w:p>
    <w:p>
      <w:pPr>
        <w:ind w:left="380" w:hanging="372"/>
        <w:spacing w:after="0"/>
        <w:tabs>
          <w:tab w:leader="none" w:pos="3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INCENTIVE PLANS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June 30, 2025, there are 17,785,881 shares of Class A common stock reserved for issuance under the 2020 Equity Incentive Plan, 3,264,963 shares of which are available for issuance in connection with grants of future awards.</w:t>
      </w:r>
    </w:p>
    <w:p>
      <w:pPr>
        <w:spacing w:after="0" w:line="1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for the six months ended June 30, 2025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73"/>
        </w:trPr>
        <w:tc>
          <w:tcPr>
            <w:tcW w:w="74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13,198,232</w:t>
            </w:r>
          </w:p>
        </w:tc>
        <w:tc>
          <w:tcPr>
            <w:tcW w:w="200" w:type="dxa"/>
            <w:vAlign w:val="bottom"/>
            <w:tcBorders>
              <w:left w:val="single" w:sz="8" w:color="CFF0FC"/>
            </w:tcBorders>
            <w:shd w:val="clear" w:color="auto" w:fill="CFF0FC"/>
          </w:tcPr>
          <w:p>
            <w:pPr>
              <w:spacing w:after="0"/>
              <w:rPr>
                <w:sz w:val="18"/>
                <w:szCs w:val="18"/>
                <w:color w:val="auto"/>
              </w:rPr>
            </w:pP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692,350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20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(11,050)</w:t>
            </w:r>
          </w:p>
        </w:tc>
        <w:tc>
          <w:tcPr>
            <w:tcW w:w="1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2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(398,800)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30, 2025</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13,480,732</w:t>
            </w:r>
          </w:p>
        </w:tc>
        <w:tc>
          <w:tcPr>
            <w:tcW w:w="200" w:type="dxa"/>
            <w:vAlign w:val="bottom"/>
            <w:tcBorders>
              <w:left w:val="single" w:sz="8" w:color="CFF0FC"/>
            </w:tcBorders>
            <w:shd w:val="clear" w:color="auto" w:fill="CFF0FC"/>
          </w:tcPr>
          <w:p>
            <w:pPr>
              <w:spacing w:after="0"/>
              <w:rPr>
                <w:sz w:val="19"/>
                <w:szCs w:val="19"/>
                <w:color w:val="auto"/>
              </w:rPr>
            </w:pP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Vested and exercisable, June 30, 2025</w:t>
            </w:r>
          </w:p>
        </w:tc>
        <w:tc>
          <w:tcPr>
            <w:tcW w:w="18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8,143,933</w:t>
            </w:r>
          </w:p>
        </w:tc>
        <w:tc>
          <w:tcPr>
            <w:tcW w:w="200" w:type="dxa"/>
            <w:vAlign w:val="bottom"/>
          </w:tcPr>
          <w:p>
            <w:pPr>
              <w:spacing w:after="0"/>
              <w:rPr>
                <w:sz w:val="17"/>
                <w:szCs w:val="17"/>
                <w:color w:val="auto"/>
              </w:rPr>
            </w:pPr>
          </w:p>
        </w:tc>
        <w:tc>
          <w:tcPr>
            <w:tcW w:w="2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60" w:type="dxa"/>
            <w:vAlign w:val="bottom"/>
            <w:vMerge w:val="restart"/>
          </w:tcPr>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4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 activity for the six months ended June 30, 2025 is as follows:</w:t>
            </w: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7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7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7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4,450,441</w:t>
            </w:r>
          </w:p>
        </w:tc>
        <w:tc>
          <w:tcPr>
            <w:tcW w:w="200" w:type="dxa"/>
            <w:vAlign w:val="bottom"/>
            <w:tcBorders>
              <w:left w:val="single" w:sz="8" w:color="CFF0FC"/>
            </w:tcBorders>
            <w:shd w:val="clear" w:color="auto" w:fill="CFF0FC"/>
          </w:tcPr>
          <w:p>
            <w:pPr>
              <w:spacing w:after="0"/>
              <w:rPr>
                <w:sz w:val="18"/>
                <w:szCs w:val="18"/>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1,145,150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1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20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(1,656,063)</w:t>
            </w:r>
          </w:p>
        </w:tc>
        <w:tc>
          <w:tcPr>
            <w:tcW w:w="1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220" w:type="dxa"/>
            <w:vAlign w:val="bottom"/>
          </w:tcPr>
          <w:p>
            <w:pPr>
              <w:spacing w:after="0"/>
              <w:rPr>
                <w:sz w:val="18"/>
                <w:szCs w:val="18"/>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(231,375)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30, 2025</w:t>
            </w:r>
          </w:p>
        </w:tc>
        <w:tc>
          <w:tcPr>
            <w:tcW w:w="2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3,708,153</w:t>
            </w:r>
          </w:p>
        </w:tc>
        <w:tc>
          <w:tcPr>
            <w:tcW w:w="200" w:type="dxa"/>
            <w:vAlign w:val="bottom"/>
            <w:tcBorders>
              <w:left w:val="single" w:sz="8" w:color="CFF0FC"/>
            </w:tcBorders>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0"/>
        </w:trPr>
        <w:tc>
          <w:tcPr>
            <w:tcW w:w="74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-1833880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-1816735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-1816735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In connection with the vesting of restricted stock units, the Company withheld shares of common stock to satisfy tax withholding and remittance obligations. As of June 30, 2025, the Company withheld 359,664 shares of common stock, which were retired, for $0.8 million.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total of 2,138,712 shares of Class A common stock are reserved for issuance under the employee stock purchase plan (ESPP) as of June 30, 2025. During the six months ended June 30, 2025, 119,484 shares of Class A common stock were issued under the ESPP.</w:t>
      </w:r>
    </w:p>
    <w:p>
      <w:pPr>
        <w:spacing w:after="0" w:line="1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stock-based compensation recognized in the Company’s unaudited condensed consolidated statements of operations and comprehensive loss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00" w:type="dxa"/>
            <w:vAlign w:val="bottom"/>
            <w:gridSpan w:val="5"/>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5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720" w:type="dxa"/>
            <w:vAlign w:val="bottom"/>
            <w:gridSpan w:val="2"/>
            <w:shd w:val="clear" w:color="auto" w:fill="CFF0FC"/>
          </w:tcPr>
          <w:p>
            <w:pPr>
              <w:jc w:val="right"/>
              <w:ind w:right="548"/>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1,660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4,254</w:t>
            </w:r>
          </w:p>
        </w:tc>
        <w:tc>
          <w:tcPr>
            <w:tcW w:w="120" w:type="dxa"/>
            <w:vAlign w:val="bottom"/>
          </w:tcPr>
          <w:p>
            <w:pPr>
              <w:spacing w:after="0"/>
              <w:rPr>
                <w:sz w:val="18"/>
                <w:szCs w:val="18"/>
                <w:color w:val="auto"/>
              </w:rPr>
            </w:pPr>
          </w:p>
        </w:tc>
      </w:tr>
      <w:tr>
        <w:trPr>
          <w:trHeight w:val="216"/>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2,081</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5,161</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4,828</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720" w:type="dxa"/>
            <w:vAlign w:val="bottom"/>
            <w:gridSpan w:val="2"/>
          </w:tcPr>
          <w:p>
            <w:pPr>
              <w:jc w:val="right"/>
              <w:ind w:right="548"/>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3,872</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7,665</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8,535</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15,245</w:t>
            </w:r>
          </w:p>
        </w:tc>
        <w:tc>
          <w:tcPr>
            <w:tcW w:w="12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22" w:lineRule="exact"/>
        <w:rPr>
          <w:sz w:val="20"/>
          <w:szCs w:val="20"/>
          <w:color w:val="auto"/>
        </w:rPr>
      </w:pPr>
    </w:p>
    <w:p>
      <w:pPr>
        <w:ind w:left="380" w:hanging="372"/>
        <w:spacing w:after="0"/>
        <w:tabs>
          <w:tab w:leader="none" w:pos="3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a lessee, the Company leases approximately 51,000 square feet of office and laboratory space in Redwood City, California with a lease term that is set to end in September 2032. The Company has an option to renew all leased space for an additional five-year term at then-current market rates. In connection with the lease, the Company maintains a letter of credit issued to the lessor in the amount of $0.5 million as of June 30, 2025 and December 31, 2024, which is secured by restricted cash and is presented as noncurrent at each date based on the term of the underlying lease. The Company entered into a lease for approximately 3,500 square feet of office space in San Diego, California that runs from October 2024 through July 2025. The lease was not renewed upon expiration.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and supplemental information were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520" w:type="dxa"/>
            <w:vAlign w:val="bottom"/>
            <w:gridSpan w:val="5"/>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20" w:type="dxa"/>
            <w:vAlign w:val="bottom"/>
            <w:gridSpan w:val="8"/>
          </w:tcPr>
          <w:p>
            <w:pPr>
              <w:ind w:left="1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47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1820" w:type="dxa"/>
            <w:vAlign w:val="bottom"/>
            <w:gridSpan w:val="2"/>
            <w:shd w:val="clear" w:color="auto" w:fill="CFF0FC"/>
          </w:tcPr>
          <w:p>
            <w:pPr>
              <w:jc w:val="right"/>
              <w:ind w:right="54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62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4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2,076</w:t>
            </w:r>
          </w:p>
        </w:tc>
        <w:tc>
          <w:tcPr>
            <w:tcW w:w="120" w:type="dxa"/>
            <w:vAlign w:val="bottom"/>
            <w:shd w:val="clear" w:color="auto" w:fill="CFF0FC"/>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tcPr>
          <w:p>
            <w:pPr>
              <w:spacing w:after="0"/>
              <w:rPr>
                <w:sz w:val="18"/>
                <w:szCs w:val="18"/>
                <w:color w:val="auto"/>
              </w:rPr>
            </w:pPr>
          </w:p>
        </w:tc>
      </w:tr>
      <w:tr>
        <w:trPr>
          <w:trHeight w:val="216"/>
        </w:trPr>
        <w:tc>
          <w:tcPr>
            <w:tcW w:w="4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lease costs</w:t>
            </w:r>
          </w:p>
        </w:tc>
        <w:tc>
          <w:tcPr>
            <w:tcW w:w="11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1100" w:type="dxa"/>
            <w:vAlign w:val="bottom"/>
          </w:tcPr>
          <w:p>
            <w:pPr>
              <w:spacing w:after="0"/>
              <w:rPr>
                <w:sz w:val="18"/>
                <w:szCs w:val="18"/>
                <w:color w:val="auto"/>
              </w:rPr>
            </w:pPr>
          </w:p>
        </w:tc>
        <w:tc>
          <w:tcPr>
            <w:tcW w:w="720" w:type="dxa"/>
            <w:vAlign w:val="bottom"/>
          </w:tcPr>
          <w:p>
            <w:pPr>
              <w:jc w:val="right"/>
              <w:ind w:right="54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1,250</w:t>
            </w:r>
          </w:p>
        </w:tc>
        <w:tc>
          <w:tcPr>
            <w:tcW w:w="2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2,551</w:t>
            </w:r>
          </w:p>
        </w:tc>
        <w:tc>
          <w:tcPr>
            <w:tcW w:w="120" w:type="dxa"/>
            <w:vAlign w:val="bottom"/>
          </w:tcPr>
          <w:p>
            <w:pPr>
              <w:spacing w:after="0"/>
              <w:rPr>
                <w:sz w:val="18"/>
                <w:szCs w:val="18"/>
                <w:color w:val="auto"/>
              </w:rPr>
            </w:pPr>
          </w:p>
        </w:tc>
      </w:tr>
      <w:tr>
        <w:trPr>
          <w:trHeight w:val="20"/>
        </w:trPr>
        <w:tc>
          <w:tcPr>
            <w:tcW w:w="4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85"/>
        </w:trPr>
        <w:tc>
          <w:tcPr>
            <w:tcW w:w="4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7"/>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47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3"/>
          </w:tcPr>
          <w:p>
            <w:pPr>
              <w:jc w:val="right"/>
              <w:ind w:right="5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FF0FC"/>
          </w:tcPr>
          <w:p>
            <w:pPr>
              <w:spacing w:after="0"/>
              <w:rPr>
                <w:sz w:val="18"/>
                <w:szCs w:val="18"/>
                <w:color w:val="auto"/>
              </w:rPr>
            </w:pP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incremental borrowing rate</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5"/>
              </w:rPr>
              <w:t>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-825500</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-825500</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-825500</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-825500</wp:posOffset>
            </wp:positionV>
            <wp:extent cx="7747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Variable lease costs primarily consist of common area maintenance.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 (in thousands):</w:t>
      </w:r>
    </w:p>
    <w:p>
      <w:pPr>
        <w:spacing w:after="0" w:line="165"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7620</wp:posOffset>
            </wp:positionV>
            <wp:extent cx="21513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ind w:left="8360"/>
        <w:spacing w:after="0"/>
        <w:tabs>
          <w:tab w:leader="none" w:pos="1018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146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tabs>
          <w:tab w:leader="none" w:pos="7720" w:val="left"/>
          <w:tab w:leader="none" w:pos="8860" w:val="left"/>
          <w:tab w:leader="none" w:pos="9560" w:val="left"/>
          <w:tab w:leader="none" w:pos="10700" w:val="left"/>
        </w:tabs>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1,917</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2,018</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future minimum commitments under the Company’s non-cancelable facility operating leases are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2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09"/>
        </w:trPr>
        <w:tc>
          <w:tcPr>
            <w:tcW w:w="8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 (remaining six months)</w:t>
            </w:r>
          </w:p>
        </w:tc>
        <w:tc>
          <w:tcPr>
            <w:tcW w:w="980" w:type="dxa"/>
            <w:vAlign w:val="bottom"/>
            <w:gridSpan w:val="2"/>
            <w:shd w:val="clear" w:color="auto" w:fill="CFF0FC"/>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1,929</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3,957</w:t>
            </w:r>
          </w:p>
        </w:tc>
      </w:tr>
      <w:tr>
        <w:trPr>
          <w:trHeight w:val="216"/>
        </w:trPr>
        <w:tc>
          <w:tcPr>
            <w:tcW w:w="8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4,072</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4,191</w:t>
            </w:r>
          </w:p>
        </w:tc>
      </w:tr>
      <w:tr>
        <w:trPr>
          <w:trHeight w:val="216"/>
        </w:trPr>
        <w:tc>
          <w:tcPr>
            <w:tcW w:w="8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4,312</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12,562</w:t>
            </w:r>
          </w:p>
        </w:tc>
        <w:tc>
          <w:tcPr>
            <w:tcW w:w="120" w:type="dxa"/>
            <w:vAlign w:val="bottom"/>
          </w:tcPr>
          <w:p>
            <w:pPr>
              <w:spacing w:after="0"/>
              <w:rPr>
                <w:sz w:val="18"/>
                <w:szCs w:val="18"/>
                <w:color w:val="auto"/>
              </w:rPr>
            </w:pPr>
          </w:p>
        </w:tc>
      </w:tr>
      <w:tr>
        <w:trPr>
          <w:trHeight w:val="209"/>
        </w:trPr>
        <w:tc>
          <w:tcPr>
            <w:tcW w:w="8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undiscounted future minimum lease payments</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31,023</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adjustment for minimum lease commitments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(6,192)</w:t>
            </w:r>
          </w:p>
        </w:tc>
      </w:tr>
      <w:tr>
        <w:trPr>
          <w:trHeight w:val="20"/>
        </w:trPr>
        <w:tc>
          <w:tcPr>
            <w:tcW w:w="8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8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980" w:type="dxa"/>
            <w:vAlign w:val="bottom"/>
            <w:gridSpan w:val="2"/>
            <w:shd w:val="clear" w:color="auto" w:fill="CFF0FC"/>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24,831</w:t>
            </w:r>
          </w:p>
        </w:tc>
      </w:tr>
      <w:tr>
        <w:trPr>
          <w:trHeight w:val="20"/>
        </w:trPr>
        <w:tc>
          <w:tcPr>
            <w:tcW w:w="89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36" w:lineRule="exact"/>
        <w:rPr>
          <w:sz w:val="20"/>
          <w:szCs w:val="20"/>
          <w:color w:val="auto"/>
        </w:rPr>
      </w:pPr>
    </w:p>
    <w:p>
      <w:pPr>
        <w:ind w:left="380" w:hanging="372"/>
        <w:spacing w:after="0"/>
        <w:tabs>
          <w:tab w:leader="none" w:pos="3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 and Obligations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From time to time, the Company has certain purchase commitments related to its inventory management, cloud-based information systems, property and equipment maintenance and support services, and various other products and services over periods that extend beyond one year. The contractual obligations represent future cash commitments and liabilities under agreements with third parties and exclude orders for goods and services entered into in the normal course of business that are not enforceable or are subject to change. These outstanding commitments amounted to $1.3 million and $4.5 million as of June 30, 2025 and December 31, 2024, respectively.</w:t>
      </w:r>
    </w:p>
    <w:p>
      <w:pPr>
        <w:spacing w:after="0" w:line="1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The Company has entered into indemnification agreements with certain directors and officers that require the Company, among other things, to indemnify them against certain liabilities that may arise by reason of the status or service as directors or officers. To date, the Company has not paid any claims or been required to defend any action related to its indemnification obligations. As of June 30, 2025 and December 31, 2024, the Company does not have any material indemnification claims that were probable or reasonably possible and consequently has not recorded related liabilities.</w:t>
      </w:r>
    </w:p>
    <w:p>
      <w:pPr>
        <w:spacing w:after="0" w:line="1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7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arising in the ordinary course of business. The Company is not currently a party to any material legal proceedings.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RELATED PARTY TRANSACTIONS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PrognomiQ, Inc. (PrognomiQ) constitutes a related party and, as of each of June 30, 2025 and December 31, 2024, the Company recorded $0.4 million in related party receivables, on the condensed consolidated balance sheets mainly due from product sales and services revenue. For the three and six months ended June 30, 2025, the Company recognized revenue of $0.4 million and $0.5 million, respectively, primarily from services. For the three and six months ended June 30, 2024, the Company recognized revenue of $0.6 million and $1.5 million, respectively, of which $0.4 million and $1.2 million, respectively, were from product sales. This is presented as related party revenue on the unaudited condensed consolidated statements of operations and comprehensive loss.</w:t>
      </w:r>
    </w:p>
    <w:p>
      <w:pPr>
        <w:spacing w:after="0" w:line="133"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On August 12, 2024, the Company entered into a preferred stock purchase agreement with PrognomiQ, pursuant to which the Company purchased $10.0 million of PrognomiQ's Series D Preferred Stock. Subsequently, on July 31, 2025, the Company made an additional $1.9 million investment in the same series. The investment is accounted for as an equity security in accordance with ASC 321.</w:t>
      </w:r>
    </w:p>
    <w:p>
      <w:pPr>
        <w:spacing w:after="0" w:line="12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June 30, 2025, the carrying value of the investment was $3.9 million and is included in other assets on the unaudited condensed consolidated balance sheets. The carrying value is adjusted to the Company's share in loss in the equity method investment. There were no impairment and recognized gains or losses to the carrying value for the three and six months ended June 30,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LOSS PER SHARE ATTRIBUTABLE TO COMMON STOCKHOLDERS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computation of basic and diluted net loss per share (in thousands, except share and per share data):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6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5"/>
                <w:szCs w:val="15"/>
                <w:color w:val="auto"/>
              </w:rPr>
            </w:pPr>
          </w:p>
        </w:tc>
        <w:tc>
          <w:tcPr>
            <w:tcW w:w="282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7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Net loss attributable to Class A and Class B</w:t>
            </w: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stockholders</w:t>
            </w: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(19,424)</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(22,850)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(39,372)</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(43,529)</w:t>
            </w:r>
          </w:p>
        </w:tc>
        <w:tc>
          <w:tcPr>
            <w:tcW w:w="0" w:type="dxa"/>
            <w:vAlign w:val="bottom"/>
          </w:tcPr>
          <w:p>
            <w:pPr>
              <w:spacing w:after="0"/>
              <w:rPr>
                <w:sz w:val="1"/>
                <w:szCs w:val="1"/>
                <w:color w:val="auto"/>
              </w:rPr>
            </w:pPr>
          </w:p>
        </w:tc>
      </w:tr>
      <w:tr>
        <w:trPr>
          <w:trHeight w:val="216"/>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7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Weighted-average shares used in computing</w:t>
            </w: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per share attributable to Class A</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Class B common stockholders, basic</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58,087,565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64,576,399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58,744,490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64,581,228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7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0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Net loss per share attributable to Class A and</w:t>
            </w:r>
          </w:p>
        </w:tc>
        <w:tc>
          <w:tcPr>
            <w:tcW w:w="7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Class B common stockholders, basic and</w:t>
            </w:r>
          </w:p>
        </w:tc>
        <w:tc>
          <w:tcPr>
            <w:tcW w:w="760" w:type="dxa"/>
            <w:vAlign w:val="bottom"/>
            <w:vMerge w:val="restart"/>
            <w:shd w:val="clear" w:color="auto" w:fill="CFF0FC"/>
          </w:tcPr>
          <w:p>
            <w:pPr>
              <w:spacing w:after="0"/>
              <w:rPr>
                <w:sz w:val="18"/>
                <w:szCs w:val="18"/>
                <w:color w:val="auto"/>
              </w:rPr>
            </w:pPr>
          </w:p>
        </w:tc>
        <w:tc>
          <w:tcPr>
            <w:tcW w:w="320" w:type="dxa"/>
            <w:vAlign w:val="bottom"/>
            <w:vMerge w:val="restart"/>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(0.33)</w:t>
            </w:r>
          </w:p>
        </w:tc>
        <w:tc>
          <w:tcPr>
            <w:tcW w:w="4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(0.35)</w:t>
            </w:r>
          </w:p>
        </w:tc>
        <w:tc>
          <w:tcPr>
            <w:tcW w:w="320" w:type="dxa"/>
            <w:vAlign w:val="bottom"/>
            <w:vMerge w:val="restart"/>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(0.67)</w:t>
            </w:r>
          </w:p>
        </w:tc>
        <w:tc>
          <w:tcPr>
            <w:tcW w:w="4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(0.67)</w:t>
            </w:r>
          </w:p>
        </w:tc>
        <w:tc>
          <w:tcPr>
            <w:tcW w:w="0" w:type="dxa"/>
            <w:vAlign w:val="bottom"/>
          </w:tcPr>
          <w:p>
            <w:pPr>
              <w:spacing w:after="0"/>
              <w:rPr>
                <w:sz w:val="1"/>
                <w:szCs w:val="1"/>
                <w:color w:val="auto"/>
              </w:rPr>
            </w:pPr>
          </w:p>
        </w:tc>
      </w:tr>
      <w:tr>
        <w:trPr>
          <w:trHeight w:val="214"/>
        </w:trPr>
        <w:tc>
          <w:tcPr>
            <w:tcW w:w="4060" w:type="dxa"/>
            <w:vAlign w:val="bottom"/>
            <w:shd w:val="clear" w:color="auto" w:fill="CFF0FC"/>
          </w:tcPr>
          <w:p>
            <w:pPr>
              <w:ind w:left="180"/>
              <w:spacing w:after="0" w:line="194" w:lineRule="exact"/>
              <w:rPr>
                <w:sz w:val="20"/>
                <w:szCs w:val="20"/>
                <w:color w:val="auto"/>
              </w:rPr>
            </w:pPr>
            <w:r>
              <w:rPr>
                <w:rFonts w:ascii="Times New Roman" w:cs="Times New Roman" w:eastAsia="Times New Roman" w:hAnsi="Times New Roman"/>
                <w:sz w:val="18"/>
                <w:szCs w:val="18"/>
                <w:color w:val="auto"/>
              </w:rPr>
              <w:t>diluted</w:t>
            </w:r>
          </w:p>
        </w:tc>
        <w:tc>
          <w:tcPr>
            <w:tcW w:w="760" w:type="dxa"/>
            <w:vAlign w:val="bottom"/>
            <w:vMerge w:val="continue"/>
            <w:shd w:val="clear" w:color="auto" w:fill="CFF0FC"/>
          </w:tcPr>
          <w:p>
            <w:pPr>
              <w:spacing w:after="0"/>
              <w:rPr>
                <w:sz w:val="18"/>
                <w:szCs w:val="18"/>
                <w:color w:val="auto"/>
              </w:rPr>
            </w:pPr>
          </w:p>
        </w:tc>
        <w:tc>
          <w:tcPr>
            <w:tcW w:w="320" w:type="dxa"/>
            <w:vAlign w:val="bottom"/>
            <w:vMerge w:val="continue"/>
            <w:shd w:val="clear" w:color="auto" w:fill="CFF0FC"/>
          </w:tcPr>
          <w:p>
            <w:pPr>
              <w:spacing w:after="0"/>
              <w:rPr>
                <w:sz w:val="18"/>
                <w:szCs w:val="18"/>
                <w:color w:val="auto"/>
              </w:rPr>
            </w:pPr>
          </w:p>
        </w:tc>
        <w:tc>
          <w:tcPr>
            <w:tcW w:w="1240" w:type="dxa"/>
            <w:vAlign w:val="bottom"/>
            <w:gridSpan w:val="2"/>
            <w:vMerge w:val="continue"/>
            <w:shd w:val="clear" w:color="auto" w:fill="CFF0FC"/>
          </w:tcPr>
          <w:p>
            <w:pPr>
              <w:spacing w:after="0"/>
              <w:rPr>
                <w:sz w:val="18"/>
                <w:szCs w:val="18"/>
                <w:color w:val="auto"/>
              </w:rPr>
            </w:pPr>
          </w:p>
        </w:tc>
        <w:tc>
          <w:tcPr>
            <w:tcW w:w="420" w:type="dxa"/>
            <w:vAlign w:val="bottom"/>
            <w:gridSpan w:val="2"/>
            <w:vMerge w:val="continue"/>
            <w:shd w:val="clear" w:color="auto" w:fill="CFF0FC"/>
          </w:tcPr>
          <w:p>
            <w:pPr>
              <w:spacing w:after="0"/>
              <w:rPr>
                <w:sz w:val="18"/>
                <w:szCs w:val="18"/>
                <w:color w:val="auto"/>
              </w:rPr>
            </w:pPr>
          </w:p>
        </w:tc>
        <w:tc>
          <w:tcPr>
            <w:tcW w:w="1300" w:type="dxa"/>
            <w:vAlign w:val="bottom"/>
            <w:gridSpan w:val="2"/>
            <w:vMerge w:val="continue"/>
            <w:shd w:val="clear" w:color="auto" w:fill="CFF0FC"/>
          </w:tcPr>
          <w:p>
            <w:pPr>
              <w:spacing w:after="0"/>
              <w:rPr>
                <w:sz w:val="18"/>
                <w:szCs w:val="18"/>
                <w:color w:val="auto"/>
              </w:rPr>
            </w:pPr>
          </w:p>
        </w:tc>
        <w:tc>
          <w:tcPr>
            <w:tcW w:w="320" w:type="dxa"/>
            <w:vAlign w:val="bottom"/>
            <w:vMerge w:val="continue"/>
            <w:shd w:val="clear" w:color="auto" w:fill="CFF0FC"/>
          </w:tcPr>
          <w:p>
            <w:pPr>
              <w:spacing w:after="0"/>
              <w:rPr>
                <w:sz w:val="18"/>
                <w:szCs w:val="18"/>
                <w:color w:val="auto"/>
              </w:rPr>
            </w:pPr>
          </w:p>
        </w:tc>
        <w:tc>
          <w:tcPr>
            <w:tcW w:w="1220" w:type="dxa"/>
            <w:vAlign w:val="bottom"/>
            <w:gridSpan w:val="2"/>
            <w:vMerge w:val="continue"/>
            <w:shd w:val="clear" w:color="auto" w:fill="CFF0FC"/>
          </w:tcPr>
          <w:p>
            <w:pPr>
              <w:spacing w:after="0"/>
              <w:rPr>
                <w:sz w:val="18"/>
                <w:szCs w:val="18"/>
                <w:color w:val="auto"/>
              </w:rPr>
            </w:pPr>
          </w:p>
        </w:tc>
        <w:tc>
          <w:tcPr>
            <w:tcW w:w="420" w:type="dxa"/>
            <w:vAlign w:val="bottom"/>
            <w:gridSpan w:val="2"/>
            <w:vMerge w:val="continue"/>
            <w:shd w:val="clear" w:color="auto" w:fill="CFF0FC"/>
          </w:tcPr>
          <w:p>
            <w:pPr>
              <w:spacing w:after="0"/>
              <w:rPr>
                <w:sz w:val="18"/>
                <w:szCs w:val="18"/>
                <w:color w:val="auto"/>
              </w:rPr>
            </w:pPr>
          </w:p>
        </w:tc>
        <w:tc>
          <w:tcPr>
            <w:tcW w:w="11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-24765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-24765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 following outstanding shares of potentially dilutive securities were excluded from the computation of diluted net loss per share attributable to common stockholders for the periods presented, because including them would have been anti-dilutive (on an as-converted basis):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240" w:type="dxa"/>
            <w:vAlign w:val="bottom"/>
            <w:tcBorders>
              <w:bottom w:val="single" w:sz="8" w:color="auto"/>
            </w:tcBorders>
            <w:gridSpan w:val="3"/>
          </w:tcPr>
          <w:p>
            <w:pPr>
              <w:ind w:left="1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620" w:type="dxa"/>
            <w:vAlign w:val="bottom"/>
            <w:tcBorders>
              <w:bottom w:val="single" w:sz="8" w:color="auto"/>
            </w:tcBorders>
          </w:tcPr>
          <w:p>
            <w:pPr>
              <w:jc w:val="right"/>
              <w:ind w:right="60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Class A common stock options issued and outstanding</w:t>
            </w:r>
          </w:p>
        </w:tc>
        <w:tc>
          <w:tcPr>
            <w:tcW w:w="4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13,480,732</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14,165,454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4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3,708,153</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5,126,373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Estimated ESPP shares to be issued</w:t>
            </w:r>
          </w:p>
        </w:tc>
        <w:tc>
          <w:tcPr>
            <w:tcW w:w="294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136,797</w:t>
            </w:r>
          </w:p>
        </w:tc>
        <w:tc>
          <w:tcPr>
            <w:tcW w:w="2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17,325,682</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19,291,827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94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16</w:t>
            </w: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74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74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-1216660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on segment net loss, including significant segment expenses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5"/>
                <w:szCs w:val="15"/>
                <w:color w:val="auto"/>
              </w:rPr>
            </w:pPr>
          </w:p>
        </w:tc>
        <w:tc>
          <w:tcPr>
            <w:tcW w:w="266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56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8,256</w:t>
            </w:r>
          </w:p>
        </w:tc>
        <w:tc>
          <w:tcPr>
            <w:tcW w:w="14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100" w:type="dxa"/>
            <w:vAlign w:val="bottom"/>
          </w:tcPr>
          <w:p>
            <w:pPr>
              <w:spacing w:after="0"/>
              <w:rPr>
                <w:sz w:val="18"/>
                <w:szCs w:val="18"/>
                <w:color w:val="auto"/>
              </w:rPr>
            </w:pPr>
          </w:p>
        </w:tc>
      </w:tr>
      <w:tr>
        <w:trPr>
          <w:trHeight w:val="209"/>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Compensation expenses</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9,406</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19,124</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15,244</w:t>
            </w:r>
          </w:p>
        </w:tc>
        <w:tc>
          <w:tcPr>
            <w:tcW w:w="100" w:type="dxa"/>
            <w:vAlign w:val="bottom"/>
          </w:tcPr>
          <w:p>
            <w:pPr>
              <w:spacing w:after="0"/>
              <w:rPr>
                <w:sz w:val="18"/>
                <w:szCs w:val="18"/>
                <w:color w:val="auto"/>
              </w:rPr>
            </w:pPr>
          </w:p>
        </w:tc>
      </w:tr>
      <w:tr>
        <w:trPr>
          <w:trHeight w:val="216"/>
        </w:trPr>
        <w:tc>
          <w:tcPr>
            <w:tcW w:w="5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Professional expenses</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5,057</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8,003</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Business expenses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100" w:type="dxa"/>
            <w:vAlign w:val="bottom"/>
          </w:tcPr>
          <w:p>
            <w:pPr>
              <w:spacing w:after="0"/>
              <w:rPr>
                <w:sz w:val="18"/>
                <w:szCs w:val="18"/>
                <w:color w:val="auto"/>
              </w:rPr>
            </w:pPr>
          </w:p>
        </w:tc>
      </w:tr>
      <w:tr>
        <w:trPr>
          <w:trHeight w:val="216"/>
        </w:trPr>
        <w:tc>
          <w:tcPr>
            <w:tcW w:w="5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Facility expenses</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100" w:type="dxa"/>
            <w:vAlign w:val="bottom"/>
          </w:tcPr>
          <w:p>
            <w:pPr>
              <w:spacing w:after="0"/>
              <w:rPr>
                <w:sz w:val="18"/>
                <w:szCs w:val="18"/>
                <w:color w:val="auto"/>
              </w:rPr>
            </w:pPr>
          </w:p>
        </w:tc>
      </w:tr>
      <w:tr>
        <w:trPr>
          <w:trHeight w:val="216"/>
        </w:trPr>
        <w:tc>
          <w:tcPr>
            <w:tcW w:w="56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9"/>
                <w:szCs w:val="9"/>
                <w:color w:val="auto"/>
              </w:rPr>
              <w:t>(1)</w:t>
            </w: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55,380</w:t>
            </w:r>
          </w:p>
        </w:tc>
        <w:tc>
          <w:tcPr>
            <w:tcW w:w="100" w:type="dxa"/>
            <w:vAlign w:val="bottom"/>
          </w:tcPr>
          <w:p>
            <w:pPr>
              <w:spacing w:after="0"/>
              <w:rPr>
                <w:sz w:val="18"/>
                <w:szCs w:val="18"/>
                <w:color w:val="auto"/>
              </w:rPr>
            </w:pPr>
          </w:p>
        </w:tc>
      </w:tr>
      <w:tr>
        <w:trPr>
          <w:trHeight w:val="216"/>
        </w:trPr>
        <w:tc>
          <w:tcPr>
            <w:tcW w:w="5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9,019</w:t>
            </w:r>
          </w:p>
        </w:tc>
        <w:tc>
          <w:tcPr>
            <w:tcW w:w="100" w:type="dxa"/>
            <w:vAlign w:val="bottom"/>
          </w:tcPr>
          <w:p>
            <w:pPr>
              <w:spacing w:after="0"/>
              <w:rPr>
                <w:sz w:val="18"/>
                <w:szCs w:val="18"/>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equity method investment</w:t>
            </w: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(1,841)</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(3,416)</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w:t>
            </w:r>
          </w:p>
        </w:tc>
        <w:tc>
          <w:tcPr>
            <w:tcW w:w="2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(260)</w:t>
            </w:r>
          </w:p>
        </w:tc>
      </w:tr>
      <w:tr>
        <w:trPr>
          <w:trHeight w:val="216"/>
        </w:trPr>
        <w:tc>
          <w:tcPr>
            <w:tcW w:w="5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(19,424)</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(22,850)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(39,372)</w:t>
            </w:r>
          </w:p>
        </w:tc>
        <w:tc>
          <w:tcPr>
            <w:tcW w:w="4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(43,529)</w:t>
            </w:r>
          </w:p>
        </w:tc>
      </w:tr>
      <w:tr>
        <w:trPr>
          <w:trHeight w:val="20"/>
        </w:trPr>
        <w:tc>
          <w:tcPr>
            <w:tcW w:w="5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-1002030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-1002030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-1002030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-1002030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-170815</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-170815</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-170815</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5" w:lineRule="exact"/>
        <w:rPr>
          <w:sz w:val="20"/>
          <w:szCs w:val="20"/>
          <w:color w:val="auto"/>
        </w:rPr>
      </w:pPr>
    </w:p>
    <w:p>
      <w:pPr>
        <w:ind w:left="300" w:hanging="292"/>
        <w:spacing w:after="0"/>
        <w:tabs>
          <w:tab w:leader="none" w:pos="30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Other includes laboratory expenses, travel expenses, and allocated costs.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long-lived assets were primarily located in the United States.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condensed consolidated financial statements and related notes included elsewhere in Part I, Item 1 of this Quarterly Report. This discussion contains forward-looking statements that involve risks and uncertainties, including those described in the section titled “Special Note Regarding Forward Looking Statements.” Our actual results and the timing of selected events could differ materially from those discussed below. Factors that could cause or contribute to such differences include, but are not limited to, those identified below and those set forth under the section titled “Risk Factors.”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mission is to imagine and pioneer new ways to decode the biology of the proteome to improve human health. Our product, the Proteograph Product Suite (Proteograph), leverages our proprietary engineered nanoparticle (NP) technology to provide unbiased, deep, rapid and large-scale access to the proteome. The Proteograph Product Suite is an integrated solution that includes consumables, an automation instrument and software. We believe that broader access to the proteome is essential, not only to understanding its complexity and accelerating biological insights, but also to expanding end-markets. These markets may include basic research and discovery, translational research, diagnostics and applied applications. To comprehend the complexity and dynamic nature of the proteome, researchers must perform population-scale, deep, unbiased interrogation of biological samples over time. We believe that this level of interrogation was not previously feasible and that the Proteograph can enable researchers to perform these types of proteomics studies.</w:t>
      </w:r>
    </w:p>
    <w:p>
      <w:pPr>
        <w:spacing w:after="0" w:line="13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Since we were incorporated in 2017, we have devoted substantially all of our resources to research and development activities, including with respect to the Proteograph Product Suite, building our commercial infrastructure including manufacturing, operations, sales and marketing and service and support functions, establishing and maintaining our intellectual property portfolio, hiring personnel, raising capital, becoming and being a publicly-traded company, and providing general and administrative support for these activities.</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ability to generate product and service revenue sufficient to achieve profitability, if ever, will depend on the successful commercialization of the Proteograph Product Suite and related products and services. In May 2025, we advanced our commercial offering with the launch of the new Proteograph Product Suite, featuring Proteograph ONE Assay and SP200 Automation Instrument. With the new Proteograph workflow, we believe we have achieved a transformative milestone by significantly improving the scalability, reproducibility, and affordability of deep proteomic analysis. These advancements push the boundaries of the original capabilities of the Proteograph Product Suite launched in 2021, addressing historical industry-wide limitations in which deep workflows faced challenges scaling efficiently, manual handling introduced variability, and large-scale studies were hindered by prohibitive costs.</w:t>
      </w:r>
    </w:p>
    <w:p>
      <w:pPr>
        <w:spacing w:after="0" w:line="13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are commercializing the Proteograph Product Suite as an integrated solution comprised of consumables, our SP100 or SP200 automation instrument and software. Our commercial strategy is focused on growing adoption by the research community of the Proteograph, expanding the installed base, increasing utilization to generate revenue from the purchase of Proteograph consumables and growing our service offering through the Seer Technology Access Center (STAC). We expect a highly efficient sales model because our workflow integrates with most existing proteomics laboratories’ workflows and also complements large-scale genomics research. We are focused on removing barriers to access to the Proteograph, including through the STAC service offering.</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broadly commercializing the Proteograph Product Suite through a direct sales channel in the United States, and through both direct and distributor sales channels in regions outside the United States. Since we are in the early stages of commercialization, we have built, and will continue to build our sales, marketing, support and product distribution capabilities. In addition, we will continue to build the necessary infrastructure for these activities in the United States, European Union, the United Kingdom, and other countries and regions, including Asia-Pacific, as we execute on our commercialization strategy for the Proteograph.</w:t>
      </w:r>
    </w:p>
    <w:p>
      <w:pPr>
        <w:spacing w:after="0" w:line="1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leverage well-established unit operations to formulate and manufacture our NPs at our facilities in Redwood City, California. We procure certain components of our consumables from third-party manufacturers, which includes the commonly available raw materials needed for manufacturing our proprietary engineered NPs. We are currently manufacturing using our production-scale and pilot lines and continue to build out our manufacturing capabilities to support broad commercial availability of our products. We obtain some of the reagents and components used in the Proteograph workflow from third-party suppliers. While some of these reagents and components are currently sourced from a single supplier, these products are readily available from numerous suppliers. While we currently perform some filling and packaging of the Proteograph assay and the related consumables, we may eventually have our filling and packaging outsourced to a third party. We conduct vendor and component qualification for components provided by third-party suppliers and quality control tests on our NPs.</w:t>
      </w:r>
    </w:p>
    <w:p>
      <w:pPr>
        <w:spacing w:after="0" w:line="13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designed the SP100 and SP200 automation instruments and have outsourced their manufacturing to Hamilton Company, a leading manufacturer of automated liquid handling workstations. We have entered into a non-exclusive agreement with Hamilton that covers the manufacturing of the SP100 and SP200 automation instruments and their continued supply on a purchase order basis. Starting in January 2025, we renewed the agreement under an extended term through December 2027. Following this extended term, the agreement will automatically renew annually for a maximum of two one-year renewal periods. Hamilton has represented to us that it maintains ISO 9001 and ISO 13485 certifications.</w:t>
      </w:r>
    </w:p>
    <w:p>
      <w:pPr>
        <w:spacing w:after="0" w:line="129" w:lineRule="exact"/>
        <w:rPr>
          <w:sz w:val="20"/>
          <w:szCs w:val="20"/>
          <w:color w:val="auto"/>
        </w:rPr>
      </w:pPr>
    </w:p>
    <w:p>
      <w:pPr>
        <w:jc w:val="both"/>
        <w:ind w:right="60"/>
        <w:spacing w:after="0" w:line="289" w:lineRule="auto"/>
        <w:rPr>
          <w:sz w:val="20"/>
          <w:szCs w:val="20"/>
          <w:color w:val="auto"/>
        </w:rPr>
      </w:pPr>
      <w:r>
        <w:rPr>
          <w:rFonts w:ascii="Times New Roman" w:cs="Times New Roman" w:eastAsia="Times New Roman" w:hAnsi="Times New Roman"/>
          <w:sz w:val="17"/>
          <w:szCs w:val="17"/>
          <w:color w:val="auto"/>
        </w:rPr>
        <w:t>During the six months ended June 30, 2025 and 2024, we incurred a net loss of $39.4 million and $43.5 million and used $26.1 million and $20.5 million of cash in operations, respectively. As of June 30, 2025, we had an accumulated deficit of $431.7 million, and cash, cash equivalents, and investments of $263.3 million. We expect to continue to incur significant losses and do not expect positive cash flows from operations for the foreseeable future.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expenses may increase in connection with our ongoing activities, as we:</w:t>
      </w:r>
    </w:p>
    <w:p>
      <w:pPr>
        <w:spacing w:after="0" w:line="171" w:lineRule="exact"/>
        <w:rPr>
          <w:sz w:val="20"/>
          <w:szCs w:val="20"/>
          <w:color w:val="auto"/>
        </w:rPr>
      </w:pPr>
    </w:p>
    <w:p>
      <w:pPr>
        <w:ind w:left="760" w:hanging="752"/>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broadly commercialize the Proteograph Product Suite;</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qualified personnel;</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build our sales, marketing, service, support and distribution infrastructure as part of our commercialization efforts;</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build-out and expand our in-house NP manufacturing capabilities;</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engage in research and development of other products and enhancements to the Proteograph Product Suite;</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operational, financial and management information systems;</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expand, and protect our intellectual property portfolio; and</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the infrastructure to operate and scale as a public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product revenue consists of an instrument with embedded software essential to the instrument’s functionality and consumables. Our service revenue primarily consists of revenue received from the generation and analysis of proteomic data on behalf of the customer. Our related party revenue is comprised of both product sales and services performed for related parties. Other revenue consists of shipping revenue and lease arrangements. Our revenue is primarily generated domestically. We intend to focus our commercial efforts in the United States and expect to grow our international presence.</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utilize third-party manufacturers for production of our instruments and we manufacture our NPs and assemble our assay kits internally. Cost of revenue consists primarily of costs of the components of the Proteograph Product Suite, including the instruments and consumables, costs of services related to the generation and analysis of proteomic data on behalf of our customers, and distribution-related expenses such as logistics and shipping costs. In addition, cost of revenue includes employee compensation, such as stock-based compensation and employee benefits, amortization of capitalized internal-use software, allocated overhead, including depreciation, and charges related to inventory reserves.</w:t>
      </w:r>
    </w:p>
    <w:p>
      <w:pPr>
        <w:spacing w:after="0" w:line="1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Research and development (R&amp;D) expenses include costs associated with R&amp;D of our technology and product candidates. R&amp;D expenses consist primarily of employee compensation, including stock-based compensation and employee benefits, laboratory supplies used for in-house research, consulting costs, and allocated costs, including rent, depreciation, information technology and utilities.</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employee compensation, including stock-based compensation, and benefits for executive management, sales and marketing, customer support, finance, administrative, human resources, legal functions, allocated costs, including depreciation, professional service fees and other general overhead costs to support our operations.</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Other income (expense) consists primarily of interest income earned on cash, cash equivalents and investments, asset disposals, realized and unrealized gains and losses on foreign currency transactions, and loss in the equity method investment.</w:t>
      </w:r>
    </w:p>
    <w:p>
      <w:pPr>
        <w:spacing w:after="0" w:line="1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Income tax expense results from our wholly-owned foreign subsidiaries. We maintain a full valuation allowance on our domestic deferred tax assets as we have concluded that it is more likely than not that the deferred assets will not be realized.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Comparisons of the Three Months Ended June 30, 2025 and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presented: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tcBorders>
              <w:top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(dollars</w:t>
            </w:r>
          </w:p>
        </w:tc>
        <w:tc>
          <w:tcPr>
            <w:tcW w:w="240" w:type="dxa"/>
            <w:vAlign w:val="bottom"/>
            <w:gridSpan w:val="2"/>
            <w:vMerge w:val="continue"/>
          </w:tcPr>
          <w:p>
            <w:pPr>
              <w:spacing w:after="0"/>
              <w:rPr>
                <w:sz w:val="12"/>
                <w:szCs w:val="12"/>
                <w:color w:val="auto"/>
              </w:rPr>
            </w:pPr>
          </w:p>
        </w:tc>
        <w:tc>
          <w:tcPr>
            <w:tcW w:w="114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thousands)</w:t>
            </w:r>
          </w:p>
        </w:tc>
        <w:tc>
          <w:tcPr>
            <w:tcW w:w="2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tcBorders>
              <w:left w:val="single" w:sz="8" w:color="CFF0FC"/>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Service</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80" w:type="dxa"/>
            <w:vAlign w:val="bottom"/>
            <w:tcBorders>
              <w:left w:val="single" w:sz="8" w:color="CFF0FC"/>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5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Related party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w:t>
            </w: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80" w:type="dxa"/>
            <w:vAlign w:val="bottom"/>
            <w:tcBorders>
              <w:left w:val="single" w:sz="8" w:color="CFF0FC"/>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159 %</w:t>
            </w:r>
          </w:p>
        </w:tc>
        <w:tc>
          <w:tcPr>
            <w:tcW w:w="0" w:type="dxa"/>
            <w:vAlign w:val="bottom"/>
          </w:tcPr>
          <w:p>
            <w:pPr>
              <w:spacing w:after="0"/>
              <w:rPr>
                <w:sz w:val="1"/>
                <w:szCs w:val="1"/>
                <w:color w:val="auto"/>
              </w:rPr>
            </w:pPr>
          </w:p>
        </w:tc>
      </w:tr>
      <w:tr>
        <w:trPr>
          <w:trHeight w:val="20"/>
        </w:trPr>
        <w:tc>
          <w:tcPr>
            <w:tcW w:w="57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tcBorders>
              <w:left w:val="single" w:sz="8" w:color="CFF0FC"/>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Service</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tcBorders>
              <w:left w:val="single" w:sz="8" w:color="CFF0FC"/>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5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Related party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w:t>
            </w: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80" w:type="dxa"/>
            <w:vAlign w:val="bottom"/>
            <w:tcBorders>
              <w:left w:val="single" w:sz="8" w:color="CFF0FC"/>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153 %</w:t>
            </w:r>
          </w:p>
        </w:tc>
        <w:tc>
          <w:tcPr>
            <w:tcW w:w="0" w:type="dxa"/>
            <w:vAlign w:val="bottom"/>
          </w:tcPr>
          <w:p>
            <w:pPr>
              <w:spacing w:after="0"/>
              <w:rPr>
                <w:sz w:val="1"/>
                <w:szCs w:val="1"/>
                <w:color w:val="auto"/>
              </w:rPr>
            </w:pPr>
          </w:p>
        </w:tc>
      </w:tr>
      <w:tr>
        <w:trPr>
          <w:trHeight w:val="20"/>
        </w:trPr>
        <w:tc>
          <w:tcPr>
            <w:tcW w:w="57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cost of revenue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80" w:type="dxa"/>
            <w:vAlign w:val="bottom"/>
            <w:tcBorders>
              <w:left w:val="single" w:sz="8" w:color="CFF0FC"/>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09"/>
        </w:trPr>
        <w:tc>
          <w:tcPr>
            <w:tcW w:w="5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11,985</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(749)</w:t>
            </w: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5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(5,437)</w:t>
            </w: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22,641</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28,827</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(6,186)</w:t>
            </w: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57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(20,530)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6,566</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tcBorders>
              <w:left w:val="single" w:sz="8" w:color="CFF0FC"/>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(1,441)</w:t>
            </w: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Loss on equity method investment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(1,841)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(1,841)</w:t>
            </w: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other income</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(3,092)</w:t>
            </w: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57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tcBorders>
              <w:left w:val="single" w:sz="8" w:color="CFF0FC"/>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57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(19,424)</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(22,850)</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7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gridSpan w:val="8"/>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20" w:type="dxa"/>
            <w:vAlign w:val="bottom"/>
            <w:gridSpan w:val="8"/>
          </w:tcPr>
          <w:p>
            <w:pPr>
              <w:ind w:left="420"/>
              <w:spacing w:after="0" w:line="142" w:lineRule="exact"/>
              <w:rPr>
                <w:sz w:val="20"/>
                <w:szCs w:val="20"/>
                <w:color w:val="auto"/>
              </w:rPr>
            </w:pPr>
            <w:r>
              <w:rPr>
                <w:rFonts w:ascii="Times New Roman" w:cs="Times New Roman" w:eastAsia="Times New Roman" w:hAnsi="Times New Roman"/>
                <w:sz w:val="14"/>
                <w:szCs w:val="14"/>
                <w:i w:val="1"/>
                <w:iCs w:val="1"/>
                <w:color w:val="auto"/>
              </w:rPr>
              <w:t>(dollars in thousands)</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4,051</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280" w:type="dxa"/>
            <w:vAlign w:val="bottom"/>
            <w:tcBorders>
              <w:left w:val="single" w:sz="8" w:color="CFF0FC"/>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-3813810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-3813810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-3813810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-3813810</wp:posOffset>
            </wp:positionV>
            <wp:extent cx="14541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-2982595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-2982595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-2982595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-2982595</wp:posOffset>
            </wp:positionV>
            <wp:extent cx="14541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-2691130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-2691130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-2691130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-2691130</wp:posOffset>
            </wp:positionV>
            <wp:extent cx="14541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-2125345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-2125345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-2125345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-2125345</wp:posOffset>
            </wp:positionV>
            <wp:extent cx="14541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-1285240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-1285240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-1285240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-1285240</wp:posOffset>
            </wp:positionV>
            <wp:extent cx="14541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-1002030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-1002030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-1002030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-1002030</wp:posOffset>
            </wp:positionV>
            <wp:extent cx="14541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16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Revenue for the three months ended June 30, 2025, increased by $1.0 million, or 32%, compared to the three months ended June 30, 2024. The increase was due to higher product sales and service revenue during the period.</w:t>
      </w:r>
    </w:p>
    <w:p>
      <w:pPr>
        <w:spacing w:after="0" w:line="1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33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6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r>
      <w:tr>
        <w:trPr>
          <w:trHeight w:val="142"/>
        </w:trPr>
        <w:tc>
          <w:tcPr>
            <w:tcW w:w="33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3"/>
          </w:tcPr>
          <w:p>
            <w:pPr>
              <w:jc w:val="right"/>
              <w:ind w:right="228"/>
              <w:spacing w:after="0" w:line="142" w:lineRule="exact"/>
              <w:rPr>
                <w:sz w:val="20"/>
                <w:szCs w:val="20"/>
                <w:color w:val="auto"/>
              </w:rPr>
            </w:pPr>
            <w:r>
              <w:rPr>
                <w:rFonts w:ascii="Times New Roman" w:cs="Times New Roman" w:eastAsia="Times New Roman" w:hAnsi="Times New Roman"/>
                <w:sz w:val="14"/>
                <w:szCs w:val="14"/>
                <w:i w:val="1"/>
                <w:iCs w:val="1"/>
                <w:color w:val="auto"/>
              </w:rPr>
              <w:t>(dollars in thousands)</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040" w:type="dxa"/>
            <w:vAlign w:val="bottom"/>
            <w:gridSpan w:val="2"/>
            <w:shd w:val="clear" w:color="auto" w:fill="CFF0FC"/>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599</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r>
      <w:tr>
        <w:trPr>
          <w:trHeight w:val="864"/>
        </w:trPr>
        <w:tc>
          <w:tcPr>
            <w:tcW w:w="334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763"/>
        </w:trPr>
        <w:tc>
          <w:tcPr>
            <w:tcW w:w="334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Cost of revenue for the three months ended June 30, 2025, increased by $0.6 million, or 45%, compared to the three months ended June 30, 2024. The increase was primarily due to higher volume from consumables sales.</w:t>
      </w:r>
    </w:p>
    <w:p>
      <w:pPr>
        <w:spacing w:after="0" w:line="1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38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6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6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r>
      <w:tr>
        <w:trPr>
          <w:trHeight w:val="142"/>
        </w:trPr>
        <w:tc>
          <w:tcPr>
            <w:tcW w:w="38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80" w:type="dxa"/>
            <w:vAlign w:val="bottom"/>
            <w:gridSpan w:val="6"/>
          </w:tcPr>
          <w:p>
            <w:pPr>
              <w:ind w:left="360"/>
              <w:spacing w:after="0" w:line="142" w:lineRule="exact"/>
              <w:rPr>
                <w:sz w:val="20"/>
                <w:szCs w:val="20"/>
                <w:color w:val="auto"/>
              </w:rPr>
            </w:pPr>
            <w:r>
              <w:rPr>
                <w:rFonts w:ascii="Times New Roman" w:cs="Times New Roman" w:eastAsia="Times New Roman" w:hAnsi="Times New Roman"/>
                <w:sz w:val="14"/>
                <w:szCs w:val="14"/>
                <w:i w:val="1"/>
                <w:iCs w:val="1"/>
                <w:color w:val="auto"/>
              </w:rPr>
              <w:t>(dollars in thousands)</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11,985</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12,734</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(749)</w:t>
            </w:r>
          </w:p>
        </w:tc>
        <w:tc>
          <w:tcPr>
            <w:tcW w:w="3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bl>
    <w:p>
      <w:pPr>
        <w:spacing w:after="0" w:line="18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June 30, 2025, decreased by $0.7 million, or 6%, compared to the three months ended June 30, 2024. The decrease was primarily due to a $0.5 million decrease in stock-based compensation and a $0.5 million decrease in allocated costs. The decrease was offset by a $0.2 million increase in laboratory expenses.</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4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6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6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r>
      <w:tr>
        <w:trPr>
          <w:trHeight w:val="142"/>
        </w:trPr>
        <w:tc>
          <w:tcPr>
            <w:tcW w:w="4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80" w:type="dxa"/>
            <w:vAlign w:val="bottom"/>
            <w:gridSpan w:val="6"/>
          </w:tcPr>
          <w:p>
            <w:pPr>
              <w:ind w:left="360"/>
              <w:spacing w:after="0" w:line="142" w:lineRule="exact"/>
              <w:rPr>
                <w:sz w:val="20"/>
                <w:szCs w:val="20"/>
                <w:color w:val="auto"/>
              </w:rPr>
            </w:pPr>
            <w:r>
              <w:rPr>
                <w:rFonts w:ascii="Times New Roman" w:cs="Times New Roman" w:eastAsia="Times New Roman" w:hAnsi="Times New Roman"/>
                <w:sz w:val="14"/>
                <w:szCs w:val="14"/>
                <w:i w:val="1"/>
                <w:iCs w:val="1"/>
                <w:color w:val="auto"/>
              </w:rPr>
              <w:t>(dollars in thousands)</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10,656</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16,093</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(5,437)</w:t>
            </w:r>
          </w:p>
        </w:tc>
        <w:tc>
          <w:tcPr>
            <w:tcW w:w="3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r>
    </w:tbl>
    <w:p>
      <w:pPr>
        <w:spacing w:after="0" w:line="19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for the three months ended June 30, 2025, decreased by $5.4 million, or 34%, compared to the three months ended June 30, 2024. The decrease was primarily due to a $3.1 million decrease in stock-based compensation, a $1.8 million decrease in professional services, a $0.4 million decrease in allocated costs, and a $0.2 million decrease in facility expenses.</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Total Other Income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35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6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6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r>
      <w:tr>
        <w:trPr>
          <w:trHeight w:val="142"/>
        </w:trPr>
        <w:tc>
          <w:tcPr>
            <w:tcW w:w="35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80" w:type="dxa"/>
            <w:vAlign w:val="bottom"/>
            <w:gridSpan w:val="6"/>
          </w:tcPr>
          <w:p>
            <w:pPr>
              <w:ind w:left="360"/>
              <w:spacing w:after="0" w:line="142" w:lineRule="exact"/>
              <w:rPr>
                <w:sz w:val="20"/>
                <w:szCs w:val="20"/>
                <w:color w:val="auto"/>
              </w:rPr>
            </w:pPr>
            <w:r>
              <w:rPr>
                <w:rFonts w:ascii="Times New Roman" w:cs="Times New Roman" w:eastAsia="Times New Roman" w:hAnsi="Times New Roman"/>
                <w:sz w:val="14"/>
                <w:szCs w:val="14"/>
                <w:i w:val="1"/>
                <w:iCs w:val="1"/>
                <w:color w:val="auto"/>
              </w:rPr>
              <w:t>(dollars in thousands)</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2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(3,092)</w:t>
            </w:r>
          </w:p>
        </w:tc>
        <w:tc>
          <w:tcPr>
            <w:tcW w:w="3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r>
    </w:tbl>
    <w:p>
      <w:pPr>
        <w:spacing w:after="0" w:line="18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Total other income for the three months ended June 30, 2025, decreased by $3.1 million, or 73%, compared to the three months ended June 30, 2024. The decrease was mainly due to the loss in the equity method investment and lower rates of interest earned on cash invested in money market funds, U.S. Treasury securities, commercial paper, and corporate debt securities.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Comparisons of the Six Months Ended June 30, 2025 and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presented: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80" w:type="dxa"/>
            <w:vAlign w:val="bottom"/>
            <w:gridSpan w:val="6"/>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4"/>
          </w:tcPr>
          <w:p>
            <w:pPr>
              <w:ind w:left="8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Borders>
              <w:top w:val="single" w:sz="8" w:color="auto"/>
            </w:tcBorders>
            <w:gridSpan w:val="2"/>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0" w:type="dxa"/>
            <w:vAlign w:val="bottom"/>
            <w:gridSpan w:val="8"/>
          </w:tcPr>
          <w:p>
            <w:pPr>
              <w:jc w:val="center"/>
              <w:ind w:right="860"/>
              <w:spacing w:after="0" w:line="142" w:lineRule="exact"/>
              <w:rPr>
                <w:sz w:val="20"/>
                <w:szCs w:val="20"/>
                <w:color w:val="auto"/>
              </w:rPr>
            </w:pPr>
            <w:r>
              <w:rPr>
                <w:rFonts w:ascii="Times New Roman" w:cs="Times New Roman" w:eastAsia="Times New Roman" w:hAnsi="Times New Roman"/>
                <w:sz w:val="14"/>
                <w:szCs w:val="14"/>
                <w:i w:val="1"/>
                <w:iCs w:val="1"/>
                <w:color w:val="auto"/>
              </w:rPr>
              <w:t>(dollars in thousands)</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w:t>
            </w:r>
          </w:p>
        </w:tc>
        <w:tc>
          <w:tcPr>
            <w:tcW w:w="17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5,616</w:t>
            </w:r>
          </w:p>
        </w:tc>
        <w:tc>
          <w:tcPr>
            <w:tcW w:w="1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w:t>
            </w:r>
          </w:p>
        </w:tc>
        <w:tc>
          <w:tcPr>
            <w:tcW w:w="160" w:type="dxa"/>
            <w:vAlign w:val="bottom"/>
          </w:tcPr>
          <w:p>
            <w:pPr>
              <w:spacing w:after="0"/>
              <w:rPr>
                <w:sz w:val="18"/>
                <w:szCs w:val="18"/>
                <w:color w:val="auto"/>
              </w:rPr>
            </w:pPr>
          </w:p>
        </w:tc>
        <w:tc>
          <w:tcPr>
            <w:tcW w:w="3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Service</w:t>
            </w:r>
          </w:p>
        </w:tc>
        <w:tc>
          <w:tcPr>
            <w:tcW w:w="1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8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Related party</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118 %</w:t>
            </w:r>
          </w:p>
        </w:tc>
        <w:tc>
          <w:tcPr>
            <w:tcW w:w="0" w:type="dxa"/>
            <w:vAlign w:val="bottom"/>
          </w:tcPr>
          <w:p>
            <w:pPr>
              <w:spacing w:after="0"/>
              <w:rPr>
                <w:sz w:val="1"/>
                <w:szCs w:val="1"/>
                <w:color w:val="auto"/>
              </w:rPr>
            </w:pPr>
          </w:p>
        </w:tc>
      </w:tr>
      <w:tr>
        <w:trPr>
          <w:trHeight w:val="20"/>
        </w:trPr>
        <w:tc>
          <w:tcPr>
            <w:tcW w:w="428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Borders>
              <w:left w:val="single" w:sz="8" w:color="CFF0FC"/>
            </w:tcBorders>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Borders>
              <w:left w:val="single" w:sz="8" w:color="CFF0FC"/>
            </w:tcBorders>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Service</w:t>
            </w:r>
          </w:p>
        </w:tc>
        <w:tc>
          <w:tcPr>
            <w:tcW w:w="1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Related party</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20"/>
        </w:trPr>
        <w:tc>
          <w:tcPr>
            <w:tcW w:w="428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Borders>
              <w:left w:val="single" w:sz="8" w:color="CFF0FC"/>
            </w:tcBorders>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Borders>
              <w:left w:val="single" w:sz="8" w:color="CFF0FC"/>
            </w:tcBorders>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cost of revenue</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8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09"/>
        </w:trPr>
        <w:tc>
          <w:tcPr>
            <w:tcW w:w="42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6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23,335</w:t>
            </w: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24,999</w:t>
            </w: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(1,664)</w:t>
            </w:r>
          </w:p>
        </w:tc>
        <w:tc>
          <w:tcPr>
            <w:tcW w:w="20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(8,283)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45,433</w:t>
            </w: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55,380</w:t>
            </w: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(9,947)</w:t>
            </w:r>
          </w:p>
        </w:tc>
        <w:tc>
          <w:tcPr>
            <w:tcW w:w="20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428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Borders>
              <w:left w:val="single" w:sz="8" w:color="CFF0FC"/>
            </w:tcBorders>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Borders>
              <w:left w:val="single" w:sz="8" w:color="CFF0FC"/>
            </w:tcBorders>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(41,261)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(52,288)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(2,810)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on equity method investment</w:t>
            </w:r>
          </w:p>
        </w:tc>
        <w:tc>
          <w:tcPr>
            <w:tcW w:w="1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(3,416)</w:t>
            </w:r>
          </w:p>
        </w:tc>
        <w:tc>
          <w:tcPr>
            <w:tcW w:w="20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expense</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other income</w:t>
            </w:r>
          </w:p>
        </w:tc>
        <w:tc>
          <w:tcPr>
            <w:tcW w:w="1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8,759</w:t>
            </w: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(6,721)</w:t>
            </w:r>
          </w:p>
        </w:tc>
        <w:tc>
          <w:tcPr>
            <w:tcW w:w="20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428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Borders>
              <w:left w:val="single" w:sz="8" w:color="CFF0FC"/>
            </w:tcBorders>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Borders>
              <w:left w:val="single" w:sz="8" w:color="CFF0FC"/>
            </w:tcBorders>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(43,529)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428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Borders>
              <w:left w:val="single" w:sz="8" w:color="CFF0FC"/>
            </w:tcBorders>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Borders>
              <w:left w:val="single" w:sz="8" w:color="CFF0FC"/>
            </w:tcBorders>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60" w:type="dxa"/>
            <w:vAlign w:val="bottom"/>
          </w:tcPr>
          <w:p>
            <w:pPr>
              <w:spacing w:after="0"/>
              <w:rPr>
                <w:sz w:val="18"/>
                <w:szCs w:val="18"/>
                <w:color w:val="auto"/>
              </w:rPr>
            </w:pPr>
          </w:p>
        </w:tc>
        <w:tc>
          <w:tcPr>
            <w:tcW w:w="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(39,372)</w:t>
            </w:r>
          </w:p>
        </w:tc>
        <w:tc>
          <w:tcPr>
            <w:tcW w:w="1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(43,529)</w:t>
            </w:r>
          </w:p>
        </w:tc>
        <w:tc>
          <w:tcPr>
            <w:tcW w:w="160" w:type="dxa"/>
            <w:vAlign w:val="bottom"/>
          </w:tcPr>
          <w:p>
            <w:pPr>
              <w:spacing w:after="0"/>
              <w:rPr>
                <w:sz w:val="18"/>
                <w:szCs w:val="18"/>
                <w:color w:val="auto"/>
              </w:rPr>
            </w:pPr>
          </w:p>
        </w:tc>
        <w:tc>
          <w:tcPr>
            <w:tcW w:w="3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4280" w:type="dxa"/>
            <w:vAlign w:val="bottom"/>
            <w:vMerge w:val="restart"/>
          </w:tcPr>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1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28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gridSpan w:val="6"/>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i w:val="1"/>
                <w:iCs w:val="1"/>
                <w:color w:val="auto"/>
                <w:w w:val="91"/>
              </w:rPr>
              <w:t>in</w:t>
            </w:r>
          </w:p>
        </w:tc>
        <w:tc>
          <w:tcPr>
            <w:tcW w:w="16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4"/>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tcBorders>
              <w:top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(dollars</w:t>
            </w:r>
          </w:p>
        </w:tc>
        <w:tc>
          <w:tcPr>
            <w:tcW w:w="300" w:type="dxa"/>
            <w:vAlign w:val="bottom"/>
            <w:gridSpan w:val="2"/>
            <w:vMerge w:val="continue"/>
          </w:tcPr>
          <w:p>
            <w:pPr>
              <w:spacing w:after="0"/>
              <w:rPr>
                <w:sz w:val="12"/>
                <w:szCs w:val="12"/>
                <w:color w:val="auto"/>
              </w:rPr>
            </w:pPr>
          </w:p>
        </w:tc>
        <w:tc>
          <w:tcPr>
            <w:tcW w:w="1120" w:type="dxa"/>
            <w:vAlign w:val="bottom"/>
            <w:tcBorders>
              <w:top w:val="single" w:sz="8" w:color="auto"/>
            </w:tcBorders>
            <w:gridSpan w:val="3"/>
          </w:tcPr>
          <w:p>
            <w:pPr>
              <w:jc w:val="right"/>
              <w:ind w:right="600"/>
              <w:spacing w:after="0" w:line="142" w:lineRule="exact"/>
              <w:rPr>
                <w:sz w:val="20"/>
                <w:szCs w:val="20"/>
                <w:color w:val="auto"/>
              </w:rPr>
            </w:pPr>
            <w:r>
              <w:rPr>
                <w:rFonts w:ascii="Times New Roman" w:cs="Times New Roman" w:eastAsia="Times New Roman" w:hAnsi="Times New Roman"/>
                <w:sz w:val="14"/>
                <w:szCs w:val="14"/>
                <w:i w:val="1"/>
                <w:iCs w:val="1"/>
                <w:color w:val="auto"/>
                <w:w w:val="81"/>
              </w:rPr>
              <w:t>thousands)</w:t>
            </w:r>
          </w:p>
        </w:tc>
        <w:tc>
          <w:tcPr>
            <w:tcW w:w="2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7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8,256</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6,138</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FF0FC"/>
            </w:tcBorders>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2,118</w:t>
            </w: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-3813810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-3813810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-3813810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-3813810</wp:posOffset>
            </wp:positionV>
            <wp:extent cx="14541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-2982595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-2982595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-2982595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-2982595</wp:posOffset>
            </wp:positionV>
            <wp:extent cx="14541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-2691130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-2691130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-2691130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-2691130</wp:posOffset>
            </wp:positionV>
            <wp:extent cx="14541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-2125345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-2125345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-2125345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-2125345</wp:posOffset>
            </wp:positionV>
            <wp:extent cx="14541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-1285240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-1285240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-1285240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-1285240</wp:posOffset>
            </wp:positionV>
            <wp:extent cx="14541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-1002030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-1002030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-1002030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-1002030</wp:posOffset>
            </wp:positionV>
            <wp:extent cx="14541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16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Revenue for the six months ended June 30, 2025, increased by $2.1 million, or 35%, compared to the six months ended June 30, 2024. The increase was due to higher product sales and service revenue during the period.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210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720" w:type="dxa"/>
            <w:vAlign w:val="bottom"/>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2"/>
                <w:szCs w:val="12"/>
                <w:color w:val="auto"/>
              </w:rPr>
            </w:pPr>
          </w:p>
        </w:tc>
        <w:tc>
          <w:tcPr>
            <w:tcW w:w="2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i w:val="1"/>
                <w:iCs w:val="1"/>
                <w:color w:val="auto"/>
                <w:w w:val="72"/>
              </w:rPr>
              <w:t>in</w:t>
            </w:r>
          </w:p>
        </w:tc>
        <w:tc>
          <w:tcPr>
            <w:tcW w:w="200" w:type="dxa"/>
            <w:vAlign w:val="bottom"/>
          </w:tcPr>
          <w:p>
            <w:pPr>
              <w:spacing w:after="0"/>
              <w:rPr>
                <w:sz w:val="12"/>
                <w:szCs w:val="12"/>
                <w:color w:val="auto"/>
              </w:rPr>
            </w:pPr>
          </w:p>
        </w:tc>
        <w:tc>
          <w:tcPr>
            <w:tcW w:w="1480" w:type="dxa"/>
            <w:vAlign w:val="bottom"/>
            <w:gridSpan w:val="3"/>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Borders>
              <w:top w:val="single" w:sz="8" w:color="auto"/>
            </w:tcBorders>
            <w:gridSpan w:val="2"/>
          </w:tcPr>
          <w:p>
            <w:pPr>
              <w:ind w:left="640"/>
              <w:spacing w:after="0" w:line="142" w:lineRule="exact"/>
              <w:rPr>
                <w:sz w:val="20"/>
                <w:szCs w:val="20"/>
                <w:color w:val="auto"/>
              </w:rPr>
            </w:pPr>
            <w:r>
              <w:rPr>
                <w:rFonts w:ascii="Times New Roman" w:cs="Times New Roman" w:eastAsia="Times New Roman" w:hAnsi="Times New Roman"/>
                <w:sz w:val="14"/>
                <w:szCs w:val="14"/>
                <w:i w:val="1"/>
                <w:iCs w:val="1"/>
                <w:color w:val="auto"/>
              </w:rPr>
              <w:t>(dollars</w:t>
            </w:r>
          </w:p>
        </w:tc>
        <w:tc>
          <w:tcPr>
            <w:tcW w:w="240" w:type="dxa"/>
            <w:vAlign w:val="bottom"/>
            <w:vMerge w:val="continue"/>
          </w:tcPr>
          <w:p>
            <w:pPr>
              <w:spacing w:after="0"/>
              <w:rPr>
                <w:sz w:val="12"/>
                <w:szCs w:val="12"/>
                <w:color w:val="auto"/>
              </w:rPr>
            </w:pPr>
          </w:p>
        </w:tc>
        <w:tc>
          <w:tcPr>
            <w:tcW w:w="11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thousands)</w:t>
            </w:r>
          </w:p>
        </w:tc>
        <w:tc>
          <w:tcPr>
            <w:tcW w:w="2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720" w:type="dxa"/>
            <w:vAlign w:val="bottom"/>
            <w:shd w:val="clear" w:color="auto" w:fill="CFF0FC"/>
          </w:tcPr>
          <w:p>
            <w:pPr>
              <w:jc w:val="right"/>
              <w:ind w:right="56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93"/>
              </w:rPr>
              <w:t>4,084</w:t>
            </w:r>
          </w:p>
        </w:tc>
        <w:tc>
          <w:tcPr>
            <w:tcW w:w="740" w:type="dxa"/>
            <w:vAlign w:val="bottom"/>
            <w:shd w:val="clear" w:color="auto" w:fill="CFF0FC"/>
          </w:tcPr>
          <w:p>
            <w:pPr>
              <w:jc w:val="right"/>
              <w:ind w:right="56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w w:val="93"/>
              </w:rPr>
              <w:t>3,046</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1,038</w:t>
            </w:r>
          </w:p>
        </w:tc>
        <w:tc>
          <w:tcPr>
            <w:tcW w:w="3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Cost of revenue for the six months ended June 30, 2025, increased by $1.0 million, or 34%, compared to the six months ended June 30, 2024. The increase was primarily due to higher product revenue from higher instrument sales, which has a higher cost of revenue and higher volume from consumables sales.</w:t>
      </w:r>
    </w:p>
    <w:p>
      <w:pPr>
        <w:spacing w:after="0" w:line="1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80" w:type="dxa"/>
            <w:vAlign w:val="bottom"/>
          </w:tcPr>
          <w:p>
            <w:pPr>
              <w:spacing w:after="0"/>
              <w:rPr>
                <w:sz w:val="15"/>
                <w:szCs w:val="15"/>
                <w:color w:val="auto"/>
              </w:rPr>
            </w:pPr>
          </w:p>
        </w:tc>
        <w:tc>
          <w:tcPr>
            <w:tcW w:w="148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4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w:t>
            </w:r>
          </w:p>
        </w:tc>
        <w:tc>
          <w:tcPr>
            <w:tcW w:w="18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Borders>
              <w:top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ind w:left="360"/>
              <w:spacing w:after="0" w:line="142" w:lineRule="exact"/>
              <w:rPr>
                <w:sz w:val="20"/>
                <w:szCs w:val="20"/>
                <w:color w:val="auto"/>
              </w:rPr>
            </w:pPr>
            <w:r>
              <w:rPr>
                <w:rFonts w:ascii="Times New Roman" w:cs="Times New Roman" w:eastAsia="Times New Roman" w:hAnsi="Times New Roman"/>
                <w:sz w:val="14"/>
                <w:szCs w:val="14"/>
                <w:i w:val="1"/>
                <w:iCs w:val="1"/>
                <w:color w:val="auto"/>
              </w:rPr>
              <w:t>(dollars</w:t>
            </w:r>
          </w:p>
        </w:tc>
        <w:tc>
          <w:tcPr>
            <w:tcW w:w="260" w:type="dxa"/>
            <w:vAlign w:val="bottom"/>
            <w:vMerge w:val="continue"/>
          </w:tcPr>
          <w:p>
            <w:pPr>
              <w:spacing w:after="0"/>
              <w:rPr>
                <w:sz w:val="12"/>
                <w:szCs w:val="12"/>
                <w:color w:val="auto"/>
              </w:rPr>
            </w:pPr>
          </w:p>
        </w:tc>
        <w:tc>
          <w:tcPr>
            <w:tcW w:w="11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thousands)</w:t>
            </w:r>
          </w:p>
        </w:tc>
        <w:tc>
          <w:tcPr>
            <w:tcW w:w="2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23,335</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24,999</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(1,664)</w:t>
            </w:r>
          </w:p>
        </w:tc>
        <w:tc>
          <w:tcPr>
            <w:tcW w:w="3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for the six months ended June 30, 2025, decreased by $1.7 million, or 7%, compared to the six months ended June 30, 2024. The decrease was primarily due to a $1.1 million decrease in allocated costs, a $0.8 million decrease in stock-based compensation, a $0.2 million decrease in laboratory expenses, and a $0.1 million decrease in depreciation of laboratory equipment. The decrease is offset by a $0.5 million increase in employee compensation costs.</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80" w:type="dxa"/>
            <w:vAlign w:val="bottom"/>
          </w:tcPr>
          <w:p>
            <w:pPr>
              <w:spacing w:after="0"/>
              <w:rPr>
                <w:sz w:val="15"/>
                <w:szCs w:val="15"/>
                <w:color w:val="auto"/>
              </w:rPr>
            </w:pPr>
          </w:p>
        </w:tc>
        <w:tc>
          <w:tcPr>
            <w:tcW w:w="148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4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w:t>
            </w:r>
          </w:p>
        </w:tc>
        <w:tc>
          <w:tcPr>
            <w:tcW w:w="18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Borders>
              <w:top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ind w:left="360"/>
              <w:spacing w:after="0" w:line="142" w:lineRule="exact"/>
              <w:rPr>
                <w:sz w:val="20"/>
                <w:szCs w:val="20"/>
                <w:color w:val="auto"/>
              </w:rPr>
            </w:pPr>
            <w:r>
              <w:rPr>
                <w:rFonts w:ascii="Times New Roman" w:cs="Times New Roman" w:eastAsia="Times New Roman" w:hAnsi="Times New Roman"/>
                <w:sz w:val="14"/>
                <w:szCs w:val="14"/>
                <w:i w:val="1"/>
                <w:iCs w:val="1"/>
                <w:color w:val="auto"/>
              </w:rPr>
              <w:t>(dollars</w:t>
            </w:r>
          </w:p>
        </w:tc>
        <w:tc>
          <w:tcPr>
            <w:tcW w:w="260" w:type="dxa"/>
            <w:vAlign w:val="bottom"/>
            <w:vMerge w:val="continue"/>
          </w:tcPr>
          <w:p>
            <w:pPr>
              <w:spacing w:after="0"/>
              <w:rPr>
                <w:sz w:val="12"/>
                <w:szCs w:val="12"/>
                <w:color w:val="auto"/>
              </w:rPr>
            </w:pPr>
          </w:p>
        </w:tc>
        <w:tc>
          <w:tcPr>
            <w:tcW w:w="11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thousands)</w:t>
            </w:r>
          </w:p>
        </w:tc>
        <w:tc>
          <w:tcPr>
            <w:tcW w:w="2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22,098</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30,381</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(8,283)</w:t>
            </w:r>
          </w:p>
        </w:tc>
        <w:tc>
          <w:tcPr>
            <w:tcW w:w="3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for the six months ended June 30, 2025, decreased by $8.3 million, or 27%, compared to the six months ended June 30, 2024. The decrease was primarily due to a $5.4 million decrease in stock-based compensation, a $1.9 million decrease in professional services, a $0.5 million decrease in allocated costs, a $0.2 million decrease in facility expenses, a $0.1 million decrease in business expenses, and a $0.1 million decrease in travel expenses.</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Total Other Income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210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60" w:type="dxa"/>
            <w:vAlign w:val="bottom"/>
          </w:tcPr>
          <w:p>
            <w:pPr>
              <w:spacing w:after="0"/>
              <w:rPr>
                <w:sz w:val="12"/>
                <w:szCs w:val="12"/>
                <w:color w:val="auto"/>
              </w:rPr>
            </w:pPr>
          </w:p>
        </w:tc>
        <w:tc>
          <w:tcPr>
            <w:tcW w:w="720" w:type="dxa"/>
            <w:vAlign w:val="bottom"/>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2"/>
                <w:szCs w:val="12"/>
                <w:color w:val="auto"/>
              </w:rPr>
            </w:pPr>
          </w:p>
        </w:tc>
        <w:tc>
          <w:tcPr>
            <w:tcW w:w="2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i w:val="1"/>
                <w:iCs w:val="1"/>
                <w:color w:val="auto"/>
                <w:w w:val="72"/>
              </w:rPr>
              <w:t>in</w:t>
            </w:r>
          </w:p>
        </w:tc>
        <w:tc>
          <w:tcPr>
            <w:tcW w:w="180" w:type="dxa"/>
            <w:vAlign w:val="bottom"/>
          </w:tcPr>
          <w:p>
            <w:pPr>
              <w:spacing w:after="0"/>
              <w:rPr>
                <w:sz w:val="12"/>
                <w:szCs w:val="12"/>
                <w:color w:val="auto"/>
              </w:rPr>
            </w:pPr>
          </w:p>
        </w:tc>
        <w:tc>
          <w:tcPr>
            <w:tcW w:w="1480" w:type="dxa"/>
            <w:vAlign w:val="bottom"/>
            <w:gridSpan w:val="3"/>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Borders>
              <w:top w:val="single" w:sz="8" w:color="auto"/>
            </w:tcBorders>
            <w:gridSpan w:val="2"/>
          </w:tcPr>
          <w:p>
            <w:pPr>
              <w:ind w:left="620"/>
              <w:spacing w:after="0" w:line="142" w:lineRule="exact"/>
              <w:rPr>
                <w:sz w:val="20"/>
                <w:szCs w:val="20"/>
                <w:color w:val="auto"/>
              </w:rPr>
            </w:pPr>
            <w:r>
              <w:rPr>
                <w:rFonts w:ascii="Times New Roman" w:cs="Times New Roman" w:eastAsia="Times New Roman" w:hAnsi="Times New Roman"/>
                <w:sz w:val="14"/>
                <w:szCs w:val="14"/>
                <w:i w:val="1"/>
                <w:iCs w:val="1"/>
                <w:color w:val="auto"/>
              </w:rPr>
              <w:t>(dollars</w:t>
            </w:r>
          </w:p>
        </w:tc>
        <w:tc>
          <w:tcPr>
            <w:tcW w:w="260" w:type="dxa"/>
            <w:vAlign w:val="bottom"/>
            <w:vMerge w:val="continue"/>
          </w:tcPr>
          <w:p>
            <w:pPr>
              <w:spacing w:after="0"/>
              <w:rPr>
                <w:sz w:val="12"/>
                <w:szCs w:val="12"/>
                <w:color w:val="auto"/>
              </w:rPr>
            </w:pPr>
          </w:p>
        </w:tc>
        <w:tc>
          <w:tcPr>
            <w:tcW w:w="11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thousands)</w:t>
            </w:r>
          </w:p>
        </w:tc>
        <w:tc>
          <w:tcPr>
            <w:tcW w:w="2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720" w:type="dxa"/>
            <w:vAlign w:val="bottom"/>
            <w:shd w:val="clear" w:color="auto" w:fill="CFF0FC"/>
          </w:tcPr>
          <w:p>
            <w:pPr>
              <w:jc w:val="right"/>
              <w:ind w:right="56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98"/>
              </w:rPr>
              <w:t>2,038</w:t>
            </w:r>
          </w:p>
        </w:tc>
        <w:tc>
          <w:tcPr>
            <w:tcW w:w="720" w:type="dxa"/>
            <w:vAlign w:val="bottom"/>
            <w:shd w:val="clear" w:color="auto" w:fill="CFF0FC"/>
          </w:tcPr>
          <w:p>
            <w:pPr>
              <w:jc w:val="right"/>
              <w:ind w:right="56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w w:val="98"/>
              </w:rPr>
              <w:t>8,759</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(6,721)</w:t>
            </w:r>
          </w:p>
        </w:tc>
        <w:tc>
          <w:tcPr>
            <w:tcW w:w="3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Total other income for the six months ended June 30, 2025, decreased by $6.7 million, or 77%, compared to the six months ended June 30, 2024. The decrease was mainly due to the loss in the equity method investment and lower rates of interest earned on cash invested in money market funds, U.S. Treasury securities, commercial paper, and corporate debt securities.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Since the date of our incorporation, we have incurred significant operating losses and negative cash flows from operations. Our operations have been funded primarily through the sale and issuance of equity securities since inception. We anticipate that we will continue to incur net losses and do not expect positive cash flows from operations for the foreseeable future. However, based on our cash, cash equivalents and investments, we believe we will have adequate liquidity over the next twelve months following the date of this Quarterly Report to operate our business and to meet our cash requirements. If our available cash, cash equivalents and investments and anticipated cash flows from operations are insufficient to satisfy our liquidity requirements, we may consider raising additional capital to expand our business, pursue strategic investments, take advantage of financing opportunities or for other reasons.</w:t>
      </w:r>
    </w:p>
    <w:p>
      <w:pPr>
        <w:spacing w:after="0" w:line="13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enter into agreements as part of the normal course of business with various vendors, which are generally cancellable without material penalty upon written notice. Payments associated with these agreements are not included in this discussion of contractual obligations.</w:t>
      </w:r>
    </w:p>
    <w:p>
      <w:pPr>
        <w:spacing w:after="0" w:line="10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operating lease obligations reflect our lease obligations for our office and laboratory space in Redwood City, California and office space in San Diego, California. We lease approximately 51,000 square feet of office and laboratory space in Redwood City, California, and the lease is set to end on September 30, 2032 with an option to renew for an additional five-year term at then-current market rates. We lease approximately 3,500 square feet of office space in San Diego, California, under an agreement that expired in July 2025. The lease was not renewed upon expiration. We maintain a letter of credit issued to the lessor in the amount of $0.5 million as of each of June 30, 2025 and December 31, 2024, which is secured by restricted cash and is presented as noncurrent at each date based on the term of the underlying lease.</w:t>
      </w:r>
    </w:p>
    <w:p>
      <w:pPr>
        <w:spacing w:after="0" w:line="1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From time to time, we have certain purchase commitments related to our inventory management, cloud-based information systems, property and equipment maintenance and support services, and various other products and services over periods that extend beyond one year. The contractual obligations represent future cash commitments and liabilities under agreements with third parties and exclude orders for goods and services entered into in the normal course of business that are not enforceable or subject to change. These outstanding commitments amounted to $1.3 million as of June 30, 2025.</w:t>
      </w:r>
    </w:p>
    <w:p>
      <w:pPr>
        <w:spacing w:after="0" w:line="12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take a long-term view in growing and scaling our business and regularly review opportunities that meet our long-term growth objectives. Our future capital requirements will depend on many factors including our revenue growth rate, investments in continued commercialization efforts, acquisitions of complementary or enhancing technologies or businesses, including intellectual property rights, the timing and extent of additional capital expenditures to invest in existing and new facilities, the expansion of sales and marketing and international activities and the extent and magnitude of our ongoing research and development programs.</w:t>
      </w:r>
    </w:p>
    <w:p>
      <w:pPr>
        <w:spacing w:after="0" w:line="1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780" w:type="dxa"/>
            <w:vAlign w:val="bottom"/>
            <w:tcBorders>
              <w:bottom w:val="single" w:sz="8" w:color="auto"/>
            </w:tcBorders>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20" w:type="dxa"/>
            <w:vAlign w:val="bottom"/>
            <w:gridSpan w:val="3"/>
          </w:tcPr>
          <w:p>
            <w:pPr>
              <w:jc w:val="right"/>
              <w:ind w:right="608"/>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6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(26,075)</w:t>
            </w:r>
          </w:p>
        </w:tc>
        <w:tc>
          <w:tcPr>
            <w:tcW w:w="112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(20,525)</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31,974</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23,573</w:t>
            </w:r>
          </w:p>
        </w:tc>
        <w:tc>
          <w:tcPr>
            <w:tcW w:w="0" w:type="dxa"/>
            <w:vAlign w:val="bottom"/>
          </w:tcPr>
          <w:p>
            <w:pPr>
              <w:spacing w:after="0"/>
              <w:rPr>
                <w:sz w:val="1"/>
                <w:szCs w:val="1"/>
                <w:color w:val="auto"/>
              </w:rPr>
            </w:pPr>
          </w:p>
        </w:tc>
      </w:tr>
      <w:tr>
        <w:trPr>
          <w:trHeight w:val="216"/>
        </w:trPr>
        <w:tc>
          <w:tcPr>
            <w:tcW w:w="4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9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(8,721)</w:t>
            </w:r>
          </w:p>
        </w:tc>
        <w:tc>
          <w:tcPr>
            <w:tcW w:w="1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0" w:type="dxa"/>
            <w:vAlign w:val="bottom"/>
          </w:tcPr>
          <w:p>
            <w:pPr>
              <w:spacing w:after="0"/>
              <w:rPr>
                <w:sz w:val="1"/>
                <w:szCs w:val="1"/>
                <w:color w:val="auto"/>
              </w:rPr>
            </w:pPr>
          </w:p>
        </w:tc>
      </w:tr>
      <w:tr>
        <w:trPr>
          <w:trHeight w:val="21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86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112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900" w:type="dxa"/>
            <w:vAlign w:val="bottom"/>
            <w:vMerge w:val="restart"/>
          </w:tcPr>
          <w:p>
            <w:pPr>
              <w:jc w:val="right"/>
              <w:ind w:right="1930"/>
              <w:spacing w:after="0"/>
              <w:rPr>
                <w:sz w:val="20"/>
                <w:szCs w:val="20"/>
                <w:color w:val="auto"/>
              </w:rPr>
            </w:pPr>
            <w:r>
              <w:rPr>
                <w:rFonts w:ascii="Times New Roman" w:cs="Times New Roman" w:eastAsia="Times New Roman" w:hAnsi="Times New Roman"/>
                <w:sz w:val="18"/>
                <w:szCs w:val="18"/>
                <w:color w:val="auto"/>
              </w:rPr>
              <w:t>25</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84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84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-1216660</wp:posOffset>
            </wp:positionV>
            <wp:extent cx="1111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2025, cash used in operating activities was $26.1 million, attributable to a net loss of $39.4 million and a net change in our operating assets and liabilities of $3.5 million, partially offset by non-cash charges of $16.8 million. Non-cash charges primarily consisted of $8.5 million of stock-based compensation, $3.4 million of loss on equity method investment, $3.1 million of depreciation and amortization, $0.8 million of net amortization of premium on available-for-sale securities, and $0.8 million of loss on disposal of property and equipment. The change in our operating assets and liabilities was primarily due to a decrease of accrued liabilities and other liabilities of $1.9 million and a decrease of accounts payable of $1.8 million.</w:t>
      </w:r>
    </w:p>
    <w:p>
      <w:pPr>
        <w:spacing w:after="0" w:line="13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During the six months ended June 30, 2024, cash used in operating activities was $20.5 million, attributable to a net loss of $43.5 million, partially offset by non-cash charges of $20.6 million and a net change in our net operating assets and liabilities of $2.4 million. Non-cash charges primarily consisted of stock-based compensation of $15.2 million, $3.0 million of depreciation and amortization, $2.0 million of net amortization of premium on available-for-sale securities, $0.2 million of loss on disposal of property and equipment, $0.1 million of provision for inventory excess and obsolescence, and $0.1 million of non-cash operating lease expense. The change in our net operating assets and liabilities was primarily due to an increase in accounts payable of $3.4 million, an increase in accounts receivable of $1.0 million, an increase in accrued liabilities and other liabilities of $0.5 million, and a decrease of $0.3 million in prepaid expenses and other assets, which was partially offset by an increase in inventory levels of $2.8 million.</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cash provided by investing activities was $32.0 million, which was attributable to the proceeds from maturities of available-for-sale securities of $133.0 million and proceeds from disposal of property and equipment of $0.4 million. This was offset by the purchases of available-for-sale securities of $100.2 million and purchases of property and equipment, primarily for laboratory equipment, of $1.2 million.</w:t>
      </w:r>
    </w:p>
    <w:p>
      <w:pPr>
        <w:spacing w:after="0" w:line="12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cash provided by investing activities was $23.6 million, which related to the proceeds from maturities of available-for-sale securities of $194.0 million. This was offset by the purchases of available-for-sale securities of $168.5 million and purchases of property and equipment, primarily for laboratory equipment, of $1.9 million.</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2025, cash used in financing activities was $8.7 million, which was primarily attributable to the repurchases of Class A common stock under our share repurchase program of $8.1 million and the taxes withholding payments related to net settlement of restricted stock units of $0.8 million. This was partially offset by primarily the proceeds of $0.2 million from the issuance of Class A common stock in connection with the employee stock purchase plan.</w:t>
      </w:r>
    </w:p>
    <w:p>
      <w:pPr>
        <w:spacing w:after="0" w:line="12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cash used in financing activities was $3.6 million, which was primarily attributable to the repurchases of Class A common stock under our share repurchase program of $3.7 million. This partially was offset by the proceeds of $0.1 million from the issuance of Class A common stock in connection with the employee stock purchase plan.</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Significant Judgments and Use of Estimates</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is based on our unaudited condensed consolidated financial statements, which have been prepared in accordance with United States generally accepted accounting principles. The preparation of these unaudited condensed consolidated financial statements requires us to make estimates and assumptions that affect the reported amounts of assets, liabilities, and the disclosure of contingent assets and liabilities at the date of the unaudited condensed consolidated financial statements, as well as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3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in our critical accounting policies and estimates as discussed in our Annual Report on Form 10-K for the fiscal year ended December 31,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See Note 2 to our unaudited condensed consolidated financial statements included elsewhere in this Quarterly Report for more information about recent accounting pronouncements, the timing of their adoption, and our assessment, to the extent we have made one yet, of their potential impact on our financial condition of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market risk during the three and six months ended June 30, 2025, compared to the disclosures in Part II, Item 7A of our Annual Report on Form 10-K for the year ended December 31,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(CEO), and Chief Financial Officer (CFO), we evaluated the effectiveness of the design and operation of our disclosure controls and procedures pursuant to Rule 13a-15(e) and 15d-15(e) under the Securities Exchange Act of 1934, as amended (the Exchange Act) as of the end of the period covered by this report.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CEO and the CFO,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CEO and CFO have concluded, as of June 30, 2025, our disclosure controls and procedures were effective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CEO and CFO, as appropriate, to allow timely decisions regarding required disclosures.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management, including our CEO and CFO, does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a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or 15d-15(f) under the Exchange Act, that occurred during the quarter ended June 30, 2025 that have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We are not currently a party to any material legal proceedings. From time to time we may be involved in legal proceedings or investigations, which could have an adverse impact on our reputation, business and financial condition and divert the attention of our management from the operation of our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You should carefully consider the risks described below, as well as the other information in this Quarterly Report, including our unaudited condensed consolidated financial statements and the related notes and the section titled “Management’s Discussion and Analysis of Financial Condition and Results of Operations” in this Quarterly Report, before deciding whether to invest in our Class A common stock. The occurrence of any of the events or developments described below could harm our business, financial condition, results of operations and prospects. In such an event, the market price of our Class A common stock could decline, and you may lose all or part of your investment. Additional risks and uncertainties not presently known to us or that we currently deem immaterial also may impair our business operations and the market price of our Class A common stock.</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numerous risks and uncertainties that you should consider before investing in our company, as more fully described below.</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principal factors and uncertainties that make investing in our company risky include, among others:</w:t>
      </w:r>
    </w:p>
    <w:p>
      <w:pPr>
        <w:spacing w:after="0" w:line="153" w:lineRule="exact"/>
        <w:rPr>
          <w:sz w:val="20"/>
          <w:szCs w:val="20"/>
          <w:color w:val="auto"/>
        </w:rPr>
      </w:pPr>
    </w:p>
    <w:p>
      <w:pPr>
        <w:ind w:left="300" w:right="120" w:hanging="292"/>
        <w:spacing w:after="0" w:line="282" w:lineRule="auto"/>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early-stage life sciences technology company with a history of net losses, which we expect to continue, and we may not be able to generate meaningful revenues or achieve and sustain profitability in the future;</w:t>
      </w:r>
    </w:p>
    <w:p>
      <w:pPr>
        <w:spacing w:after="0" w:line="107" w:lineRule="exact"/>
        <w:rPr>
          <w:rFonts w:ascii="Times New Roman" w:cs="Times New Roman" w:eastAsia="Times New Roman" w:hAnsi="Times New Roman"/>
          <w:sz w:val="18"/>
          <w:szCs w:val="18"/>
          <w:color w:val="auto"/>
        </w:rPr>
      </w:pPr>
    </w:p>
    <w:p>
      <w:pPr>
        <w:ind w:left="300" w:right="420" w:hanging="292"/>
        <w:spacing w:after="0" w:line="282" w:lineRule="auto"/>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which may make it difficult to evaluate our current business and the prospects for our future viability, and to predict our future performance;</w:t>
      </w:r>
    </w:p>
    <w:p>
      <w:pPr>
        <w:spacing w:after="0" w:line="107" w:lineRule="exact"/>
        <w:rPr>
          <w:rFonts w:ascii="Times New Roman" w:cs="Times New Roman" w:eastAsia="Times New Roman" w:hAnsi="Times New Roman"/>
          <w:sz w:val="18"/>
          <w:szCs w:val="18"/>
          <w:color w:val="auto"/>
        </w:rPr>
      </w:pPr>
    </w:p>
    <w:p>
      <w:pPr>
        <w:ind w:left="300" w:right="620" w:hanging="292"/>
        <w:spacing w:after="0" w:line="282" w:lineRule="auto"/>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07" w:lineRule="exact"/>
        <w:rPr>
          <w:rFonts w:ascii="Times New Roman" w:cs="Times New Roman" w:eastAsia="Times New Roman" w:hAnsi="Times New Roman"/>
          <w:sz w:val="18"/>
          <w:szCs w:val="18"/>
          <w:color w:val="auto"/>
        </w:rPr>
      </w:pPr>
    </w:p>
    <w:p>
      <w:pPr>
        <w:ind w:left="300" w:right="100" w:hanging="292"/>
        <w:spacing w:after="0" w:line="282" w:lineRule="auto"/>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markets for the Proteograph Product Suite may be smaller than estimated, and new market opportunities may not develop as quickly as we expect, or at all, limiting our ability to successfully sell our products;</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 the early stages of our commercialization plan, and we may not be able to commercialize the Proteograph Product Suite as planned;</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success depends on broad scientific and market acceptance of the Proteograph, which we may fail to achieve;</w:t>
      </w:r>
    </w:p>
    <w:p>
      <w:pPr>
        <w:spacing w:after="0" w:line="171" w:lineRule="exact"/>
        <w:rPr>
          <w:rFonts w:ascii="Times New Roman" w:cs="Times New Roman" w:eastAsia="Times New Roman" w:hAnsi="Times New Roman"/>
          <w:sz w:val="18"/>
          <w:szCs w:val="18"/>
          <w:color w:val="auto"/>
        </w:rPr>
      </w:pPr>
    </w:p>
    <w:p>
      <w:pPr>
        <w:ind w:left="300" w:right="160" w:hanging="292"/>
        <w:spacing w:after="0" w:line="282" w:lineRule="auto"/>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the Proteograph Product Suite is successfully commercialized and achieves broad scientific and market acceptance, if we fail to improve it or introduce compelling new products or services, our revenues and our prospects could be harmed;</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epidemics could adversely impact our business and operations;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00" w:right="160" w:hanging="292"/>
        <w:spacing w:after="0" w:line="266" w:lineRule="auto"/>
        <w:tabs>
          <w:tab w:leader="none" w:pos="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spacing w:after="0" w:line="121" w:lineRule="exact"/>
        <w:rPr>
          <w:rFonts w:ascii="Times New Roman" w:cs="Times New Roman" w:eastAsia="Times New Roman" w:hAnsi="Times New Roman"/>
          <w:sz w:val="18"/>
          <w:szCs w:val="18"/>
          <w:color w:val="auto"/>
        </w:rPr>
      </w:pPr>
    </w:p>
    <w:p>
      <w:pPr>
        <w:ind w:left="300" w:right="520" w:hanging="292"/>
        <w:spacing w:after="0" w:line="282" w:lineRule="auto"/>
        <w:tabs>
          <w:tab w:leader="none" w:pos="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identify and recruit qualified employees, and retain or maintain our employee base, it may adversely impact our business and operations; and</w:t>
      </w:r>
    </w:p>
    <w:p>
      <w:pPr>
        <w:spacing w:after="0" w:line="107" w:lineRule="exact"/>
        <w:rPr>
          <w:rFonts w:ascii="Times New Roman" w:cs="Times New Roman" w:eastAsia="Times New Roman" w:hAnsi="Times New Roman"/>
          <w:sz w:val="18"/>
          <w:szCs w:val="18"/>
          <w:color w:val="auto"/>
        </w:rPr>
      </w:pPr>
    </w:p>
    <w:p>
      <w:pPr>
        <w:ind w:left="300" w:right="120" w:hanging="292"/>
        <w:spacing w:after="0" w:line="266" w:lineRule="auto"/>
        <w:tabs>
          <w:tab w:leader="none" w:pos="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an effective system of internal controls, or otherwise fail to comply with the Sarbanes-Oxley Act of 2002, we may not be able to accurately and timely report our financial results, which may adversely affect our business and investor confidence in us and, as a result, the value of our Class A common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7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early-stage life sciences technology company with a history of net losses, which we expect to continue, and we may not be able to generate meaningful revenues or achieve and sustain profitability in the future.</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an early-stage life sciences technology company, and we have incurred significant losses since we were formed in 2017, and expect to continue to incur losses in the future. As of June 30, 2025, we had an accumulated deficit of $431.7 million. These losses and accumulated deficit were primarily due to the substantial investments we have made to develop and improve our technology and the Proteograph Product Suite. Over the next several years, we expect to continue to devote substantially all of our resources towards continuing development and commercialization of the Proteograph Product Suite and related products and services, including sales and marketing, manufacturing and operations costs, and research and development efforts for products and services. These efforts may prove more costly than we currently anticipate. While we have generated product and service revenue, we may never generate revenue sufficient to offset our expenses. In addition, as a public company, we incur significant legal, accounting, administrative, insurance and other expenses. Accordingly, we cannot assure you that we will achieve profitability in the future or that, if we do become profitable, we will sustain profitability.</w:t>
      </w:r>
    </w:p>
    <w:p>
      <w:pPr>
        <w:spacing w:after="0" w:line="130"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which may make it difficult to evaluate our current business and the prospects for our future viability, and to predict our future performance.</w:t>
      </w:r>
    </w:p>
    <w:p>
      <w:pPr>
        <w:spacing w:after="0" w:line="10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are in the early stages of commercialization of the Proteograph Product Suite and related products and services. Our operations to date have been primarily focused on developing our technology, products and services. Our prospects must be considered in light of the uncertainties, risks, expenses, and difficulties frequently encountered by companies in their early stages of operations. Consequently, predictions about our future success or viability are highly uncertain and may not be as accurate as they could be if we had a longer operating history or a company history of successfully developing and commercializing products and services.</w:t>
      </w:r>
    </w:p>
    <w:p>
      <w:pPr>
        <w:spacing w:after="0" w:line="1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addition, as a business with a limited operating history, we may encounter unforeseen expenses, difficulties, complications, delays and other known and unknown obstacles. As we continue to transition from a company with a focus on research and development to a company capable of supporting broad commercial activities as well,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in the future, which makes our future operating results difficult to predict and could cause our operating results to fall below expectations of investors or security analysts or any guidance we may provide, and which may cause the price of our Class A common stock to fluctuate or decline substantially.</w:t>
      </w:r>
    </w:p>
    <w:p>
      <w:pPr>
        <w:spacing w:after="0" w:line="12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08" w:lineRule="exact"/>
        <w:rPr>
          <w:sz w:val="20"/>
          <w:szCs w:val="20"/>
          <w:color w:val="auto"/>
        </w:rPr>
      </w:pPr>
    </w:p>
    <w:p>
      <w:pPr>
        <w:ind w:left="300" w:hanging="292"/>
        <w:spacing w:after="0"/>
        <w:tabs>
          <w:tab w:leader="none" w:pos="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the Proteograph Product Suite on our anticipated timeline;</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high-quality services, including customer service;</w:t>
      </w:r>
    </w:p>
    <w:p>
      <w:pPr>
        <w:spacing w:after="0" w:line="171" w:lineRule="exact"/>
        <w:rPr>
          <w:rFonts w:ascii="Times New Roman" w:cs="Times New Roman" w:eastAsia="Times New Roman" w:hAnsi="Times New Roman"/>
          <w:sz w:val="18"/>
          <w:szCs w:val="18"/>
          <w:color w:val="auto"/>
        </w:rPr>
      </w:pPr>
    </w:p>
    <w:p>
      <w:pPr>
        <w:ind w:left="300" w:hanging="292"/>
        <w:spacing w:after="0" w:line="266" w:lineRule="auto"/>
        <w:tabs>
          <w:tab w:leader="none" w:pos="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and commercialization activities relating to the Proteograph Product Suite, including our SP100 or SP200 automation instrument, proprietary engineered nanoparticle (NP) technology and Proteograph Analysis Suite software, which may change from time to time;</w:t>
      </w:r>
    </w:p>
    <w:p>
      <w:pPr>
        <w:spacing w:after="0" w:line="121" w:lineRule="exact"/>
        <w:rPr>
          <w:rFonts w:ascii="Times New Roman" w:cs="Times New Roman" w:eastAsia="Times New Roman" w:hAnsi="Times New Roman"/>
          <w:sz w:val="18"/>
          <w:szCs w:val="18"/>
          <w:color w:val="auto"/>
        </w:rPr>
      </w:pPr>
    </w:p>
    <w:p>
      <w:pPr>
        <w:ind w:left="300" w:right="400" w:hanging="292"/>
        <w:spacing w:after="0" w:line="282" w:lineRule="auto"/>
        <w:tabs>
          <w:tab w:leader="none" w:pos="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products we are able to commercialize, particularly the Proteograph Product Suite, which may vary significantly from period to period;</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drive adoption of the Proteograph in our target markets and our ability to expand into any future target markets;</w:t>
      </w:r>
    </w:p>
    <w:p>
      <w:pPr>
        <w:spacing w:after="0" w:line="171" w:lineRule="exact"/>
        <w:rPr>
          <w:rFonts w:ascii="Times New Roman" w:cs="Times New Roman" w:eastAsia="Times New Roman" w:hAnsi="Times New Roman"/>
          <w:sz w:val="18"/>
          <w:szCs w:val="18"/>
          <w:color w:val="auto"/>
        </w:rPr>
      </w:pPr>
    </w:p>
    <w:p>
      <w:pPr>
        <w:ind w:left="300" w:right="200" w:hanging="292"/>
        <w:spacing w:after="0" w:line="282" w:lineRule="auto"/>
        <w:tabs>
          <w:tab w:leader="none" w:pos="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 with third-party distributorships, the quantity of our products they elect to hold in inventory, and their ability to promote and sell our products;</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we will be able to sell the Proteograph Product Suite and related services;</w:t>
      </w:r>
    </w:p>
    <w:p>
      <w:pPr>
        <w:spacing w:after="0" w:line="171" w:lineRule="exact"/>
        <w:rPr>
          <w:rFonts w:ascii="Times New Roman" w:cs="Times New Roman" w:eastAsia="Times New Roman" w:hAnsi="Times New Roman"/>
          <w:sz w:val="18"/>
          <w:szCs w:val="18"/>
          <w:color w:val="auto"/>
        </w:rPr>
      </w:pPr>
    </w:p>
    <w:p>
      <w:pPr>
        <w:ind w:left="300" w:right="280" w:hanging="292"/>
        <w:spacing w:after="0" w:line="282" w:lineRule="auto"/>
        <w:tabs>
          <w:tab w:leader="none" w:pos="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and mix of our sales between the Proteograph Product Suite and associated consumables, or changes in the manufacturing or sales costs related to our products;</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and unpredictable nature of the sales cycle;</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lead time needed to procure SP100 and SP200 automation instruments from our third-party contract manufacturer;</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sales force, which if less than anticipated, could significantly impair our ability to generate revenue;</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customers to exercise Proteograph purchase options;</w:t>
      </w:r>
    </w:p>
    <w:p>
      <w:pPr>
        <w:spacing w:after="0" w:line="171" w:lineRule="exact"/>
        <w:rPr>
          <w:rFonts w:ascii="Times New Roman" w:cs="Times New Roman" w:eastAsia="Times New Roman" w:hAnsi="Times New Roman"/>
          <w:sz w:val="18"/>
          <w:szCs w:val="18"/>
          <w:color w:val="auto"/>
        </w:rPr>
      </w:pPr>
    </w:p>
    <w:p>
      <w:pPr>
        <w:ind w:left="300" w:right="400" w:hanging="292"/>
        <w:spacing w:after="0" w:line="282" w:lineRule="auto"/>
        <w:tabs>
          <w:tab w:leader="none" w:pos="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and efficient use of our financial and other resources, including the timing and amount of expenditures that we may incur to develop, commercialize or acquire additional products and technologies or for other purposes, such as the expansion of our facilities;</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funding of life sciences research and development or changes that impact budgets and budget cycles;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spending patterns and the ability to collect on the accounts receivable of our customers;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when we recognize revenue;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00" w:hanging="292"/>
        <w:spacing w:after="0"/>
        <w:tabs>
          <w:tab w:leader="none" w:pos="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changes in accounting rules and regulations, or modifications to our accounting policies;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future litigation or governmental investigations involving us, our industry or both;</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anticipated service, replacement and warranty costs;</w:t>
      </w:r>
    </w:p>
    <w:p>
      <w:pPr>
        <w:spacing w:after="0" w:line="171" w:lineRule="exact"/>
        <w:rPr>
          <w:rFonts w:ascii="Times New Roman" w:cs="Times New Roman" w:eastAsia="Times New Roman" w:hAnsi="Times New Roman"/>
          <w:sz w:val="18"/>
          <w:szCs w:val="18"/>
          <w:color w:val="auto"/>
        </w:rPr>
      </w:pPr>
    </w:p>
    <w:p>
      <w:pPr>
        <w:ind w:left="300" w:right="620" w:hanging="292"/>
        <w:spacing w:after="0" w:line="282" w:lineRule="auto"/>
        <w:tabs>
          <w:tab w:leader="none" w:pos="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health epidemics on the economy, investment in life sciences and research industries, our business operations, and resources and operations of our customers, suppliers, and distributors;</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supply chain interruptions; and</w:t>
      </w:r>
    </w:p>
    <w:p>
      <w:pPr>
        <w:spacing w:after="0" w:line="171" w:lineRule="exact"/>
        <w:rPr>
          <w:rFonts w:ascii="Times New Roman" w:cs="Times New Roman" w:eastAsia="Times New Roman" w:hAnsi="Times New Roman"/>
          <w:sz w:val="18"/>
          <w:szCs w:val="18"/>
          <w:color w:val="auto"/>
        </w:rPr>
      </w:pPr>
    </w:p>
    <w:p>
      <w:pPr>
        <w:ind w:left="300" w:right="100" w:hanging="292"/>
        <w:spacing w:after="0" w:line="282" w:lineRule="auto"/>
        <w:tabs>
          <w:tab w:leader="none" w:pos="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industry, economic and market conditions such as inflation, tariffs and trade relations, interest rates, bank failures and other factors, including factors unrelated to our operating performance or the operating performance of our competitors.</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expectations of industry or financial analysts, or investors, for any period. If we are unable to commercialize products or generate sufficient revenue, or if our operating results fall below the expectations of analysts or investors or below any guidance we may provide, or if the guidance we provide is below the expectations of analysts or investors, it could cause the market price of our Class A common stock to fluctuate or decline substantially.</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size of the markets for the Proteograph Product Suite may be smaller or different from estimated, and new market opportunities may not develop as quickly as we expect, or at all, limiting our ability to successfully sell our products.</w:t>
      </w:r>
    </w:p>
    <w:p>
      <w:pPr>
        <w:spacing w:after="0" w:line="10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market for proteomics and genomics technologies and products is evolving, making it difficult to predict with any accuracy the size of the markets for our current and future products, including the Proteograph Product Suite. Our estimates of the total addressable market for our current and future products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 products and that researchers have sufficient samples and an unmet need for performing proteomics studies at scale across thousands of samples. In addition, sales of new products and services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and services are even more difficult to predict. Our product is an innovative new product, and while we draw comparisons between the evolution and growth of the genomics and proteomics markets, the proteomics market may develop more slowly or differently. In addition, the Proteograph Product Suite 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w:t>
      </w:r>
    </w:p>
    <w:p>
      <w:pPr>
        <w:spacing w:after="0" w:line="1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in the early stages of commercialization, and we may not be able to commercialize the Proteograph Product Suite as planned.</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only recently initiated the broad commercialization of the Proteograph Product Suite and related products and services, and we may not be able to successfully execute on this phase as planned due to:</w:t>
      </w:r>
    </w:p>
    <w:p>
      <w:pPr>
        <w:spacing w:after="0" w:line="108" w:lineRule="exact"/>
        <w:rPr>
          <w:sz w:val="20"/>
          <w:szCs w:val="20"/>
          <w:color w:val="auto"/>
        </w:rPr>
      </w:pPr>
    </w:p>
    <w:p>
      <w:pPr>
        <w:ind w:left="300" w:right="380" w:hanging="292"/>
        <w:spacing w:after="0" w:line="282" w:lineRule="auto"/>
        <w:tabs>
          <w:tab w:leader="none" w:pos="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establish the capabilities and value proposition of the Proteograph Product Suite with key opinion leaders and other customers in a timely fashion;</w:t>
      </w:r>
    </w:p>
    <w:p>
      <w:pPr>
        <w:spacing w:after="0" w:line="107" w:lineRule="exact"/>
        <w:rPr>
          <w:rFonts w:ascii="Times New Roman" w:cs="Times New Roman" w:eastAsia="Times New Roman" w:hAnsi="Times New Roman"/>
          <w:sz w:val="18"/>
          <w:szCs w:val="18"/>
          <w:color w:val="auto"/>
        </w:rPr>
      </w:pPr>
    </w:p>
    <w:p>
      <w:pPr>
        <w:ind w:left="300" w:right="460" w:hanging="292"/>
        <w:spacing w:after="0" w:line="266" w:lineRule="auto"/>
        <w:tabs>
          <w:tab w:leader="none" w:pos="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longer-than expected lead times in the sales cycle to establish customer contacts, complete responsive presentations including platform evaluations tailored to specific requests, and move expeditiously from quote to order to revenue to receipt of payment due to budgetary or other constraints of academic organizations, laboratories, biopharmaceutical companies and others;</w:t>
      </w:r>
    </w:p>
    <w:p>
      <w:pPr>
        <w:spacing w:after="0" w:line="12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industry or market conditions, customer requirements or competitor offerings during broad commercialization;</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continuing the build-out of our sales, customer support and marketing organization as needed for broad commercialization;</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ramping up manufacturing, either internally or through our suppliers, to meet the expected demand for broad commercialization; and</w:t>
      </w:r>
    </w:p>
    <w:p>
      <w:pPr>
        <w:spacing w:after="0" w:line="171" w:lineRule="exact"/>
        <w:rPr>
          <w:rFonts w:ascii="Times New Roman" w:cs="Times New Roman" w:eastAsia="Times New Roman" w:hAnsi="Times New Roman"/>
          <w:sz w:val="18"/>
          <w:szCs w:val="18"/>
          <w:color w:val="auto"/>
        </w:rPr>
      </w:pPr>
    </w:p>
    <w:p>
      <w:pPr>
        <w:ind w:left="300" w:right="260" w:hanging="292"/>
        <w:spacing w:after="0" w:line="282" w:lineRule="auto"/>
        <w:tabs>
          <w:tab w:leader="none" w:pos="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health epidemics on the economy and research industries, our business operations, and resources and the operations of our customers, suppliers and supply chain, and distributors.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our broad commercial release phase is unsuccessful, our financial results will be adversely impacted.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execute on our commercialization plan, our success depends on broad scientific and market acceptance of the Proteograph Product Suite, which we may fail to achieve.</w:t>
      </w:r>
    </w:p>
    <w:p>
      <w:pPr>
        <w:spacing w:after="0" w:line="10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ability to achieve and maintain scientific and commercial market acceptance of the Proteograph Product Suite will depend on a number of factors. We expect that the Proteograph will be subject to the market forces and adoption curves common to other new technologies. The market for proteomics and genomics technologies and products is in its early stages of development. If widespread adoption of the Proteograph takes longer than anticipated, or broad scientific and market acceptance does not occur, we will continue to experience operating losses.</w:t>
      </w:r>
    </w:p>
    <w:p>
      <w:pPr>
        <w:spacing w:after="0" w:line="1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success of life sciences products is due, in large part, to acceptance by the scientific community and their adoption of certain products in the applicable field of research. The life sciences scientific community is often led by a small number of early adopters and key opinion leaders who significantly influence the rest of the community through publications, including peer-reviewed journals. In such journal publications, the researchers will describe not only their discoveries, but also the methods, and typically the products used, to fuel such discoveries. Mentions in publications, including peer-reviewed journal publications, are a driver for the general acceptance of life sciences products, such as the Proteograph Product Suite. We have and continue to collaborate with a small number of key opinion leaders who are highly skilled at evaluating novel technologies and whose feedback helped us solidify our commercialization plans and processes. Ensuring that early adopters and key opinion leaders publish research involving the use of our products is critical to ensuring our products gain widespread scientific acceptance. In addition, continuing collaborative relationships with key opinion leaders is vital to maintaining any market acceptance we achieve. If too few researchers describe the use of our products, too many researchers utilize or shift to a competing product and publish research outlining their use of that product or too many researchers negatively describe the use of our products in publications, it may drive customers away from our products and it may delay market acceptance and adoption of the Proteograph during broad commercialization.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factors in achieving commercial market acceptance, include:</w:t>
      </w:r>
    </w:p>
    <w:p>
      <w:pPr>
        <w:spacing w:after="0" w:line="171" w:lineRule="exact"/>
        <w:rPr>
          <w:sz w:val="20"/>
          <w:szCs w:val="20"/>
          <w:color w:val="auto"/>
        </w:rPr>
      </w:pPr>
    </w:p>
    <w:p>
      <w:pPr>
        <w:ind w:left="300" w:hanging="292"/>
        <w:spacing w:after="0"/>
        <w:tabs>
          <w:tab w:leader="none" w:pos="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and increase awareness of the capabilities of the Proteograph Product Suite;</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Proteograph Product Suite to perform intended use applications broadly in the hands of customers;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willingness to adopt new products and workflows;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Proteograph’s ease of use and whether it reliably provides advantages over other alternative technologies;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adoption of the Proteograph Product Suite by academic institutions, laboratories, biopharmaceutical companies and others;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we charge for the Proteograph Product Suite;</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services and solutions that achieve commercial market acceptance;</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competitors develop and commercialize products that perform similar functions as the Proteograph; and</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investments in product innovation and commercial growth.</w:t>
      </w:r>
    </w:p>
    <w:p>
      <w:pPr>
        <w:spacing w:after="0" w:line="1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cannot assure you that we will be successful in addressing each of these criteria or other criteria that might affect the market acceptance of any products we commercialize, particularly the Proteograph Product Suite. If we are unsuccessful in achieving and maintaining market acceptance of the Proteograph, our business, financial condition and results of operations would be adversely affected.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sales force is less successful than anticipated, we may not be successful in commercializing the Proteograph Product Suite.</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have limited experience as a company in sales and marketing and our ability to successfully commercialize depends on our being able to attract customers for the Proteograph Product Suite. Although members of our management team have considerable industry experience, we need to expand our sales, marketing, distribution and customer service and support capabilities with the appropriate technical expertise during the commercialization of the Proteograph Product Suite and related products and services. To perform sales, marketing, distribution, and customer service and support successfully, we will face a number of risks, including:</w:t>
      </w:r>
    </w:p>
    <w:p>
      <w:pPr>
        <w:spacing w:after="0" w:line="129" w:lineRule="exact"/>
        <w:rPr>
          <w:sz w:val="20"/>
          <w:szCs w:val="20"/>
          <w:color w:val="auto"/>
        </w:rPr>
      </w:pPr>
    </w:p>
    <w:p>
      <w:pPr>
        <w:ind w:left="300" w:right="520" w:hanging="292"/>
        <w:spacing w:after="0" w:line="282" w:lineRule="auto"/>
        <w:tabs>
          <w:tab w:leader="none" w:pos="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manage the sales, marketing and customer service and support force necessary to commercialize and gain market acceptance for our technology;</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of establishing a specialized sales, marketing and customer service and support force; and</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marketing and customer service and support force may be unable to initiate and execute successful commercialization activities.</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enlisted and may seek to enlist additional third parties to assist with sales, distribution and customer service and support globally or in certain regions of the world. There is no guarantee that we have attracted or will be successful in attracting desirable or experienced sales or distribution partners or that we have entered or will be able to enter into such arrangements on favorable terms. In addition, we rely on commercial carriers to transport our products, including consumables that are temperature controlled, to customers in a timely and cost-efficient manner, and if these services are delayed or disrupted, our business may be harmed. If our sales and marketing efforts, and logistics capability, or those of any third-party sales and distribution partners, are not successful, the Proteograph may not gain market acceptance, which could materially impact our business operations.</w:t>
      </w:r>
    </w:p>
    <w:p>
      <w:pPr>
        <w:spacing w:after="0" w:line="12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the Proteograph Product Suite is successfully commercialized and achieves broad scientific and market acceptance, if we fail to improve it or introduce compelling new products and services, our revenues and our prospects could be harmed.</w:t>
      </w:r>
    </w:p>
    <w:p>
      <w:pPr>
        <w:spacing w:after="0" w:line="10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Even if we are able to broadly commercialize the Proteograph Product Suite and achieve broad scientific and market acceptance, our ability to attract new customers and increase revenue from existing customers will depend in large part on our ability to enhance and improve the Proteograph solution and to introduce compelling new products and services. The success of any enhancement to the Proteograph Product Suite or introduction of new products depends on several factors, including timely completion and delivery, competitive pricing, adequate quality testing, integration with existing technologies, appropriately timed and staged introduction and overall market acceptance. Any new product or enhancement to the Proteograph that we develop may not be introduced in a timely or cost-effective manner, may contain defects, errors, vulnerabilities or bugs, or may not achieve the market acceptance necessary to generate significant revenue.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and services, enhance the Proteograph Product Suite to meet customer requirements, compete with alternative products, or otherwise gain and maintain market acceptance, our business, results of operations and financial condition could be harmed.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epidemics could adversely impact our business and operations.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ability to drive the adoption of the Proteograph Product Suite, including our instruments and associated consumables by academic, research and commercial customers depends on our ability to visit customer sites, the ability of our customers to access laboratories, and the ability to install and train on the Proteograph Product Suite and conduct research in light of any health epidemic. These considerations are impacted by factors beyond our control, such as:</w:t>
      </w:r>
    </w:p>
    <w:p>
      <w:pPr>
        <w:spacing w:after="0" w:line="126" w:lineRule="exact"/>
        <w:rPr>
          <w:sz w:val="20"/>
          <w:szCs w:val="20"/>
          <w:color w:val="auto"/>
        </w:rPr>
      </w:pPr>
    </w:p>
    <w:p>
      <w:pPr>
        <w:ind w:left="300" w:right="120" w:hanging="292"/>
        <w:spacing w:after="0" w:line="282" w:lineRule="auto"/>
        <w:tabs>
          <w:tab w:leader="none" w:pos="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capacity or shutdowns of laboratories and other institutions as well as reduced or delayed spending on instruments and consumables as a result of shutdowns and delays;</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government funding of research and development; and</w:t>
      </w:r>
    </w:p>
    <w:p>
      <w:pPr>
        <w:spacing w:after="0" w:line="171" w:lineRule="exact"/>
        <w:rPr>
          <w:rFonts w:ascii="Times New Roman" w:cs="Times New Roman" w:eastAsia="Times New Roman" w:hAnsi="Times New Roman"/>
          <w:sz w:val="18"/>
          <w:szCs w:val="18"/>
          <w:color w:val="auto"/>
        </w:rPr>
      </w:pPr>
    </w:p>
    <w:p>
      <w:pPr>
        <w:ind w:left="300" w:right="20" w:hanging="292"/>
        <w:spacing w:after="0" w:line="266" w:lineRule="auto"/>
        <w:tabs>
          <w:tab w:leader="none" w:pos="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programs that provide funding to research laboratories and institutions, including changes in the amount of funds allocated to different areas of research, changes that have the effect of increasing the length of the funding process or the impact of any health epidemic on our customers and potential customers and their funding sources.</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future impact of any health epidemic is highly uncertain and subject to sudden change, including changes in FDA and other regulatory policies that can materially impact our business or that of our customers and partners. This impact could have a material, adverse impact on our liquidity, capital resources, operations and business and those of the third parties on which we rely, such as the manufacturer of our SP100 and SP200 automation instruments, Hamilton Company, and could worsen over time. Any of these occurrences, and any new epidemics, could significantly harm our business, results of operations and financial condition.</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U.S. or global economic conditions could adversely affect our ability to raise capital and our business, results of operations and financial condition.</w:t>
      </w:r>
    </w:p>
    <w:p>
      <w:pPr>
        <w:spacing w:after="0" w:line="10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Volatility and disruptions in the capital and credit markets could have an adverse effect on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the Proteograph Product Suite and our ability to raise additional capital when needed on favorable terms, if at all. A weak or declining economy, rising inflation, rising interest rates, or bank failures could strain our customers’ budgets or cause delays in their payments to us. Additionally, there is ongoing uncertainty regarding the current administration’s economic and other policies and priorities, such as potential changes in trade restrictions or relationships, tariffs and exchange controls, and potential retaliatory tariffs by other countries. Any of the foregoing could harm our business, and we cannot anticipate all of the ways in which the current economic climate and financial market conditions could adversely impact our ability to raise capital, business, results of operations, and financial condition, and cause the stock price of our Class A common stock to decline.</w:t>
      </w:r>
    </w:p>
    <w:p>
      <w:pPr>
        <w:spacing w:after="0" w:line="13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could impair our ability to access our cash, cash equivalents and investments and to timely meet our financial obligations to our vendors and others.</w:t>
      </w:r>
    </w:p>
    <w:p>
      <w:pPr>
        <w:spacing w:after="0" w:line="1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Adverse developments affecting the financial services industry, many of which may be beyond our control, could impair our ability to access our cash, cash equivalents and investments and to timely meet our financial obligations to our vendors and others. If banks and financial institutions with whom we have relationships experience liquidity issues, become insolvent, or enter receivership, we may be unable to access, and we may lose, some of or all our cash, cash equivalents and investments to the extent those funds are not protected by Federal Deposit Insurance Corporation or Securities Investor Protection Corporation insurance. We regularly maintain cash, cash equivalents and investments that exceed insurance limits or are not insured, and the factors above or other related or similar factors not described above could have a material adverse effect on our financial statements and our vendor and other relationships, and cause the price of our Class A common stock to decline.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sustain or successfully manage our growth or financial resources, our business and prospects will be harmed.</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Growing our business will place significant strains on our management, operational and manufacturing systems and processes, sales and marketing team, financial resources, systems and internal controls, and other aspects of our business. Developing and commercializing the Proteograph Product Suite will require us to hire and retain scientific, sales and marketing, software, manufacturing, customer service, distribution, quality assurance and other personnel. In addition, we will need to hire additional accounting, finance and other personnel in connection with our efforts to comply with the requirements of being a public company. As a public company, our management and other personnel will need to devote a substantial amount of time towards maintaining compliance with these requirements and effectively manage these activities. We may face challenges integrating, developing and motivating our rapidly growing employee base. To effectively manage our growth, we must continue to improve our operational and manufacturing systems and processes, our financial systems and internal controls and other aspects of our business and continue to effectively expand, train and manage our personnel. As our organization continues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growth or financial resources, our business, results of operations, financial condition and prospects will be harmed.</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key personnel and other highly qualified personnel, and if we are unable to recruit, train and retain our personnel, we may not achieve our goals.</w:t>
      </w:r>
    </w:p>
    <w:p>
      <w:pPr>
        <w:spacing w:after="0" w:line="10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future success depends upon our ability to recruit, train, retain and motivate key personnel. Our senior management team, including Omid Farokhzad, one of our founders and our Chief Executive Officer, and David Horn, our President and Chief Financial Officer, are critical to our vision, strategic direction, product development and commercialization efforts.</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departure of one or more of our executive officers, senior management team members, or other key employees could be disruptive to our business until we are able to hire qualified successors. We do not maintain “key person” life insurance on our senior management team.</w:t>
      </w:r>
    </w:p>
    <w:p>
      <w:pPr>
        <w:spacing w:after="0" w:line="10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continued growth and ability to successfully transition from a company primarily focused on development to commercialization depends, in part, on attracting, retaining and motivating qualified personnel, including highly-trained sales personnel with the necessary scientific background and ability to understand our systems at a technical level to effectively identify and sell to potential new customers. New hires typically require significant training and, in many cases, take significant time before they achieve full productivity. Our failure to successfully integrate these key personnel into our business could adversely affect our business. In addition, competition for qualified personnel is intense, particularly in the San Francisco Bay Area and San Diego. We compete for qualified scientific and information technology personnel with other life science and information technology companies as well as academic institutions and research institutions. Some of our scientific personnel are qualified foreign nationals whose ability to live and work in the United States is contingent upon the continued availability of appropriate visas. Due to the competition for qualified personnel in the San Francisco Bay Area and San Diego, we expect to continue to utilize foreign nationals to fill part of our recruiting needs. As a result, changes to United States immigration policies could restrain the flow of technical and professional talent into the United States and may inhibit our ability to hire qualified personnel.</w:t>
      </w:r>
    </w:p>
    <w:p>
      <w:pPr>
        <w:spacing w:after="0" w:line="14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have previously announced reductions in force impacting a number of our full-time employees and may announce additional reductions in force from time to time. In addition, we are taking measures to reduce our non-personnel expenses. These measures are part of our broader strategic effort to realign our expense base with our revenue growth as we continue to build the market and drive customer adoption of the Proteograph. The reduction in force and our other restructuring and cost-saving activities may yield unintended consequences and costs and we may not achieve the anticipated benefits of these measures. For example, the reduction in workforce could make it difficult for us to pursue, or prevent us from pursuing, new opportunities and initiatives due to insufficient personnel, or require us to incur additional and unanticipated costs to hire new personnel to pursue such opportunities or initiatives. We also may be required to take additional cost-saving measures in the future, including those involving personnel, and we may incur severance and other related costs. If we are unable to realize the anticipated benefits from the reduction in force and our other cost-saving measures, or if we experience significant adverse consequences from these measures, our business, financial condition, and results of operations may be materially adversely affected.</w:t>
      </w:r>
    </w:p>
    <w:p>
      <w:pPr>
        <w:spacing w:after="0" w:line="13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do not maintain fixed term employment contracts with any of our employees. As a result, our employees could leave our company with little or no prior notice and could be free to work for a competitor. Due to the complex and technical nature of our products and technology and the dynamic market in which we compete, any failure to attract, train, retain and motivate qualified personnel could materially harm our business, results of operations, financial condition and prospects.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to be dependent upon revenue generated from the sale of the Proteograph Product Suite and related services for the foreseeable future.</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expect that we will generate substantially all of our revenue from the sale of the Proteograph Product Suite and associated consumables and services for the foreseeable future. There can be no assurance that we will be able to successfully broadly commercialize the Proteograph solution, design other products that will meet the expectations of our customers or that any of our future products will become commercially viable. As technologies change in the future for life sciences research tools, generally, and in proteomics and genomics technologies, specifically, we will be expected to upgrade or adapt the Proteograph solution to keep up with the latest technology. To date, we have limited experience simultaneously designing, testing, manufacturing and selling products and there can be no assurance we will be able to do so. Our sales expectations are based in part on the assumption that the Proteograph Product Suite will increase study sizes for our future customers and their associated purchases of our consumables. If sales of our instruments fail to materialize, or our assumptions about study sizes or customer purchases of our consumables, so will the related consumable sales and associated revenue.</w:t>
      </w:r>
    </w:p>
    <w:p>
      <w:pPr>
        <w:spacing w:after="0" w:line="13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our development and commercialization plans for the Proteograph Product Suite, we may forego other opportunities that may provide greater revenue or be more profitable. If our research and product development efforts do not result in commercially viable products or services within anticipated timelines, or at all, our business and results of operations will be adversely affected. Any delay or failure by us to develop and release the Proteograph Product Suite or new products or product enhancements would have a substantial adverse effect on our business and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have been concentrated in a small number of customers.</w:t>
      </w:r>
    </w:p>
    <w:p>
      <w:pPr>
        <w:spacing w:after="0" w:line="17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 xml:space="preserve">We are in the early stages of our commercialization plan and our revenues have been concentrated in a relatively small number of customers, including a related party, PrognomiQ. For the six months ended June 30, 2025, there was one customer that accounted for 10% of our revenue. For the six months ended June 30, 2024, there was one customer, PrognomiQ, that accounted for 25% of our revenue. If one or more customers, including PrognomiQ, terminate all or any portion of their agreements, delay installations or fail to order the anticipated amount of consumables or services, there could be a material adverse effect on our business, financial condition and results of operations. See Note 5 </w:t>
      </w:r>
      <w:r>
        <w:rPr>
          <w:rFonts w:ascii="Times New Roman" w:cs="Times New Roman" w:eastAsia="Times New Roman" w:hAnsi="Times New Roman"/>
          <w:sz w:val="17"/>
          <w:szCs w:val="17"/>
          <w:i w:val="1"/>
          <w:iCs w:val="1"/>
          <w:color w:val="auto"/>
        </w:rPr>
        <w:t>- Revenue and Deferred Revenue</w:t>
      </w:r>
      <w:r>
        <w:rPr>
          <w:rFonts w:ascii="Times New Roman" w:cs="Times New Roman" w:eastAsia="Times New Roman" w:hAnsi="Times New Roman"/>
          <w:sz w:val="17"/>
          <w:szCs w:val="17"/>
          <w:color w:val="auto"/>
        </w:rPr>
        <w:t xml:space="preserve"> and Note 10 - </w:t>
      </w:r>
      <w:r>
        <w:rPr>
          <w:rFonts w:ascii="Times New Roman" w:cs="Times New Roman" w:eastAsia="Times New Roman" w:hAnsi="Times New Roman"/>
          <w:sz w:val="17"/>
          <w:szCs w:val="17"/>
          <w:i w:val="1"/>
          <w:iCs w:val="1"/>
          <w:color w:val="auto"/>
        </w:rPr>
        <w:t>Related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Party Transactions </w:t>
      </w:r>
      <w:r>
        <w:rPr>
          <w:rFonts w:ascii="Times New Roman" w:cs="Times New Roman" w:eastAsia="Times New Roman" w:hAnsi="Times New Roman"/>
          <w:sz w:val="17"/>
          <w:szCs w:val="17"/>
          <w:color w:val="auto"/>
        </w:rPr>
        <w:t>to our notes to financial statements included in Part I, Item 1, herein for further information regarding our relationship with PrognomiQ.</w:t>
      </w:r>
    </w:p>
    <w:p>
      <w:pPr>
        <w:spacing w:after="0" w:line="115"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significantly on research and development spending by academic and other research institutions, and other third parties, including commercial organizations, and any reduction in spending could limit demand for our products and adversely affect our business, results of operations, financial condition and prospects.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Substantially all of our sales revenue in the near term will be generated from sales to commercial companies, academic institutions and other research institutions. Certain of these customers’ funding is provided by various state, federal and international government agencies. As a result, the demand for the Proteograph Product Suite and related services depends upon the research and development budgets of these customers, which are impacted by factors beyond our control, such as:</w:t>
      </w:r>
    </w:p>
    <w:p>
      <w:pPr>
        <w:spacing w:after="0" w:line="126" w:lineRule="exact"/>
        <w:rPr>
          <w:sz w:val="20"/>
          <w:szCs w:val="20"/>
          <w:color w:val="auto"/>
        </w:rPr>
      </w:pPr>
    </w:p>
    <w:p>
      <w:pPr>
        <w:ind w:left="300" w:hanging="292"/>
        <w:spacing w:after="0"/>
        <w:tabs>
          <w:tab w:leader="none" w:pos="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government funding of research and development;</w:t>
      </w:r>
    </w:p>
    <w:p>
      <w:pPr>
        <w:spacing w:after="0" w:line="171" w:lineRule="exact"/>
        <w:rPr>
          <w:rFonts w:ascii="Times New Roman" w:cs="Times New Roman" w:eastAsia="Times New Roman" w:hAnsi="Times New Roman"/>
          <w:sz w:val="18"/>
          <w:szCs w:val="18"/>
          <w:color w:val="auto"/>
        </w:rPr>
      </w:pPr>
    </w:p>
    <w:p>
      <w:pPr>
        <w:ind w:left="300" w:hanging="292"/>
        <w:spacing w:after="0" w:line="282" w:lineRule="auto"/>
        <w:tabs>
          <w:tab w:leader="none" w:pos="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programs that provide funding to research laboratories and institutions, including changes in the amount of funds allocated to different areas of research or changes that have the effect of increasing the length of the funding process;</w:t>
      </w:r>
    </w:p>
    <w:p>
      <w:pPr>
        <w:spacing w:after="0" w:line="107" w:lineRule="exact"/>
        <w:rPr>
          <w:rFonts w:ascii="Times New Roman" w:cs="Times New Roman" w:eastAsia="Times New Roman" w:hAnsi="Times New Roman"/>
          <w:sz w:val="18"/>
          <w:szCs w:val="18"/>
          <w:color w:val="auto"/>
        </w:rPr>
      </w:pPr>
    </w:p>
    <w:p>
      <w:pPr>
        <w:ind w:left="300" w:right="220" w:hanging="292"/>
        <w:spacing w:after="0" w:line="282" w:lineRule="auto"/>
        <w:tabs>
          <w:tab w:leader="none" w:pos="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strategy and funding by commercial companies in their efforts around therapeutic and diagnostic product development and their adoption and use of the Proteograph Product Suite;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00" w:hanging="292"/>
        <w:spacing w:after="0"/>
        <w:tabs>
          <w:tab w:leader="none" w:pos="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opinions in the scientific community, including researchers’ opinions of the utility of the Proteograph solution;</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citation of the Proteograph Product Suite in published research;</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the regulatory environment;</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budgetary cycles, especially government- or grant-funded customers, whose cycles often coincide with government fiscal year ends;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 product or service offerings or pricing;</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market-driven pressures to consolidate operations and reduce costs; and</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relatively new technologies, such as the Proteograph Product Suite.</w:t>
      </w:r>
    </w:p>
    <w:p>
      <w:pPr>
        <w:spacing w:after="0" w:line="17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various state, federal and international agencies that provide grants and other funding may be subject to stringent budgetary constraints that could result in spending reductions, reduced grant making, reduced allocations or budget cutbacks, which could jeopardize the ability of these customers, or the customers to whom they provide funding, to purchase our products. Recently, budget cuts and layoffs at various federal agencies and programs, including at the National Institute of Health (NIH), have created uncertainty and led to budget cuts at various research organizations and institutes that rely on NIH funding. There is no guarantee that NIH appropriations will not decrease in the future. A decrease in the amount of, or delay in the approval of, appropriations to NIH or other similar United States or international organizations, such as the Medical 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cause our customers and potential customers to reduce or delay purchases of our products. Our operating results may fluctuate substantially due to any such reductions and delays. Any decrease in our customers’ budgets or expenditures, or in the size, scope or frequency of their capital or operating expenditures, could materially and adversely affect our business, results of operations, financial condition and prospects.</w:t>
      </w:r>
    </w:p>
    <w:p>
      <w:pPr>
        <w:spacing w:after="0" w:line="134"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single suppliers for some of the components of the Proteograph Product Suite, including a single contract manufacturer to manufacture and supply our instruments. If these suppliers or manufacturers should fail or not perform satisfactorily, our ability to meet demand and supply the Proteograph Product Suite would be adversely affected.</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rely on a single contract manufacturer, Hamilton Company, a manufacturer of precision measurement devices, automated liquid handling workstations, and sample management systems located in Nevada and other locations, to manufacture and supply our instruments. Since our contract with Hamilton does not commit them to carry inventory or make available any particular quantities, Hamilton may give other customers' needs higher priority than ours, we may not be able to obtain adequate supplies in a timely manner or on commercially reasonable terms, and we may incur price increases from Hamilton Company. Further, if Hamilton is unable to obtain critical components used in the Proteograph solution or supply our instruments on the timelines we require, due to tariffs, trade restrictions, or other reasons, our business and commercialization efforts would be harmed.</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the event it becomes necessary to utilize one or more different contract manufacturers for automated liquid handling workstations, reagents or other product components associated with the Proteograph Product Suite, we would experience additional costs, delays and difficulties in doing so as a result of identifying and entering into new agreements with new suppliers or manufacturers. In addition, we would have to prepare such new suppliers or manufacturers to meet the logistical requirements associated with supplying and manufacturing the Proteograph Product Suite, and our business would suffer.</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certain components used in our products are sourced from limited or sole suppliers. If we were to lose such suppliers, there can be no assurance that we will be able to identify or enter into agreements with alternative suppliers on a timely basis on acceptable terms, if at all. An interruption in our ability to sell and deliver instruments to customers could occur if we encounter delays or difficulties in securing these components, or if the quality of the components supplied does not meet specifications, or if we cannot then obtain an acceptable substitute.</w:t>
      </w:r>
    </w:p>
    <w:p>
      <w:pPr>
        <w:spacing w:after="0" w:line="122"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producing and supplying our products, and we may be unable to consistently manufacture or source our SP100 and SP200 automation instruments and consumables to the necessary specifications or in quantities necessary to meet demand on a timely basis and at acceptable performance and cost levels.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Proteograph Product Suite is an integrated solution with many different components that work together. As such, a quality defect in a single component can compromise the performance of the entire solution. In order to successfully generate revenue from the Proteograph Product Suite, we need to supply our customers with products that meet their expectations for quality and functionality in accordance with established specifications on a timely basis. Our instruments are manufactured by Hamilton Company at their facility using complex processes, sophisticated equipment and strict adherence to specifications and quality systems procedures. Given the complexity of this automation instrumentation, individual units may occasionally require additional installation and service time prior to becoming available for customer use.</w:t>
      </w:r>
    </w:p>
    <w:p>
      <w:pPr>
        <w:spacing w:after="0" w:line="13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leverage well-established unit operations to formulate and manufacture our NPs at our facilities in Redwood City, California. We procure certain components of our consumables from third-party manufacturers, which includes the commonly available raw materials needed for manufacturing our proprietary engineered NPs. These manufacturing processes are complex. As we increase the commercial scale formulation and manufacturing of our NP panels, if we are not able to repeatably produce our NPs at commercial scale or source them from third-party suppliers, encounter unexpected difficulties in packaging our consumables, fail to comply with regulations relating to laboratory safety, the handling of human samples, the use and transportation of certain hazardous substances or chemicals, including in commercial products, or the collection, reuse, and recycling of waste from products we manufacture, our business will be adversely impacted.</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As we continue to scale commercially and develop new products, and as our products incorporate increasingly sophisticated technology, it will be increasingly difficult to ensure our products are produced in the necessary quantities without sacrificing quality. There is no assurance that we or our third-party manufacturer will be able to continue to manufacture our SP100 and SP200 automation instruments so that they consistently achieve the product specifications and produce results with acceptable quality. Our NPs and other consumables have a limited shelf life, after which their performance is not ensured. Shipment of defective instruments or consumables to customers may result in recalls and warranty replacements, which would increase our costs, and depending upon current inventory levels and the availability and lead time for additional inventory, could lead to availability issues. Any future design issues, unforeseen manufacturing problems, such as contamination of or cyber attacks on our or our manufacturers’ facilities, equipment malfunctions, aging components, quality issues with components and materials sourced from third-party suppliers, or failures to strictly follow procedures or meet specifications, may have a material adverse effect on our brand, business, results of operations and financial condition and could result in us or our third-party manufacturers losing International Organization for Standardization (ISO) quality management certifications. If we or our third-party manufacturers fail to obtain or maintain applicable ISO quality management certifications, customers might choose not to purchase products from us.</w:t>
      </w:r>
    </w:p>
    <w:p>
      <w:pPr>
        <w:spacing w:after="0" w:line="13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as we commercialize the Proteograph Product Suite, we will also need to make corresponding improvements to other operational functions, such as our customer support, service and billing systems, compliance programs and our internal quality assurance programs. We cannot assure you that any increases in scale, related improvements and quality assurance will be successfully implemented or that appropriate personnel will be available. As we develop additional products, we may need to bring new equipment online, implement new systems, technology, controls and procedures and hire personnel with different qualifications.</w:t>
      </w:r>
    </w:p>
    <w:p>
      <w:pPr>
        <w:spacing w:after="0" w:line="1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An inability to manufacture products and components that consistently meet specifications, in necessary quantities, at commercially acceptable costs and without significant delays, may have a material adverse effect on our business, results of operations, financial condition and prospects.</w:t>
      </w:r>
    </w:p>
    <w:p>
      <w:pPr>
        <w:spacing w:after="0" w:line="10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could have defects or errors, which may give rise to claims against us, adversely affect market adoption of the Proteograph Product Suite, damage our reputation, and adversely affect our business, financial condition, and results of operations.</w:t>
      </w:r>
    </w:p>
    <w:p>
      <w:pPr>
        <w:spacing w:after="0" w:line="10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Proteograph Product Suite utilizes novel and complex technology, including hardware, consumables and software, and may develop or contain defects, errors or material performance problems. We cannot assure you that material performance problems, defects, or errors will not arise, and as we commercialize the Proteograph, these risks may increase. We provide warranties that our products will meet performance expectations and will be free from material defects. The costs incurred in correcting any defects or errors may be substantial and could adversely affect our operating margins.</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manufacturing the Proteograph Product Suite, we depend upon third parties for the supply of our instruments and various components, many of which require a significant degree of technical expertise to produce. If our suppliers fail to produce our SP100 and SP200 automation instruments and components to specification or provide defective products to us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Proteograph Product Suite contains defects, we may experience:</w:t>
      </w:r>
    </w:p>
    <w:p>
      <w:pPr>
        <w:spacing w:after="0" w:line="171" w:lineRule="exact"/>
        <w:rPr>
          <w:sz w:val="20"/>
          <w:szCs w:val="20"/>
          <w:color w:val="auto"/>
        </w:rPr>
      </w:pPr>
    </w:p>
    <w:p>
      <w:pPr>
        <w:ind w:left="300" w:hanging="292"/>
        <w:spacing w:after="0"/>
        <w:tabs>
          <w:tab w:leader="none" w:pos="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achieve market acceptance for the Proteograph or expansion of the Proteograph Product Suite sales;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 orders and delay in order fulfillment;</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brand reputation;</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warranty and customer service and support costs due to product repair or replacement;</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replacements;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attract new customers;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resources from our manufacturing and research and development departments to our service department; and</w:t>
      </w:r>
    </w:p>
    <w:p>
      <w:pPr>
        <w:spacing w:after="0" w:line="171" w:lineRule="exact"/>
        <w:rPr>
          <w:rFonts w:ascii="Times New Roman" w:cs="Times New Roman" w:eastAsia="Times New Roman" w:hAnsi="Times New Roman"/>
          <w:sz w:val="18"/>
          <w:szCs w:val="18"/>
          <w:color w:val="auto"/>
        </w:rPr>
      </w:pPr>
    </w:p>
    <w:p>
      <w:pPr>
        <w:ind w:left="300" w:right="40" w:hanging="292"/>
        <w:spacing w:after="0" w:line="282" w:lineRule="auto"/>
        <w:tabs>
          <w:tab w:leader="none" w:pos="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claims against us, including product liability, hazardous material or environmental compliance claims, which could be costly and time consuming to defend and result in substantial damages.</w:t>
      </w:r>
    </w:p>
    <w:p>
      <w:pPr>
        <w:spacing w:after="0" w:line="10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addition, we expect that the Proteograph Product Suite will be used with our potential customers’ own mass spectrometry (MS) instruments or the MS instrument of a third-party service provider and the performance of these MS instruments is outside of our control. If such third-party products are not produced to specification, are produced in accordance with modified specifications, are defective, or are not used with recommended equipment, they may not be compatible or perform as intended with the Proteograph. In such case, the reliability, results and performance of the Proteograph may be compromised. The occurrence of any one or more of the foregoing may have a material adverse effect on our business, results of operations, financial condition and prospects.</w:t>
      </w:r>
    </w:p>
    <w:p>
      <w:pPr>
        <w:spacing w:after="0" w:line="129"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potential risks related to using, handling, storing, importing, exporting, and transferring of biological samples, hazardous materials and substances or chemicals such as reagents in commercial products; the collection, reuse and recycling of waste from products we manufacture and services we provide; and compliance with environmental health and safety regulations.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our facilities in Redwood City, including our Biohazards Safety Level 2 laboratory, we leverage unit operations to formulate and manufacture our NPs, assemble our consumables, conduct assays and perform mass spectrometer analyses. As we increase the commercial scale, formulation and manufacture of our products using, handling, storing, importing, exporting, and transferring biological samples, hazardous materials and substances or chemicals such as reagents, or if we are unable to repeatably produce our products or perform our services, in compliance with applicable health and safety, and environmental laws, rules and regulations, our operations, including our sales, could be negatively affected. In addition, if we encounter issues in packaging and labeling our consumables, complying with regulations relating to laboratory safety, safety data sheets, handling human samples such as inactive COVID-19 samples, using certain hazardous substances or chemicals such as reagents in commercial products, collecting, reusing and recycling of waste from products we manufacture, or complying with environmental health and safety regulations, our business could be adversely impacted.</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successfully deploy and implement enhancements of the Instrument Control Software and Proteograph Analysis Suite, our commercialization efforts and, therefore, business and results of operations could suffer.</w:t>
      </w:r>
    </w:p>
    <w:p>
      <w:pPr>
        <w:spacing w:after="0" w:line="10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success of the Proteograph Product Suite depends, in part, on our ability to design and deploy our Instrument Control Software and Proteograph Analysis Suite in a manner that enables the integration with our potential customers’ systems and accommodates our customers’ needs. Without the Instrument Control Software, the Proteograph may become inoperable. Without the Proteograph Analysis Suite software, quality control of the workflow and data analysis is less accessible and robust, and it may be difficult for our customers to understand and evaluate the quality of their results.</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and will continue to spend significant amounts of effort continuing to develop our software to meet our customers’ and potential customers’ evolving needs. There is no assurance that the development or deployment of our software will be compelling to our customers or function correctly. In addition, we may experience delays in our release dates of our software, and there can be no assurance that our software will be released according to schedule. If our software development and deployment plan, which may include participation from third party vendors and licensors, does not accurately anticipate customer demands, or if we fail to develop our software in a manner that satisfies customer preferences in a timely and cost-effective manner, the Proteograph Product Suite may fail to gain market acceptance or function correctly. The occurrence of any one or more of the foregoing could negatively affect our business, financial condition, and results of operations.</w:t>
      </w:r>
    </w:p>
    <w:p>
      <w:pPr>
        <w:spacing w:after="0" w:line="13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we commercialize the Proteograph Product Suite outside of the United States, our international business could expose us to business, regulatory, legal, political, operational, financial, and economic risks associated with doing business outside of the United States.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Engaging in international business inherently involves a number of difficulties and risks, including:</w:t>
      </w:r>
    </w:p>
    <w:p>
      <w:pPr>
        <w:spacing w:after="0" w:line="171" w:lineRule="exact"/>
        <w:rPr>
          <w:sz w:val="20"/>
          <w:szCs w:val="20"/>
          <w:color w:val="auto"/>
        </w:rPr>
      </w:pPr>
    </w:p>
    <w:p>
      <w:pPr>
        <w:ind w:left="300" w:right="220" w:hanging="292"/>
        <w:spacing w:after="0" w:line="261" w:lineRule="auto"/>
        <w:tabs>
          <w:tab w:leader="none" w:pos="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compliance with existing and changing foreign regulatory requirements and laws that are or may be applicable to our business in the future, such as the European Union’s General Data Protection Regulation (GDPR) and other data privacy requirements, labor and employment regulations, anti-competition regulations, the U.K. Bribery Act of 2010 and other anti-corruption laws, regulations relating to the use of certain hazardous substances or chemicals in commercial products, and to the collection, reuse, and recycling of waste from products we manufacture;</w:t>
      </w:r>
    </w:p>
    <w:p>
      <w:pPr>
        <w:spacing w:after="0" w:line="125" w:lineRule="exact"/>
        <w:rPr>
          <w:rFonts w:ascii="Times New Roman" w:cs="Times New Roman" w:eastAsia="Times New Roman" w:hAnsi="Times New Roman"/>
          <w:sz w:val="18"/>
          <w:szCs w:val="18"/>
          <w:color w:val="auto"/>
        </w:rPr>
      </w:pPr>
    </w:p>
    <w:p>
      <w:pPr>
        <w:ind w:left="300" w:right="340" w:hanging="292"/>
        <w:spacing w:after="0" w:line="282" w:lineRule="auto"/>
        <w:tabs>
          <w:tab w:leader="none" w:pos="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compliance with U.S. laws such as the U.S. Foreign Corrupt Practices Act (FCPA), and other U.S. federal laws and regulations, including with respect to not doing business with sanctioned parties, as prohibited by the office of Foreign Asset Control;</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requirements and import or trade restrictions, including, without limitation, with respect to biological samples, and trade retaliation laws;</w:t>
      </w:r>
    </w:p>
    <w:p>
      <w:pPr>
        <w:spacing w:after="0" w:line="171" w:lineRule="exact"/>
        <w:rPr>
          <w:rFonts w:ascii="Times New Roman" w:cs="Times New Roman" w:eastAsia="Times New Roman" w:hAnsi="Times New Roman"/>
          <w:sz w:val="18"/>
          <w:szCs w:val="18"/>
          <w:color w:val="auto"/>
        </w:rPr>
      </w:pPr>
    </w:p>
    <w:p>
      <w:pPr>
        <w:ind w:left="300" w:right="420" w:hanging="292"/>
        <w:spacing w:after="0" w:line="282" w:lineRule="auto"/>
        <w:tabs>
          <w:tab w:leader="none" w:pos="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both inbound and outbound cross-border investment, including enhanced oversight by the Committee on Foreign Investment in the United States (CFIUS) and substantial restrictions on investment from China;</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companies;</w:t>
      </w:r>
    </w:p>
    <w:p>
      <w:pPr>
        <w:spacing w:after="0" w:line="171" w:lineRule="exact"/>
        <w:rPr>
          <w:rFonts w:ascii="Times New Roman" w:cs="Times New Roman" w:eastAsia="Times New Roman" w:hAnsi="Times New Roman"/>
          <w:sz w:val="18"/>
          <w:szCs w:val="18"/>
          <w:color w:val="auto"/>
        </w:rPr>
      </w:pPr>
    </w:p>
    <w:p>
      <w:pPr>
        <w:ind w:left="300" w:right="260" w:hanging="292"/>
        <w:spacing w:after="0" w:line="282" w:lineRule="auto"/>
        <w:tabs>
          <w:tab w:leader="none" w:pos="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transactions or payments denominated in foreign currency, longer payment cycles and difficulties in enforcing agreements and collecting receivables through certain foreign legal systems;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left="300" w:right="140" w:hanging="292"/>
        <w:spacing w:after="0" w:line="266" w:lineRule="auto"/>
        <w:tabs>
          <w:tab w:leader="none" w:pos="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social, economic, political and climate conditions or in laws, regulations and policies governing foreign trade, manufacturing, research and development, investment, and climate control both domestically as well as in the other countries and jurisdictions in which we operate and into which we may sell our products;</w:t>
      </w:r>
    </w:p>
    <w:p>
      <w:pPr>
        <w:spacing w:after="0" w:line="121" w:lineRule="exact"/>
        <w:rPr>
          <w:rFonts w:ascii="Times New Roman" w:cs="Times New Roman" w:eastAsia="Times New Roman" w:hAnsi="Times New Roman"/>
          <w:sz w:val="18"/>
          <w:szCs w:val="18"/>
          <w:color w:val="auto"/>
        </w:rPr>
      </w:pPr>
    </w:p>
    <w:p>
      <w:pPr>
        <w:ind w:left="300" w:hanging="292"/>
        <w:spacing w:after="0" w:line="282" w:lineRule="auto"/>
        <w:tabs>
          <w:tab w:leader="none" w:pos="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consequences associated with tariffs, changes in trade restrictions or relationships, potential retaliatory tariffs and actions from other countries, customs charges, bureaucratic requirements, and other trade barriers;</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staffing and managing foreign operations; and</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protecting, maintaining, enforcing or procuring intellectual property rights.</w:t>
      </w:r>
    </w:p>
    <w:p>
      <w:pPr>
        <w:spacing w:after="0" w:line="17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collection and transfer of personal data and human samples is subject to increasing regulatory authority around the world. For example, Europe and China have adopted or are in the process of adopting data protections laws, regulations, and practice standards covering personal data, medical samples and data, and their potential transfer across national borders. In some cases, consent from individuals and the opportunity for revocation of consent, handling by local entities, and approvals from regulatory bodies may be required, and enforcement may include suspension of the ability to conduct business in the regulated jurisdiction along with civil fines and criminal penalties. This could increase our compliance costs and subject us to significant risks of doing business in these jurisdictions, and any failure to comply with these laws, rules, and regulations could materially and adversely affect our revenue and business operations.</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particular, there is currently significant uncertainty about the future relationship between the United States and various other countries, most significantly China, with respect to trade policies, treaties, tariffs, taxes, and other limitations on cross-border operations. The U.S. government has made and continues to make significant additional changes in U.S. trade policy and may continue to take future actions that could negatively impact U.S. trade.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would be materially and adversely affected.</w:t>
      </w:r>
    </w:p>
    <w:p>
      <w:pPr>
        <w:spacing w:after="0" w:line="13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If one or more of these risks occurs, it could require us to dedicate significant resources to remedy such occurrence, and if we are unsuccessful in finding a solution, our financial results will suffer.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portion of our international sales is and will be conducted through third-party distributors, and we will not control their efforts to sell our products. If our relationships with these third-party distributors cannot be established or deteriorate, or if these third-party distributors fail to sell our products, or engage in activities that harm our reputation, our results of operations and business may be negatively affected.</w:t>
      </w:r>
    </w:p>
    <w:p>
      <w:pPr>
        <w:spacing w:after="0" w:line="12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Our current commercial model includes direct sales in the United States and elsewhere, and we have built and are building relationships with third party distributors and channel partners in various countries, to enable us to enter additional markets more efficiently. If we are unable to enter or maintain such distribution arrangements on acceptable terms, or at all, we may not be able to successfully commercialize our products in certain countries.</w:t>
      </w:r>
    </w:p>
    <w:p>
      <w:pPr>
        <w:spacing w:after="0" w:line="12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Furthermore, distributors can choose the level of effort that they apply to selling our products relative to others in their portfolio. Our distributors may not commit the necessary resources to market our products or may favor the products of other companies. The selection, training, and compensation of distributors’ sales personnel are within their control rather than our own and may vary significantly in quality from distributor to distributor. They may experience their own financial difficulties, or distribution relationships may be terminated or allowed to expire, which could increase the cost of or impede commercialization of our products in applicable countries. Disputes may also arise between us and our distributors that result in the delay or termination of commercialization or that result in costly litigation or arbitration that diverts management’s attention and resources. Distributors may not properly maintain or defend our intellectual property rights or may use our intellectual property, and our confidential or proprietary information in such a way as to invite litigation that could jeopardize or invalidate our intellectual property rights, and confidential or proprietary information, and expose us to potential litigation. Distributors could move forward with competing products developed either independently or in collaboration with others, including our competitors.</w:t>
      </w:r>
    </w:p>
    <w:p>
      <w:pPr>
        <w:spacing w:after="0" w:line="140"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In addition, although we intend to require contract terms obligating our distributors to comply with all applicable laws regarding the sale of our products, including regulatory labeling, protection of personal data, U.S. export regulations and the FCPA, we may not be able to ensure proper compliance. If our distributors fail to effectively market and sell our products in full compliance with applicable laws and regulations, our results of operations and business may suffer.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life sciences technology market is highly competitive. If we fail to compete effectively, our business and results of operations will suffer.</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face significant competition in the life sciences technology market. We currently compete with life sciences technology and the diagnostic companies that are supplying components, products and services that serve customers engaged in proteomics analysis. These companies include Agilent Technologies, Bio-Techne, Bruker, Danaher, DiaSorin, and Thermo Fisher Scientific. We also compete with a number of companies that have developed, or are developing, proteomic products and solutions, such as Alamar Biosciences, Nautilus Biotechnology, Quanterix, Quantum-Si and Standard BioTools.</w:t>
      </w:r>
    </w:p>
    <w:p>
      <w:pPr>
        <w:spacing w:after="0" w:line="12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Some of our current competitors are large publicly-traded companies, or are divisions of large publicly-traded companies, and may enjoy a number of competitive advantages over us, including:</w:t>
      </w:r>
    </w:p>
    <w:p>
      <w:pPr>
        <w:spacing w:after="0" w:line="108" w:lineRule="exact"/>
        <w:rPr>
          <w:sz w:val="20"/>
          <w:szCs w:val="20"/>
          <w:color w:val="auto"/>
        </w:rPr>
      </w:pPr>
    </w:p>
    <w:p>
      <w:pPr>
        <w:ind w:left="300" w:hanging="292"/>
        <w:spacing w:after="0"/>
        <w:tabs>
          <w:tab w:leader="none" w:pos="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name and brand recognition;</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and human resources;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product lines;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sales forces and more established distributor networks;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intellectual property portfolios;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00" w:hanging="292"/>
        <w:spacing w:after="0"/>
        <w:tabs>
          <w:tab w:leader="none" w:pos="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and more established customer bases and relationships; and</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established, larger scale and lower cost manufacturing capabilities.</w:t>
      </w:r>
    </w:p>
    <w:p>
      <w:pPr>
        <w:spacing w:after="0" w:line="1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also face competition from researchers developing their own products. The area in which we compete involves rapid innovation and some of our customers have in the past, and more may in the future, elect to create their own assays rather than rely on a third-party supplier such as ourselves. This is particularly true for the largest research centers and laboratories who are continually testing and trying new technologies, whether from a third-party vendor or developed internally. We will also compete for the resources our customers allocate for purchasing a wide range of products used to analyze the proteome, some of which may be additive to or complementary with our own but not directly competitive.</w:t>
      </w:r>
    </w:p>
    <w:p>
      <w:pPr>
        <w:spacing w:after="0" w:line="1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cannot assure you that our products will compete favorably or that we will be successful in the face of increasing competition from products and technologies introduced by our existing or future competitors, companies entering our markets or developed by our customers internally. In addition, we cannot assure you that our competitors do not have or will not develop products or technologies that currently or in the future will enable them to produce competitive products with greater capabilities or at lower costs than ours or that are able to run comparable experiments at a lower total experiment cost. Any failure to compete effectively could materially and adversely affect our business, financial condition and operating results.</w:t>
      </w:r>
    </w:p>
    <w:p>
      <w:pPr>
        <w:spacing w:after="0" w:line="12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to fund commercialization plans for the Proteograph Product Suite, including manufacturing, sales and marketing activities, expand our investments in research, and develop and commercialize new products and applications.</w:t>
      </w:r>
    </w:p>
    <w:p>
      <w:pPr>
        <w:spacing w:after="0" w:line="1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Based on our current plans, we believe that our current cash, cash equivalents and investments will be sufficient to meet our anticipated cash flow requirements for at least twelve months from the date of this Quarterly Report. If our available cash resources and anticipated cash flow from operations are insufficient to satisfy our liquidity requirements including because of lower demand for our products or the realization of other risks described in this Quarterly Report, we may be required to raise additional capital prior to such time through issuances of equity or convertible debt securities, entrance into a credit facility or another form of third-party funding or seek other debt financing.</w:t>
      </w:r>
    </w:p>
    <w:p>
      <w:pPr>
        <w:spacing w:after="0" w:line="129" w:lineRule="exact"/>
        <w:rPr>
          <w:sz w:val="20"/>
          <w:szCs w:val="20"/>
          <w:color w:val="auto"/>
        </w:rPr>
      </w:pPr>
    </w:p>
    <w:p>
      <w:pPr>
        <w:ind w:right="980"/>
        <w:spacing w:after="0" w:line="282" w:lineRule="auto"/>
        <w:rPr>
          <w:sz w:val="20"/>
          <w:szCs w:val="20"/>
          <w:color w:val="auto"/>
        </w:rPr>
      </w:pPr>
      <w:r>
        <w:rPr>
          <w:rFonts w:ascii="Times New Roman" w:cs="Times New Roman" w:eastAsia="Times New Roman" w:hAnsi="Times New Roman"/>
          <w:sz w:val="18"/>
          <w:szCs w:val="18"/>
          <w:color w:val="auto"/>
        </w:rPr>
        <w:t>We will consider raising additional capital in the future to expand our business, to pursue strategic investments, to take advantage of financing opportunities or for other reasons, including:</w:t>
      </w:r>
    </w:p>
    <w:p>
      <w:pPr>
        <w:spacing w:after="0" w:line="108" w:lineRule="exact"/>
        <w:rPr>
          <w:sz w:val="20"/>
          <w:szCs w:val="20"/>
          <w:color w:val="auto"/>
        </w:rPr>
      </w:pPr>
    </w:p>
    <w:p>
      <w:pPr>
        <w:ind w:left="300" w:hanging="292"/>
        <w:spacing w:after="0"/>
        <w:tabs>
          <w:tab w:leader="none" w:pos="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sales and marketing and other commercialization efforts to drive market adoption of the Proteograph Product Suite;</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development and marketing efforts of the Proteograph Product Suite or any other future products;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technologies into additional markets;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licensing or investing in technologies and other intellectual property rights;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or investing in complementary businesses or assets; and</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capital expenditures and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present and future funding requirements will depend on many factors, including:</w:t>
      </w:r>
    </w:p>
    <w:p>
      <w:pPr>
        <w:spacing w:after="0" w:line="171" w:lineRule="exact"/>
        <w:rPr>
          <w:sz w:val="20"/>
          <w:szCs w:val="20"/>
          <w:color w:val="auto"/>
        </w:rPr>
      </w:pPr>
    </w:p>
    <w:p>
      <w:pPr>
        <w:ind w:left="300" w:right="180" w:hanging="292"/>
        <w:spacing w:after="0" w:line="282" w:lineRule="auto"/>
        <w:tabs>
          <w:tab w:leader="none" w:pos="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commercializing the Proteograph Product Suite and new products, and the cost of the sales and marketing activities associated with establishing adoption of our products;</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and cost of research and development activities associated with, products in research and development; and</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various ways we could raise additional capital carry potential risks. If we raise funds by issuing equity securities, dilution to our stockholders could result. If we raise funds by issuing debt securities, those debt securities would have rights, preferences and privileges senior to those of holders of our Class A common stock. The terms of debt securities issued or borrowings pursuant to a credit agreement could impose significant restrictions on our operations. If we borrow funds from or deposit funds in banks or other financial institutions, we might encounter increasingly restrictive requirements and be subject to their solvency risk. If we raise funds through collaborations or licensing arrangements, we might be required to relinquish significant rights to our technologies or products or grant licenses on terms that are not favorable to us.</w:t>
      </w:r>
    </w:p>
    <w:p>
      <w:pPr>
        <w:spacing w:after="0" w:line="133"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spacing w:after="0" w:line="11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companies, or their assets or technologies, enter into joint ventures, or make other strategic investments in companies, which could divert our management’s attention, result in additional dilution to our stockholders and otherwise disrupt our operations and harm our operating results.</w:t>
      </w:r>
    </w:p>
    <w:p>
      <w:pPr>
        <w:spacing w:after="0" w:line="121"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We may in the future seek to acquire businesses, applications or technologies that we believe could complement or expand the Proteograph Product Suite or future products or services, enhance our technical capabilities or otherwise offer growth opportunities.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To date, the growth of our operations has been organic, and 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also may make investments in early-stage companies that we believe are advancing or developing new technologies applicable to our businesses. These investments are generally illiquid at the time of investment. We have and expect to continue to recognize gains or losses attributable to adjustments of the investments’ fair value, including impairments up to and including the full value of the investment, which events are generally outside of our control such as the success or failure of the company and market volatility. In some cases, we may also enter into separate commercial arrangements with these companies, whether before, concurrently with, or after making an investment. In certain cases, the commercial arrangement may be a driving factor behind our investment. We cannot assure you that the commercial arrangement will further our business strategy as we expected. We may not realize all the economic benefits expected from the commercial agreement or realize the expected return on our investments.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benefits of PrognomiQ as a separate healthcare company in the area of disease testing.</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August 2020, we transferred certain assets to PrognomiQ, as a separate healthcare company to help enable the growth of ecosystems around new applications that leverage the Proteograph solution for unbiased, deep and large-scale proteomic information. In August 2024, the Company entered into a preferred stock purchase agreement with PrognomiQ, pursuant to which the Company purchased $10.0 million of PrognomiQ's Series D Preferred Stock. Subsequently, on July 31, 2025, the Company made an additional $1.9 million investment in the same series. As of June 30, 2025, we held approximately 25% of the outstanding capital stock of PrognomiQ. We may not realize the potential benefits of forming PrognomiQ for a variety of reasons, including:</w:t>
      </w:r>
    </w:p>
    <w:p>
      <w:pPr>
        <w:spacing w:after="0" w:line="129" w:lineRule="exact"/>
        <w:rPr>
          <w:sz w:val="20"/>
          <w:szCs w:val="20"/>
          <w:color w:val="auto"/>
        </w:rPr>
      </w:pPr>
    </w:p>
    <w:p>
      <w:pPr>
        <w:ind w:left="300" w:hanging="292"/>
        <w:spacing w:after="0"/>
        <w:tabs>
          <w:tab w:leader="none" w:pos="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PrognomiQ may be unable to successfully develop viable testing products;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PrognomiQ’s business may not help demonstrate the value of the Proteograph;</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reach agreement with PrognomiQ on future commercial arrangements;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PrognomiQ may need to raise additional funding in the future and be unable to do so; and</w:t>
      </w:r>
    </w:p>
    <w:p>
      <w:pPr>
        <w:spacing w:after="0" w:line="171" w:lineRule="exact"/>
        <w:rPr>
          <w:rFonts w:ascii="Times New Roman" w:cs="Times New Roman" w:eastAsia="Times New Roman" w:hAnsi="Times New Roman"/>
          <w:sz w:val="18"/>
          <w:szCs w:val="18"/>
          <w:color w:val="auto"/>
        </w:rPr>
      </w:pPr>
    </w:p>
    <w:p>
      <w:pPr>
        <w:ind w:left="300" w:right="800" w:hanging="292"/>
        <w:spacing w:after="0" w:line="282" w:lineRule="auto"/>
        <w:tabs>
          <w:tab w:leader="none" w:pos="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formation of PrognomiQ and our continuing equity position in PrognomiQ may add complexities to our business from a finance, tax and accounting perspective.</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Further, PrognomiQ is a separate entity, and as such, may decide over time to pursue a different business model, decide to do business with our competitors in addition to or instead of with us, be acquired by a competitor or take other actions that may not be beneficial to 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Financial Reporting</w:t>
      </w:r>
    </w:p>
    <w:p>
      <w:pPr>
        <w:spacing w:after="0" w:line="17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required by Section 404 of the Sarbanes-Oxley Act to evaluate the effectiveness of our internal control over financial reporting. If we are unable to achieve and maintain effective internal controls, our operating results and financial condition could be harmed and the market price of our Class A common stock may be negatively affected.</w:t>
      </w:r>
    </w:p>
    <w:p>
      <w:pPr>
        <w:spacing w:after="0" w:line="1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As a public company with SEC reporting obligations, we are required to document and test our internal control procedures to satisfy the requirements of Section 404(a) of the Sarbanes-Oxley Act (SOX), which requires annual assessments by management of the effectiveness of our internal control over financial reporting. Because we re-qualified as a smaller reporting company, as of December 31, 2024, we are a non-accelerated filer and are no longer required to comply with the auditor attestation requirements regarding the effectiveness of our internal control over financial reporting under Section 404(b) of the Sarbanes-Oxley Act until we become an accelerated filer or large accelerated filer.</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our assessments, we may identify deficiencies that we are unable to remediate in a timely manner. Testing and maintaining our internal control over financial reporting may also divert management’s attention from other matters that are important to the operation of our business. We may not be able to conclude on an ongoing basis that we have effective internal control over financial reporting in accordance with Section 404(a) of SOX. If we conclude that our internal control over financial reporting is not effective, the cost and scope of remediation actions and their effect on our operations may be significant. Moreover, any material weaknesses or other deficiencies in our internal control over financial reporting may impede our ability to file timely and accurate reports with the SEC, and there could be a failure to meet exchange listing requirements. Any of the above could cause investors to lose confidence in our reported financial information or our Class A common stock listing on Nasdaq to be suspended or terminated, which could have a negative effect on the trading price of our common stock.</w:t>
      </w:r>
    </w:p>
    <w:p>
      <w:pPr>
        <w:spacing w:after="0" w:line="134"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or otherwise fail to comply with the Sarbanes-Oxley Act of 2002, we may not be able to accurately and timely report our financial results, which may adversely affect our business and investor confidence in us and, as a result, the value of our Class A common stock.</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If we are unable to successfully maintain internal control over financial reporting, or identify any material weaknesses, the accuracy and timing of our financial reporting may be adversely affected. Any failure to implement and maintain effective internal control over financial reporting could cause investors to lose confidence in our reported financial and other information, adversely impact our stock price, cause us to incur increased costs to remediate any deficiencies, and attract regulatory scrutiny or lawsuits that could be costly to resolve and distract management’s attention, limit our ability to access the capital markets or cause our stock to be delisted from The Nasdaq Global Select Market or any other securities exchange on which it is then listed. Failure to remedy any material weakness in our internal control over financial reporting, or to implement or maintain other effective control systems required of public companies, could also restrict our future access to the capital markets.</w:t>
      </w:r>
    </w:p>
    <w:p>
      <w:pPr>
        <w:spacing w:after="0" w:line="13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in a timely manner or prevent fraud, which would harm our business.</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404(a) of SOX or any subsequent testing by our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condensed consolidated financial statements or identify other areas for further attention or improvement. We are also required to disclose material changes made in our internal controls over financing reporting and procedures on a quarterly basis and our management is required to assess the effectiveness of these controls annually. Remediation of previous material weaknesses may not be effective or prevent any future deficiency in our internal control over financial reporting. Ineffective internal controls could also cause investors to lose confidence in our reported financial information, which could have a negative effect on the trading price of our Class A common stock.</w:t>
      </w:r>
    </w:p>
    <w:p>
      <w:pPr>
        <w:spacing w:after="0" w:line="14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To achieve compliance with Section 404(a) within the prescribed period, we have engaged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independent assessment of the effectiveness of our internal controls could detect problems that our management’s assessment might not identify.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Undetected material weaknesses in our internal controls could lead to financial statement restatements and require us to incur the expense of remediation.</w:t>
      </w:r>
    </w:p>
    <w:p>
      <w:pPr>
        <w:spacing w:after="0" w:line="14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or evolving interpretations of, financial accounting rules, regulations, standards or practices could result in unfavorable accounting changes, require us to, for example, change our compensation policies or restate our financial statements, or cause adverse, unexpected fluctuations in our operating results, resulting in a decline in the market price of our Class A common stock.</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assumptions that affect the amounts reported in our condensed consolidated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revenue and expenses that are not readily apparent from other sources. However, we have a limited operating history. It is possible that interpretation, industry practice and guidance may evolve as we apply the new standard. If our assumptions underlying our estimates and judgments relating to our critical accounting policies change or if actual circumstances differ from our assumptions, estimates or judgments, or if accounting rules, regulations, standards or practices change, our compensation practices may need to change or our financial statements may need to be restated, and our operating results may be adversely affected and could fall below our publicly announced guidance or the expectations of securities analysts and investors, resulting in a decline in the market price of our Class A common stock.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Compliance</w:t>
      </w:r>
    </w:p>
    <w:p>
      <w:pPr>
        <w:spacing w:after="0" w:line="171"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elect to label and promote any of our products as clinical diagnostics tests or medical devices, we would be required to obtain prior approval or clearance by the FDA, which would take significant time and expense and could fail to result in FDA clearance or approval for the intended uses we believe are commercially attractive.</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products are labeled, promoted, and sold as research use only (RUO) products, primarily to academic and research institutions and research companies, and are not designed or intended to be used for diagnostic procedures, clinical diagnostic tests or as medical devices. If we elect to label and market our products for use as, or in the performance of, clinical diagnostics in the United States, thereby subjecting them to U.S. Food and Drug Administration (FDA) regulation as medical devices, we would be required to obtain premarket 510(k) clearance or premarket approval from the FDA, unless an exception applies.</w:t>
      </w:r>
    </w:p>
    <w:p>
      <w:pPr>
        <w:spacing w:after="0" w:line="1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and some of the requirements of the FDA’s Quality System Regulations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 The FDA issued a final rule in February 2024 replacing the QSR with Quality Management System Regulation (QMSR), which incorporates by reference the quality management system requirements of ISO 13485:2016. The FDA has stated that the standards contained in ISO 13485:2016 are substantially similar to those set forth in the existing QSR. FDA will begin to enforce the QMSR requirements upon the effective date, February 2, 2026.</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In January 2024, FDA announced its plans to reclassify certain high-risk in vitro diagnostics, including companion diagnostics, as Class II devices. In addition, we may in the future submit 510(k) premarket notifications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approved or cleared by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141" w:lineRule="exact"/>
        <w:rPr>
          <w:sz w:val="20"/>
          <w:szCs w:val="20"/>
          <w:color w:val="auto"/>
        </w:rPr>
      </w:pPr>
    </w:p>
    <w:p>
      <w:pPr>
        <w:ind w:right="240"/>
        <w:spacing w:after="0" w:line="257" w:lineRule="auto"/>
        <w:rPr>
          <w:sz w:val="20"/>
          <w:szCs w:val="20"/>
          <w:color w:val="auto"/>
        </w:rPr>
      </w:pPr>
      <w:r>
        <w:rPr>
          <w:rFonts w:ascii="Times New Roman" w:cs="Times New Roman" w:eastAsia="Times New Roman" w:hAnsi="Times New Roman"/>
          <w:sz w:val="18"/>
          <w:szCs w:val="18"/>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modifications or improvements to such products.</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Europe, we would need to comply with the new Medical Device Regulation 2017/745 and In Vitro Diagnostic Regulation 2017/746, which became effective on May 26, 2021 (postponed from 2020) and May 26, 2022 respectively. In 2023, the European Parliament voted to extend the transition timelines for MDR and IVDR. These regulations increase the clinical requirements and will increase the difficulty of regulatory approvals in Europe.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do not currently expect the Proteograph Product Suite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as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which could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spacing w:after="0" w:line="13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Legislative and administrative proposals to amend the FDA's oversight of LDTs have been introduced in recent years, including the Verifying Accurate Leading-edge IVCT Development Act of 2021 (VALID Act). In May 2024, the FDA published a final rule to regulate LDTs, which was vacated by the Texas district court in March 2025. In June 2024, the U.S. Supreme Court overruled the case that established the </w:t>
      </w:r>
      <w:r>
        <w:rPr>
          <w:rFonts w:ascii="Times New Roman" w:cs="Times New Roman" w:eastAsia="Times New Roman" w:hAnsi="Times New Roman"/>
          <w:sz w:val="18"/>
          <w:szCs w:val="18"/>
          <w:i w:val="1"/>
          <w:iCs w:val="1"/>
          <w:color w:val="auto"/>
        </w:rPr>
        <w:t>Chevron</w:t>
      </w:r>
      <w:r>
        <w:rPr>
          <w:rFonts w:ascii="Times New Roman" w:cs="Times New Roman" w:eastAsia="Times New Roman" w:hAnsi="Times New Roman"/>
          <w:sz w:val="18"/>
          <w:szCs w:val="18"/>
          <w:color w:val="auto"/>
        </w:rPr>
        <w:t xml:space="preserve"> doctrine, which gives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the LDT final rule and other rules and policies of the FDA. We cannot predict the outcome of these judicial challenges or how Congress or the FDA will regulate LDTs in the future, or how that regulatory system will impact our business. Changes to the current regulatory framework, including the imposition of additional or new regulations, including regulation of our products, could arise at any time during the development or marketing of our products, which may negatively affect our ability to obtain or maintain FDA or comparable regulatory approval of our products, if required. Further, sales of devices for diagnostic purposes may subject us to additional healthcare regulation and enforcement by the applicable government agencies. There is significant uncertainty in the life sciences industry due to layoffs at the federal agencies, like the FDA, tariffs, and funding cuts for research, which can have a material effect on the operations of our customers and their demand for our products. Such laws include, without limitation, state and federal anti-kickback or anti-referral laws, healthcare fraud and abuse laws, false claims laws, privacy and security laws, Physician Payments Sunshine Act and related transparency and manufacturer reporting laws, and other laws and regulations applicable to medical device manufacturers.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3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It is unclear how future legislation, executive orders, new regulations, and other actions by federal and state governments, including changes in the leadership of FDA and other federal agencies, will impact the industry, including our business and that of our customers. Budget cuts, layoffs at federal agencies, hiring freezes, return-to-office policies, and other measures taken by the current administration, including measures by the Department of Government Efficiency, can have a material impact on our industry, including the business of our customers and our operations. In the future, to the extent we or our partners develop any medical devices subject to FDA regulation, failure to comply with applicable regulatory requirements can result in enforcement action by the government, which may include warning letters, untitled letters, fines, injunctions, civil penalties, recall or seizure of products, among others.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71"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and enforce sufficient intellectual property protection for our products, services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rely on patent protection as well as trademark, copyright, trade secret and other intellectual property rights protection and contractual restrictions to protect our proprietary products, services and technologies, all of which provide limited protection and may not adequately protect our rights or permit us to gain or keep any competitive advantage. If we fail to obtain, maintain, enforce and protect our intellectual property, third parties may be able to compete more effectively against us. In addition, we may incur substantial litigation costs in our attempts to recover or restrict use of our intellectual property.</w:t>
      </w:r>
    </w:p>
    <w:p>
      <w:pPr>
        <w:spacing w:after="0" w:line="12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or services, our competitive position could be adversely affected, as could our business, financial condition, results of operations and prospects. Both the patent application process and the process of managing patent and other intellectual property disputes can be time-consuming, expensive and unpredictable.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success depends in large part on our and our licensor’s ability to obtain and maintain protection of the intellectual property we may own solely and jointly with, or license from, third parties, particularly patents, in the United States and other countries with respect to our products and technologies. We apply for patents covering our products and technologies and uses thereof, as we deem appropriate. However, obtaining and enforcing patents is costly, time-consuming and complex, and we may fail to apply for patents on important products, services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services and technologies that are patentable. We may not have the right to control the preparation, filing and prosecution of patent applications, or to maintain the rights to patents licensed from or to third parties. Therefore, these patents and applications may not be prosecuted and enforced by such third parties in a manner consistent with the best interests of our business.</w:t>
      </w:r>
    </w:p>
    <w:p>
      <w:pPr>
        <w:spacing w:after="0" w:line="14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countries or regions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patents are granted, they may not provide a basis for intellectual property protection of commercially viable products or services, may not provide us with any competitive advantages, or may be challenged, narrowed and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or services to compete with us. Some of our owned or licensed patents or patent applications may be challenged at a future point in time and we may not be successful in defending any such challenges made against our patents or patent applications. Any successful third-party challenge to our patents could result in the narrowing, unenforceability or invalidity of such patents and increased competition to our business. The outcome of patent litigation or other proceeding can be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 law relating to the patentability of certain inventions in the life sciences technology industry is uncertain and rapidly changing, which may adversely impact our existing patents or our ability to obtain patents in the future.</w:t>
      </w:r>
    </w:p>
    <w:p>
      <w:pPr>
        <w:spacing w:after="0" w:line="10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Changes in either the patent laws or interpretation of the patent laws in the United States or in other jurisdictions could increase the uncertainties and costs surrounding the prosecution of patent applications and the enforcement or defense of issued patents. For instance, under the Leahy-Smith America Invents Act, or the America Invents Act, enacted in September 2011, the United States transitioned to a first inventor to file system in which, assuming that other requirements for patentability are met, the first inventor to file a patent application is entitled to the patent on an invention regardless of whether a third party was the first to invent the claimed invention. These changes include allowing third-party submission of prior art to the United States Patent and Trademark Office (USPTO) during patent prosecution and additional procedures to challenge the validity of a patent by USPTO 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The America Invents Act and its implementation could increase the uncertainties and costs surrounding the prosecution of our patent applications and future patent applications, and the enforcement or defense of our issued patents, all of which could have a material adverse effect on our business, financial condition, results of operations and prospects.</w:t>
      </w:r>
    </w:p>
    <w:p>
      <w:pPr>
        <w:spacing w:after="0" w:line="13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Various courts, including the U.S. Supreme Court, have rendered decisions that impact the scope of patentability of certain inventions or discoveries relating to the life sciences technology. Specifically, these decisions stand for the proposition that patent claims that recite laws of nature or abstract ideas are not themselves patentable unless those patent claims have sufficient additional features that provide practical assurance that the processes are genuine inventive applications of those laws rather than patent drafting efforts designed to monopolize the law of nature itself. What constitutes a “sufficient” additional feature is uncertain. Furthermore, in view of these decisions, since December 2014, the USPTO has published and continues to publish revised guidelines for patent examiners to apply when examining process claims for patent eligibility.</w:t>
      </w:r>
    </w:p>
    <w:p>
      <w:pPr>
        <w:spacing w:after="0" w:line="1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may have a material adverse effect on our ability to obtain new patents and to defend and enforce our existing patents and patents that we might obtain in the future.</w:t>
      </w:r>
    </w:p>
    <w:p>
      <w:pPr>
        <w:spacing w:after="0" w:line="12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cannot assure you that our patent portfolio will not be negatively impacted by the current uncertain state of the law, new court rulings or changes in guidance or procedures issued by the USPTO or other similar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material and negative impact on our business, financial condition, prospects and results of operations.</w:t>
      </w:r>
    </w:p>
    <w:p>
      <w:pPr>
        <w:spacing w:after="0" w:line="200" w:lineRule="exact"/>
        <w:rPr>
          <w:sz w:val="20"/>
          <w:szCs w:val="20"/>
          <w:color w:val="auto"/>
        </w:rPr>
      </w:pPr>
    </w:p>
    <w:p>
      <w:pPr>
        <w:spacing w:after="0" w:line="3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Filing, prosecuting and defending patents on our technology, services and products, including the Proteograph Product Suite, in all countries throughout the world would be prohibitively expensive, and our intellectual property rights in some countries outside the United States can be less extensive than those in the United States.</w:t>
      </w:r>
    </w:p>
    <w:p>
      <w:pPr>
        <w:spacing w:after="0" w:line="12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United States, and we and our licensor may encounter difficulties in protecting and defending such rights in foreign jurisdictions. Obtaining granted patents in foreign jurisdictions is time-consuming and expensive, the outcome is unpredictable, and some countries are unable to prosecute and grant patents in a timely manner. Consequently, we and our licensor(s) may not be able to prevent third parties from practicing our inventions in some or all countries outside the United States, or from selling or importing products made using our or our licensor’s inventions in and into the United States or other jurisdictions. It is unknown whether we will be successful in obtaining patents with sufficient claim scope in certain jurisdictions to block third parties, in a cost effective or in a timely manner, and if we are unable to do so it could have a material adverse effect on our business, financial condition, results of operations and prospects in various geographies.</w:t>
      </w:r>
    </w:p>
    <w:p>
      <w:pPr>
        <w:spacing w:after="0" w:line="13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Moreover, European applications now have the option, upon grant of a patent, of becoming a Unitary Patent which will be subject to the jurisdiction of the Unitary Patent Court (UPC). This is a significant change in European patent practice. As the UPC is a new court system, there is limited precedent for the court, increasing the uncertainty of any patent litigation in Europe.</w:t>
      </w:r>
    </w:p>
    <w:p>
      <w:pPr>
        <w:spacing w:after="0" w:line="12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Competitors and other third parties may also use our technologies in jurisdictions where we have not obtained patent protection to develop their own products, services and technologies and may also export infringing products to territories where we have patent protection, but enforcement is not as strong as that in the United States. These products may compete with our products. Our and our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or companies headquartered in particular jurisdictions over our first-in-time patents and other intellectual property protection. Geopolitical actions worldwide could increase the uncertainties and costs surrounding the prosecution or maintenance of our patent applications or those of any current or future licensors and the maintenance, enforcement or defense of our issued patents or those of any current or future licensors.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Proceedings to enforce our or our licensor’s patent rights in foreign jurisdictions could result in substantial cost and divert our efforts and attention from other aspects of our business, could put our and our licensor’s patents at risk of being invalidated or interpreted narrowly and our and our licensor’s patent applications at risk of not issuing, and could provoke third parties to assert claims against us. We and our licensors may not prevail in any lawsuits that we or our licensor initiate, or that are initiated against us or our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products or services could be found invalid or unenforceable if challenged.</w:t>
      </w:r>
    </w:p>
    <w:p>
      <w:pPr>
        <w:spacing w:after="0" w:line="17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Our owned and licensed patents and patent applications may be subject to validity, enforceability and priority disputes. The issuance of a patent is not conclusive as to its inventorship, scope, validity or enforceability. Some of our patents or patent applications (including licensed patents and patent applications) have been, and may be challenged at a future point in time in third-party observations, opposition, revocation, nullification,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our licensor initiate legal proceedings against a third party to enforce a patent covering our products or services, the defendant could counterclaim that such patent covering our products or services,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lack of novelty, obviousness, lack of written description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derivation and equivalent proceedings in non-U.S. jurisdictions, such as opposition proceedings. For example, on October 7, 2024, PreOmics GmbH and Biognosys AG filed a petition for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before the USPTO (Case No. IPR2024-01473), challenging the validity of select claims of U.S. Patent No. 11,435,360 (the “’360 patent”), which is exclusively licensed from The Brigham and Women’s Hospital, Inc. (BWH); and on April 17, 2025, the Patent Trial and Appeal Board (PTAB) of the USPTO instituted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of certain claims. The petition alleges, among other things, the challenged claims are invalid for anticipation or obviousness over the prior art. In Germany, an anonymous third party initiated a nullity action against European Patent EP3554681 and a cancellation request against Utility Model Patent No. 202017007363 on November 18, 2024 and January 13, 2025, respectively, which patents are exclusively licensed from BWH. These actions allege, among other things, that the patents are invalid for lack of novelty and inventive step over the prior art. Furthermore, on May 27, 2025, an anonymous third party filed an Opposition to European Patent 4,056,263, which is exclusively licensed from BWH, alleging, among other things, that the patent is invalid for lack of novelty and inventive step. These proceedings could result in revocation of or amendment to our patents in such a way that they no longer cover and protect our products, or exclude our competitor’s products. With respect to the validity of our patents, for example, we cannot be certain that there is no invalidating prior art of which we, our licensor, our or its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on certain aspects of our products, services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may not be aware of all third-party intellectual property rights potentially relating to our products or services.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spacing w:after="0" w:line="13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technology could be materially adversely affected and our business could be harmed.</w:t>
      </w:r>
    </w:p>
    <w:p>
      <w:pPr>
        <w:spacing w:after="0" w:line="10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have relied and expect to rely heavily on trade secrets and confidentiality agreements to protect our unpatented know-how, technology and other proprietary and confidential information, including parts of the Proteograph Product Suite and related services,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between academia and industry.</w:t>
      </w:r>
    </w:p>
    <w:p>
      <w:pPr>
        <w:spacing w:after="0" w:line="1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have a material and adverse impact on our ability to establish or maintain a competitive advantage in the market and our business, financial condition, results of operations and prospects.</w:t>
      </w:r>
    </w:p>
    <w:p>
      <w:pPr>
        <w:spacing w:after="0" w:line="14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obtain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or our licensor have been, and may be, subject to claims that former employees, collaborators or other third parties have an interest in our owned or in-licensed patents, trade secrets or other intellectual property as an inventor or co-inventor. For example, on December 28, 2023, Giulio Caracciolo (Caracciolo) and Dipartimento di Medicina Molecolare Sapienza Universita di Roma filed a lawsuit against us, BWH, and other inventors alleging, among other things, that Caracciolo was wrongfully excluded as an inventor on certain patents that we have exclusively licensed from BWH. That lawsuit was dismissed with prejudice on October 25, 2024, pursuant to a stipulation of dismissal. The outcome of any claims or litigation, regardless of the merits, is inherently uncertain. Moreover, we or our licensor may have inventorship disputes arise from conflicting obligations of employees, consultants or others who are involved in developing our products. In addition, counterparties to our consulting, sponsored research, software development and other agreements may assert that they have an ownership interest in intellectual property developed under such arrangements. In particular, certain software development agreements pursuant to which certain third parties have developed parts of our proprietary software may not include provisions that expressly assign to us ownership of all intellectual property developed for us by such third parties. Furthermore, certain of our sponsored research agreements pursuant to which we provide certain research services for third parties do not assign to us all intellectual property developed under such agreements. As such, we may not have the right to use all such developed intellectual property under such agreements, we may be required to obtain licenses from third parties and such licenses may not be available on commercially reasonable terms or at all, or may be non-exclusive. If we are unable to obtain such licenses and such licenses are necessary for the development, manufacture and commercialization of our products and technologies, we may need to cease the development, manufacture and commercialization of our products and technologies.</w:t>
      </w:r>
    </w:p>
    <w:p>
      <w:pPr>
        <w:spacing w:after="0" w:line="14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Litigation has been, and may be, necessary to defend against these and other claims challenging inventorship of our or our licensor’s ownership of our owned or in-licensed patents, trade secrets or other intellectual property. If we or our licensor fail in defending any such claims, in addition to paying monetary damages, we may lose valuable intellectual property rights, such as exclusive ownership of, or right to use, intellectual property that is important to our technologies and products, including the Proteograph Product Suite, including our software, workflows, consumables, reagent kits, and related services.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and commercialization of our products, services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protect and enforce our trademarks and trade names, or build name recognition in our markets of interest thereby harming our competitive position.</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impacting our ability to build brand identity and possibly leading to market confusion. In addition, there could be potential trade name or trademark infringement claims, or other challenges to our trademarks, brought by owners of trademarks that incorporate variations of our registered or unregistered trademarks or trade names. Further, from time to time, we enter into agreements with owners of such third party trade names or trademarks to avoid potential trademark litigation which may impact our ability to use our trade names or trademarks in certain fields of business. Over the long term, if we are unable to establish name recognition based on our trademarks and trade names, then we may suffer a competitive disadvantage, and our business, financial condition, results of operations and prospects may be adversely affected. Our efforts to enforce or protect our proprietary rights related to trademarks, trade secrets,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spacing w:after="0" w:line="134"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products, services and technologies, including the Proteograph Product Suite for an adequate amount of time.</w:t>
      </w:r>
    </w:p>
    <w:p>
      <w:pPr>
        <w:spacing w:after="0" w:line="10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or services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Our commercial success depends in part on our ability and the ability of future collaborators to develop, manufacture, market and sell our product and use our products and technologies without infringing, misappropriating or otherwise violating the intellectual property rights of third parties. There is a substantial amount of litigation involving patents and other intellectual property rights in the life sciences technology sector, as well as administrative proceedings for challenging patents, including interference, derivation,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products, services, manufacturing methods, software and/or technologies infringe, misappropriate or otherwise violate their intellectual property rights. Numerous issued patents and pending patent applications that are owned by third parties exist in the fields in which we are developing our products and technologies. It is not always clear to industry participants, including us, the claim scope that may issue from pending patent applications owned by third parties or which patents cover various types of products, services, technologies or their methods of use or manufacture. Thus, because of the large number of patents issued and patent applications filed in our fields, there may be a risk that third parties, including our competitors, may allege they have patent rights encompassing our products, technologies or methods and that we are employing their proprietary technology without authorization.</w:t>
      </w:r>
    </w:p>
    <w:p>
      <w:pPr>
        <w:spacing w:after="0" w:line="13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If third parties, including our competitors, believe that our products or technologies infringe, misappropriate or otherwise violate their intellectual property, such third parties may seek to enforce their intellectual property, including patents, by filing an intellectual property-related lawsuit, including patent infringement lawsuit, against us. Even if we believe the third-party intellectual property claims are without merit, there is no assurance that a court would find in our favor on questions of infringement, validity, enforceability, or priority. For example, we are aware of a U.S. issued patent owned by a third party that is directed to a method for diagnosing a biological condition by analyzing certain types of proteins, including through the use of nanoparticles. Such patent is expected to expire in 2026, without taking into account any possible patent term adjustments or extensions. We are also aware of an issued patent and pending patent application in Europe owned by a third party directed to a method of identifying biomarkers in biofluids using nanoparticles, which is projected to expire in 2037 without taking into account any possible patent term extensions. Such patents and patent application could be construed or claim scope obtained to cover certain aspects of our current or future products, services or technologies, including the Proteograph Product Suite. If any of these third parties, or any other third parties, were to assert these or any other patents against us and we are unable to successfully defend against any such assertion, we may be required, including by court order, to cease the development and commercialization of the infringing products, services or technologies and we may be required to redesign such products, services or technologies so they do not infringe such patents, which may not be possible or may require substantial monetary expenditures and time. We could also be required to pay damages, which could be significant, including treble damages and attorneys’ fees if we are found to have willfully infringed such patents. We could also be required to obtain a license to such patents in order to continue the development and commercialization of the infringing product or technology, however such a license may not be available on commercially reasonable terms or at all, including because certain of these patents are held by or may be licensed to our competitors. Even if such license were available, it may require substantial payments or cross-licenses under our intellectual property rights, and it may only be available on a nonexclusive basis, in which case third parties, including our competitors, could use the same licensed intellectual property to compete with us. Any of the foregoing could have a material adverse effect on our business, financial condition, results of operations or prospects.</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 xml:space="preserve">We have, and may in the future, choose to challenge, including in connection with any allegation of patent infringement by a third party, the patentability, validity or enforceability of any third-party patent that we believe may have applicability in our field, and any other third-party patent that may be asserted against us. Such challenges may be brought either in court or by requesting that the USPTO, European Patent Office, or other foreign patent offices review the patent claims, such as in an </w:t>
      </w:r>
      <w:r>
        <w:rPr>
          <w:rFonts w:ascii="Times New Roman" w:cs="Times New Roman" w:eastAsia="Times New Roman" w:hAnsi="Times New Roman"/>
          <w:sz w:val="17"/>
          <w:szCs w:val="17"/>
          <w:i w:val="1"/>
          <w:iCs w:val="1"/>
          <w:color w:val="auto"/>
        </w:rPr>
        <w:t>ex-parte</w:t>
      </w:r>
      <w:r>
        <w:rPr>
          <w:rFonts w:ascii="Times New Roman" w:cs="Times New Roman" w:eastAsia="Times New Roman" w:hAnsi="Times New Roman"/>
          <w:sz w:val="17"/>
          <w:szCs w:val="17"/>
          <w:color w:val="auto"/>
        </w:rPr>
        <w:t xml:space="preserve"> reexamination,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post-grant review proceeding, opposition or other comparable proceeding.</w:t>
      </w:r>
    </w:p>
    <w:p>
      <w:pPr>
        <w:spacing w:after="0" w:line="3" w:lineRule="exact"/>
        <w:rPr>
          <w:sz w:val="20"/>
          <w:szCs w:val="20"/>
          <w:color w:val="auto"/>
        </w:rPr>
      </w:pPr>
    </w:p>
    <w:p>
      <w:pPr>
        <w:ind w:right="380"/>
        <w:spacing w:after="0" w:line="253" w:lineRule="auto"/>
        <w:rPr>
          <w:sz w:val="20"/>
          <w:szCs w:val="20"/>
          <w:color w:val="auto"/>
        </w:rPr>
      </w:pPr>
      <w:r>
        <w:rPr>
          <w:rFonts w:ascii="Times New Roman" w:cs="Times New Roman" w:eastAsia="Times New Roman" w:hAnsi="Times New Roman"/>
          <w:sz w:val="18"/>
          <w:szCs w:val="18"/>
          <w:color w:val="auto"/>
        </w:rPr>
        <w:t>However, there can be no assurance that any such challenge by us or any third party will be successful. Even if such proceedings are successful, these proceedings are expensive and may consume our time or other resources, distract our management and technical personnel, and the costs of these proceedings could be substantial. There can be no assurance that our defenses of non-infringement, invalidity or unenforceability in a court of law will succeed.</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Third parties, including our competitors, could be infringing, misappropriating or otherwise violating our owned and in-licensed intellectual property rights. Monitoring unauthorized use of our intellectual property is difficult and costly. We may not be able to detect unauthorized use of, or take appropriate steps to enforce, our intellectual property rights. From time to time, we seek to analyze our competitors’ products and services, and may in the future seek to enforce our rights against potential infringement, misappropriation or violation of our intellectual property. However, the steps we have taken to protect our intellectual property rights may not be adequate to enforce our rights as against such infringement, misappropriation or violation of our intellectual property. Any inability to meaningfully enforce our intellectual property rights could harm our ability to compete and reduce demand for our products and technologies.</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Litigation proceedings may be necessary for us to enforce our patent and other intellectual property rights. In any such proceedings, a court may refuse to stop the other party from using the technology at issue on the grounds that our owned and in-licensed patents do not cover the technology in question. Further, in such proceedings, the defendant could counterclaim that our intellectual property is invalid or unenforceable and the court may agree, in which case we could lose valuable intellectual property rights, which could allow third parties to commercialize technology, services or products similar to ours and compete directly with us, without payment to us, or could require us to obtain license rights from the prevailing party in order to be able to manufacture or commercialize our products without infringing such party’s intellectual property rights, and if we are unable to obtain such a license, we may be required to cease commercialization of our products, services and technologies, any of which could have a material adverse effect on our business, financial condition, results of operations and prospects. The outcome in any such proceedings is unpredictable.</w:t>
      </w:r>
    </w:p>
    <w:p>
      <w:pPr>
        <w:spacing w:after="0" w:line="13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Regardless of whether we are defending against or asserting any intellectual property-related proceeding, any such intellectual property-related proceeding, regardless of outcome, could result in substantial costs and diversion of resources and could have a material adverse effect on our business, financial condition, results of operations and prospects. Furthermore, because of the substantial amount of discovery that may be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Class A common stock. Some of our competitors and other third parties may be able to sustain the costs of such litigation or proceedings more effectively than we can because of their greater financial resources and more mature and developed intellectual property portfolios. We may not have sufficient financial or other resources to adequately conduct these types of litigation or proceedings. Any of the foregoing, or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 Claims that we have misappropriated the confidential information or trade secrets of third parties could have a similar material adverse effect on our business, financial condition, results of operations and prospects.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rely on our licensor to pay these fees due to the U.S. and non-U.S. patent agencies and to take the necessary action to comply with these requirements with respect to our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spacing w:after="0" w:line="130"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consultants, advisors or independent contractors may have wrongfully used or disclosed, or may in the future wrongfully use or disclose, confidential information or alleged trade secrets of ours, third parties or former employers of theirs.</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employed and expect to employ individuals, and engaged and expect to engage consultants, who were previously employed, or consulted, at academic institutions and other companies and entities, including our competitors or potential competitors. Although we try to ensure that our employees, consultants, advisors and independent contractors do not use confidential or proprietary information or know-how of others in their work for us, we may be subject to claims that our employees, advisors, consultants or independent contractors have inadvertently or otherwise used or disclosed intellectual property, including trade secrets or other confidential or proprietary information of their former employers or other third parties, or to claims that we have improperly used or obtained such trade secrets. Domestic or international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spacing w:after="0" w:line="136"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Furthermore, we or our licensor have been, or may be, subject to claims by former employees, consultants or other third parties asserting an ownership right in our owned or licensed patents or patent applications. For example, as discussed above, a lawsuit was filed relating to inventorship for certain patents that we have exclusively licensed from BWH.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or services without infringing third-party patent rights. Any of the foregoing could harm our business, financial condition, results of operations and prospects.</w:t>
      </w:r>
    </w:p>
    <w:p>
      <w:pPr>
        <w:spacing w:after="0" w:line="131"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a license from a third party, and in the future may rely on additional licenses from other third parties, in relation to our technologies, services and products, including the Proteograph Product Suite and related services, and if we lose any of these licenses, then we may be subjected to future litigation.</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are, and may in the future become, a party to license agreements that grant us rights to use certain intellectual property, including patents and patent applications, typically in certain specified fields of use. Currently, we rely on an in-license from BWH, for patents, for example, relating to methods of using nanoparticles to measure the proteome, including the methods used in the Proteograph Product Suite and may in the future rely on licenses from other third parties with respect to our products, including the Proteograph Product Suite, or other technology. Our rights to use licensed technology in our business are subject to the continuation of and compliance with the terms of the BWH license and any licenses we may enter into in the future. Some of these licensed rights provide us with freedom to operate for aspects of our products and technologies. As a result, any termination of this license could result in the loss of significant rights and could harm our ability to develop, manufacture and commercialize our products, including the Proteograph Product Suite. We may need to obtain additional licenses from others to advance our research, development and commercialization activities. For instance, under our license agreement with BWH, we currently in-license a patent family which includes methods used in the Proteograph Product Suite and related services, and to the extent any additional intellectual property developed by BWH that are not included in such licensed patent families are necessary or useful for the Proteograph Product Suite or any other product, services or technology, we would need to negotiate for additional licenses to such additional intellectual property. Such licenses may not be available on commercially reasonable terms or at all, or may be non-exclusive, in which case third parties, including our competitors, could use the same licensed intellectual property to compete with us. Any of the foregoing could have a material adverse effect on our business, financial condition, results of operations or prospects.</w:t>
      </w:r>
    </w:p>
    <w:p>
      <w:pPr>
        <w:spacing w:after="0" w:line="14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success may depend in part on the ability of our licensor and any future licensors to obtain, maintain and enforce patent protection for our licensed intellectual property. Under our license agreement with BWH and under any licenses we may enter into in the future, BWH controls, and future licensors may control, the prosecution, maintenance and enforcement of patents and patent applications that are licensed to us. BWH or any future licensors may not successfully prosecute the patent applications we license or prosecute such patent applications in our best interest. Even if patents issue in respect of these patent applications, BWH and any future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and technologies for sale, which could materially adversely affect our competitive business position and harm our business prospects, financial condition or results of operations.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any license, collaboration or other agreements, we may be required to pay damages and could lose intellectual property rights necessary for developing and protecting our technologies, services and products, including the Proteograph Product Suite and related services, or we could lose certain rights to grant sublicenses.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Future agreements may impose, and our current license agreement imposes, various diligence, commercialization, funding, milestone payment, royalty, sublicensing, insurance, patent prosecution and enforcement and other obligations on us and require us to meet development timelines, or to exercise commercially reasonable efforts to develop and commercialize licensed products, in order to maintain the licenses. If we fail to comply with any of these obligations, a licensor(s) may have the right to terminate our license and/or we may be required to pay damages, in which event we would not be able to develop or market products or technology covered by the licensed intellectual property. In addition, while we cannot currently determine the amount of any future royalty obligations we would be required to pay on future sales of a licensed product, the amount may be significant. The amount of our future royalty obligations will depend on the technology and intellectual property we use in products we commercialize, if at all. Therefore, even if we successfully develop and commercialize existing or future products, we may be unable to achieve or maintain profitability. Any of the foregoing could have a material adverse effect on our competitive position, business, financial conditions, results of operations and prospects.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Moreover, disputes may also arise between us and our licensor regarding intellectual property subject to a license agreement, including:</w:t>
      </w:r>
    </w:p>
    <w:p>
      <w:pPr>
        <w:spacing w:after="0" w:line="171" w:lineRule="exact"/>
        <w:rPr>
          <w:sz w:val="20"/>
          <w:szCs w:val="20"/>
          <w:color w:val="auto"/>
        </w:rPr>
      </w:pPr>
    </w:p>
    <w:p>
      <w:pPr>
        <w:ind w:left="300" w:hanging="292"/>
        <w:spacing w:after="0"/>
        <w:tabs>
          <w:tab w:leader="none" w:pos="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or other obligations under the license agreement;</w:t>
      </w:r>
    </w:p>
    <w:p>
      <w:pPr>
        <w:spacing w:after="0" w:line="171" w:lineRule="exact"/>
        <w:rPr>
          <w:rFonts w:ascii="Times New Roman" w:cs="Times New Roman" w:eastAsia="Times New Roman" w:hAnsi="Times New Roman"/>
          <w:sz w:val="18"/>
          <w:szCs w:val="18"/>
          <w:color w:val="auto"/>
        </w:rPr>
      </w:pPr>
    </w:p>
    <w:p>
      <w:pPr>
        <w:ind w:left="300" w:right="480" w:hanging="292"/>
        <w:spacing w:after="0" w:line="282" w:lineRule="auto"/>
        <w:tabs>
          <w:tab w:leader="none" w:pos="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products, technology and processes infringe on intellectual property of the licensor that is not subject to the licensing agreement;</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17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If we do not prevail in such disputes, we may lose any or all of our rights under such license agreements, experience significant delays in the development and commercialization of our products and technologies, or incur liability for damages, any of which could have a material adverse effect on our business, financial condition, results of operations, and prospects.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currently and in the future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any affected products or services, which could have a material adverse effect on our business, financial condition, results of operations and prospects.</w:t>
      </w:r>
    </w:p>
    <w:p>
      <w:pPr>
        <w:spacing w:after="0" w:line="13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Absent the license agreements, we may infringe patents subject to those agreements, and if the license agreements are terminated, we may be subject to litigation by the licensor. Litigation could result in substantial costs to us and distract our management. If we do not prevail, we may be required to pay damages, including treble damages, attorneys’ fees, costs and expenses and royalties or be enjoined from selling our products or services, including the Proteograph Product Suite and related services, which could adversely affect our ability to offer products or services, our ability to continue operations and our business, financial condition, results of operations and prospects. Any of the foregoing could have a material adverse effect on our competitive position, business, financial conditions, results of operations and prospects.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license rights to use technologies on reasonable terms, we may not be able to commercialize new products or services in the future.</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may identify third-party technology that we may need to license or acquire in order to develop or commercialize our products, services or technologies, including the Proteograph Product Suite and related services. However, we may be unable to secure such licenses or acquisitions. The licensing or acquisition of third-party intellectual property rights is a competitive area, and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w:t>
      </w:r>
    </w:p>
    <w:p>
      <w:pPr>
        <w:spacing w:after="0" w:line="13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 Any of the foregoing could have a material adverse effect on our competitive position, business, financial conditions, results of operations and prospects.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of our in-licensed patents are, and our future owned and in-licensed patents may be, subject to a reservation of rights by one or more third parties, including government march-in rights, that may limit our ability to exclude third parties from commercializing products similar or identical to ours.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addition, our owned and in-licensed patents have been, or may be, subject to a reservation of rights by one or more third parties. For example, the U.S. government has certain rights, including march-in rights, to patent rights and technology funded by the U.S. government and licensed to us from BWH. When new technologies are developed with government funding, in order to secure ownership of such patent rights, the recipient of such funding is required to comply with certain government regulations, including timely disclosing the inventions claimed in such patent rights to the U.S. government and timely electing title to such inventions, including as set forth in the Bayh-Dole Act of 1980. Any failure to timely elect title to such inventions may provide the U.S. government to, at any time, take title in such inventions. Additionally, the U.S. government generally obtains certain rights in any resulting patents, including a non-exclusive license authorizing the government to use the invention or to have others use the invention on its behalf. If the government decides to exercise these rights, it is not required to engage us as its contractor in connection with doing so. These rights may permit the U.S. government to disclose our confidential and proprietary information to third parties and to exercise march-in rights to use or allow third parties to use our licensed technology. The U.S.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any of the foregoing rights could have a material adverse effect on our business, financial condition, results of operations and prospects.</w:t>
      </w:r>
    </w:p>
    <w:p>
      <w:pPr>
        <w:spacing w:after="0" w:line="139" w:lineRule="exact"/>
        <w:rPr>
          <w:sz w:val="20"/>
          <w:szCs w:val="20"/>
          <w:color w:val="auto"/>
        </w:rPr>
      </w:pPr>
    </w:p>
    <w:p>
      <w:pPr>
        <w:ind w:right="1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products contain, and our services use, third-party open source software components and failure to comply with the terms of the underlying open source software licenses could restrict our ability to sell our products and service our customers, or require disclosure of our proprietary software.</w:t>
      </w:r>
    </w:p>
    <w:p>
      <w:pPr>
        <w:spacing w:after="0" w:line="8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products contain software licensed by third parties under open source software licenses. Use and distribution of open source software may entail different or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combined works,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Although we review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services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or services if re-engineering could not be accomplished on a timely basis, or to make generally available, in source code form, our proprietary code, any of which could materially adversely affect our business, financial condition, results of operations and prospects.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08" w:lineRule="exact"/>
        <w:rPr>
          <w:sz w:val="20"/>
          <w:szCs w:val="20"/>
          <w:color w:val="auto"/>
        </w:rPr>
      </w:pPr>
    </w:p>
    <w:p>
      <w:pPr>
        <w:ind w:left="300" w:right="80" w:hanging="292"/>
        <w:spacing w:after="0" w:line="282" w:lineRule="auto"/>
        <w:tabs>
          <w:tab w:leader="none" w:pos="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or services that are similar to products and technologies we may develop or utilize similar technology that are not covered by the claims of the patents that we own or license now or in the future;</w:t>
      </w:r>
    </w:p>
    <w:p>
      <w:pPr>
        <w:spacing w:after="0" w:line="107" w:lineRule="exact"/>
        <w:rPr>
          <w:rFonts w:ascii="Times New Roman" w:cs="Times New Roman" w:eastAsia="Times New Roman" w:hAnsi="Times New Roman"/>
          <w:sz w:val="18"/>
          <w:szCs w:val="18"/>
          <w:color w:val="auto"/>
        </w:rPr>
      </w:pPr>
    </w:p>
    <w:p>
      <w:pPr>
        <w:ind w:left="300" w:right="20" w:hanging="292"/>
        <w:spacing w:after="0" w:line="282" w:lineRule="auto"/>
        <w:tabs>
          <w:tab w:leader="none" w:pos="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might not have been the first to make the inventions covered by the issued patent or pending patent application that we license or may own in the future;</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might not have been the first to file patent applications covering certain of our or their inventions;</w:t>
      </w:r>
    </w:p>
    <w:p>
      <w:pPr>
        <w:spacing w:after="0" w:line="171" w:lineRule="exact"/>
        <w:rPr>
          <w:rFonts w:ascii="Times New Roman" w:cs="Times New Roman" w:eastAsia="Times New Roman" w:hAnsi="Times New Roman"/>
          <w:sz w:val="18"/>
          <w:szCs w:val="18"/>
          <w:color w:val="auto"/>
        </w:rPr>
      </w:pPr>
    </w:p>
    <w:p>
      <w:pPr>
        <w:ind w:left="300" w:right="440" w:hanging="292"/>
        <w:spacing w:after="0" w:line="282" w:lineRule="auto"/>
        <w:tabs>
          <w:tab w:leader="none" w:pos="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misappropriating or otherwise violating our owned or licensed intellectual property rights;</w:t>
      </w:r>
    </w:p>
    <w:p>
      <w:pPr>
        <w:spacing w:after="0" w:line="107" w:lineRule="exact"/>
        <w:rPr>
          <w:rFonts w:ascii="Times New Roman" w:cs="Times New Roman" w:eastAsia="Times New Roman" w:hAnsi="Times New Roman"/>
          <w:sz w:val="18"/>
          <w:szCs w:val="18"/>
          <w:color w:val="auto"/>
        </w:rPr>
      </w:pPr>
    </w:p>
    <w:p>
      <w:pPr>
        <w:ind w:left="300" w:right="140" w:hanging="292"/>
        <w:spacing w:after="0" w:line="282" w:lineRule="auto"/>
        <w:tabs>
          <w:tab w:leader="none" w:pos="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and our licensed pending patent applications, or those that we may own or license in the future, will not lead to issued patents;</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w:t>
      </w:r>
    </w:p>
    <w:p>
      <w:pPr>
        <w:spacing w:after="0" w:line="171" w:lineRule="exact"/>
        <w:rPr>
          <w:rFonts w:ascii="Times New Roman" w:cs="Times New Roman" w:eastAsia="Times New Roman" w:hAnsi="Times New Roman"/>
          <w:sz w:val="18"/>
          <w:szCs w:val="18"/>
          <w:color w:val="auto"/>
        </w:rPr>
      </w:pPr>
    </w:p>
    <w:p>
      <w:pPr>
        <w:ind w:left="300" w:right="540" w:hanging="292"/>
        <w:spacing w:after="0" w:line="282" w:lineRule="auto"/>
        <w:tabs>
          <w:tab w:leader="none" w:pos="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licensor(s), may not develop additional proprietary technologies that are patentable;</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171" w:lineRule="exact"/>
        <w:rPr>
          <w:rFonts w:ascii="Times New Roman" w:cs="Times New Roman" w:eastAsia="Times New Roman" w:hAnsi="Times New Roman"/>
          <w:sz w:val="18"/>
          <w:szCs w:val="18"/>
          <w:color w:val="auto"/>
        </w:rPr>
      </w:pPr>
    </w:p>
    <w:p>
      <w:pPr>
        <w:ind w:left="300" w:right="340" w:hanging="292"/>
        <w:spacing w:after="0" w:line="282" w:lineRule="auto"/>
        <w:tabs>
          <w:tab w:leader="none" w:pos="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for certain trade secrets or know-how, and a third party may subsequently file a patent covering such intellectual property.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of these events occur, they could materially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Class A common stock may not be sustained.</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Although our Class A common stock is traded on the Nasdaq Global Select Market under the symbol “SEER,” an active trading market for our Class A common stock may not be sustained. Accordingly, we cannot assure you of your ability to sell your shares of Class A common stock when desired or the prices that you may obtain for your shares. If an active market for our Class A common stock with meaningful trading volume is not sustained, the market price of our Class A common stock may decline materially and you may not be able to sell your shares.</w:t>
      </w:r>
    </w:p>
    <w:p>
      <w:pPr>
        <w:spacing w:after="0" w:line="12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compliance with the listing requirements of the Nasdaq Global Select Market, we may be delisted and the price of our Class A common stock and our ability to access the capital markets could be negatively impacted.</w:t>
      </w:r>
    </w:p>
    <w:p>
      <w:pPr>
        <w:spacing w:after="0" w:line="10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To maintain the listing of our Class A common stock on the Nasdaq Global Select Market, we are required to meet certain listing requirements, including, among others, either: (i) a minimum closing bid price of $1.00 per share, a market value of publicly held shares (excluding shares held by our executive officers, directors and 10% or more stockholders) of at least $5 million and stockholders’ equity of at least $10 million; or (ii) a minimum closing bid price of $1.00 per share, a market value of publicly held shares (excluding shares held by our executive officers, directors, affiliates and 10% or more stockholders) of at least $15 million and a total market value of listed securities of at least $50.0 million.</w:t>
      </w:r>
    </w:p>
    <w:p>
      <w:pPr>
        <w:spacing w:after="0" w:line="1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may fail to satisfy one or more of the Nasdaq Global Select Market requirements for continued listing of our Class A common stock in the future. For example, on July 7, 2025, we notified The Nasdaq Stock Market LLC (Nasdaq) that following our 2025 annual meeting of stockholders, we would no longer be in compliance with the Nasdaq Listing Rule 5605(c)(2)(A), which requires that (i) the Audit Committee of the Board be composed of at least three members, and (ii) that one member of the Audit Committee qualifies as an “audit committee financial expert” under Item 407(d)(5)(iii) of Regulation S-K. During such period of noncompliance, we intend to rely on the cure period provided by the Nasdaq Listing Rule 5605(c)(4)(B). We are evaluating the appropriate membership and composition of our Board and Board committees and intend to regain compliance with the Nasdaq Listing Rule 5605(c)(2)(A) prior to the expiration of the applicable cure period granted under the Nasdaq Listing Rule 5605(c)(4)(B). There can be no assurance that we will be successful in maintaining the listing of our Class A common stock on the Nasdaq Global Select Market, or, if transferred, on the Nasdaq Capital Market. The delisting of our Class A common stock from a national exchange could impair the liquidity and market price of our Class A common stock. It could also materially, adversely affect our access to the capital markets, and any limitation on market liquidity or reduction in the price of our Class A common stock as a result of that delisting could adversely affect our ability to raise capital on terms acceptable to us, or at all.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Class A common stock has been and may continue to be volatile.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of the factors that may cause the market price of our Class A common stock to fluctuate include, but are not limited to:</w:t>
      </w:r>
    </w:p>
    <w:p>
      <w:pPr>
        <w:spacing w:after="0" w:line="171" w:lineRule="exact"/>
        <w:rPr>
          <w:sz w:val="20"/>
          <w:szCs w:val="20"/>
          <w:color w:val="auto"/>
        </w:rPr>
      </w:pPr>
    </w:p>
    <w:p>
      <w:pPr>
        <w:ind w:left="300" w:hanging="292"/>
        <w:spacing w:after="0"/>
        <w:tabs>
          <w:tab w:leader="none" w:pos="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to which our launch and commercialization of our products meets the expectations of securities analysts and investors;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 including fluctuations in our quarterly and annual results;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being less than anticipated or operating expenses being more than anticipated;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00" w:hanging="292"/>
        <w:spacing w:after="0"/>
        <w:tabs>
          <w:tab w:leader="none" w:pos="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or discontinuation of any of our product development and research programs;</w:t>
      </w:r>
    </w:p>
    <w:p>
      <w:pPr>
        <w:spacing w:after="0" w:line="171" w:lineRule="exact"/>
        <w:rPr>
          <w:rFonts w:ascii="Times New Roman" w:cs="Times New Roman" w:eastAsia="Times New Roman" w:hAnsi="Times New Roman"/>
          <w:sz w:val="18"/>
          <w:szCs w:val="18"/>
          <w:color w:val="auto"/>
        </w:rPr>
      </w:pPr>
    </w:p>
    <w:p>
      <w:pPr>
        <w:ind w:left="300" w:hanging="292"/>
        <w:spacing w:after="0" w:line="282" w:lineRule="auto"/>
        <w:tabs>
          <w:tab w:leader="none" w:pos="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or funding of research at academic and research laboratories and institutions, including changes that would affect their ability to purchase our instruments or consumables;</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existing or new competitive businesses or technologies;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about new research programs or products of our competitors;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governmental investigations involving us, our industry or both;</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71" w:lineRule="exact"/>
        <w:rPr>
          <w:rFonts w:ascii="Times New Roman" w:cs="Times New Roman" w:eastAsia="Times New Roman" w:hAnsi="Times New Roman"/>
          <w:sz w:val="18"/>
          <w:szCs w:val="18"/>
          <w:color w:val="auto"/>
        </w:rPr>
      </w:pPr>
    </w:p>
    <w:p>
      <w:pPr>
        <w:ind w:left="300" w:right="380" w:hanging="292"/>
        <w:spacing w:after="0" w:line="282" w:lineRule="auto"/>
        <w:tabs>
          <w:tab w:leader="none" w:pos="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variations in market conditions in the life sciences technology sector generally, or the proteomics or genomics sectors specifically, including volatility in the stock prices of publicly held companies in our industry;</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us or our industry;</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research and development programs or products;</w:t>
      </w:r>
    </w:p>
    <w:p>
      <w:pPr>
        <w:spacing w:after="0" w:line="171" w:lineRule="exact"/>
        <w:rPr>
          <w:rFonts w:ascii="Times New Roman" w:cs="Times New Roman" w:eastAsia="Times New Roman" w:hAnsi="Times New Roman"/>
          <w:sz w:val="18"/>
          <w:szCs w:val="18"/>
          <w:color w:val="auto"/>
        </w:rPr>
      </w:pPr>
    </w:p>
    <w:p>
      <w:pPr>
        <w:ind w:left="300" w:right="320" w:hanging="292"/>
        <w:spacing w:after="0" w:line="266" w:lineRule="auto"/>
        <w:tabs>
          <w:tab w:leader="none" w:pos="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Class A common stock or companies that are perceived to be similar to us;</w:t>
      </w:r>
    </w:p>
    <w:p>
      <w:pPr>
        <w:spacing w:after="0" w:line="12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financial results meet the expectations of securities analysts or investors;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short-selling strategies that may drive down the price of our Class A common stock;</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or expectation of additional financing efforts;</w:t>
      </w:r>
    </w:p>
    <w:p>
      <w:pPr>
        <w:spacing w:after="0" w:line="171" w:lineRule="exact"/>
        <w:rPr>
          <w:rFonts w:ascii="Times New Roman" w:cs="Times New Roman" w:eastAsia="Times New Roman" w:hAnsi="Times New Roman"/>
          <w:sz w:val="18"/>
          <w:szCs w:val="18"/>
          <w:color w:val="auto"/>
        </w:rPr>
      </w:pPr>
    </w:p>
    <w:p>
      <w:pPr>
        <w:ind w:left="300" w:right="220" w:hanging="292"/>
        <w:spacing w:after="0" w:line="282" w:lineRule="auto"/>
        <w:tabs>
          <w:tab w:leader="none" w:pos="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Class A common stock by us or sales of our Class A common stock or Class B common stock by our insiders or other stockholders, or future stock issuances;</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solvency of financial institutions with which we have financial deposits or investments in excess of insurance limits;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including changes in tariffs or trade restrictions or relationships; and</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epidemics, natural disasters or major catastrophic events.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7" w:right="4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Stock markets in general, and the market for life sciences technology companies in particular, have experienced significant price and volume fluctuations that have often been unrelated or disproportionate to changes in the operating performance, financial condition, or tangible asset value of the companies whose stock is experiencing those price and volume fluctuations. Broad market and industry factors may seriously affect the market price of our Class A common stock, regardless of our actual operating performance, financial condition, or tangible asset value. Following periods of such volatility or decline in the market price of a company’s securities, securities class action litigation or shareholder activism has often been initiated against that company. Because of the potential volatility or decline of our stock price, we may become the target of securities litigation or shareholder activism in the future which could result in substantial costs and divert management’s attention and resources from our business.</w:t>
      </w:r>
    </w:p>
    <w:p>
      <w:pPr>
        <w:spacing w:after="0" w:line="13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multi-class structure of our common stock will have the effect of concentrating voting control with certain stockholders and it may depress the trading price of our Class A common stock.</w:t>
      </w:r>
    </w:p>
    <w:p>
      <w:pPr>
        <w:spacing w:after="0" w:line="10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Class A common stock, which is our publicly-traded class of stock, has one vote per share, and our Class B common stock has ten votes per share, except as otherwise required by law. Our Class B common stock is held by our founders and early investors. As of July 30, 2025, the holders of our Class B common stock hold in the aggregate 43.6 % of the voting power of our capital stock, which may increase from time to time.</w:t>
      </w:r>
    </w:p>
    <w:p>
      <w:pPr>
        <w:spacing w:after="0" w:line="122"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As a result, the holders of our Class B common stock collectively will continue to control a significant amount of the combined voting power of our common stock and therefore may be able to control matters submitted to our stockholders for approval. This control will limit to the stockholders’ influence over corporate matters for approximately five years following our initial public offering, including the election of directors, amendments of our organizational documents and any sale of the company or other major corporate transaction requiring stockholder approval. This may prevent or discourage unsolicited proposals to acquire the company. Future transfers by holders of Class B common stock will generally result in those shares converting to Class A common stock, subject to limited exceptions, such as certain transfers effected for estate planning purposes where sole dispositive power and exclusive voting control with respect to the shares of Class B common stock is retained by the transferring holder. The Class B common stock will also automatically convert into Class A common stock on December 9, 2025. The conversion of Class B common stock to Class A common stock will have the effect, over time, of increasing the relative voting power of those individual holders of Class B common stock who retain their shares over the long term.</w:t>
      </w:r>
    </w:p>
    <w:p>
      <w:pPr>
        <w:spacing w:after="0" w:line="11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July 2017, S&amp;P Dow Jones announced that it would no longer admit companies with multiple-class share structures to certain of its indices. Affected indices include the S&amp;P 500, S&amp;P MidCap 400, and S&amp;P SmallCap 600, which together make up the S&amp;P Composite 1500. Our multi-class capital structure may make us ineligible for inclusion in certain indices, and as a result, mutual funds, exchange-traded funds and other investment vehicles that attempt to passively track these indices may not be investing in our stock. It is unclear what effect, if any, exclusion from any indices has had on the valuations of the affected publicly traded companies. It is possible that such policies could depress the valuations of public companies excluded from such indices compared to those of other companies that are included.</w:t>
      </w:r>
    </w:p>
    <w:p>
      <w:pPr>
        <w:spacing w:after="0" w:line="12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industry analysts, including securities analysts do not publish research or reports about our business or if they publish negative evaluations of our Class A common stock, the price of our Class A common stock could decline.</w:t>
      </w:r>
    </w:p>
    <w:p>
      <w:pPr>
        <w:spacing w:after="0" w:line="10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trading market for our Class A common stock relies in part on the research and reports that industry or securities analysts publish about us or our business. If no or few analysts commence or continue coverage of us, the trading price of our Class A common stock could decrease. If one or more of the analysts covering our business downgrade their evaluations of our Class A common stock, the price of our Class A common stock could decline. If one or more of these analysts cease to cover our Class A common stock, we could lose visibility in the market for our Class A common stock, which in turn could cause the price of our Class A common stock to decline.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Class A common stock by our existing stockholders could cause the price of our Class A common stock to decline.</w:t>
      </w:r>
    </w:p>
    <w:p>
      <w:pPr>
        <w:spacing w:after="0" w:line="10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could occur at any time and the perception in the market that the holders of a large number of shares of Class A common stock intend to sell shares could reduce the market price of our Class A common stock. 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 of 1933, as amended, or the Securities Act.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repurchase shares of our Class A common stock or that we will repurchase shares at favorable prices.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May 2024, our Board of Directors approved a share repurchase program (the Share Repurchase Program) pursuant to which we are authorized to repurchase up to $25.0 million of our Class A common stock from time to time through open market transactions. The amount and timing of our share repurchases, if any, are subject to the availability of capital and our determination that the share repurchases are in the best interest of the Company and our stockholders. Our Share Repurchase Program does not obligate us to repurchase any specific number of shares and may be suspended at any time at our discretion.</w:t>
      </w:r>
    </w:p>
    <w:p>
      <w:pPr>
        <w:spacing w:after="0" w:line="1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ability to make share repurchases, if any, will depend upon market conditions, cash balances and future capital requirements, results of operations, financial condition, compliance with applicable legal requirements and other factors that we may deem relevant and which may be beyond our control. In addition, we can provide no assurance that we will repurchase stock at favorable prices, if at all. As a result, there can be no guarantee around the timing of our share repurchases. Any failure to repurchase stock after we have announced our intention to do so, a reduction in the frequency of repurchases, or the completion of our Share Repurchase Program could have a negative effect on our reputation, investor confidence in us and our stock price.</w:t>
      </w:r>
    </w:p>
    <w:p>
      <w:pPr>
        <w:spacing w:after="0" w:line="1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existence of our Share Repurchase Program could cause our stock price to be higher than it otherwise would be and could potentially reduce the market liquidity for our stock. Although our Share Repurchase Program is intended to enhance long-term stockholder value, there is no assurance that it will do so because the market price of our Class A common stock may decline below the levels at which we repurchase shares, and short-term stock price fluctuations could reduce the effectiveness of the program.</w:t>
      </w:r>
    </w:p>
    <w:p>
      <w:pPr>
        <w:spacing w:after="0" w:line="12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Repurchasing our Class A common stock reduces the amount of cash we have available, and we may fail to realize the anticipated long-term stockholder value of any share repurchase program.</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paid dividends in the past and do not expect to pay dividends in the future, and, as a result, any return on investment may be limited to the value of our stock.</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You should not rely on an investment in our Class A common stock to provide dividend income. We do not anticipate that we will pay any dividends to holders of our Class A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Class A common stock. Accordingly, investors must rely on sales of their Class A common stock after price appreciation, which may never occur, as the only way to realize any return on their investment. As a result, investors seeking cash dividends should not purchase our Class A common stock.</w:t>
      </w:r>
    </w:p>
    <w:p>
      <w:pPr>
        <w:spacing w:after="0" w:line="129"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spacing w:after="0" w:line="12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specifies that, unless we consent in writing to the selection of an alternative forum, the sole and exclusive forum for (a) any derivative action or proceeding brought on our behalf, (b) any action asserting a claim of breach of a fiduciary duty owed by any of our current or former directors, stockholders, officers, or other employees to us or our stockholders, (c) any action or proceeding asserting a claim arising pursuant to, or seeking to enforce any right, obligation or remedy under, any provision of the Delaware General Corporation Law, our amended and restated certificate of incorporation, or our amended and restated bylaws, (d) any action or proceeding as to which the Delaware General Corporation Law confers jurisdiction on the Court of Chancery of the State of Delaware, or (e) any action or proceeding asserting a claim that is governed by the internal affairs doctrine shall be the Court of Chancery of the State of Delaware (or, if the Court of Chancery does not have jurisdiction, another state court in Delaware or, if no state court in Delaware has jurisdiction, the federal district court for the District of Delaware) and any appellate court therefrom, in all cases subject to the court having jurisdiction over the claims at issue and the indispensable parties; provided that the exclusive forum provision will not apply to suits brought to enforce any liability or duty created by the Exchange Act.</w:t>
      </w:r>
    </w:p>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the federal district courts of the United States of America will be the exclusive forum for resolving any complaint asserting a cause of action arising under the Securities Act.</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Our stockholders will not be deemed to have waived our compliance with the federal securities laws and the rules and regulations thereunder as a result of our exclusive forum provisions. Further, in the event a court finds either exclusive forum provision contained in our amended and restated bylaws to be unenforceable or inapplicable in an action, we may incur additional costs associated with resolving such action in other jurisdictions, which could harm our results of operations.</w:t>
      </w:r>
    </w:p>
    <w:p>
      <w:pPr>
        <w:spacing w:after="0" w:line="130" w:lineRule="exact"/>
        <w:rPr>
          <w:sz w:val="20"/>
          <w:szCs w:val="20"/>
          <w:color w:val="auto"/>
        </w:rPr>
      </w:pPr>
    </w:p>
    <w:p>
      <w:pPr>
        <w:jc w:val="both"/>
        <w:ind w:right="3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Delaware law and provisions in our amended and restated certificate of incorporation and amended and restated bylaws might discourage, delay or prevent a change in control of our company or changes in our management and, therefore, depress the trading price of our Class A common stock.</w:t>
      </w:r>
    </w:p>
    <w:p>
      <w:pPr>
        <w:spacing w:after="0" w:line="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spacing w:after="0" w:line="126" w:lineRule="exact"/>
        <w:rPr>
          <w:sz w:val="20"/>
          <w:szCs w:val="20"/>
          <w:color w:val="auto"/>
        </w:rPr>
      </w:pPr>
    </w:p>
    <w:p>
      <w:pPr>
        <w:ind w:left="300" w:right="200" w:hanging="292"/>
        <w:spacing w:after="0" w:line="282" w:lineRule="auto"/>
        <w:tabs>
          <w:tab w:leader="none" w:pos="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that would result in a change in control of our company requires the approval of a majority of our outstanding Class B common stock voting as a separate class;</w:t>
      </w:r>
    </w:p>
    <w:p>
      <w:pPr>
        <w:spacing w:after="0" w:line="107" w:lineRule="exact"/>
        <w:rPr>
          <w:rFonts w:ascii="Times New Roman" w:cs="Times New Roman" w:eastAsia="Times New Roman" w:hAnsi="Times New Roman"/>
          <w:sz w:val="18"/>
          <w:szCs w:val="18"/>
          <w:color w:val="auto"/>
        </w:rPr>
      </w:pPr>
    </w:p>
    <w:p>
      <w:pPr>
        <w:ind w:left="300" w:right="120" w:hanging="292"/>
        <w:spacing w:after="0" w:line="266" w:lineRule="auto"/>
        <w:tabs>
          <w:tab w:leader="none" w:pos="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multi-class common stock structure provides our holders of Class B common stock with the ability to significantly influence the outcome of matters requiring stockholder approval, even if they own significantly less than a majority of the shares of our outstanding Class A common stock and Class B common stock;</w:t>
      </w:r>
    </w:p>
    <w:p>
      <w:pPr>
        <w:spacing w:after="0" w:line="121" w:lineRule="exact"/>
        <w:rPr>
          <w:rFonts w:ascii="Times New Roman" w:cs="Times New Roman" w:eastAsia="Times New Roman" w:hAnsi="Times New Roman"/>
          <w:sz w:val="18"/>
          <w:szCs w:val="18"/>
          <w:color w:val="auto"/>
        </w:rPr>
      </w:pPr>
    </w:p>
    <w:p>
      <w:pPr>
        <w:ind w:left="300" w:right="460" w:hanging="292"/>
        <w:spacing w:after="0" w:line="282" w:lineRule="auto"/>
        <w:tabs>
          <w:tab w:leader="none" w:pos="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amendments to our amended and restated certificate of incorporation require the approval of stockholders holding two-thirds of the voting power of our then outstanding capital stock;</w:t>
      </w:r>
    </w:p>
    <w:p>
      <w:pPr>
        <w:spacing w:after="0" w:line="107" w:lineRule="exact"/>
        <w:rPr>
          <w:rFonts w:ascii="Times New Roman" w:cs="Times New Roman" w:eastAsia="Times New Roman" w:hAnsi="Times New Roman"/>
          <w:sz w:val="18"/>
          <w:szCs w:val="18"/>
          <w:color w:val="auto"/>
        </w:rPr>
      </w:pPr>
    </w:p>
    <w:p>
      <w:pPr>
        <w:ind w:left="300" w:right="80" w:hanging="292"/>
        <w:spacing w:after="0" w:line="282" w:lineRule="auto"/>
        <w:tabs>
          <w:tab w:leader="none" w:pos="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stockholder-proposed amendment to our amended and restated bylaws require the approval of stockholders holding two-thirds of the voting power of our then outstanding capital stock;</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may only be able to take action at a meeting of stockholders and may not be able to take action by written consent for any matter;</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are able to act by written consent only if the action is first recommended or approved by the board of directors;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vacancies on our board of directors may be filled only by our board of directors and not by stockholders;</w:t>
      </w:r>
    </w:p>
    <w:p>
      <w:pPr>
        <w:spacing w:after="0" w:line="171" w:lineRule="exact"/>
        <w:rPr>
          <w:rFonts w:ascii="Times New Roman" w:cs="Times New Roman" w:eastAsia="Times New Roman" w:hAnsi="Times New Roman"/>
          <w:sz w:val="18"/>
          <w:szCs w:val="18"/>
          <w:color w:val="auto"/>
        </w:rPr>
      </w:pPr>
    </w:p>
    <w:p>
      <w:pPr>
        <w:ind w:left="300" w:right="640" w:hanging="292"/>
        <w:spacing w:after="0" w:line="282" w:lineRule="auto"/>
        <w:tabs>
          <w:tab w:leader="none" w:pos="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the chair of the board of directors, chief executive officer or a majority of the board of directors are authorized to call a special meeting of stockholders;</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litigation against us can only be brought in Delaware;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00" w:right="320" w:hanging="292"/>
        <w:spacing w:after="0" w:line="282" w:lineRule="auto"/>
        <w:tabs>
          <w:tab w:leader="none" w:pos="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restated certificate of incorporation authorizes undesignated preferred stock, the terms of which may be established and shares of which may be issued, without the approval of the holders of our capital stock; and</w:t>
      </w:r>
    </w:p>
    <w:p>
      <w:pPr>
        <w:spacing w:after="0" w:line="107" w:lineRule="exact"/>
        <w:rPr>
          <w:rFonts w:ascii="Times New Roman" w:cs="Times New Roman" w:eastAsia="Times New Roman" w:hAnsi="Times New Roman"/>
          <w:sz w:val="18"/>
          <w:szCs w:val="18"/>
          <w:color w:val="auto"/>
        </w:rPr>
      </w:pPr>
    </w:p>
    <w:p>
      <w:pPr>
        <w:ind w:left="300" w:right="480" w:hanging="292"/>
        <w:spacing w:after="0" w:line="282" w:lineRule="auto"/>
        <w:tabs>
          <w:tab w:leader="none" w:pos="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apply for stockholders to nominate candidates for election as directors or to bring matters before an annual meeting of stockholders.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spacing w:after="0" w:line="12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to offset future taxable income may be subject to certain limitations, and changes to U.S. tax laws may cause us to make adjustments to our financial statements.</w:t>
      </w:r>
    </w:p>
    <w:p>
      <w:pPr>
        <w:spacing w:after="0" w:line="10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As of December 31, 2024, we had U.S. federal and state net operating loss carryforwards (NOLs) of $182.3 million and $185.7 million, respectively, which if not utilized will expire in 2035 for state purposes. We may use these NOLs to offset against taxable income for U.S. federal and state income tax purposes. However, Section 382 of the Internal Revenue Code of 1986, as amended, may limit the NOLs we may use in any year for U.S. federal income tax purposes in the event of certain changes in ownership of our company. A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previously undergone multiple ownership changes. In addition, future issuances or sales of our stock, including certain transactions involving our stock that are outside of our control, could result in future ownership changes. Ownership changes that have occurred in the past or that may occur in the future could result in the imposition of an annual limit on the amount of pre-ownership change NOLs and other tax attributes we can use to reduce our taxable income, potentially increasing and accelerating our liability for U.S. federal income taxes, and also potentially causing those tax attributes to expire unused. States may impose other limitations on the use of our NOLs. Any changes in U.S. tax laws or limitations on using NOLs could, depending on the extent of such limitation and the NOLs previously used, result in our retaining less cash after payment of U.S. federal and state income taxes during any year in which we have taxable income, rather than losses, than we would be entitled to retain if such NOLs were available as an offset against such income for U.S. federal and state income tax reporting purposes, which could adversely impact our operating results. For example, recently enacted California legislation limits the use of state NOLs for tax years beginning on or after January 1, 2024 and before January 1, 2027. As a result of this legislation or other unforeseen reasons, we may not be able to utilize some or all of our NOLs, even if we attain profitability.</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continue to incur significant increased costs and management resources as a result of operating as a public company.</w:t>
      </w:r>
    </w:p>
    <w:p>
      <w:pPr>
        <w:spacing w:after="0" w:line="1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As a public company, we continue to incur significant legal, accounting, compliance, insurance and other expenses that we did not incur as a private company. Our management and other personnel need to devote a substantial amount of time and incur significant expense in connection with compliance initiatives. As a public company, we continue to bear all of the internal and external costs of preparing and distributing periodic public reports in compliance with our obligations under the securities laws.</w:t>
      </w:r>
    </w:p>
    <w:p>
      <w:pPr>
        <w:spacing w:after="0" w:line="12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regulations and standards relating to corporate governance and public disclosure, including SOX, and the related rules and regulations implemented by the SEC and Nasdaq have increased legal and financial compliance costs and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and/or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7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 (ESG) matters are subject to evolving expectations from customers, regulators, investors and other stakeholders and may expose us to reputational, cost and other risks.</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Companies across all industries are subject to evolving expectations regarding ESG matters. Failure to implement the appropriate standards and practices for responsible corporate citizenship, support for local communities, employee diversity and human capital management, health and safety practices, supply chain management, and corporate governance can increase our costs of production, decrease our revenue, and negatively affect our reputation, employee retention, and the general willingness of customers and suppliers to do business with us and investors to invest in us. If we do not adapt to or comply with evolving ESG standards and regulations, the resulting consequences could have a material adverse effect on our reputation, business and financial condition.</w:t>
      </w:r>
    </w:p>
    <w:p>
      <w:pPr>
        <w:spacing w:after="0" w:line="129" w:lineRule="exact"/>
        <w:rPr>
          <w:sz w:val="20"/>
          <w:szCs w:val="20"/>
          <w:color w:val="auto"/>
        </w:rPr>
      </w:pPr>
    </w:p>
    <w:p>
      <w:pPr>
        <w:ind w:right="9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facilities or our third-party manufacturers’ facilities become unavailable or inoperable, our research and development program and commercialization plan could be adversely impacted and manufacturing of our instruments and consumables could be interrupted.</w:t>
      </w:r>
    </w:p>
    <w:p>
      <w:pPr>
        <w:spacing w:after="0" w:line="10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Our Redwood City, California, facilities house our operations, including research and development, NP manufacturing and quality assurance teams. Our instruments are manufactured at our third-party manufacturer’s facilities in Nevada, and our consumables are manufactured at various locations in the United States and internationally.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facilities in Redwood City and those of our third-party manufacturers are vulnerable to natural disasters, public health crises, including the impact of health epidemics, climate change and catastrophic events. For example, our Redwood City facilities are located near earthquake fault zones and are vulnerable to damage from earthquakes as well as other types of disasters, including fires, wildfires, floods, power loss, communications failures and similar events. If any disaster, public health crisis or catastrophic event were to occur, our ability to operate our business would be seriously, or potentially completely, impaired. If our facilities or our third-party manufacturer’s facilities become unavailable for any reason, we cannot provide assurances that we will be able to secure alternative manufacturing facilities with the necessary capabilities and equipment on acceptable terms, if at all. We may encounter particular difficulties in replacing our Redwood City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 Because some of our NPs are perishable and must be kept in temperature controlled storage, the loss of power to our facilities, mechanical or other issues with our storage facilities or other events that impact our temperature controlled storage could result in the loss of some or all of such NPs, and we may not be able to replace them without disruption to our customers or at all.</w:t>
      </w:r>
    </w:p>
    <w:p>
      <w:pPr>
        <w:spacing w:after="0" w:line="13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If our research and development program or commercialization program were disrupted by a disaster or catastrophe, the launch of new products, including the Proteograph Product Suite, and the timing of improvements to our products could be significantly delayed and could adversely impact our ability to compete with other available products and solutions. If our or our third-party manufacturer’s capabilities are impaired, we may not be able to manufacture and ship our products in a timely manner, which would adversely impact our business. Although we possess insurance for damage to our property and the disruption of our business, and self-insure for earthquake risk, this insurance may not be sufficient to cover all of our potential losses and may not continue to be available to us on acceptable terms, or at all.</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vendors, partners or customers, experience a significant disruption in our information technology systems or breaches of data security, our business could be adversely affected.</w:t>
      </w:r>
    </w:p>
    <w:p>
      <w:pPr>
        <w:spacing w:after="0" w:line="10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rely, or will rely, on information technology systems to keep financial records, facilitate our research and development initiatives, manage our manufacturing operations, provide services, maintain quality control, fulfill customer orders, maintain corporate records, communicate with staff and external parties and operate other critical functions. Our information technology systems and those of our vendors, partners and customers are potentially vulnerable to disruption due to breakdown, malicious intrusion and computer viruses or other disruptive events, including, but not limited to, software bugs and technical errors, and natural disasters and catastrophes. Cyberattacks (including denial of service, ransomware, and other attacks) and other malicious internet-based activity continue to increase and cloud-based platform providers of services have been and are expected to continue to be targeted. Methods of attacks on information technology systems and data security breaches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In addition, we have not finalized our information technology and data security procedures and therefore, our information technology systems may be more susceptible to technical errors and cybersecurity attacks than if such security procedures were finalized. Despite any of our current or future efforts to protect against technical errors, cybersecurity attacks and data security breaches, there is no guarantee that our efforts are adequate to safeguard against all such errors, attacks and breaches. Moreover, it is possible that we may not be able to anticipate, detect, appropriately react and respond to, or implement effective preventative measures against, all cybersecurity incidents. In addition, our information technology strategy encompasses multi-vendor, multi-cloud infrastructure, systems and applications. We have a shared responsibility model with our information technology vendors and rely on their security measures and controls. We have not conducted a comprehensive evaluation of all vendors to understand their security postures.</w:t>
      </w:r>
    </w:p>
    <w:p>
      <w:pPr>
        <w:spacing w:after="0" w:line="13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If our security measures, or those of our vendors, partners and customers, are compromised due to any technical errors, cybersecurity attacks or data security breaches, including as a result of third-party action, employee or customer error, malfeasance, stolen or fraudulently obtained log-in credentials or otherwise, our reputation could be damaged, our business and reputation may be harmed, we could become subject to litigation and we could incur significant liability. If we were to lose data or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if we are not capable of restoring functionality on an acceptable timeframe.</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our information technology systems, and those of our vendors, partners and customers, are potentially vulnerable to data security breaches, whether by internal bad actors, such as employees or other third parties with legitimate access to our or our third-party providers’ systems, or external bad actors, which could lead to the loss or exposure of personal data, sensitive data and confidential information to unauthorized persons. Any such data security breaches could lead to the loss of trade secrets or other intellectual property, the exposure of personal information, including sensitive personal information, of our employees, customers and others, or could prevent us from accessing critical information, any of which could expose us to liability and have a material adverse effect on our business, reputation, financial condition and results of operations. Moreover, due to the inherent features and technical limitations of information technology systems and infrastructure, our products and services may be impacted by technical errors, cyberattacks or other disruptions, including efforts to penetrate our customers’ network security, sabotage or otherwise disable our instruments and services, including instruments at our customers’ sites, misappropriate our customers’ proprietary information, or cause interruptions of our or our customers’ internal operations, systems and services. Any such incidents could compromise our customers’ networks and the information stored there could be accessed, publicly disclosed, lost or stolen.</w:t>
      </w:r>
    </w:p>
    <w:p>
      <w:pPr>
        <w:spacing w:after="0" w:line="13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Additionally, the California Privacy Rights Act (CPRA), which went into effect on January 1, 2023, modifies the California Consumer Privacy Act (CCPA) significantly, potentially resulting in further uncertainty and requiring us to incur additional costs and expenses in an effort to comply. The CPRA restricts use of certain categories of sensitive personal information that we may handle, establish restrictions on the retention of personal information, expand the types of data breaches subject to the private right of action, and establish the California Privacy Protection Agency to implement and enforce the new law and impose administrative fines. Additional compliance investment and potential business process changes will likely be required. Similar laws have been proposed in other states and at the federal level, reflecting a trend toward more stringent data privacy and security legislation in the United States. For example, on March 2, 2021, Virginia enacted the Virginia Consumer Data Protection Act, or CDPA, which took effect on January 1, 2023, on June 8, 2021, Colorado enacted the Colorado Privacy Act, or CPA, which took effect on July 1, 2023, and on March 24, 2022, Utah enacted the Utah Consumer Privacy Act, or UCPA, which took effect on December 31, 2023; and on May 10, 2022, Connecticut enacted the Connecticut Data Privacy Act, or CTDPA, which took effect on July 1, 2023. The CPA, CDPA, UCPA, and CTDPA share similarities with and differences from the CPRA and legislation proposed in other states. Aspects of these state privacy statutes remain unclear, resulting in further uncertainty and potentially requiring us to modify our data practices and policies and to incur substantial additional costs and expenses in an effort to comply. In addition, U.S. and international laws and regulations that have been applied to protect user privacy (including laws regarding unfair and deceptive practices in the U.S. and GDPR in the EU) may be subject to evolving interpretations or applications. Furthermore, defending a suit, regardless of its merit, could be costly, divert management’s attention and harm our reputation. In addition, although we seek to detect and investigate all data security incidents, security breaches and other incidents of unauthorized access to our information technology systems and data can be difficult to detect and any delay in identifying such breaches or incidents may lead to increased harm and legal exposure of the type described above. Moreover, there could be public announcements regarding any cybersecurity incidents and any steps we take to respond to or remediate such incidents, and if securities analysts or investors perceive these announcements to be negative, it could, among other things, have a material adverse effect on the price of our Class A common stock.</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cost of protecting against, investigating, mitigating and responding to potential breaches of our information technology systems and data security breaches and complying with applicable breach notification obligations to individuals, regulators, partners and others can be significant. As cybersecurity incidents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 operations and prospects. Our insurance policies may not be adequate to compensate us for the potential costs and other losses arising from such disruptions, failures or security breaches. In addition, such insurance may not be available to us in the future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results of operations and prospects.</w:t>
      </w:r>
    </w:p>
    <w:p>
      <w:pPr>
        <w:spacing w:after="0" w:line="136"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currently subject to, and may in the future become subject to additional international and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1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ourselves and other parties. The secure processing, storage, maintenance, and transmission of this critical information are vital to our operations and business strategy. We are, and may increasingly become, subject to various international and domestic laws and regulation relating to data privacy and security in the jurisdictions in which we operate. We also may be subject to contractual obligations and may be, or may be asserted to be, subject to industry standards relating to privacy and data security.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3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CCPA, which increases privacy rights for California residents and imposes obligations on companies that process their personal information, came into effect on January 1, 2020, and the CPRA, which increases such rights and responsibilities, came into effect on January 1, 2023.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13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have adopted and train our employees and applicable consultants on our policies related to the collection, processing, and storage of information, including personal data of employees and scientific data of customers. From time to time, we have and may conduct internal and external audits to assess our ability, and comment on our vendors’ ability, to comply with evolving compliance and operational requirements, which could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including GDPR,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unregistered sales of equity securities during the period covered by this report.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 month-to-month summary of information with respect to purchases of common stock made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40" w:type="dxa"/>
            <w:vAlign w:val="bottom"/>
          </w:tcPr>
          <w:p>
            <w:pPr>
              <w:spacing w:after="0"/>
              <w:rPr>
                <w:sz w:val="12"/>
                <w:szCs w:val="12"/>
                <w:color w:val="auto"/>
              </w:rPr>
            </w:pPr>
          </w:p>
        </w:tc>
        <w:tc>
          <w:tcPr>
            <w:tcW w:w="12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(in</w:t>
            </w: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thousands) of</w:t>
            </w: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240" w:type="dxa"/>
            <w:vAlign w:val="bottom"/>
          </w:tcPr>
          <w:p>
            <w:pPr>
              <w:spacing w:after="0"/>
              <w:rPr>
                <w:sz w:val="12"/>
                <w:szCs w:val="12"/>
                <w:color w:val="auto"/>
              </w:rPr>
            </w:pPr>
          </w:p>
        </w:tc>
        <w:tc>
          <w:tcPr>
            <w:tcW w:w="12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w:t>
            </w:r>
          </w:p>
        </w:tc>
        <w:tc>
          <w:tcPr>
            <w:tcW w:w="0" w:type="dxa"/>
            <w:vAlign w:val="bottom"/>
          </w:tcPr>
          <w:p>
            <w:pPr>
              <w:spacing w:after="0"/>
              <w:rPr>
                <w:sz w:val="1"/>
                <w:szCs w:val="1"/>
                <w:color w:val="auto"/>
              </w:rPr>
            </w:pPr>
          </w:p>
        </w:tc>
      </w:tr>
      <w:tr>
        <w:trPr>
          <w:trHeight w:val="187"/>
        </w:trPr>
        <w:tc>
          <w:tcPr>
            <w:tcW w:w="5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Part of Publicly</w:t>
            </w:r>
          </w:p>
        </w:tc>
        <w:tc>
          <w:tcPr>
            <w:tcW w:w="240" w:type="dxa"/>
            <w:vAlign w:val="bottom"/>
          </w:tcPr>
          <w:p>
            <w:pPr>
              <w:spacing w:after="0"/>
              <w:rPr>
                <w:sz w:val="16"/>
                <w:szCs w:val="16"/>
                <w:color w:val="auto"/>
              </w:rPr>
            </w:pPr>
          </w:p>
        </w:tc>
        <w:tc>
          <w:tcPr>
            <w:tcW w:w="12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8"/>
        </w:trPr>
        <w:tc>
          <w:tcPr>
            <w:tcW w:w="5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24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 per Share</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240" w:type="dxa"/>
            <w:vAlign w:val="bottom"/>
          </w:tcPr>
          <w:p>
            <w:pPr>
              <w:spacing w:after="0"/>
              <w:rPr>
                <w:sz w:val="12"/>
                <w:szCs w:val="12"/>
                <w:color w:val="auto"/>
              </w:rPr>
            </w:pPr>
          </w:p>
        </w:tc>
        <w:tc>
          <w:tcPr>
            <w:tcW w:w="12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w:t>
            </w:r>
          </w:p>
        </w:tc>
        <w:tc>
          <w:tcPr>
            <w:tcW w:w="0" w:type="dxa"/>
            <w:vAlign w:val="bottom"/>
          </w:tcPr>
          <w:p>
            <w:pPr>
              <w:spacing w:after="0"/>
              <w:rPr>
                <w:sz w:val="1"/>
                <w:szCs w:val="1"/>
                <w:color w:val="auto"/>
              </w:rPr>
            </w:pPr>
          </w:p>
        </w:tc>
      </w:tr>
      <w:tr>
        <w:trPr>
          <w:trHeight w:val="135"/>
        </w:trPr>
        <w:tc>
          <w:tcPr>
            <w:tcW w:w="568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85"/>
              </w:rPr>
              <w:t>(1)</w:t>
            </w: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(2)</w:t>
            </w:r>
          </w:p>
        </w:tc>
        <w:tc>
          <w:tcPr>
            <w:tcW w:w="220" w:type="dxa"/>
            <w:vAlign w:val="bottom"/>
          </w:tcPr>
          <w:p>
            <w:pPr>
              <w:spacing w:after="0"/>
              <w:rPr>
                <w:sz w:val="11"/>
                <w:szCs w:val="11"/>
                <w:color w:val="auto"/>
              </w:rPr>
            </w:pPr>
          </w:p>
        </w:tc>
        <w:tc>
          <w:tcPr>
            <w:tcW w:w="1200" w:type="dxa"/>
            <w:vAlign w:val="bottom"/>
            <w:tcBorders>
              <w:bottom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 xml:space="preserve">or Programs </w:t>
            </w:r>
            <w:r>
              <w:rPr>
                <w:rFonts w:ascii="Times New Roman" w:cs="Times New Roman" w:eastAsia="Times New Roman" w:hAnsi="Times New Roman"/>
                <w:sz w:val="15"/>
                <w:szCs w:val="15"/>
                <w:b w:val="1"/>
                <w:bCs w:val="1"/>
                <w:color w:val="auto"/>
                <w:vertAlign w:val="superscript"/>
              </w:rPr>
              <w:t>(3)</w:t>
            </w: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center"/>
              <w:ind w:right="41"/>
              <w:spacing w:after="0" w:line="135" w:lineRule="exact"/>
              <w:rPr>
                <w:sz w:val="20"/>
                <w:szCs w:val="20"/>
                <w:color w:val="auto"/>
              </w:rPr>
            </w:pPr>
            <w:r>
              <w:rPr>
                <w:rFonts w:ascii="Times New Roman" w:cs="Times New Roman" w:eastAsia="Times New Roman" w:hAnsi="Times New Roman"/>
                <w:sz w:val="12"/>
                <w:szCs w:val="12"/>
                <w:b w:val="1"/>
                <w:bCs w:val="1"/>
                <w:color w:val="auto"/>
              </w:rPr>
              <w:t xml:space="preserve">or Programs </w:t>
            </w:r>
            <w:r>
              <w:rPr>
                <w:rFonts w:ascii="Times New Roman" w:cs="Times New Roman" w:eastAsia="Times New Roman" w:hAnsi="Times New Roman"/>
                <w:sz w:val="15"/>
                <w:szCs w:val="15"/>
                <w:b w:val="1"/>
                <w:bCs w:val="1"/>
                <w:color w:val="auto"/>
                <w:vertAlign w:val="superscript"/>
              </w:rPr>
              <w:t>(3)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1 - April 30</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506,139</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506,139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May 1 - May 31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3,284,871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3,284,871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1 - June 30</w:t>
            </w:r>
          </w:p>
        </w:tc>
        <w:tc>
          <w:tcPr>
            <w:tcW w:w="1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83,476</w:t>
            </w:r>
          </w:p>
        </w:tc>
        <w:tc>
          <w:tcPr>
            <w:tcW w:w="3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2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83,476</w:t>
            </w:r>
          </w:p>
        </w:tc>
        <w:tc>
          <w:tcPr>
            <w:tcW w:w="3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3,874,486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3,874,486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-170815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-170815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3" w:lineRule="exact"/>
        <w:rPr>
          <w:sz w:val="20"/>
          <w:szCs w:val="20"/>
          <w:color w:val="auto"/>
        </w:rPr>
      </w:pPr>
    </w:p>
    <w:p>
      <w:pPr>
        <w:ind w:left="300" w:hanging="292"/>
        <w:spacing w:after="0"/>
        <w:tabs>
          <w:tab w:leader="none" w:pos="300" w:val="left"/>
        </w:tabs>
        <w:numPr>
          <w:ilvl w:val="0"/>
          <w:numId w:val="4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All shares of common stock were retired upon repurchase.</w:t>
      </w:r>
    </w:p>
    <w:p>
      <w:pPr>
        <w:spacing w:after="0" w:line="16" w:lineRule="exact"/>
        <w:rPr>
          <w:rFonts w:ascii="Times New Roman" w:cs="Times New Roman" w:eastAsia="Times New Roman" w:hAnsi="Times New Roman"/>
          <w:sz w:val="19"/>
          <w:szCs w:val="19"/>
          <w:color w:val="auto"/>
          <w:vertAlign w:val="superscript"/>
        </w:rPr>
      </w:pPr>
    </w:p>
    <w:p>
      <w:pPr>
        <w:ind w:left="300" w:hanging="292"/>
        <w:spacing w:after="0" w:line="189" w:lineRule="auto"/>
        <w:tabs>
          <w:tab w:leader="none" w:pos="300" w:val="left"/>
        </w:tabs>
        <w:numPr>
          <w:ilvl w:val="0"/>
          <w:numId w:val="4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Average price paid per share is calculated on a settlement basis and excludes broker commissions and excise tax.</w:t>
      </w:r>
    </w:p>
    <w:p>
      <w:pPr>
        <w:spacing w:after="0" w:line="3" w:lineRule="exact"/>
        <w:rPr>
          <w:rFonts w:ascii="Times New Roman" w:cs="Times New Roman" w:eastAsia="Times New Roman" w:hAnsi="Times New Roman"/>
          <w:sz w:val="19"/>
          <w:szCs w:val="19"/>
          <w:color w:val="auto"/>
          <w:vertAlign w:val="superscript"/>
        </w:rPr>
      </w:pPr>
    </w:p>
    <w:p>
      <w:pPr>
        <w:ind w:left="300" w:right="400" w:hanging="292"/>
        <w:spacing w:after="0" w:line="202" w:lineRule="auto"/>
        <w:tabs>
          <w:tab w:leader="none" w:pos="300" w:val="left"/>
        </w:tabs>
        <w:numPr>
          <w:ilvl w:val="0"/>
          <w:numId w:val="4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On May 3, 2024, the Company’s Board of Directors approved the Share Repurchase Program under which the Company is authorized to purchase up to $25.0 million of its issued and outstanding Class A common stock.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During our last fiscal quarter, no directors or officers, as defined in Rule 16a-1(f) under the Exchange Act, adopted, modified and/or terminated a “Rule 10b5-1 trading arrangement” or “non-Rule 10b5-1 trading arrangement,” each as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880" w:type="dxa"/>
            <w:vAlign w:val="bottom"/>
            <w:tcBorders>
              <w:bottom w:val="single" w:sz="8" w:color="auto"/>
            </w:tcBorders>
            <w:gridSpan w:val="8"/>
          </w:tcPr>
          <w:p>
            <w:pPr>
              <w:ind w:left="18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18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20" w:type="dxa"/>
            <w:vAlign w:val="bottom"/>
          </w:tcPr>
          <w:p>
            <w:pPr>
              <w:jc w:val="center"/>
              <w:ind w:left="257"/>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479"/>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31.1</w:t>
            </w:r>
          </w:p>
        </w:tc>
        <w:tc>
          <w:tcPr>
            <w:tcW w:w="100" w:type="dxa"/>
            <w:vAlign w:val="bottom"/>
          </w:tcPr>
          <w:p>
            <w:pPr>
              <w:spacing w:after="0"/>
              <w:rPr>
                <w:sz w:val="24"/>
                <w:szCs w:val="24"/>
                <w:color w:val="auto"/>
              </w:rPr>
            </w:pPr>
          </w:p>
        </w:tc>
        <w:tc>
          <w:tcPr>
            <w:tcW w:w="52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 Pursuant to Rules 13a-14(a) and</w:t>
            </w: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jc w:val="center"/>
              <w:ind w:left="257"/>
              <w:spacing w:after="0"/>
              <w:rPr>
                <w:sz w:val="20"/>
                <w:szCs w:val="20"/>
                <w:color w:val="auto"/>
              </w:rPr>
            </w:pPr>
            <w:r>
              <w:rPr>
                <w:rFonts w:ascii="Times New Roman" w:cs="Times New Roman" w:eastAsia="Times New Roman" w:hAnsi="Times New Roman"/>
                <w:sz w:val="17"/>
                <w:szCs w:val="17"/>
                <w:color w:val="auto"/>
                <w:w w:val="93"/>
              </w:rPr>
              <w:t>*</w:t>
            </w:r>
          </w:p>
        </w:tc>
      </w:tr>
      <w:tr>
        <w:trPr>
          <w:trHeight w:val="183"/>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0" w:type="dxa"/>
            <w:vAlign w:val="bottom"/>
            <w:tcBorders>
              <w:bottom w:val="single" w:sz="8" w:color="0000FF"/>
            </w:tcBorders>
            <w:gridSpan w:val="7"/>
          </w:tcPr>
          <w:p>
            <w:pPr>
              <w:spacing w:after="0" w:line="183" w:lineRule="exact"/>
              <w:rPr>
                <w:sz w:val="20"/>
                <w:szCs w:val="20"/>
                <w:color w:val="auto"/>
              </w:rPr>
            </w:pPr>
            <w:r>
              <w:rPr>
                <w:rFonts w:ascii="Times New Roman" w:cs="Times New Roman" w:eastAsia="Times New Roman" w:hAnsi="Times New Roman"/>
                <w:sz w:val="17"/>
                <w:szCs w:val="17"/>
                <w:color w:val="0000FF"/>
              </w:rPr>
              <w:t>15d-14(a) under the Securities Exchange Act of 1934, as Adopted Pursuant</w:t>
            </w:r>
          </w:p>
        </w:tc>
        <w:tc>
          <w:tcPr>
            <w:tcW w:w="80" w:type="dxa"/>
            <w:vAlign w:val="bottom"/>
            <w:gridSpan w:val="3"/>
          </w:tcPr>
          <w:p>
            <w:pPr>
              <w:spacing w:after="0"/>
              <w:rPr>
                <w:sz w:val="15"/>
                <w:szCs w:val="15"/>
                <w:color w:val="auto"/>
              </w:rPr>
            </w:pPr>
          </w:p>
        </w:tc>
        <w:tc>
          <w:tcPr>
            <w:tcW w:w="9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80" w:type="dxa"/>
            <w:vAlign w:val="bottom"/>
            <w:gridSpan w:val="10"/>
          </w:tcPr>
          <w:p>
            <w:pPr>
              <w:spacing w:after="0" w:line="183" w:lineRule="exact"/>
              <w:rPr>
                <w:sz w:val="20"/>
                <w:szCs w:val="20"/>
                <w:color w:val="auto"/>
              </w:rPr>
            </w:pPr>
            <w:r>
              <w:rPr>
                <w:rFonts w:ascii="Times New Roman" w:cs="Times New Roman" w:eastAsia="Times New Roman" w:hAnsi="Times New Roman"/>
                <w:sz w:val="17"/>
                <w:szCs w:val="17"/>
                <w:color w:val="0000FF"/>
              </w:rPr>
              <w:t>to Section 302 of the Sarbanes-Oxley Act of 2002.</w:t>
            </w:r>
          </w:p>
        </w:tc>
        <w:tc>
          <w:tcPr>
            <w:tcW w:w="9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80" w:type="dxa"/>
            <w:vAlign w:val="bottom"/>
            <w:tcBorders>
              <w:right w:val="single" w:sz="8" w:color="0000EE"/>
            </w:tcBorders>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85"/>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31.2</w:t>
            </w:r>
          </w:p>
        </w:tc>
        <w:tc>
          <w:tcPr>
            <w:tcW w:w="100" w:type="dxa"/>
            <w:vAlign w:val="bottom"/>
          </w:tcPr>
          <w:p>
            <w:pPr>
              <w:spacing w:after="0"/>
              <w:rPr>
                <w:sz w:val="24"/>
                <w:szCs w:val="24"/>
                <w:color w:val="auto"/>
              </w:rPr>
            </w:pPr>
          </w:p>
        </w:tc>
        <w:tc>
          <w:tcPr>
            <w:tcW w:w="52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Certification of Principal Financial Officer Pursuant to Rules 13a-14(a) and</w:t>
            </w:r>
          </w:p>
        </w:tc>
        <w:tc>
          <w:tcPr>
            <w:tcW w:w="60" w:type="dxa"/>
            <w:vAlign w:val="bottom"/>
            <w:gridSpan w:val="2"/>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jc w:val="center"/>
              <w:ind w:left="257"/>
              <w:spacing w:after="0"/>
              <w:rPr>
                <w:sz w:val="20"/>
                <w:szCs w:val="20"/>
                <w:color w:val="auto"/>
              </w:rPr>
            </w:pPr>
            <w:r>
              <w:rPr>
                <w:rFonts w:ascii="Times New Roman" w:cs="Times New Roman" w:eastAsia="Times New Roman" w:hAnsi="Times New Roman"/>
                <w:sz w:val="17"/>
                <w:szCs w:val="17"/>
                <w:color w:val="auto"/>
                <w:w w:val="93"/>
              </w:rPr>
              <w:t>*</w:t>
            </w:r>
          </w:p>
        </w:tc>
      </w:tr>
      <w:tr>
        <w:trPr>
          <w:trHeight w:val="183"/>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0" w:type="dxa"/>
            <w:vAlign w:val="bottom"/>
            <w:tcBorders>
              <w:bottom w:val="single" w:sz="8" w:color="0000FF"/>
            </w:tcBorders>
            <w:gridSpan w:val="7"/>
          </w:tcPr>
          <w:p>
            <w:pPr>
              <w:spacing w:after="0" w:line="183" w:lineRule="exact"/>
              <w:rPr>
                <w:sz w:val="20"/>
                <w:szCs w:val="20"/>
                <w:color w:val="auto"/>
              </w:rPr>
            </w:pPr>
            <w:r>
              <w:rPr>
                <w:rFonts w:ascii="Times New Roman" w:cs="Times New Roman" w:eastAsia="Times New Roman" w:hAnsi="Times New Roman"/>
                <w:sz w:val="17"/>
                <w:szCs w:val="17"/>
                <w:color w:val="0000FF"/>
              </w:rPr>
              <w:t>15d-14(a) under the Securities Exchange Act of 1934, as Adopted Pursuant</w:t>
            </w:r>
          </w:p>
        </w:tc>
        <w:tc>
          <w:tcPr>
            <w:tcW w:w="80" w:type="dxa"/>
            <w:vAlign w:val="bottom"/>
            <w:gridSpan w:val="3"/>
          </w:tcPr>
          <w:p>
            <w:pPr>
              <w:spacing w:after="0"/>
              <w:rPr>
                <w:sz w:val="15"/>
                <w:szCs w:val="15"/>
                <w:color w:val="auto"/>
              </w:rPr>
            </w:pPr>
          </w:p>
        </w:tc>
        <w:tc>
          <w:tcPr>
            <w:tcW w:w="9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80" w:type="dxa"/>
            <w:vAlign w:val="bottom"/>
            <w:gridSpan w:val="10"/>
          </w:tcPr>
          <w:p>
            <w:pPr>
              <w:spacing w:after="0" w:line="183" w:lineRule="exact"/>
              <w:rPr>
                <w:sz w:val="20"/>
                <w:szCs w:val="20"/>
                <w:color w:val="auto"/>
              </w:rPr>
            </w:pPr>
            <w:r>
              <w:rPr>
                <w:rFonts w:ascii="Times New Roman" w:cs="Times New Roman" w:eastAsia="Times New Roman" w:hAnsi="Times New Roman"/>
                <w:sz w:val="17"/>
                <w:szCs w:val="17"/>
                <w:color w:val="0000FF"/>
              </w:rPr>
              <w:t>to Section 302 of the Sarbanes-Oxley Act of 2002.</w:t>
            </w:r>
          </w:p>
        </w:tc>
        <w:tc>
          <w:tcPr>
            <w:tcW w:w="9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80" w:type="dxa"/>
            <w:vAlign w:val="bottom"/>
            <w:tcBorders>
              <w:right w:val="single" w:sz="8" w:color="0000EE"/>
            </w:tcBorders>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85"/>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32.1†</w:t>
            </w:r>
          </w:p>
        </w:tc>
        <w:tc>
          <w:tcPr>
            <w:tcW w:w="100" w:type="dxa"/>
            <w:vAlign w:val="bottom"/>
          </w:tcPr>
          <w:p>
            <w:pPr>
              <w:spacing w:after="0"/>
              <w:rPr>
                <w:sz w:val="24"/>
                <w:szCs w:val="24"/>
                <w:color w:val="auto"/>
              </w:rPr>
            </w:pPr>
          </w:p>
        </w:tc>
        <w:tc>
          <w:tcPr>
            <w:tcW w:w="51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 Pursuant to 18 U.S.C. Section</w:t>
            </w:r>
          </w:p>
        </w:tc>
        <w:tc>
          <w:tcPr>
            <w:tcW w:w="180" w:type="dxa"/>
            <w:vAlign w:val="bottom"/>
            <w:gridSpan w:val="4"/>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jc w:val="center"/>
              <w:ind w:left="257"/>
              <w:spacing w:after="0"/>
              <w:rPr>
                <w:sz w:val="20"/>
                <w:szCs w:val="20"/>
                <w:color w:val="auto"/>
              </w:rPr>
            </w:pPr>
            <w:r>
              <w:rPr>
                <w:rFonts w:ascii="Times New Roman" w:cs="Times New Roman" w:eastAsia="Times New Roman" w:hAnsi="Times New Roman"/>
                <w:sz w:val="17"/>
                <w:szCs w:val="17"/>
                <w:color w:val="auto"/>
                <w:w w:val="93"/>
              </w:rPr>
              <w:t>*</w:t>
            </w:r>
          </w:p>
        </w:tc>
      </w:tr>
      <w:tr>
        <w:trPr>
          <w:trHeight w:val="183"/>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60" w:type="dxa"/>
            <w:vAlign w:val="bottom"/>
            <w:tcBorders>
              <w:bottom w:val="single" w:sz="8" w:color="0000FF"/>
            </w:tcBorders>
            <w:gridSpan w:val="4"/>
          </w:tcPr>
          <w:p>
            <w:pPr>
              <w:spacing w:after="0" w:line="183" w:lineRule="exact"/>
              <w:rPr>
                <w:sz w:val="20"/>
                <w:szCs w:val="20"/>
                <w:color w:val="auto"/>
              </w:rPr>
            </w:pPr>
            <w:r>
              <w:rPr>
                <w:rFonts w:ascii="Times New Roman" w:cs="Times New Roman" w:eastAsia="Times New Roman" w:hAnsi="Times New Roman"/>
                <w:sz w:val="17"/>
                <w:szCs w:val="17"/>
                <w:color w:val="0000FF"/>
              </w:rPr>
              <w:t>1350, as Adopted Pursuant to Section 906 of the Sarbanes-Oxley Act of</w:t>
            </w:r>
          </w:p>
        </w:tc>
        <w:tc>
          <w:tcPr>
            <w:tcW w:w="320" w:type="dxa"/>
            <w:vAlign w:val="bottom"/>
            <w:gridSpan w:val="6"/>
          </w:tcPr>
          <w:p>
            <w:pPr>
              <w:spacing w:after="0"/>
              <w:rPr>
                <w:sz w:val="15"/>
                <w:szCs w:val="15"/>
                <w:color w:val="auto"/>
              </w:rPr>
            </w:pPr>
          </w:p>
        </w:tc>
        <w:tc>
          <w:tcPr>
            <w:tcW w:w="9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0000FF"/>
            </w:tcBorders>
          </w:tcPr>
          <w:p>
            <w:pPr>
              <w:spacing w:after="0" w:line="183" w:lineRule="exact"/>
              <w:rPr>
                <w:sz w:val="20"/>
                <w:szCs w:val="20"/>
                <w:color w:val="auto"/>
              </w:rPr>
            </w:pPr>
            <w:r>
              <w:rPr>
                <w:rFonts w:ascii="Times New Roman" w:cs="Times New Roman" w:eastAsia="Times New Roman" w:hAnsi="Times New Roman"/>
                <w:sz w:val="17"/>
                <w:szCs w:val="17"/>
                <w:color w:val="0000FF"/>
                <w:w w:val="93"/>
              </w:rPr>
              <w:t>2002.</w:t>
            </w:r>
          </w:p>
        </w:tc>
        <w:tc>
          <w:tcPr>
            <w:tcW w:w="20" w:type="dxa"/>
            <w:vAlign w:val="bottom"/>
            <w:tcBorders>
              <w:bottom w:val="single" w:sz="8" w:color="0000EE"/>
            </w:tcBorders>
          </w:tcPr>
          <w:p>
            <w:pPr>
              <w:spacing w:after="0"/>
              <w:rPr>
                <w:sz w:val="15"/>
                <w:szCs w:val="15"/>
                <w:color w:val="auto"/>
              </w:rPr>
            </w:pPr>
          </w:p>
        </w:tc>
        <w:tc>
          <w:tcPr>
            <w:tcW w:w="30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385"/>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32.2†</w:t>
            </w:r>
          </w:p>
        </w:tc>
        <w:tc>
          <w:tcPr>
            <w:tcW w:w="100" w:type="dxa"/>
            <w:vAlign w:val="bottom"/>
          </w:tcPr>
          <w:p>
            <w:pPr>
              <w:spacing w:after="0"/>
              <w:rPr>
                <w:sz w:val="24"/>
                <w:szCs w:val="24"/>
                <w:color w:val="auto"/>
              </w:rPr>
            </w:pPr>
          </w:p>
        </w:tc>
        <w:tc>
          <w:tcPr>
            <w:tcW w:w="50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Certification of Principal Financial Officer Pursuant to 18 U.S.C. Section</w:t>
            </w:r>
          </w:p>
        </w:tc>
        <w:tc>
          <w:tcPr>
            <w:tcW w:w="220" w:type="dxa"/>
            <w:vAlign w:val="bottom"/>
            <w:gridSpan w:val="5"/>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jc w:val="center"/>
              <w:ind w:left="257"/>
              <w:spacing w:after="0"/>
              <w:rPr>
                <w:sz w:val="20"/>
                <w:szCs w:val="20"/>
                <w:color w:val="auto"/>
              </w:rPr>
            </w:pPr>
            <w:r>
              <w:rPr>
                <w:rFonts w:ascii="Times New Roman" w:cs="Times New Roman" w:eastAsia="Times New Roman" w:hAnsi="Times New Roman"/>
                <w:sz w:val="17"/>
                <w:szCs w:val="17"/>
                <w:color w:val="auto"/>
                <w:w w:val="93"/>
              </w:rPr>
              <w:t>*</w:t>
            </w:r>
          </w:p>
        </w:tc>
      </w:tr>
      <w:tr>
        <w:trPr>
          <w:trHeight w:val="183"/>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60" w:type="dxa"/>
            <w:vAlign w:val="bottom"/>
            <w:tcBorders>
              <w:bottom w:val="single" w:sz="8" w:color="0000FF"/>
            </w:tcBorders>
            <w:gridSpan w:val="4"/>
          </w:tcPr>
          <w:p>
            <w:pPr>
              <w:spacing w:after="0" w:line="183" w:lineRule="exact"/>
              <w:rPr>
                <w:sz w:val="20"/>
                <w:szCs w:val="20"/>
                <w:color w:val="auto"/>
              </w:rPr>
            </w:pPr>
            <w:r>
              <w:rPr>
                <w:rFonts w:ascii="Times New Roman" w:cs="Times New Roman" w:eastAsia="Times New Roman" w:hAnsi="Times New Roman"/>
                <w:sz w:val="17"/>
                <w:szCs w:val="17"/>
                <w:color w:val="0000FF"/>
              </w:rPr>
              <w:t>1350, as Adopted Pursuant to Section 906 of the Sarbanes-Oxley Act of</w:t>
            </w:r>
          </w:p>
        </w:tc>
        <w:tc>
          <w:tcPr>
            <w:tcW w:w="320" w:type="dxa"/>
            <w:vAlign w:val="bottom"/>
            <w:gridSpan w:val="6"/>
          </w:tcPr>
          <w:p>
            <w:pPr>
              <w:spacing w:after="0"/>
              <w:rPr>
                <w:sz w:val="15"/>
                <w:szCs w:val="15"/>
                <w:color w:val="auto"/>
              </w:rPr>
            </w:pPr>
          </w:p>
        </w:tc>
        <w:tc>
          <w:tcPr>
            <w:tcW w:w="9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0000FF"/>
            </w:tcBorders>
          </w:tcPr>
          <w:p>
            <w:pPr>
              <w:spacing w:after="0" w:line="183" w:lineRule="exact"/>
              <w:rPr>
                <w:sz w:val="20"/>
                <w:szCs w:val="20"/>
                <w:color w:val="auto"/>
              </w:rPr>
            </w:pPr>
            <w:r>
              <w:rPr>
                <w:rFonts w:ascii="Times New Roman" w:cs="Times New Roman" w:eastAsia="Times New Roman" w:hAnsi="Times New Roman"/>
                <w:sz w:val="17"/>
                <w:szCs w:val="17"/>
                <w:color w:val="0000FF"/>
                <w:w w:val="93"/>
              </w:rPr>
              <w:t>2002.</w:t>
            </w:r>
          </w:p>
        </w:tc>
        <w:tc>
          <w:tcPr>
            <w:tcW w:w="20" w:type="dxa"/>
            <w:vAlign w:val="bottom"/>
            <w:tcBorders>
              <w:bottom w:val="single" w:sz="8" w:color="0000EE"/>
            </w:tcBorders>
          </w:tcPr>
          <w:p>
            <w:pPr>
              <w:spacing w:after="0"/>
              <w:rPr>
                <w:sz w:val="15"/>
                <w:szCs w:val="15"/>
                <w:color w:val="auto"/>
              </w:rPr>
            </w:pPr>
          </w:p>
        </w:tc>
        <w:tc>
          <w:tcPr>
            <w:tcW w:w="30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423"/>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101.INS</w:t>
            </w:r>
          </w:p>
        </w:tc>
        <w:tc>
          <w:tcPr>
            <w:tcW w:w="100" w:type="dxa"/>
            <w:vAlign w:val="bottom"/>
          </w:tcPr>
          <w:p>
            <w:pPr>
              <w:spacing w:after="0"/>
              <w:rPr>
                <w:sz w:val="24"/>
                <w:szCs w:val="24"/>
                <w:color w:val="auto"/>
              </w:rPr>
            </w:pPr>
          </w:p>
        </w:tc>
        <w:tc>
          <w:tcPr>
            <w:tcW w:w="528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Inline XBRL Instance Document</w:t>
            </w: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85"/>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101.SCH</w:t>
            </w:r>
          </w:p>
        </w:tc>
        <w:tc>
          <w:tcPr>
            <w:tcW w:w="100" w:type="dxa"/>
            <w:vAlign w:val="bottom"/>
          </w:tcPr>
          <w:p>
            <w:pPr>
              <w:spacing w:after="0"/>
              <w:rPr>
                <w:sz w:val="24"/>
                <w:szCs w:val="24"/>
                <w:color w:val="auto"/>
              </w:rPr>
            </w:pPr>
          </w:p>
        </w:tc>
        <w:tc>
          <w:tcPr>
            <w:tcW w:w="528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 With Embedded</w:t>
            </w: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2"/>
        </w:trPr>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8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Linkbase Documents</w:t>
            </w:r>
          </w:p>
        </w:tc>
        <w:tc>
          <w:tcPr>
            <w:tcW w:w="9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20" w:type="dxa"/>
            <w:vAlign w:val="bottom"/>
          </w:tcPr>
          <w:p>
            <w:pPr>
              <w:spacing w:after="0"/>
              <w:rPr>
                <w:sz w:val="19"/>
                <w:szCs w:val="19"/>
                <w:color w:val="auto"/>
              </w:rPr>
            </w:pPr>
          </w:p>
        </w:tc>
      </w:tr>
    </w:tbl>
    <w:p>
      <w:pPr>
        <w:spacing w:after="0" w:line="183" w:lineRule="exact"/>
        <w:rPr>
          <w:sz w:val="20"/>
          <w:szCs w:val="20"/>
          <w:color w:val="auto"/>
        </w:rPr>
      </w:pPr>
    </w:p>
    <w:p>
      <w:pPr>
        <w:jc w:val="both"/>
        <w:ind w:left="1220" w:right="4720" w:hanging="787"/>
        <w:spacing w:after="0" w:line="265" w:lineRule="auto"/>
        <w:tabs>
          <w:tab w:leader="none" w:pos="1220"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 the Cover Page Interactive Data File does not appear in the Interactive Data File because its XBRL tags are embedded within the Inline XBRL document.</w:t>
      </w:r>
    </w:p>
    <w:p>
      <w:pPr>
        <w:spacing w:after="0" w:line="107" w:lineRule="exact"/>
        <w:rPr>
          <w:rFonts w:ascii="Times New Roman" w:cs="Times New Roman" w:eastAsia="Times New Roman" w:hAnsi="Times New Roman"/>
          <w:sz w:val="17"/>
          <w:szCs w:val="17"/>
          <w:color w:val="auto"/>
        </w:rPr>
      </w:pPr>
    </w:p>
    <w:p>
      <w:pPr>
        <w:ind w:firstLine="8"/>
        <w:spacing w:after="0" w:line="229" w:lineRule="auto"/>
        <w:tabs>
          <w:tab w:leader="none" w:pos="108"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32.1 and 32.2 that accompany this Quarterly Report on Form 10-Q,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190309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3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37" w:lineRule="exact"/>
        <w:rPr>
          <w:sz w:val="20"/>
          <w:szCs w:val="20"/>
          <w:color w:val="auto"/>
        </w:rPr>
      </w:pPr>
    </w:p>
    <w:p>
      <w:pPr>
        <w:ind w:left="60"/>
        <w:spacing w:after="0"/>
        <w:tabs>
          <w:tab w:leader="none" w:pos="5760" w:val="left"/>
          <w:tab w:leader="none" w:pos="6340" w:val="left"/>
        </w:tabs>
        <w:rPr>
          <w:sz w:val="20"/>
          <w:szCs w:val="20"/>
          <w:color w:val="auto"/>
        </w:rPr>
      </w:pPr>
      <w:r>
        <w:rPr>
          <w:rFonts w:ascii="Times New Roman" w:cs="Times New Roman" w:eastAsia="Times New Roman" w:hAnsi="Times New Roman"/>
          <w:sz w:val="18"/>
          <w:szCs w:val="18"/>
          <w:color w:val="auto"/>
        </w:rPr>
        <w:t>Date: August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Omid Farokhzad, M.D.</w:t>
      </w:r>
    </w:p>
    <w:p>
      <w:pPr>
        <w:spacing w:after="0" w:line="5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Omid Farokhzad,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-127635</wp:posOffset>
            </wp:positionV>
            <wp:extent cx="298323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3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Chief Executive Officer and</w:t>
      </w:r>
    </w:p>
    <w:p>
      <w:pPr>
        <w:spacing w:after="0" w:line="2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Chair of the Board of Directors</w:t>
      </w:r>
    </w:p>
    <w:p>
      <w:pPr>
        <w:spacing w:after="0" w:line="9"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90" w:lineRule="exact"/>
        <w:rPr>
          <w:sz w:val="20"/>
          <w:szCs w:val="20"/>
          <w:color w:val="auto"/>
        </w:rPr>
      </w:pPr>
    </w:p>
    <w:p>
      <w:pPr>
        <w:ind w:left="60"/>
        <w:spacing w:after="0"/>
        <w:tabs>
          <w:tab w:leader="none" w:pos="5760" w:val="left"/>
          <w:tab w:leader="none" w:pos="6340" w:val="left"/>
        </w:tabs>
        <w:rPr>
          <w:sz w:val="20"/>
          <w:szCs w:val="20"/>
          <w:color w:val="auto"/>
        </w:rPr>
      </w:pPr>
      <w:r>
        <w:rPr>
          <w:rFonts w:ascii="Times New Roman" w:cs="Times New Roman" w:eastAsia="Times New Roman" w:hAnsi="Times New Roman"/>
          <w:sz w:val="18"/>
          <w:szCs w:val="18"/>
          <w:color w:val="auto"/>
        </w:rPr>
        <w:t>Date: August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R. Horn</w:t>
      </w:r>
    </w:p>
    <w:p>
      <w:pPr>
        <w:spacing w:after="0" w:line="5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David R.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-127635</wp:posOffset>
            </wp:positionV>
            <wp:extent cx="298323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983230" cy="8890"/>
                    </a:xfrm>
                    <a:prstGeom prst="rect">
                      <a:avLst/>
                    </a:prstGeom>
                    <a:noFill/>
                  </pic:spPr>
                </pic:pic>
              </a:graphicData>
            </a:graphic>
          </wp:anchor>
        </w:drawing>
      </w:r>
    </w:p>
    <w:p>
      <w:pPr>
        <w:spacing w:after="0" w:line="3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President and Chief Financial Officer</w:t>
      </w:r>
    </w:p>
    <w:p>
      <w:pPr>
        <w:spacing w:after="0" w:line="48"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 and Accounting Officer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Omid Farokhzad, certify that:</w:t>
      </w:r>
    </w:p>
    <w:p>
      <w:pPr>
        <w:spacing w:after="0" w:line="212" w:lineRule="exact"/>
        <w:rPr>
          <w:sz w:val="20"/>
          <w:szCs w:val="20"/>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Seer, Inc.;</w:t>
      </w:r>
    </w:p>
    <w:p>
      <w:pPr>
        <w:spacing w:after="0" w:line="211"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Times New Roman" w:cs="Times New Roman" w:eastAsia="Times New Roman" w:hAnsi="Times New Roman"/>
          <w:sz w:val="18"/>
          <w:szCs w:val="18"/>
          <w:color w:val="auto"/>
        </w:rPr>
      </w:pPr>
    </w:p>
    <w:p>
      <w:pPr>
        <w:ind w:left="1140" w:right="80" w:hanging="383"/>
        <w:spacing w:after="0" w:line="266" w:lineRule="auto"/>
        <w:tabs>
          <w:tab w:leader="none" w:pos="11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140" w:right="220" w:hanging="383"/>
        <w:spacing w:after="0" w:line="266" w:lineRule="auto"/>
        <w:tabs>
          <w:tab w:leader="none" w:pos="11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140" w:right="380" w:hanging="383"/>
        <w:spacing w:after="0" w:line="312" w:lineRule="auto"/>
        <w:tabs>
          <w:tab w:leader="none" w:pos="114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140" w:right="80" w:hanging="383"/>
        <w:spacing w:after="0" w:line="266" w:lineRule="auto"/>
        <w:tabs>
          <w:tab w:leader="none" w:pos="11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2" w:name="page93"/>
    <w:bookmarkEnd w:id="92"/>
    <w:p>
      <w:pPr>
        <w:ind w:left="1140" w:right="620" w:hanging="383"/>
        <w:spacing w:after="0" w:line="282"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right="300" w:hanging="383"/>
        <w:spacing w:after="0" w:line="282"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6, 2025</w:t>
            </w: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Omid Farokhzad</w:t>
            </w:r>
          </w:p>
        </w:tc>
      </w:tr>
      <w:tr>
        <w:trPr>
          <w:trHeight w:val="218"/>
        </w:trPr>
        <w:tc>
          <w:tcPr>
            <w:tcW w:w="5400" w:type="dxa"/>
            <w:vAlign w:val="bottom"/>
          </w:tcPr>
          <w:p>
            <w:pPr>
              <w:spacing w:after="0"/>
              <w:rPr>
                <w:sz w:val="18"/>
                <w:szCs w:val="18"/>
                <w:color w:val="auto"/>
              </w:rPr>
            </w:pPr>
          </w:p>
        </w:tc>
        <w:tc>
          <w:tcPr>
            <w:tcW w:w="1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Omid Farokhzad</w:t>
            </w:r>
          </w:p>
        </w:tc>
        <w:tc>
          <w:tcPr>
            <w:tcW w:w="4100" w:type="dxa"/>
            <w:vAlign w:val="bottom"/>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Chair of the Board of Directors</w:t>
            </w:r>
          </w:p>
        </w:tc>
      </w:tr>
      <w:tr>
        <w:trPr>
          <w:trHeight w:val="234"/>
        </w:trPr>
        <w:tc>
          <w:tcPr>
            <w:tcW w:w="5400" w:type="dxa"/>
            <w:vAlign w:val="bottom"/>
          </w:tcPr>
          <w:p>
            <w:pPr>
              <w:spacing w:after="0"/>
              <w:rPr>
                <w:sz w:val="20"/>
                <w:szCs w:val="20"/>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843"/>
        </w:trPr>
        <w:tc>
          <w:tcPr>
            <w:tcW w:w="540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3" w:name="page94"/>
    <w:bookmarkEnd w:id="93"/>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Horn, certify that:</w:t>
      </w:r>
    </w:p>
    <w:p>
      <w:pPr>
        <w:spacing w:after="0" w:line="212" w:lineRule="exact"/>
        <w:rPr>
          <w:sz w:val="20"/>
          <w:szCs w:val="20"/>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Seer, Inc.;</w:t>
      </w:r>
    </w:p>
    <w:p>
      <w:pPr>
        <w:spacing w:after="0" w:line="211"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Times New Roman" w:cs="Times New Roman" w:eastAsia="Times New Roman" w:hAnsi="Times New Roman"/>
          <w:sz w:val="18"/>
          <w:szCs w:val="18"/>
          <w:color w:val="auto"/>
        </w:rPr>
      </w:pPr>
    </w:p>
    <w:p>
      <w:pPr>
        <w:ind w:left="1140" w:right="80" w:hanging="383"/>
        <w:spacing w:after="0" w:line="266" w:lineRule="auto"/>
        <w:tabs>
          <w:tab w:leader="none" w:pos="11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Times New Roman" w:cs="Times New Roman" w:eastAsia="Times New Roman" w:hAnsi="Times New Roman"/>
          <w:sz w:val="18"/>
          <w:szCs w:val="18"/>
          <w:color w:val="auto"/>
        </w:rPr>
      </w:pPr>
    </w:p>
    <w:p>
      <w:pPr>
        <w:ind w:left="1140" w:right="220" w:hanging="383"/>
        <w:spacing w:after="0" w:line="266" w:lineRule="auto"/>
        <w:tabs>
          <w:tab w:leader="none" w:pos="11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140" w:right="380" w:hanging="383"/>
        <w:spacing w:after="0" w:line="312" w:lineRule="auto"/>
        <w:tabs>
          <w:tab w:leader="none" w:pos="114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140" w:right="80" w:hanging="383"/>
        <w:spacing w:after="0" w:line="266" w:lineRule="auto"/>
        <w:tabs>
          <w:tab w:leader="none" w:pos="11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4" w:name="page95"/>
    <w:bookmarkEnd w:id="94"/>
    <w:p>
      <w:pPr>
        <w:ind w:left="1140" w:right="620" w:hanging="383"/>
        <w:spacing w:after="0" w:line="282" w:lineRule="auto"/>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right="300" w:hanging="383"/>
        <w:spacing w:after="0" w:line="282" w:lineRule="auto"/>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6, 2025</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By: /s/ David Horn</w:t>
            </w:r>
          </w:p>
        </w:tc>
        <w:tc>
          <w:tcPr>
            <w:tcW w:w="4240" w:type="dxa"/>
            <w:vAlign w:val="bottom"/>
          </w:tcPr>
          <w:p>
            <w:pPr>
              <w:spacing w:after="0"/>
              <w:rPr>
                <w:sz w:val="17"/>
                <w:szCs w:val="17"/>
                <w:color w:val="auto"/>
              </w:rPr>
            </w:pPr>
          </w:p>
        </w:tc>
      </w:tr>
      <w:tr>
        <w:trPr>
          <w:trHeight w:val="218"/>
        </w:trPr>
        <w:tc>
          <w:tcPr>
            <w:tcW w:w="56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Horn</w:t>
            </w:r>
          </w:p>
        </w:tc>
      </w:tr>
      <w:tr>
        <w:trPr>
          <w:trHeight w:val="216"/>
        </w:trPr>
        <w:tc>
          <w:tcPr>
            <w:tcW w:w="56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234"/>
        </w:trPr>
        <w:tc>
          <w:tcPr>
            <w:tcW w:w="5620" w:type="dxa"/>
            <w:vAlign w:val="bottom"/>
          </w:tcPr>
          <w:p>
            <w:pPr>
              <w:spacing w:after="0"/>
              <w:rPr>
                <w:sz w:val="20"/>
                <w:szCs w:val="20"/>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 and Accounting Officer)</w:t>
            </w:r>
          </w:p>
        </w:tc>
      </w:tr>
      <w:tr>
        <w:trPr>
          <w:trHeight w:val="2275"/>
        </w:trPr>
        <w:tc>
          <w:tcPr>
            <w:tcW w:w="56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4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Seer, Inc. (the “Company”) on Form 10-Q for the period ended June 30, 2025 as filed with the Securities and Exchange Commission on the date hereof (the “Report”), I, Omid Farokhzad, hereby certify, pursuant to 18 U.S.C. § 1350, as adopted pursuant to § 906 of the Sarbanes-Oxley Act of 2002, that:</w:t>
      </w:r>
    </w:p>
    <w:p>
      <w:pPr>
        <w:spacing w:after="0" w:line="162" w:lineRule="exact"/>
        <w:rPr>
          <w:sz w:val="20"/>
          <w:szCs w:val="20"/>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6, 2025</w:t>
            </w: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Omid Farokhzad</w:t>
            </w:r>
          </w:p>
        </w:tc>
      </w:tr>
      <w:tr>
        <w:trPr>
          <w:trHeight w:val="218"/>
        </w:trPr>
        <w:tc>
          <w:tcPr>
            <w:tcW w:w="5400" w:type="dxa"/>
            <w:vAlign w:val="bottom"/>
          </w:tcPr>
          <w:p>
            <w:pPr>
              <w:spacing w:after="0"/>
              <w:rPr>
                <w:sz w:val="18"/>
                <w:szCs w:val="18"/>
                <w:color w:val="auto"/>
              </w:rPr>
            </w:pPr>
          </w:p>
        </w:tc>
        <w:tc>
          <w:tcPr>
            <w:tcW w:w="1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Omid Farokhzad</w:t>
            </w:r>
          </w:p>
        </w:tc>
        <w:tc>
          <w:tcPr>
            <w:tcW w:w="4100" w:type="dxa"/>
            <w:vAlign w:val="bottom"/>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Chair of the Board of Directors</w:t>
            </w:r>
          </w:p>
        </w:tc>
      </w:tr>
      <w:tr>
        <w:trPr>
          <w:trHeight w:val="234"/>
        </w:trPr>
        <w:tc>
          <w:tcPr>
            <w:tcW w:w="5400" w:type="dxa"/>
            <w:vAlign w:val="bottom"/>
          </w:tcPr>
          <w:p>
            <w:pPr>
              <w:spacing w:after="0"/>
              <w:rPr>
                <w:sz w:val="20"/>
                <w:szCs w:val="20"/>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627"/>
        </w:trPr>
        <w:tc>
          <w:tcPr>
            <w:tcW w:w="540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18 U.S.C. SECTION 1350, AS ADOPTED PURSUANT TO SECTION 906 OF THE SARBANES-OXLEY ACT OF 2002</w:t>
      </w:r>
    </w:p>
    <w:p>
      <w:pPr>
        <w:spacing w:after="0" w:line="14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Seer, Inc. (the “Company”) on Form 10-Q for the period ended June 30, 2025 as filed with the Securities and Exchange Commission on the date hereof (the “Report”), I, David Horn, hereby certify, pursuant to 18 U.S.C. § 1350, as adopted pursuant to § 906 of the Sarbanes-Oxley Act of 2002, that:</w:t>
      </w:r>
    </w:p>
    <w:p>
      <w:pPr>
        <w:spacing w:after="0" w:line="176" w:lineRule="exact"/>
        <w:rPr>
          <w:sz w:val="20"/>
          <w:szCs w:val="20"/>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6, 2025</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By: /s/ David Horn</w:t>
            </w:r>
          </w:p>
        </w:tc>
        <w:tc>
          <w:tcPr>
            <w:tcW w:w="4240" w:type="dxa"/>
            <w:vAlign w:val="bottom"/>
          </w:tcPr>
          <w:p>
            <w:pPr>
              <w:spacing w:after="0"/>
              <w:rPr>
                <w:sz w:val="17"/>
                <w:szCs w:val="17"/>
                <w:color w:val="auto"/>
              </w:rPr>
            </w:pPr>
          </w:p>
        </w:tc>
      </w:tr>
      <w:tr>
        <w:trPr>
          <w:trHeight w:val="218"/>
        </w:trPr>
        <w:tc>
          <w:tcPr>
            <w:tcW w:w="56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Horn</w:t>
            </w:r>
          </w:p>
        </w:tc>
      </w:tr>
      <w:tr>
        <w:trPr>
          <w:trHeight w:val="216"/>
        </w:trPr>
        <w:tc>
          <w:tcPr>
            <w:tcW w:w="56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234"/>
        </w:trPr>
        <w:tc>
          <w:tcPr>
            <w:tcW w:w="5620" w:type="dxa"/>
            <w:vAlign w:val="bottom"/>
          </w:tcPr>
          <w:p>
            <w:pPr>
              <w:spacing w:after="0"/>
              <w:rPr>
                <w:sz w:val="20"/>
                <w:szCs w:val="20"/>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 and Accounting Officer)</w:t>
            </w:r>
          </w:p>
        </w:tc>
      </w:tr>
      <w:tr>
        <w:trPr>
          <w:trHeight w:val="1627"/>
        </w:trPr>
        <w:tc>
          <w:tcPr>
            <w:tcW w:w="56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97" w:name="page98"/>
    <w:bookmarkEnd w:id="9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upperLetter"/>
      <w:start w:val="24"/>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1."/>
      <w:numFmt w:val="decimal"/>
      <w:start w:val="1"/>
    </w:lvl>
  </w:abstractNum>
  <w:abstractNum w:abstractNumId="5">
    <w:nsid w:val="54E49EB4"/>
    <w:multiLevelType w:val="hybridMultilevel"/>
    <w:lvl w:ilvl="0">
      <w:lvlJc w:val="left"/>
      <w:lvlText w:val="%1."/>
      <w:numFmt w:val="decimal"/>
      <w:start w:val="2"/>
    </w:lvl>
  </w:abstractNum>
  <w:abstractNum w:abstractNumId="6">
    <w:nsid w:val="71F32454"/>
    <w:multiLevelType w:val="hybridMultilevel"/>
    <w:lvl w:ilvl="0">
      <w:lvlJc w:val="left"/>
      <w:lvlText w:val="%1."/>
      <w:numFmt w:val="decimal"/>
      <w:start w:val="3"/>
    </w:lvl>
  </w:abstractNum>
  <w:abstractNum w:abstractNumId="7">
    <w:nsid w:val="2CA88611"/>
    <w:multiLevelType w:val="hybridMultilevel"/>
    <w:lvl w:ilvl="0">
      <w:lvlJc w:val="left"/>
      <w:lvlText w:val="%1."/>
      <w:numFmt w:val="decimal"/>
      <w:start w:val="4"/>
    </w:lvl>
  </w:abstractNum>
  <w:abstractNum w:abstractNumId="8">
    <w:nsid w:val="836C40E"/>
    <w:multiLevelType w:val="hybridMultilevel"/>
    <w:lvl w:ilvl="0">
      <w:lvlJc w:val="left"/>
      <w:lvlText w:val="%1."/>
      <w:numFmt w:val="decimal"/>
      <w:start w:val="5"/>
    </w:lvl>
  </w:abstractNum>
  <w:abstractNum w:abstractNumId="9">
    <w:nsid w:val="2901D82"/>
    <w:multiLevelType w:val="hybridMultilevel"/>
    <w:lvl w:ilvl="0">
      <w:lvlJc w:val="left"/>
      <w:lvlText w:val="%1."/>
      <w:numFmt w:val="decimal"/>
      <w:start w:val="6"/>
    </w:lvl>
  </w:abstractNum>
  <w:abstractNum w:abstractNumId="10">
    <w:nsid w:val="3A95F874"/>
    <w:multiLevelType w:val="hybridMultilevel"/>
    <w:lvl w:ilvl="0">
      <w:lvlJc w:val="left"/>
      <w:lvlText w:val="(%1)"/>
      <w:numFmt w:val="decimal"/>
      <w:start w:val="1"/>
    </w:lvl>
  </w:abstractNum>
  <w:abstractNum w:abstractNumId="11">
    <w:nsid w:val="8138641"/>
    <w:multiLevelType w:val="hybridMultilevel"/>
    <w:lvl w:ilvl="0">
      <w:lvlJc w:val="left"/>
      <w:lvlText w:val="%1."/>
      <w:numFmt w:val="decimal"/>
      <w:start w:val="7"/>
    </w:lvl>
  </w:abstractNum>
  <w:abstractNum w:abstractNumId="12">
    <w:nsid w:val="1E7FF521"/>
    <w:multiLevelType w:val="hybridMultilevel"/>
    <w:lvl w:ilvl="0">
      <w:lvlJc w:val="left"/>
      <w:lvlText w:val="%1."/>
      <w:numFmt w:val="decimal"/>
      <w:start w:val="8"/>
    </w:lvl>
  </w:abstractNum>
  <w:abstractNum w:abstractNumId="13">
    <w:nsid w:val="7C3DBD3D"/>
    <w:multiLevelType w:val="hybridMultilevel"/>
    <w:lvl w:ilvl="0">
      <w:lvlJc w:val="left"/>
      <w:lvlText w:val="%1."/>
      <w:numFmt w:val="decimal"/>
      <w:start w:val="9"/>
    </w:lvl>
  </w:abstractNum>
  <w:abstractNum w:abstractNumId="14">
    <w:nsid w:val="737B8DDC"/>
    <w:multiLevelType w:val="hybridMultilevel"/>
    <w:lvl w:ilvl="0">
      <w:lvlJc w:val="left"/>
      <w:lvlText w:val="(%1)"/>
      <w:numFmt w:val="decimal"/>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1)"/>
      <w:numFmt w:val="decimal"/>
      <w:start w:val="1"/>
    </w:lvl>
  </w:abstractNum>
  <w:abstractNum w:abstractNumId="41">
    <w:nsid w:val="57E4CCAF"/>
    <w:multiLevelType w:val="hybridMultilevel"/>
    <w:lvl w:ilvl="0">
      <w:lvlJc w:val="left"/>
      <w:lvlText w:val="†"/>
      <w:numFmt w:val="bullet"/>
      <w:start w:val="1"/>
    </w:lvl>
    <w:lvl w:ilvl="1">
      <w:lvlJc w:val="left"/>
      <w:lvlText w:val="%2"/>
      <w:numFmt w:val="decimal"/>
      <w:start w:val="104"/>
    </w:lvl>
  </w:abstractNum>
  <w:abstractNum w:abstractNumId="42">
    <w:nsid w:val="7A6D8D3C"/>
    <w:multiLevelType w:val="hybridMultilevel"/>
    <w:lvl w:ilvl="0">
      <w:lvlJc w:val="left"/>
      <w:lvlText w:val="%1."/>
      <w:numFmt w:val="decimal"/>
      <w:start w:val="1"/>
    </w:lvl>
    <w:lvl w:ilvl="1">
      <w:lvlJc w:val="left"/>
      <w:lvlText w:val="(%2)"/>
      <w:numFmt w:val="lowerLetter"/>
      <w:start w:val="1"/>
    </w:lvl>
  </w:abstractNum>
  <w:abstractNum w:abstractNumId="43">
    <w:nsid w:val="4B588F54"/>
    <w:multiLevelType w:val="hybridMultilevel"/>
    <w:lvl w:ilvl="0">
      <w:lvlJc w:val="left"/>
      <w:lvlText w:val="(%1)"/>
      <w:numFmt w:val="lowerLetter"/>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2025-08-06T15:36:23Z</dcterms:created>
  <dcterms:modified xsi:type="dcterms:W3CDTF">2025-08-06T15:36:23Z</dcterms:modified>
</cp:coreProperties>
</file>