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January 29, 2021</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48260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56515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SEER,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56515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6" w:lineRule="exact"/>
        <w:rPr>
          <w:sz w:val="24"/>
          <w:szCs w:val="24"/>
          <w:color w:val="auto"/>
        </w:rPr>
      </w:pPr>
    </w:p>
    <w:tbl>
      <w:tblPr>
        <w:tblLayout w:type="fixed"/>
        <w:tblInd w:w="1880" w:type="dxa"/>
        <w:tblCellMar>
          <w:top w:w="0" w:type="dxa"/>
          <w:left w:w="0" w:type="dxa"/>
          <w:bottom w:w="0" w:type="dxa"/>
          <w:right w:w="0" w:type="dxa"/>
        </w:tblCellMar>
      </w:tblPr>
      <w:tr>
        <w:trPr>
          <w:trHeight w:val="162"/>
        </w:trPr>
        <w:tc>
          <w:tcPr>
            <w:tcW w:w="250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60" w:type="dxa"/>
            <w:vAlign w:val="bottom"/>
            <w:gridSpan w:val="2"/>
          </w:tcPr>
          <w:p>
            <w:pPr>
              <w:jc w:val="center"/>
              <w:ind w:left="32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162"/>
        </w:trPr>
        <w:tc>
          <w:tcPr>
            <w:tcW w:w="250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80" w:type="dxa"/>
            <w:vAlign w:val="bottom"/>
          </w:tcPr>
          <w:p>
            <w:pPr>
              <w:spacing w:after="0"/>
              <w:rPr>
                <w:sz w:val="14"/>
                <w:szCs w:val="14"/>
                <w:color w:val="auto"/>
              </w:rPr>
            </w:pPr>
          </w:p>
        </w:tc>
        <w:tc>
          <w:tcPr>
            <w:tcW w:w="228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0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80" w:type="dxa"/>
            <w:vAlign w:val="bottom"/>
          </w:tcPr>
          <w:p>
            <w:pPr>
              <w:spacing w:after="0"/>
              <w:rPr>
                <w:sz w:val="16"/>
                <w:szCs w:val="16"/>
                <w:color w:val="auto"/>
              </w:rPr>
            </w:pPr>
          </w:p>
        </w:tc>
        <w:tc>
          <w:tcPr>
            <w:tcW w:w="22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5"/>
        </w:trPr>
        <w:tc>
          <w:tcPr>
            <w:tcW w:w="250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r>
      <w:tr>
        <w:trPr>
          <w:trHeight w:val="279"/>
        </w:trPr>
        <w:tc>
          <w:tcPr>
            <w:tcW w:w="2500" w:type="dxa"/>
            <w:vAlign w:val="bottom"/>
          </w:tcPr>
          <w:p>
            <w:pPr>
              <w:spacing w:after="0"/>
              <w:rPr>
                <w:sz w:val="24"/>
                <w:szCs w:val="24"/>
                <w:color w:val="auto"/>
              </w:rPr>
            </w:pPr>
          </w:p>
        </w:tc>
        <w:tc>
          <w:tcPr>
            <w:tcW w:w="4760" w:type="dxa"/>
            <w:vAlign w:val="bottom"/>
            <w:gridSpan w:val="2"/>
          </w:tcPr>
          <w:p>
            <w:pPr>
              <w:jc w:val="center"/>
              <w:ind w:right="2208"/>
              <w:spacing w:after="0"/>
              <w:rPr>
                <w:sz w:val="20"/>
                <w:szCs w:val="20"/>
                <w:color w:val="auto"/>
              </w:rPr>
            </w:pPr>
            <w:r>
              <w:rPr>
                <w:rFonts w:ascii="Times New Roman" w:cs="Times New Roman" w:eastAsia="Times New Roman" w:hAnsi="Times New Roman"/>
                <w:sz w:val="14"/>
                <w:szCs w:val="14"/>
                <w:b w:val="1"/>
                <w:bCs w:val="1"/>
                <w:color w:val="auto"/>
                <w:w w:val="99"/>
              </w:rPr>
              <w:t>Seer, Inc.</w:t>
            </w:r>
          </w:p>
        </w:tc>
      </w:tr>
      <w:tr>
        <w:trPr>
          <w:trHeight w:val="190"/>
        </w:trPr>
        <w:tc>
          <w:tcPr>
            <w:tcW w:w="2500" w:type="dxa"/>
            <w:vAlign w:val="bottom"/>
          </w:tcPr>
          <w:p>
            <w:pPr>
              <w:spacing w:after="0"/>
              <w:rPr>
                <w:sz w:val="16"/>
                <w:szCs w:val="16"/>
                <w:color w:val="auto"/>
              </w:rPr>
            </w:pPr>
          </w:p>
        </w:tc>
        <w:tc>
          <w:tcPr>
            <w:tcW w:w="4760" w:type="dxa"/>
            <w:vAlign w:val="bottom"/>
            <w:gridSpan w:val="2"/>
          </w:tcPr>
          <w:p>
            <w:pPr>
              <w:jc w:val="center"/>
              <w:ind w:right="2208"/>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tc>
      </w:tr>
      <w:tr>
        <w:trPr>
          <w:trHeight w:val="216"/>
        </w:trPr>
        <w:tc>
          <w:tcPr>
            <w:tcW w:w="2500" w:type="dxa"/>
            <w:vAlign w:val="bottom"/>
          </w:tcPr>
          <w:p>
            <w:pPr>
              <w:spacing w:after="0"/>
              <w:rPr>
                <w:sz w:val="18"/>
                <w:szCs w:val="18"/>
                <w:color w:val="auto"/>
              </w:rPr>
            </w:pPr>
          </w:p>
        </w:tc>
        <w:tc>
          <w:tcPr>
            <w:tcW w:w="4760" w:type="dxa"/>
            <w:vAlign w:val="bottom"/>
            <w:gridSpan w:val="2"/>
          </w:tcPr>
          <w:p>
            <w:pPr>
              <w:jc w:val="center"/>
              <w:ind w:right="2208"/>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90805</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6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2017 Stock Incentive Plan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90805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Omid Farokhzad, M.D.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Seer, Inc.</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90805</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Tony Jeffries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Christina L. Poulsen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Wilson Sonsini Goodrich &amp; Rosati</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Professional Corporation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Page Mill Road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 94304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493-9300</w:t>
      </w:r>
    </w:p>
    <w:p>
      <w:pPr>
        <w:spacing w:after="0" w:line="1"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9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74930</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8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159"/>
        </w:trPr>
        <w:tc>
          <w:tcPr>
            <w:tcW w:w="55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Amount to be</w:t>
            </w:r>
          </w:p>
        </w:tc>
        <w:tc>
          <w:tcPr>
            <w:tcW w:w="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Offering Price Per</w:t>
            </w:r>
          </w:p>
        </w:tc>
        <w:tc>
          <w:tcPr>
            <w:tcW w:w="8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44"/>
              <w:spacing w:after="0" w:line="159" w:lineRule="exact"/>
              <w:rPr>
                <w:sz w:val="20"/>
                <w:szCs w:val="20"/>
                <w:color w:val="auto"/>
              </w:rPr>
            </w:pPr>
            <w:r>
              <w:rPr>
                <w:rFonts w:ascii="Times New Roman" w:cs="Times New Roman" w:eastAsia="Times New Roman" w:hAnsi="Times New Roman"/>
                <w:sz w:val="14"/>
                <w:szCs w:val="14"/>
                <w:b w:val="1"/>
                <w:bCs w:val="1"/>
                <w:color w:val="auto"/>
              </w:rPr>
              <w:t>Proposed Maximum</w:t>
            </w:r>
          </w:p>
        </w:tc>
        <w:tc>
          <w:tcPr>
            <w:tcW w:w="1340" w:type="dxa"/>
            <w:vAlign w:val="bottom"/>
          </w:tcPr>
          <w:p>
            <w:pPr>
              <w:spacing w:after="0"/>
              <w:rPr>
                <w:sz w:val="13"/>
                <w:szCs w:val="13"/>
                <w:color w:val="auto"/>
              </w:rPr>
            </w:pPr>
          </w:p>
        </w:tc>
      </w:tr>
      <w:tr>
        <w:trPr>
          <w:trHeight w:val="165"/>
        </w:trPr>
        <w:tc>
          <w:tcPr>
            <w:tcW w:w="5560" w:type="dxa"/>
            <w:vAlign w:val="bottom"/>
            <w:tcBorders>
              <w:right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360" w:type="dxa"/>
            <w:vAlign w:val="bottom"/>
            <w:tcBorders>
              <w:right w:val="single" w:sz="8" w:color="auto"/>
            </w:tcBorders>
          </w:tcPr>
          <w:p>
            <w:pPr>
              <w:ind w:left="280"/>
              <w:spacing w:after="0" w:line="165" w:lineRule="exact"/>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8"/>
                <w:szCs w:val="18"/>
                <w:b w:val="1"/>
                <w:bCs w:val="1"/>
                <w:color w:val="auto"/>
                <w:vertAlign w:val="superscript"/>
              </w:rPr>
              <w:t>(1)</w:t>
            </w:r>
          </w:p>
        </w:tc>
        <w:tc>
          <w:tcPr>
            <w:tcW w:w="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(2)</w:t>
            </w:r>
          </w:p>
        </w:tc>
        <w:tc>
          <w:tcPr>
            <w:tcW w:w="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 Offering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90"/>
        </w:trPr>
        <w:tc>
          <w:tcPr>
            <w:tcW w:w="556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3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24"/>
        </w:trPr>
        <w:tc>
          <w:tcPr>
            <w:tcW w:w="5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56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Class A Common Stock, $ 0.00001 par value </w:t>
            </w:r>
            <w:r>
              <w:rPr>
                <w:rFonts w:ascii="Times New Roman" w:cs="Times New Roman" w:eastAsia="Times New Roman" w:hAnsi="Times New Roman"/>
                <w:sz w:val="23"/>
                <w:szCs w:val="23"/>
                <w:color w:val="auto"/>
                <w:vertAlign w:val="superscript"/>
              </w:rPr>
              <w:t>(3)</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$77,158.08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bl>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4"/>
          <w:szCs w:val="24"/>
          <w:color w:val="auto"/>
        </w:rPr>
      </w:pPr>
    </w:p>
    <w:p>
      <w:pPr>
        <w:ind w:left="340" w:right="10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(the “Securities Act”), this Registration Statement covers shares of Class A common stock of the Registrant (“Shares”) that be issued by reason of any share dividend, share split, recapitalization or other similar transaction effected without the Registrant’s receipt of consideration that results in an increase in the number of outstanding Shares.</w:t>
      </w:r>
    </w:p>
    <w:p>
      <w:pPr>
        <w:spacing w:after="0" w:line="1"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6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457(h) under the Securities Act (“Rule 457(h)”) the proposed maximum offering price per share is based on the average high and low prices of Shares as reported on the Nasdaq Global Select Market on January 28, 2021.</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1,168 shares under the 2017 Stock Incentive Plan, in each case issued to certain current employees upon the exercise of options to purchase shares.</w:t>
      </w:r>
    </w:p>
    <w:p>
      <w:pPr>
        <w:sectPr>
          <w:pgSz w:w="11900" w:h="16838" w:orient="portrait"/>
          <w:cols w:equalWidth="0" w:num="1">
            <w:col w:w="11240"/>
          </w:cols>
          <w:pgMar w:left="320" w:top="709" w:right="339" w:bottom="1440" w:gutter="0" w:footer="0" w:header="0"/>
        </w:sectPr>
      </w:pPr>
    </w:p>
    <w:bookmarkStart w:id="1" w:name="page2"/>
    <w:bookmarkEnd w:id="1"/>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contains two parts, Part I and Part II. The first part contains a “reoffer prospectus” prepared in accordance with Part I of Form S-3 (in accordance with Instruction C of the General Instructions to Form S-8). This reoffer prospectus may be used for reoffers and sales on a continuous or delayed basis of certain of those shares of Class A common stock (the “Shares”) of Seer, Inc. (“us,” “we” or the “Registrant”) referred to above that constitute “control securities” or “restricted securities,” within the meaning of the Securities Act, by certain stockholders that are current employees of the Registrant (the “Selling Stockholders”) for their own accounts.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 The second part contains information required to be set forth in the Registration Statement pursuant to Part II of Form S-8.</w:t>
      </w:r>
    </w:p>
    <w:p>
      <w:pPr>
        <w:spacing w:after="0" w:line="13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will provide without charge to any person, upon written or oral request of such person, a copy of each document incorporated by reference in Item 3 of Part II of this registration statement (which documents are also incorporated by reference in the reoffer prospectus as set forth in Form S-8), other than exhibits to such documents that are not specifically incorporated by reference, the other documents required to be delivered to eligible employees pursuant to Rule 428(b) under the Securities Act and additional information about the plans.</w:t>
      </w:r>
    </w:p>
    <w:p>
      <w:pPr>
        <w:sectPr>
          <w:pgSz w:w="11900" w:h="16838" w:orient="portrait"/>
          <w:cols w:equalWidth="0" w:num="1">
            <w:col w:w="11120"/>
          </w:cols>
          <w:pgMar w:left="320" w:top="1440" w:right="459" w:bottom="1440" w:gutter="0" w:footer="0" w:header="0"/>
        </w:sectPr>
      </w:pPr>
    </w:p>
    <w:bookmarkStart w:id="2" w:name="page3"/>
    <w:bookmarkEnd w:id="2"/>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120015</wp:posOffset>
            </wp:positionV>
            <wp:extent cx="2571750" cy="840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SEER,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171450</wp:posOffset>
            </wp:positionV>
            <wp:extent cx="3411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1,168 shares of Class A common stock, par value $0.00001 per share (the “Shares”), of Seer, Inc., which may be offered from time to time by certain selling stockholders that are [our current or former employees and consultants] (the “Selling Stockholders”) for their own account. The Selling Stockholders may offer and sell the securities described in this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the shares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3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“SEER.” On January 28, 2021, the closing price of our Shares was $65.81 per share.</w:t>
      </w:r>
    </w:p>
    <w:p>
      <w:pPr>
        <w:spacing w:after="0" w:line="10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amount of securities to be offered or resold under this reoffer prospectus by each Selling Stockholder or other person with whom he or she is acting in concert for the purpose of selling our securities, may not exceed, during any three month period, the amount specified in Rule 144(e) under the Securities Act.</w:t>
      </w:r>
    </w:p>
    <w:p>
      <w:pPr>
        <w:spacing w:after="0" w:line="118"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101"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that are described in the section titled “Risk Factors” beginning on page 3 of this prospectus.</w:t>
      </w:r>
    </w:p>
    <w:p>
      <w:pPr>
        <w:spacing w:after="0" w:line="10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122"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29, 2021</w:t>
      </w:r>
    </w:p>
    <w:p>
      <w:pPr>
        <w:sectPr>
          <w:pgSz w:w="11900" w:h="16838" w:orient="portrait"/>
          <w:cols w:equalWidth="0" w:num="1">
            <w:col w:w="11200"/>
          </w:cols>
          <w:pgMar w:left="320" w:top="1440" w:right="379" w:bottom="1440" w:gutter="0" w:footer="0" w:header="0"/>
        </w:sectPr>
      </w:pPr>
    </w:p>
    <w:bookmarkStart w:id="3" w:name="page4"/>
    <w:bookmarkEnd w:id="3"/>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2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2"/>
        </w:trPr>
        <w:tc>
          <w:tcPr>
            <w:tcW w:w="10240" w:type="dxa"/>
            <w:vAlign w:val="bottom"/>
          </w:tcPr>
          <w:p>
            <w:pPr>
              <w:spacing w:after="0"/>
              <w:rPr>
                <w:sz w:val="24"/>
                <w:szCs w:val="24"/>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PROSPECTUS SUMMARY</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280" w:type="dxa"/>
            <w:vAlign w:val="bottom"/>
          </w:tcPr>
          <w:p>
            <w:pPr>
              <w:spacing w:after="0"/>
              <w:rPr>
                <w:sz w:val="19"/>
                <w:szCs w:val="19"/>
                <w:color w:val="auto"/>
              </w:rPr>
            </w:pPr>
          </w:p>
        </w:tc>
      </w:tr>
      <w:tr>
        <w:trPr>
          <w:trHeight w:val="230"/>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RISK FACTORS</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3</w:t>
              </w:r>
            </w:hyperlink>
          </w:p>
        </w:tc>
        <w:tc>
          <w:tcPr>
            <w:tcW w:w="280" w:type="dxa"/>
            <w:vAlign w:val="bottom"/>
          </w:tcPr>
          <w:p>
            <w:pPr>
              <w:spacing w:after="0"/>
              <w:rPr>
                <w:sz w:val="19"/>
                <w:szCs w:val="19"/>
                <w:color w:val="auto"/>
              </w:rPr>
            </w:pPr>
          </w:p>
        </w:tc>
      </w:tr>
      <w:tr>
        <w:trPr>
          <w:trHeight w:val="22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USE OF PROCEEDS</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4</w:t>
              </w:r>
            </w:hyperlink>
          </w:p>
        </w:tc>
        <w:tc>
          <w:tcPr>
            <w:tcW w:w="280" w:type="dxa"/>
            <w:vAlign w:val="bottom"/>
          </w:tcPr>
          <w:p>
            <w:pPr>
              <w:spacing w:after="0"/>
              <w:rPr>
                <w:sz w:val="19"/>
                <w:szCs w:val="19"/>
                <w:color w:val="auto"/>
              </w:rPr>
            </w:pPr>
          </w:p>
        </w:tc>
      </w:tr>
      <w:tr>
        <w:trPr>
          <w:trHeight w:val="22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SELLING STOCKHOLDERS</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5</w:t>
              </w:r>
            </w:hyperlink>
          </w:p>
        </w:tc>
        <w:tc>
          <w:tcPr>
            <w:tcW w:w="280" w:type="dxa"/>
            <w:vAlign w:val="bottom"/>
          </w:tcPr>
          <w:p>
            <w:pPr>
              <w:spacing w:after="0"/>
              <w:rPr>
                <w:sz w:val="19"/>
                <w:szCs w:val="19"/>
                <w:color w:val="auto"/>
              </w:rPr>
            </w:pPr>
          </w:p>
        </w:tc>
      </w:tr>
      <w:tr>
        <w:trPr>
          <w:trHeight w:val="230"/>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PLAN OF DISTRIBUTION</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6</w:t>
              </w:r>
            </w:hyperlink>
          </w:p>
        </w:tc>
        <w:tc>
          <w:tcPr>
            <w:tcW w:w="280" w:type="dxa"/>
            <w:vAlign w:val="bottom"/>
          </w:tcPr>
          <w:p>
            <w:pPr>
              <w:spacing w:after="0"/>
              <w:rPr>
                <w:sz w:val="19"/>
                <w:szCs w:val="19"/>
                <w:color w:val="auto"/>
              </w:rPr>
            </w:pPr>
          </w:p>
        </w:tc>
      </w:tr>
      <w:tr>
        <w:trPr>
          <w:trHeight w:val="22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LEGAL MATTERS</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8</w:t>
              </w:r>
            </w:hyperlink>
          </w:p>
        </w:tc>
        <w:tc>
          <w:tcPr>
            <w:tcW w:w="280" w:type="dxa"/>
            <w:vAlign w:val="bottom"/>
          </w:tcPr>
          <w:p>
            <w:pPr>
              <w:spacing w:after="0"/>
              <w:rPr>
                <w:sz w:val="19"/>
                <w:szCs w:val="19"/>
                <w:color w:val="auto"/>
              </w:rPr>
            </w:pPr>
          </w:p>
        </w:tc>
      </w:tr>
      <w:tr>
        <w:trPr>
          <w:trHeight w:val="230"/>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EXPERTS</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8</w:t>
              </w:r>
            </w:hyperlink>
          </w:p>
        </w:tc>
        <w:tc>
          <w:tcPr>
            <w:tcW w:w="280" w:type="dxa"/>
            <w:vAlign w:val="bottom"/>
          </w:tcPr>
          <w:p>
            <w:pPr>
              <w:spacing w:after="0"/>
              <w:rPr>
                <w:sz w:val="19"/>
                <w:szCs w:val="19"/>
                <w:color w:val="auto"/>
              </w:rPr>
            </w:pPr>
          </w:p>
        </w:tc>
      </w:tr>
      <w:tr>
        <w:trPr>
          <w:trHeight w:val="22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INFORMATION INCORPORATED BY REFERENCE</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8</w:t>
              </w:r>
            </w:hyperlink>
          </w:p>
        </w:tc>
        <w:tc>
          <w:tcPr>
            <w:tcW w:w="280" w:type="dxa"/>
            <w:vAlign w:val="bottom"/>
          </w:tcPr>
          <w:p>
            <w:pPr>
              <w:spacing w:after="0"/>
              <w:rPr>
                <w:sz w:val="19"/>
                <w:szCs w:val="19"/>
                <w:color w:val="auto"/>
              </w:rPr>
            </w:pPr>
          </w:p>
        </w:tc>
      </w:tr>
      <w:tr>
        <w:trPr>
          <w:trHeight w:val="22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WHERE YOU CAN FIND MORE INFORMATION</w:t>
              </w:r>
            </w:hyperlink>
          </w:p>
        </w:tc>
        <w:tc>
          <w:tcPr>
            <w:tcW w:w="480" w:type="dxa"/>
            <w:vAlign w:val="bottom"/>
            <w:gridSpan w:val="2"/>
          </w:tcPr>
          <w:p>
            <w:pPr>
              <w:jc w:val="center"/>
              <w:ind w:left="172"/>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8</w:t>
              </w:r>
            </w:hyperlink>
          </w:p>
        </w:tc>
        <w:tc>
          <w:tcPr>
            <w:tcW w:w="280" w:type="dxa"/>
            <w:vAlign w:val="bottom"/>
          </w:tcPr>
          <w:p>
            <w:pPr>
              <w:spacing w:after="0"/>
              <w:rPr>
                <w:sz w:val="19"/>
                <w:szCs w:val="19"/>
                <w:color w:val="auto"/>
              </w:rPr>
            </w:pPr>
          </w:p>
        </w:tc>
      </w:tr>
      <w:tr>
        <w:trPr>
          <w:trHeight w:val="194"/>
        </w:trPr>
        <w:tc>
          <w:tcPr>
            <w:tcW w:w="10240" w:type="dxa"/>
            <w:vAlign w:val="bottom"/>
          </w:tcPr>
          <w:p>
            <w:pPr>
              <w:spacing w:after="0" w:line="194" w:lineRule="exact"/>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PART I INFORMATION REQUIRED IN THE SECTION 10(A) PROSPECTUS</w:t>
              </w:r>
            </w:hyperlink>
          </w:p>
        </w:tc>
        <w:tc>
          <w:tcPr>
            <w:tcW w:w="260" w:type="dxa"/>
            <w:vAlign w:val="bottom"/>
          </w:tcPr>
          <w:p>
            <w:pPr>
              <w:spacing w:after="0"/>
              <w:rPr>
                <w:sz w:val="16"/>
                <w:szCs w:val="16"/>
                <w:color w:val="auto"/>
              </w:rPr>
            </w:pPr>
          </w:p>
        </w:tc>
        <w:tc>
          <w:tcPr>
            <w:tcW w:w="220" w:type="dxa"/>
            <w:vAlign w:val="bottom"/>
            <w:tcBorders>
              <w:bottom w:val="single" w:sz="8" w:color="0000FF"/>
            </w:tcBorders>
          </w:tcPr>
          <w:p>
            <w:pPr>
              <w:jc w:val="center"/>
              <w:spacing w:after="0" w:line="194" w:lineRule="exact"/>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I-1</w:t>
              </w:r>
            </w:hyperlink>
          </w:p>
        </w:tc>
        <w:tc>
          <w:tcPr>
            <w:tcW w:w="280" w:type="dxa"/>
            <w:vAlign w:val="bottom"/>
          </w:tcPr>
          <w:p>
            <w:pPr>
              <w:spacing w:after="0"/>
              <w:rPr>
                <w:sz w:val="16"/>
                <w:szCs w:val="16"/>
                <w:color w:val="auto"/>
              </w:rPr>
            </w:pPr>
          </w:p>
        </w:tc>
      </w:tr>
      <w:tr>
        <w:trPr>
          <w:trHeight w:val="20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PART II INFORMATION REQUIRED IN REGISTRATION STATEMENT</w:t>
              </w:r>
            </w:hyperlink>
          </w:p>
        </w:tc>
        <w:tc>
          <w:tcPr>
            <w:tcW w:w="260" w:type="dxa"/>
            <w:vAlign w:val="bottom"/>
          </w:tcPr>
          <w:p>
            <w:pPr>
              <w:spacing w:after="0"/>
              <w:rPr>
                <w:sz w:val="18"/>
                <w:szCs w:val="18"/>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I-1</w:t>
              </w:r>
            </w:hyperlink>
          </w:p>
        </w:tc>
        <w:tc>
          <w:tcPr>
            <w:tcW w:w="280" w:type="dxa"/>
            <w:vAlign w:val="bottom"/>
          </w:tcPr>
          <w:p>
            <w:pPr>
              <w:spacing w:after="0"/>
              <w:rPr>
                <w:sz w:val="18"/>
                <w:szCs w:val="18"/>
                <w:color w:val="auto"/>
              </w:rPr>
            </w:pPr>
          </w:p>
        </w:tc>
      </w:tr>
      <w:tr>
        <w:trPr>
          <w:trHeight w:val="210"/>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EXHIBIT INDEX</w:t>
              </w:r>
            </w:hyperlink>
          </w:p>
        </w:tc>
        <w:tc>
          <w:tcPr>
            <w:tcW w:w="260" w:type="dxa"/>
            <w:vAlign w:val="bottom"/>
          </w:tcPr>
          <w:p>
            <w:pPr>
              <w:spacing w:after="0"/>
              <w:rPr>
                <w:sz w:val="18"/>
                <w:szCs w:val="18"/>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I-3</w:t>
              </w:r>
            </w:hyperlink>
          </w:p>
        </w:tc>
        <w:tc>
          <w:tcPr>
            <w:tcW w:w="280" w:type="dxa"/>
            <w:vAlign w:val="bottom"/>
          </w:tcPr>
          <w:p>
            <w:pPr>
              <w:spacing w:after="0"/>
              <w:rPr>
                <w:sz w:val="18"/>
                <w:szCs w:val="18"/>
                <w:color w:val="auto"/>
              </w:rPr>
            </w:pPr>
          </w:p>
        </w:tc>
      </w:tr>
      <w:tr>
        <w:trPr>
          <w:trHeight w:val="209"/>
        </w:trPr>
        <w:tc>
          <w:tcPr>
            <w:tcW w:w="10240" w:type="dxa"/>
            <w:vAlign w:val="bottom"/>
          </w:tcPr>
          <w:p>
            <w:pPr>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SIGNATURES</w:t>
              </w:r>
            </w:hyperlink>
          </w:p>
        </w:tc>
        <w:tc>
          <w:tcPr>
            <w:tcW w:w="260" w:type="dxa"/>
            <w:vAlign w:val="bottom"/>
          </w:tcPr>
          <w:p>
            <w:pPr>
              <w:spacing w:after="0"/>
              <w:rPr>
                <w:sz w:val="18"/>
                <w:szCs w:val="18"/>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I-5</w:t>
              </w:r>
            </w:hyperlink>
          </w:p>
        </w:tc>
        <w:tc>
          <w:tcPr>
            <w:tcW w:w="280" w:type="dxa"/>
            <w:vAlign w:val="bottom"/>
          </w:tcPr>
          <w:p>
            <w:pPr>
              <w:spacing w:after="0"/>
              <w:rPr>
                <w:sz w:val="18"/>
                <w:szCs w:val="18"/>
                <w:color w:val="auto"/>
              </w:rPr>
            </w:pPr>
          </w:p>
        </w:tc>
      </w:tr>
    </w:tbl>
    <w:p>
      <w:pPr>
        <w:spacing w:after="0" w:line="16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We have not authorized anyone to provide any information other than that contained in this prospectus, in any prospectus supplement or in any free writing prospectus prepared by or on behalf of us or to which we have referred to you. We do not take responsibility for, and we do not provide any assurance as to the reliability of, any other information that others may give you. We have not authorized any other person to provide you with different information. The information contained in this document speaks only as of the date of this document, unless the information specifically indicates that another date applies.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accompanying prospectus supplement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the information appearing in this prospectus is accurate only as of the date on the front cover of this prospectus, regardless of the time of delivery of this prospectus or of any sale of the Shares. Our business, financial condition, results of operations and prospects may have changed since that date.</w:t>
      </w:r>
    </w:p>
    <w:p>
      <w:pPr>
        <w:spacing w:after="0" w:line="1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otherwise requires, the terms “Seer,” “the company,” we,” “us,” and “our,” in this prospectus refer to Seer, Inc.</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including the documents incorporated by reference herein. Potential investors should read the entire prospectus carefully, including the risks of purchasing shares of our Class A common stock in discussed in the section titled “Risk Factors.”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de novo,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60"/>
          </w:cols>
          <w:pgMar w:left="1000" w:top="1440" w:right="10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047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304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website address is http://seer.bio. Information contained on, or that can be accessed through, our website is not incorporated by reference into this prospectus and should not be considered to be part of this prospectus. You should not consider information contained on our website to be part of this prospectus or in deciding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00"/>
          </w:cols>
          <w:pgMar w:left="1000" w:top="1440" w:right="1099" w:bottom="1440" w:gutter="0" w:footer="0" w:header="0"/>
        </w:sectPr>
      </w:pPr>
    </w:p>
    <w:bookmarkStart w:id="6" w:name="page7"/>
    <w:bookmarkEnd w:id="6"/>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set forth under the caption “Risk Factors” in our Prospectus dated January 27, 2021 filed with the SEC pursuant to Rule 424(b) under the Securities Act, relating to the Registration Statement on Form S-1, as amended (File No. 333-252395), which are incorporated by reference herein, and subsequent reports filed with the SEC, together with the financial and other information contained or incorporated by reference in this prospectus. The occurrence of any of the risks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1440" w:right="459" w:bottom="1440" w:gutter="0" w:footer="0" w:header="0"/>
        </w:sectPr>
      </w:pPr>
    </w:p>
    <w:bookmarkStart w:id="7" w:name="page8"/>
    <w:bookmarkEnd w:id="7"/>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All proceeds from the sale of the Shares will be for the account of the Selling Stockholders, as described below. See the sections titled “Selling Stockholders” and “Plan of Distribution”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320" w:top="1440" w:right="1239" w:bottom="1440" w:gutter="0" w:footer="0" w:header="0"/>
        </w:sectPr>
      </w:pPr>
    </w:p>
    <w:bookmarkStart w:id="8" w:name="page9"/>
    <w:bookmarkEnd w:id="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December 31, 2020, as adjusted to reflect the Shares that may be sold from time to time pursuant to this prospectus, for all Selling Stockholders, consisting of the individuals shown as having shares listed in the column entitled “Shares Offered.”</w:t>
      </w:r>
    </w:p>
    <w:p>
      <w:pPr>
        <w:spacing w:after="0" w:line="12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2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on 53,395,319 shares of our Class A common stock and 5,865,732 shares of our Class B common stock outstanding as of December 31, 2020.</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deemed shares of our Class A common stock subject to stock options that are currently exercisable or exercisable within 60 days of December 31, 2020, or issuable pursuant to restricted common stock awards (RSAs) which are subject to vesting and settlement conditions expected to occur within 60 days of December 31,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the Offering</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2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Beneficially Owned After the Offering</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gridSpan w:val="4"/>
            <w:vMerge w:val="continue"/>
          </w:tcPr>
          <w:p>
            <w:pPr>
              <w:spacing w:after="0"/>
              <w:rPr>
                <w:sz w:val="16"/>
                <w:szCs w:val="16"/>
                <w:color w:val="auto"/>
              </w:rPr>
            </w:pP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3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66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5"/>
                <w:szCs w:val="15"/>
                <w:color w:val="auto"/>
              </w:rPr>
            </w:pPr>
          </w:p>
        </w:tc>
        <w:tc>
          <w:tcPr>
            <w:tcW w:w="15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6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Daniel Hornburg</w:t>
            </w:r>
            <w:r>
              <w:rPr>
                <w:rFonts w:ascii="Times New Roman" w:cs="Times New Roman" w:eastAsia="Times New Roman" w:hAnsi="Times New Roman"/>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 w:lineRule="exact"/>
        <w:rPr>
          <w:sz w:val="20"/>
          <w:szCs w:val="20"/>
          <w:color w:val="auto"/>
        </w:rPr>
      </w:pPr>
    </w:p>
    <w:p>
      <w:pPr>
        <w:ind w:left="340" w:right="100" w:hanging="332"/>
        <w:spacing w:after="0" w:line="24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the Shares held by each Selling Stockholder and being offered under this prospectus are sold, and that no Selling Stockholder will acquire additional ordinary shares before the completion of this offering.</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Hornburg is a non-affiliate person holding at least 1,000 Shares and and beneficially owns less than 1%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offered by this prospectus may be sold from time to time to purchasers: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Stockholders, or</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dealers or agents, who may receive compensation in the form of discounts, commissions or agent’s commissions from the Selling Stockholders or the purchasers of the Shares.</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If any of the Selling Stockholders utilize a broker-dealer in the sale or distribution of the Shares, such broker-dealer may receive commissions in the form of discounts, concessions, or commissions from such Selling Stockholder or commissions from purchasers of the Shares for whom they may act as agent or to whom they may sell as principal. The Shares may be sold in one or more transactions at:</w:t>
      </w:r>
    </w:p>
    <w:p>
      <w:pPr>
        <w:spacing w:after="0" w:line="12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including the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by applicable law;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17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26"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2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1440" w:right="439" w:bottom="1440" w:gutter="0" w:footer="0" w:header="0"/>
        </w:sectPr>
      </w:pPr>
    </w:p>
    <w:bookmarkStart w:id="11" w:name="page12"/>
    <w:bookmarkEnd w:id="1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The validity of the issuance of our Class A common stock offered in this prospectus has been passed upon for us by Wilson Sonsini Goodrich &amp; Rosati, Professional Corporation, Palo Alto, California. Wilson Sonsini Goodrich &amp; Rosati, P.C. and certain of its members are associated with WS Investment Company, LLC (2017A) and WS Investment Company, LLC (2018A). WS Investment Company (2017A) and WS Investment Company (2018A) directly or indirectly own less than 0.1% of the outstanding shares of our common stock.</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75" w:lineRule="exact"/>
        <w:rPr>
          <w:sz w:val="20"/>
          <w:szCs w:val="20"/>
          <w:color w:val="auto"/>
        </w:rPr>
      </w:pPr>
    </w:p>
    <w:p>
      <w:pPr>
        <w:ind w:left="660" w:right="2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w:t>
      </w:r>
      <w:hyperlink r:id="rId22">
        <w:r>
          <w:rPr>
            <w:rFonts w:ascii="Times New Roman" w:cs="Times New Roman" w:eastAsia="Times New Roman" w:hAnsi="Times New Roman"/>
            <w:sz w:val="18"/>
            <w:szCs w:val="18"/>
            <w:u w:val="single" w:color="auto"/>
            <w:color w:val="0000FF"/>
          </w:rPr>
          <w:t>January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pursuant to </w:t>
      </w:r>
      <w:hyperlink r:id="rId23">
        <w:r>
          <w:rPr>
            <w:rFonts w:ascii="Times New Roman" w:cs="Times New Roman" w:eastAsia="Times New Roman" w:hAnsi="Times New Roman"/>
            <w:sz w:val="18"/>
            <w:szCs w:val="18"/>
            <w:u w:val="single" w:color="auto"/>
            <w:color w:val="0000FF"/>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the Securities Act, relating to the Registration Statement on </w:t>
      </w:r>
      <w:hyperlink r:id="rId24">
        <w:r>
          <w:rPr>
            <w:rFonts w:ascii="Times New Roman" w:cs="Times New Roman" w:eastAsia="Times New Roman" w:hAnsi="Times New Roman"/>
            <w:sz w:val="18"/>
            <w:szCs w:val="18"/>
            <w:u w:val="single" w:color="auto"/>
            <w:color w:val="0000FF"/>
          </w:rPr>
          <w:t>Form S-1</w:t>
        </w:r>
      </w:hyperlink>
      <w:r>
        <w:rPr>
          <w:rFonts w:ascii="Times New Roman" w:cs="Times New Roman" w:eastAsia="Times New Roman" w:hAnsi="Times New Roman"/>
          <w:sz w:val="18"/>
          <w:szCs w:val="18"/>
          <w:color w:val="auto"/>
        </w:rPr>
        <w:t>, as amended (File No. 333-252395), which contains the Registrant’s audited financial statements for the latest fiscal year for which such statements have been filed;</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4" w:val="left"/>
        </w:tabs>
        <w:numPr>
          <w:ilvl w:val="0"/>
          <w:numId w:val="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Current Reports on Form 8-K filed with the SEC on </w:t>
      </w:r>
      <w:hyperlink r:id="rId25">
        <w:r>
          <w:rPr>
            <w:rFonts w:ascii="Times New Roman" w:cs="Times New Roman" w:eastAsia="Times New Roman" w:hAnsi="Times New Roman"/>
            <w:sz w:val="18"/>
            <w:szCs w:val="18"/>
            <w:u w:val="single" w:color="auto"/>
            <w:color w:val="0000FF"/>
          </w:rPr>
          <w:t>December 8,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“furnished” and not “filed” information) and </w:t>
      </w:r>
      <w:hyperlink r:id="rId26">
        <w:r>
          <w:rPr>
            <w:rFonts w:ascii="Times New Roman" w:cs="Times New Roman" w:eastAsia="Times New Roman" w:hAnsi="Times New Roman"/>
            <w:sz w:val="18"/>
            <w:szCs w:val="18"/>
            <w:u w:val="single" w:color="auto"/>
            <w:color w:val="0000FF"/>
          </w:rPr>
          <w:t>January 25,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07" w:lineRule="exact"/>
        <w:rPr>
          <w:rFonts w:ascii="Times New Roman" w:cs="Times New Roman" w:eastAsia="Times New Roman" w:hAnsi="Times New Roman"/>
          <w:sz w:val="18"/>
          <w:szCs w:val="18"/>
          <w:color w:val="0000FF"/>
        </w:rPr>
      </w:pPr>
    </w:p>
    <w:p>
      <w:pPr>
        <w:ind w:left="660" w:right="22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27">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001-39747) filed with the SEC on November 30, 2020, pursuant to Section 12(b) of the Securities Exchange Act of 1934, as amended (the “Exchange Act”), including any amendment or report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rFonts w:ascii="Times New Roman" w:cs="Times New Roman" w:eastAsia="Times New Roman" w:hAnsi="Times New Roman"/>
          <w:sz w:val="18"/>
          <w:szCs w:val="18"/>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we file annual, quarterly and special reports, proxy statements and other information with the SEC. These reports, proxy statements and other information will be available at www.sec.gov. We also maintain a website at http://seer.bio.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Seer,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“SEC”):</w:t>
      </w:r>
    </w:p>
    <w:p>
      <w:pPr>
        <w:spacing w:after="0" w:line="153" w:lineRule="exact"/>
        <w:rPr>
          <w:sz w:val="20"/>
          <w:szCs w:val="20"/>
          <w:color w:val="auto"/>
        </w:rPr>
      </w:pPr>
    </w:p>
    <w:p>
      <w:pPr>
        <w:ind w:left="660" w:right="4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w:t>
      </w:r>
      <w:hyperlink r:id="rId22">
        <w:r>
          <w:rPr>
            <w:rFonts w:ascii="Times New Roman" w:cs="Times New Roman" w:eastAsia="Times New Roman" w:hAnsi="Times New Roman"/>
            <w:sz w:val="18"/>
            <w:szCs w:val="18"/>
            <w:u w:val="single" w:color="auto"/>
            <w:color w:val="0000FF"/>
          </w:rPr>
          <w:t>January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pursuant to </w:t>
      </w:r>
      <w:hyperlink r:id="rId23">
        <w:r>
          <w:rPr>
            <w:rFonts w:ascii="Times New Roman" w:cs="Times New Roman" w:eastAsia="Times New Roman" w:hAnsi="Times New Roman"/>
            <w:sz w:val="18"/>
            <w:szCs w:val="18"/>
            <w:u w:val="single" w:color="auto"/>
            <w:color w:val="0000FF"/>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the Securities Act, relating to the Registration Statement on </w:t>
      </w:r>
      <w:hyperlink r:id="rId24">
        <w:r>
          <w:rPr>
            <w:rFonts w:ascii="Times New Roman" w:cs="Times New Roman" w:eastAsia="Times New Roman" w:hAnsi="Times New Roman"/>
            <w:sz w:val="18"/>
            <w:szCs w:val="18"/>
            <w:u w:val="single" w:color="auto"/>
            <w:color w:val="0000FF"/>
          </w:rPr>
          <w:t>Form S-1</w:t>
        </w:r>
      </w:hyperlink>
      <w:r>
        <w:rPr>
          <w:rFonts w:ascii="Times New Roman" w:cs="Times New Roman" w:eastAsia="Times New Roman" w:hAnsi="Times New Roman"/>
          <w:sz w:val="18"/>
          <w:szCs w:val="18"/>
          <w:color w:val="auto"/>
        </w:rPr>
        <w:t>, as amended (File No. 333-252395), which contains the Registrant’s audited financial statements for the latest fiscal year for which such statements have been filed;</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4" w:val="left"/>
        </w:tabs>
        <w:numPr>
          <w:ilvl w:val="0"/>
          <w:numId w:val="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Current Reports on Form 8-K filed with the SEC on </w:t>
      </w:r>
      <w:hyperlink r:id="rId25">
        <w:r>
          <w:rPr>
            <w:rFonts w:ascii="Times New Roman" w:cs="Times New Roman" w:eastAsia="Times New Roman" w:hAnsi="Times New Roman"/>
            <w:sz w:val="18"/>
            <w:szCs w:val="18"/>
            <w:u w:val="single" w:color="auto"/>
            <w:color w:val="0000FF"/>
          </w:rPr>
          <w:t>December 8,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“furnished” and not “filed” information) and </w:t>
      </w:r>
      <w:hyperlink r:id="rId26">
        <w:r>
          <w:rPr>
            <w:rFonts w:ascii="Times New Roman" w:cs="Times New Roman" w:eastAsia="Times New Roman" w:hAnsi="Times New Roman"/>
            <w:sz w:val="18"/>
            <w:szCs w:val="18"/>
            <w:u w:val="single" w:color="auto"/>
            <w:color w:val="0000FF"/>
          </w:rPr>
          <w:t>January 25,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07" w:lineRule="exact"/>
        <w:rPr>
          <w:rFonts w:ascii="Times New Roman" w:cs="Times New Roman" w:eastAsia="Times New Roman" w:hAnsi="Times New Roman"/>
          <w:sz w:val="18"/>
          <w:szCs w:val="18"/>
          <w:color w:val="0000FF"/>
        </w:rPr>
      </w:pPr>
    </w:p>
    <w:p>
      <w:pPr>
        <w:ind w:left="660" w:right="16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27">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001-39747) filed with the SEC on November 30, 2020, pursuant to Section 12(b) of the Exchange Act, including any amendment or report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7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7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75" w:lineRule="exact"/>
        <w:rPr>
          <w:rFonts w:ascii="Times New Roman" w:cs="Times New Roman" w:eastAsia="Times New Roman" w:hAnsi="Times New Roman"/>
          <w:sz w:val="18"/>
          <w:szCs w:val="18"/>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DGCL.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34"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2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issuance of the Shares being offered by the Form S-8 resale prospectus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6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20" w:type="dxa"/>
            <w:vAlign w:val="bottom"/>
            <w:tcBorders>
              <w:top w:val="single" w:sz="8" w:color="auto"/>
            </w:tcBorders>
            <w:gridSpan w:val="2"/>
          </w:tcPr>
          <w:p>
            <w:pPr>
              <w:spacing w:after="0"/>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Amended and Restated Certificate of Incorporation of the Registrant.</w:t>
              </w:r>
            </w:hyperlink>
          </w:p>
        </w:tc>
        <w:tc>
          <w:tcPr>
            <w:tcW w:w="0" w:type="dxa"/>
            <w:vAlign w:val="bottom"/>
          </w:tcPr>
          <w:p>
            <w:pPr>
              <w:spacing w:after="0"/>
              <w:rPr>
                <w:sz w:val="1"/>
                <w:szCs w:val="1"/>
                <w:color w:val="auto"/>
              </w:rPr>
            </w:pPr>
          </w:p>
        </w:tc>
      </w:tr>
      <w:tr>
        <w:trPr>
          <w:trHeight w:val="32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
          </w:tcPr>
          <w:p>
            <w:pPr>
              <w:spacing w:after="0"/>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Amended and Restated Bylaws of the Registrant.</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
          </w:tcPr>
          <w:p>
            <w:pPr>
              <w:spacing w:after="0"/>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Form of common stock certificate of the Registrant.</w:t>
              </w:r>
            </w:hyperlink>
          </w:p>
        </w:tc>
        <w:tc>
          <w:tcPr>
            <w:tcW w:w="0" w:type="dxa"/>
            <w:vAlign w:val="bottom"/>
          </w:tcPr>
          <w:p>
            <w:pPr>
              <w:spacing w:after="0"/>
              <w:rPr>
                <w:sz w:val="1"/>
                <w:szCs w:val="1"/>
                <w:color w:val="auto"/>
              </w:rPr>
            </w:pPr>
          </w:p>
        </w:tc>
      </w:tr>
      <w:tr>
        <w:trPr>
          <w:trHeight w:val="197"/>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7"/>
                <w:szCs w:val="17"/>
                <w:color w:val="auto"/>
              </w:rPr>
              <w:t>4.4</w:t>
            </w:r>
            <w:r>
              <w:rPr>
                <w:rFonts w:ascii="Times New Roman" w:cs="Times New Roman" w:eastAsia="Times New Roman" w:hAnsi="Times New Roman"/>
                <w:sz w:val="22"/>
                <w:szCs w:val="22"/>
                <w:color w:val="auto"/>
                <w:vertAlign w:val="superscript"/>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
          </w:tcPr>
          <w:p>
            <w:pPr>
              <w:spacing w:after="0" w:line="197"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 xml:space="preserve">Amended and </w:t>
              </w:r>
            </w:hyperlink>
            <w:r>
              <w:rPr>
                <w:rFonts w:ascii="Times New Roman" w:cs="Times New Roman" w:eastAsia="Times New Roman" w:hAnsi="Times New Roman"/>
                <w:sz w:val="18"/>
                <w:szCs w:val="18"/>
                <w:color w:val="0000FF"/>
              </w:rPr>
              <w:t xml:space="preserve">Restated </w:t>
            </w:r>
            <w:hyperlink r:id="rId31">
              <w:r>
                <w:rPr>
                  <w:rFonts w:ascii="Times New Roman" w:cs="Times New Roman" w:eastAsia="Times New Roman" w:hAnsi="Times New Roman"/>
                  <w:sz w:val="18"/>
                  <w:szCs w:val="18"/>
                  <w:color w:val="0000FF"/>
                </w:rPr>
                <w:t xml:space="preserve">2017 Stock Incentive Plan </w:t>
              </w:r>
              <w:r>
                <w:rPr>
                  <w:rFonts w:ascii="Times New Roman" w:cs="Times New Roman" w:eastAsia="Times New Roman" w:hAnsi="Times New Roman"/>
                  <w:sz w:val="18"/>
                  <w:szCs w:val="18"/>
                  <w:u w:val="single" w:color="auto"/>
                  <w:color w:val="0000FF"/>
                </w:rPr>
                <w:t>and related form agreements.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
          </w:tcPr>
          <w:p>
            <w:pPr>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Opinion of Wilson Sonsini Goodrich &amp; Rosati, Professional Corporation, counsel to the Registrant.</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Consent of Deloitte &amp; Touche LLP, an independent registered public accounting firm.</w:t>
              </w:r>
            </w:hyperlink>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u w:val="single" w:color="auto"/>
                  <w:color w:val="0000FF"/>
                </w:rPr>
                <w:t>Consent of</w:t>
              </w:r>
              <w:r>
                <w:rPr>
                  <w:rFonts w:ascii="Times New Roman" w:cs="Times New Roman" w:eastAsia="Times New Roman" w:hAnsi="Times New Roman"/>
                  <w:sz w:val="18"/>
                  <w:szCs w:val="18"/>
                  <w:color w:val="0000FF"/>
                </w:rPr>
                <w:t xml:space="preserve"> Wilson </w:t>
              </w:r>
              <w:r>
                <w:rPr>
                  <w:rFonts w:ascii="Times New Roman" w:cs="Times New Roman" w:eastAsia="Times New Roman" w:hAnsi="Times New Roman"/>
                  <w:sz w:val="18"/>
                  <w:szCs w:val="18"/>
                  <w:u w:val="single" w:color="auto"/>
                  <w:color w:val="0000FF"/>
                </w:rPr>
                <w:t>Sonsini Goodrich &amp; Rosati, Professional Corporation (contained in Exhibit 5.1).</w:t>
              </w:r>
            </w:hyperlink>
          </w:p>
        </w:tc>
        <w:tc>
          <w:tcPr>
            <w:tcW w:w="0" w:type="dxa"/>
            <w:vAlign w:val="bottom"/>
          </w:tcPr>
          <w:p>
            <w:pPr>
              <w:spacing w:after="0"/>
              <w:rPr>
                <w:sz w:val="1"/>
                <w:szCs w:val="1"/>
                <w:color w:val="auto"/>
              </w:rPr>
            </w:pPr>
          </w:p>
        </w:tc>
      </w:tr>
      <w:tr>
        <w:trPr>
          <w:trHeight w:val="22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
          </w:tcPr>
          <w:p>
            <w:pPr>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Power of Attorney (contained on signature page hereto).</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3.1 filed on Registrant’s Current Report on Form 8-K, filed with the SEC on December 8,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3.2 filed on Registrant’s Current Report on Form 8-K, filed with the SEC on December 8,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4.1 filed with the Registrant’s Registration Statement on Form S-1 (Registration No. 333-250035), filed with the SEC on November 12,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10.3 filed with the Registrant’s Registration Statement on Form S-1/A (Registration No. 333-250035), filed with the SEC on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980" w:hanging="324"/>
        <w:spacing w:after="0" w:line="255" w:lineRule="auto"/>
        <w:tabs>
          <w:tab w:leader="none" w:pos="9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spacing w:after="0" w:line="122" w:lineRule="exact"/>
        <w:rPr>
          <w:sz w:val="20"/>
          <w:szCs w:val="20"/>
          <w:color w:val="auto"/>
        </w:rPr>
      </w:pPr>
    </w:p>
    <w:p>
      <w:pPr>
        <w:ind w:left="660" w:right="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sz w:val="20"/>
          <w:szCs w:val="20"/>
          <w:color w:val="auto"/>
        </w:rPr>
      </w:pPr>
    </w:p>
    <w:p>
      <w:pPr>
        <w:ind w:left="660" w:right="60" w:hanging="328"/>
        <w:spacing w:after="0" w:line="258"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Redwood City, State of California, on January 29, 2021.</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9" w:lineRule="exact"/>
        <w:rPr>
          <w:sz w:val="20"/>
          <w:szCs w:val="20"/>
          <w:color w:val="auto"/>
        </w:rPr>
      </w:pPr>
    </w:p>
    <w:p>
      <w:pPr>
        <w:ind w:left="574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Omid Farokhzad, M.D. and David Horn as his or her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3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8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Omid Farokhzad, M.D.</w:t>
            </w:r>
          </w:p>
        </w:tc>
        <w:tc>
          <w:tcPr>
            <w:tcW w:w="80" w:type="dxa"/>
            <w:vAlign w:val="bottom"/>
          </w:tcPr>
          <w:p>
            <w:pPr>
              <w:spacing w:after="0"/>
              <w:rPr>
                <w:sz w:val="24"/>
                <w:szCs w:val="24"/>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Executive Officer and Chair of the Board</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121"/>
        </w:trPr>
        <w:tc>
          <w:tcPr>
            <w:tcW w:w="3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of Directors</w:t>
            </w:r>
          </w:p>
        </w:tc>
        <w:tc>
          <w:tcPr>
            <w:tcW w:w="3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Omid Farokhzad, M.D.</w:t>
            </w:r>
          </w:p>
        </w:tc>
        <w:tc>
          <w:tcPr>
            <w:tcW w:w="8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R. Horn</w:t>
            </w:r>
          </w:p>
        </w:tc>
        <w:tc>
          <w:tcPr>
            <w:tcW w:w="80" w:type="dxa"/>
            <w:vAlign w:val="bottom"/>
          </w:tcPr>
          <w:p>
            <w:pPr>
              <w:spacing w:after="0"/>
              <w:rPr>
                <w:sz w:val="23"/>
                <w:szCs w:val="23"/>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6"/>
                <w:szCs w:val="16"/>
                <w:i w:val="1"/>
                <w:iCs w:val="1"/>
                <w:color w:val="auto"/>
              </w:rPr>
              <w:t>(Principal Financial Officer and Accounting</w:t>
            </w: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R. Horn</w:t>
            </w:r>
          </w:p>
        </w:tc>
        <w:tc>
          <w:tcPr>
            <w:tcW w:w="8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Hallal</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David Hallal</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Catherine Friedman</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Catherine Friedman</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Langer, Sc.D.</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Robert Langer, Sc.D.</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Terrance McGuire</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Terrance McGuire</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Omead Ostadan</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Omead Ostadan</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Singer</w:t>
            </w:r>
          </w:p>
        </w:tc>
        <w:tc>
          <w:tcPr>
            <w:tcW w:w="8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29, 2021</w:t>
            </w:r>
          </w:p>
        </w:tc>
        <w:tc>
          <w:tcPr>
            <w:tcW w:w="0" w:type="dxa"/>
            <w:vAlign w:val="bottom"/>
          </w:tcPr>
          <w:p>
            <w:pPr>
              <w:spacing w:after="0"/>
              <w:rPr>
                <w:sz w:val="1"/>
                <w:szCs w:val="1"/>
                <w:color w:val="auto"/>
              </w:rPr>
            </w:pPr>
          </w:p>
        </w:tc>
      </w:tr>
      <w:tr>
        <w:trPr>
          <w:trHeight w:val="95"/>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David Singer</w:t>
            </w:r>
          </w:p>
        </w:tc>
        <w:tc>
          <w:tcPr>
            <w:tcW w:w="80" w:type="dxa"/>
            <w:vAlign w:val="bottom"/>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140"/>
          </w:cols>
          <w:pgMar w:left="320" w:top="1440" w:right="439" w:bottom="1440" w:gutter="0" w:footer="0" w:header="0"/>
        </w:sectPr>
      </w:pPr>
    </w:p>
    <w:bookmarkStart w:id="17" w:name="page18"/>
    <w:bookmarkEnd w:id="17"/>
    <w:p>
      <w:pPr>
        <w:ind w:left="1034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337185</wp:posOffset>
            </wp:positionV>
            <wp:extent cx="107124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color w:val="auto"/>
        </w:rPr>
        <w:t>Wilson Sonsini Goodrich &amp; Rosati</w:t>
      </w:r>
    </w:p>
    <w:p>
      <w:pPr>
        <w:spacing w:after="0" w:line="2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color w:val="auto"/>
        </w:rPr>
        <w:t>Professional Corporation</w:t>
      </w:r>
    </w:p>
    <w:p>
      <w:pPr>
        <w:spacing w:after="0" w:line="1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color w:val="auto"/>
        </w:rPr>
        <w:t>Palo Alto, California 94304-1050</w:t>
      </w:r>
    </w:p>
    <w:p>
      <w:pPr>
        <w:spacing w:after="0" w:line="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o: 650.493.9300</w:t>
      </w:r>
    </w:p>
    <w:p>
      <w:pPr>
        <w:spacing w:after="0" w:line="2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4"/>
          <w:szCs w:val="14"/>
          <w:b w:val="1"/>
          <w:bCs w:val="1"/>
          <w:color w:val="auto"/>
        </w:rPr>
        <w:t>f: 650.493.6811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29,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Redwood City, CA 94065</w:t>
      </w:r>
    </w:p>
    <w:p>
      <w:pPr>
        <w:spacing w:after="0" w:line="148"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b w:val="1"/>
          <w:bCs w:val="1"/>
          <w:color w:val="auto"/>
        </w:rPr>
        <w:t>Re: Registration Statement on Form S</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We are acting as counsel to Seer, Inc., a Delaware corporation (the “Company”), in connection with the filing by the Company with the Securities and Exchange Commission of a Registration Statement on Form S-8 (the “Registration Statement”) under the Securities Act of 1933, as amended (the “Securities Act”) covering the registration for resale under the Securities Act of up to 1,168 shares of the Company’s common stock, $0.00001 par value per share (the “Shares”) on behalf of selling stockholders described in the prospectus included in the Registration Statement.</w:t>
      </w:r>
    </w:p>
    <w:p>
      <w:pPr>
        <w:spacing w:after="0" w:line="204" w:lineRule="exact"/>
        <w:rPr>
          <w:sz w:val="20"/>
          <w:szCs w:val="20"/>
          <w:color w:val="auto"/>
        </w:rPr>
      </w:pPr>
    </w:p>
    <w:p>
      <w:pPr>
        <w:jc w:val="both"/>
        <w:ind w:firstLine="441"/>
        <w:spacing w:after="0" w:line="247" w:lineRule="auto"/>
        <w:rPr>
          <w:sz w:val="20"/>
          <w:szCs w:val="20"/>
          <w:color w:val="auto"/>
        </w:rPr>
      </w:pPr>
      <w:r>
        <w:rPr>
          <w:rFonts w:ascii="Times New Roman" w:cs="Times New Roman" w:eastAsia="Times New Roman" w:hAnsi="Times New Roman"/>
          <w:sz w:val="21"/>
          <w:szCs w:val="21"/>
          <w:color w:val="auto"/>
        </w:rPr>
        <w:t>We have examined such instruments, documents, certificates and records, and such questions of law, as we have considered necessary or appropriate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will have become effective under the Securities Act; and (v) the legal capacity and competency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99"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set forth below, we are of the opinion that the Shares are validly issued, fully paid and non-assessable.</w:t>
      </w:r>
    </w:p>
    <w:p>
      <w:pPr>
        <w:spacing w:after="0" w:line="18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2"/>
          <w:szCs w:val="22"/>
          <w:color w:val="auto"/>
        </w:rPr>
        <w:t>We express no opinion as to the laws of any jurisdiction, other than the Federal laws of the United States of America and the General Corporation Law of the State of Delaware.</w:t>
      </w:r>
    </w:p>
    <w:p>
      <w:pPr>
        <w:spacing w:after="0" w:line="185" w:lineRule="exact"/>
        <w:rPr>
          <w:sz w:val="20"/>
          <w:szCs w:val="20"/>
          <w:color w:val="auto"/>
        </w:rPr>
      </w:pPr>
    </w:p>
    <w:p>
      <w:pPr>
        <w:jc w:val="both"/>
        <w:ind w:firstLine="441"/>
        <w:spacing w:after="0" w:line="238"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Registration Statement and to the reference to our firm under the heading “Legal Matters” in the prospectus contained in the Registration Statement. In giving such consent, we do not believe we are “experts” within the meaning of such term as used in the Securities Act or the rules and regulations issued thereunder nor do we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AUSTIN</w:t>
        <w:tab/>
        <w:t>BEIJING</w:t>
        <w:tab/>
        <w:t>BOSTON</w:t>
        <w:tab/>
        <w:t>BRUSSELS</w:t>
        <w:tab/>
        <w:t>HONG KONG</w:t>
        <w:tab/>
        <w:t>LONDON</w:t>
        <w:tab/>
        <w:t>LOS ANGELES</w:t>
        <w:tab/>
        <w:t>NEW YORK</w:t>
      </w:r>
      <w:r>
        <w:rPr>
          <w:sz w:val="20"/>
          <w:szCs w:val="20"/>
          <w:color w:val="auto"/>
        </w:rPr>
        <w:tab/>
      </w:r>
      <w:r>
        <w:rPr>
          <w:rFonts w:ascii="Times New Roman" w:cs="Times New Roman" w:eastAsia="Times New Roman" w:hAnsi="Times New Roman"/>
          <w:sz w:val="13"/>
          <w:szCs w:val="13"/>
          <w:b w:val="1"/>
          <w:bCs w:val="1"/>
          <w:color w:val="auto"/>
        </w:rPr>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4350" cy="197485"/>
                    </a:xfrm>
                    <a:prstGeom prst="rect">
                      <a:avLst/>
                    </a:prstGeom>
                    <a:noFill/>
                  </pic:spPr>
                </pic:pic>
              </a:graphicData>
            </a:graphic>
          </wp:anchor>
        </w:drawing>
        <w:t>January 29,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Professional Corporation</w:t>
      </w:r>
    </w:p>
    <w:p>
      <w:pPr>
        <w:sectPr>
          <w:pgSz w:w="11900" w:h="16838" w:orient="portrait"/>
          <w:cols w:equalWidth="0" w:num="1">
            <w:col w:w="10139"/>
          </w:cols>
          <w:pgMar w:left="320" w:top="747"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September 25, 2020 (November 30, 2020 as to the effects of the reverse stock split described in Note 2 and Note 14) relating to the financial statements of Seer, Inc. appearing in the Prospectus filed January 28, 2021 by the Company pursuant to Rule 424(b) under the Securities Act of 1933, as amended, relating to the Company’s Registration Statement No. 333-252395 on Form S-1, as amended. We also consent to the reference to us under the heading "Experts" in such Registration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28,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Roman"/>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jpeg"/><Relationship Id="rId22" Type="http://schemas.openxmlformats.org/officeDocument/2006/relationships/hyperlink" Target="https://www.sec.gov/Archives/edgar/data/1726445/000162828021000922/seerfollowons-1mef.htm" TargetMode="External"/><Relationship Id="rId23" Type="http://schemas.openxmlformats.org/officeDocument/2006/relationships/hyperlink" Target="https://www.sec.gov/Archives/edgar/data/1726445/000162828021001070/seerfollowon424b4.htm" TargetMode="External"/><Relationship Id="rId24" Type="http://schemas.openxmlformats.org/officeDocument/2006/relationships/hyperlink" Target="https://www.sec.gov/Archives/edgar/data/1726445/000162828021000787/seerfollowons-1.htm" TargetMode="External"/><Relationship Id="rId25" Type="http://schemas.openxmlformats.org/officeDocument/2006/relationships/hyperlink" Target="https://www.sec.gov/Archives/edgar/data/1726445/000162828020017214/seerclosing8-k.htm" TargetMode="External"/><Relationship Id="rId26" Type="http://schemas.openxmlformats.org/officeDocument/2006/relationships/hyperlink" Target="https://www.sec.gov/Archives/edgar/data/1726445/000162828021000794/seerfollowon8-k.htm" TargetMode="External"/><Relationship Id="rId27" Type="http://schemas.openxmlformats.org/officeDocument/2006/relationships/hyperlink" Target="https://www.sec.gov/Archives/edgar/data/1726445/000162828020016900/seer-form8xa.htm" TargetMode="External"/><Relationship Id="rId28" Type="http://schemas.openxmlformats.org/officeDocument/2006/relationships/hyperlink" Target="https://www.sec.gov/Archives/edgar/data/1726445/000162828020017214/exhibit31-closing8xk.htm" TargetMode="External"/><Relationship Id="rId29" Type="http://schemas.openxmlformats.org/officeDocument/2006/relationships/hyperlink" Target="https://www.sec.gov/Archives/edgar/data/1726445/000162828020017214/exhibit32-closing8xk.htm" TargetMode="External"/><Relationship Id="rId30" Type="http://schemas.openxmlformats.org/officeDocument/2006/relationships/hyperlink" Target="https://www.sec.gov/Archives/edgar/data/1726445/000162828020016325/exhibit41-stockcertifi.htm" TargetMode="External"/><Relationship Id="rId31" Type="http://schemas.openxmlformats.org/officeDocument/2006/relationships/hyperlink" Target="https://www.sec.gov/Archives/edgar/data/1726445/000162828020016863/exhibit103-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2021-01-29T05:38:55Z</dcterms:created>
  <dcterms:modified xsi:type="dcterms:W3CDTF">2021-01-29T05:38:55Z</dcterms:modified>
</cp:coreProperties>
</file>