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5304155</wp:posOffset>
            </wp:positionH>
            <wp:positionV relativeFrom="paragraph">
              <wp:posOffset>-603250</wp:posOffset>
            </wp:positionV>
            <wp:extent cx="8255" cy="6038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-611505</wp:posOffset>
            </wp:positionV>
            <wp:extent cx="8255" cy="6121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4022725</wp:posOffset>
            </wp:positionH>
            <wp:positionV relativeFrom="paragraph">
              <wp:posOffset>-586740</wp:posOffset>
            </wp:positionV>
            <wp:extent cx="1264920" cy="563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563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35560</wp:posOffset>
            </wp:positionV>
            <wp:extent cx="6968490" cy="1868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6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OSTADAN OMEAD</w:t>
        </w:r>
      </w:hyperlink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SEER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" w:right="640" w:hanging="1"/>
        <w:spacing w:after="0" w:line="261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8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COO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9" w:space="720"/>
            <w:col w:w="3341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jc w:val="center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5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CA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</w:tcPr>
          <w:p>
            <w:pPr>
              <w:ind w:left="50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87,681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87,681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233,672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321,353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51,457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51,457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36,224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36,224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-3785235</wp:posOffset>
            </wp:positionV>
            <wp:extent cx="7033895" cy="382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82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160" w:firstLine="1"/>
        <w:spacing w:after="0" w:line="254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Series A Convertible Preferred Stock automatically converted into Class A Common Stock on a one-to-one basis immediately prior to the completion of the Issuer's initial public offering of Class A Common Stock and had no expiration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1"/>
        <w:spacing w:after="0" w:line="254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Series B Convertible Preferred Stock automatically converted into Class A Common Stock on a one-to-one basis immediately prior to the completion of the Issuer's initial public offering of Class A Common Stock and had no expiration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shares are represented by restricted stock units, or RSUs, which vest in two equal annual installments beginning on December 8, 2021.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Elona Kogan, by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3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2678" TargetMode="External"/><Relationship Id="rId14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2020-12-08T18:28:02Z</dcterms:created>
  <dcterms:modified xsi:type="dcterms:W3CDTF">2020-12-08T18:28:02Z</dcterms:modified>
</cp:coreProperties>
</file>