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285115</wp:posOffset>
            </wp:positionH>
            <wp:positionV relativeFrom="page">
              <wp:posOffset>1023620</wp:posOffset>
            </wp:positionV>
            <wp:extent cx="69862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997585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12"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9"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67945</wp:posOffset>
            </wp:positionV>
            <wp:extent cx="2305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65"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43815</wp:posOffset>
            </wp:positionV>
            <wp:extent cx="2305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88"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07"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94"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2"/>
          <w:szCs w:val="22"/>
          <w:b w:val="1"/>
          <w:bCs w:val="1"/>
          <w:color w:val="auto"/>
        </w:rPr>
        <w:t>November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64770</wp:posOffset>
            </wp:positionV>
            <wp:extent cx="2305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47"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49"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30480</wp:posOffset>
            </wp:positionV>
            <wp:extent cx="23056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87" w:lineRule="exact"/>
        <w:rPr>
          <w:sz w:val="24"/>
          <w:szCs w:val="24"/>
          <w:color w:val="auto"/>
        </w:rPr>
      </w:pPr>
    </w:p>
    <w:tbl>
      <w:tblPr>
        <w:tblLayout w:type="fixed"/>
        <w:tblInd w:w="894" w:type="dxa"/>
        <w:tblCellMar>
          <w:top w:w="0" w:type="dxa"/>
          <w:left w:w="0" w:type="dxa"/>
          <w:bottom w:w="0" w:type="dxa"/>
          <w:right w:w="0" w:type="dxa"/>
        </w:tblCellMar>
      </w:tblPr>
      <w:tr>
        <w:trPr>
          <w:trHeight w:val="190"/>
        </w:trPr>
        <w:tc>
          <w:tcPr>
            <w:tcW w:w="302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4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256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03"/>
        </w:trPr>
        <w:tc>
          <w:tcPr>
            <w:tcW w:w="302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3"/>
        </w:trPr>
        <w:tc>
          <w:tcPr>
            <w:tcW w:w="302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4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4" w:lineRule="exact"/>
        <w:rPr>
          <w:sz w:val="24"/>
          <w:szCs w:val="24"/>
          <w:color w:val="auto"/>
        </w:rPr>
      </w:pPr>
    </w:p>
    <w:p>
      <w:pPr>
        <w:ind w:left="4374"/>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p>
      <w:pPr>
        <w:spacing w:after="0" w:line="31" w:lineRule="exact"/>
        <w:rPr>
          <w:sz w:val="24"/>
          <w:szCs w:val="24"/>
          <w:color w:val="auto"/>
        </w:rPr>
      </w:pPr>
    </w:p>
    <w:p>
      <w:pPr>
        <w:ind w:left="4374"/>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p>
      <w:pPr>
        <w:spacing w:after="0" w:line="2"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42"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8"/>
          <w:szCs w:val="18"/>
          <w:b w:val="1"/>
          <w:bCs w:val="1"/>
          <w:color w:val="auto"/>
        </w:rPr>
        <w:t>650-453-0000</w:t>
      </w:r>
    </w:p>
    <w:p>
      <w:pPr>
        <w:spacing w:after="0" w:line="25"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42"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57" w:lineRule="exact"/>
        <w:rPr>
          <w:sz w:val="24"/>
          <w:szCs w:val="24"/>
          <w:color w:val="auto"/>
        </w:rPr>
      </w:pPr>
    </w:p>
    <w:p>
      <w:pPr>
        <w:ind w:left="13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02" w:lineRule="exact"/>
        <w:rPr>
          <w:sz w:val="24"/>
          <w:szCs w:val="24"/>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44"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16" w:lineRule="exact"/>
        <w:rPr>
          <w:sz w:val="24"/>
          <w:szCs w:val="24"/>
          <w:color w:val="auto"/>
        </w:rPr>
      </w:pPr>
    </w:p>
    <w:tbl>
      <w:tblPr>
        <w:tblLayout w:type="fixed"/>
        <w:tblInd w:w="104" w:type="dxa"/>
        <w:tblCellMar>
          <w:top w:w="0" w:type="dxa"/>
          <w:left w:w="0" w:type="dxa"/>
          <w:bottom w:w="0" w:type="dxa"/>
          <w:right w:w="0" w:type="dxa"/>
        </w:tblCellMar>
      </w:tblPr>
      <w:tr>
        <w:trPr>
          <w:trHeight w:val="228"/>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8"/>
        </w:trPr>
        <w:tc>
          <w:tcPr>
            <w:tcW w:w="4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36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47"/>
        </w:trPr>
        <w:tc>
          <w:tcPr>
            <w:tcW w:w="436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476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4"/>
          <w:szCs w:val="24"/>
          <w:color w:val="auto"/>
        </w:rPr>
      </w:pPr>
    </w:p>
    <w:p>
      <w:pPr>
        <w:ind w:left="634" w:right="80"/>
        <w:spacing w:after="0" w:line="305"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2" w:lineRule="exact"/>
        <w:rPr>
          <w:sz w:val="24"/>
          <w:szCs w:val="24"/>
          <w:color w:val="auto"/>
        </w:rPr>
      </w:pPr>
    </w:p>
    <w:p>
      <w:pPr>
        <w:ind w:left="634"/>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209" w:lineRule="exact"/>
        <w:rPr>
          <w:sz w:val="24"/>
          <w:szCs w:val="24"/>
          <w:color w:val="auto"/>
        </w:rPr>
      </w:pPr>
    </w:p>
    <w:p>
      <w:pPr>
        <w:ind w:left="634" w:right="160"/>
        <w:spacing w:after="0" w:line="17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1146810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45085</wp:posOffset>
            </wp:positionV>
            <wp:extent cx="69862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19050</wp:posOffset>
            </wp:positionV>
            <wp:extent cx="6986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114"/>
          </w:cols>
          <w:pgMar w:left="346" w:top="1440" w:right="439" w:bottom="1440" w:gutter="0" w:footer="0" w:header="0"/>
        </w:sectPr>
      </w:pPr>
    </w:p>
    <w:bookmarkStart w:id="1" w:name="page2"/>
    <w:bookmarkEnd w:id="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2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November 8, 2022, Seer, Inc. (the “Company”) issued a press release (the “Press Release”) announcing results for the quarter ended September 30, 2022. A copy of the Press Release is attached as Exhibit 99.1 to this current report on Form 8-K and is incorporated by reference herein.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6268085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256"/>
        </w:trPr>
        <w:tc>
          <w:tcPr>
            <w:tcW w:w="14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60" w:type="dxa"/>
            <w:vAlign w:val="bottom"/>
          </w:tcPr>
          <w:p>
            <w:pPr>
              <w:spacing w:after="0"/>
              <w:rPr>
                <w:sz w:val="22"/>
                <w:szCs w:val="22"/>
                <w:color w:val="auto"/>
              </w:rPr>
            </w:pPr>
          </w:p>
        </w:tc>
        <w:tc>
          <w:tcPr>
            <w:tcW w:w="9160" w:type="dxa"/>
            <w:vAlign w:val="bottom"/>
            <w:tcBorders>
              <w:bottom w:val="single" w:sz="8" w:color="auto"/>
            </w:tcBorders>
          </w:tcPr>
          <w:p>
            <w:pPr>
              <w:ind w:left="4140"/>
              <w:spacing w:after="0"/>
              <w:rPr>
                <w:sz w:val="20"/>
                <w:szCs w:val="20"/>
                <w:color w:val="auto"/>
              </w:rPr>
            </w:pPr>
            <w:r>
              <w:rPr>
                <w:rFonts w:ascii="Times New Roman" w:cs="Times New Roman" w:eastAsia="Times New Roman" w:hAnsi="Times New Roman"/>
                <w:sz w:val="18"/>
                <w:szCs w:val="18"/>
                <w:b w:val="1"/>
                <w:bCs w:val="1"/>
                <w:color w:val="auto"/>
              </w:rPr>
              <w:t>Description</w:t>
            </w:r>
          </w:p>
        </w:tc>
      </w:tr>
    </w:tbl>
    <w:p>
      <w:pPr>
        <w:spacing w:after="0" w:line="294"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dated November 8, 2022</w:t>
      </w:r>
    </w:p>
    <w:p>
      <w:pPr>
        <w:ind w:left="640"/>
        <w:spacing w:after="0"/>
        <w:tabs>
          <w:tab w:leader="none" w:pos="1060" w:val="left"/>
        </w:tabs>
        <w:rPr>
          <w:sz w:val="20"/>
          <w:szCs w:val="20"/>
          <w:color w:val="auto"/>
        </w:rPr>
      </w:pPr>
      <w:r>
        <w:rPr>
          <w:rFonts w:ascii="Times New Roman" w:cs="Times New Roman" w:eastAsia="Times New Roman" w:hAnsi="Times New Roman"/>
          <w:sz w:val="18"/>
          <w:szCs w:val="18"/>
          <w:color w:val="auto"/>
        </w:rPr>
        <w:t>104</w:t>
        <w:tab/>
        <w:t>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6884035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 w:name="page4"/>
    <w:bookmarkEnd w:id="3"/>
    <w:p>
      <w:pPr>
        <w:spacing w:after="0" w:line="28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97" w:lineRule="exact"/>
        <w:rPr>
          <w:sz w:val="20"/>
          <w:szCs w:val="20"/>
          <w:color w:val="auto"/>
        </w:rPr>
      </w:pPr>
    </w:p>
    <w:p>
      <w:pPr>
        <w:ind w:left="2840"/>
        <w:spacing w:after="0"/>
        <w:tabs>
          <w:tab w:leader="none" w:pos="5740" w:val="left"/>
          <w:tab w:leader="none" w:pos="666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17145</wp:posOffset>
            </wp:positionV>
            <wp:extent cx="29057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David Horn</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980"/>
          </w:cols>
          <w:pgMar w:left="320" w:top="1440" w:right="59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Seer Reports Third Quarter 2022 Financial Results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Proteograph utility is demonstrated as market interest continues to build with multiple studies underway</w:t>
      </w:r>
    </w:p>
    <w:p>
      <w:pPr>
        <w:spacing w:after="0" w:line="160" w:lineRule="exact"/>
        <w:rPr>
          <w:sz w:val="20"/>
          <w:szCs w:val="20"/>
          <w:color w:val="auto"/>
        </w:rPr>
      </w:pPr>
    </w:p>
    <w:p>
      <w:pPr>
        <w:jc w:val="both"/>
        <w:spacing w:after="0" w:line="365" w:lineRule="auto"/>
        <w:rPr>
          <w:sz w:val="20"/>
          <w:szCs w:val="20"/>
          <w:color w:val="auto"/>
        </w:rPr>
      </w:pPr>
      <w:r>
        <w:rPr>
          <w:rFonts w:ascii="Arial" w:cs="Arial" w:eastAsia="Arial" w:hAnsi="Arial"/>
          <w:sz w:val="18"/>
          <w:szCs w:val="18"/>
          <w:b w:val="1"/>
          <w:bCs w:val="1"/>
          <w:color w:val="auto"/>
        </w:rPr>
        <w:t xml:space="preserve">REDWOOD CITY, Calif. </w:t>
      </w:r>
      <w:r>
        <w:rPr>
          <w:rFonts w:ascii="Arial" w:cs="Arial" w:eastAsia="Arial" w:hAnsi="Arial"/>
          <w:sz w:val="18"/>
          <w:szCs w:val="18"/>
          <w:color w:val="auto"/>
        </w:rPr>
        <w:t>November 8, 2022 – Seer, Inc. (Nasdaq: SEER), a life sciences company commercializing a disruptive new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for proteomics, today reported financial results for the third quarter ended September 30, 2022.</w:t>
      </w:r>
    </w:p>
    <w:p>
      <w:pPr>
        <w:spacing w:after="0" w:line="180" w:lineRule="exact"/>
        <w:rPr>
          <w:sz w:val="20"/>
          <w:szCs w:val="20"/>
          <w:color w:val="auto"/>
        </w:rPr>
      </w:pPr>
    </w:p>
    <w:p>
      <w:pPr>
        <w:jc w:val="both"/>
        <w:spacing w:after="0" w:line="330" w:lineRule="auto"/>
        <w:rPr>
          <w:sz w:val="20"/>
          <w:szCs w:val="20"/>
          <w:color w:val="auto"/>
        </w:rPr>
      </w:pPr>
      <w:r>
        <w:rPr>
          <w:rFonts w:ascii="Arial" w:cs="Arial" w:eastAsia="Arial" w:hAnsi="Arial"/>
          <w:sz w:val="18"/>
          <w:szCs w:val="18"/>
          <w:color w:val="auto"/>
        </w:rPr>
        <w:t>“During the third quarter, we continued to see growing enthusiasm from our customers across a variety of applications, including discovery, translational and clinical research. We are seeing a growing commitment to the technology as customers around the world adopt the Proteograph Product Suite and conduct first-of-their kind studies that explore the proteome at a depth, resolution and scale that was not possible previously,” said Omid Farokhzad, Chief Executive Officer, President and Chair. “As we move ahead, we are excited about our opportunity, focused on our goals, and committed to enabling our customers' success.”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211"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Revenue of $4.0 million for the third quarter 2022</w:t>
      </w:r>
    </w:p>
    <w:p>
      <w:pPr>
        <w:spacing w:after="0" w:line="193" w:lineRule="exact"/>
        <w:rPr>
          <w:rFonts w:ascii="Times New Roman" w:cs="Times New Roman" w:eastAsia="Times New Roman" w:hAnsi="Times New Roman"/>
          <w:sz w:val="22"/>
          <w:szCs w:val="22"/>
          <w:color w:val="auto"/>
        </w:rPr>
      </w:pPr>
    </w:p>
    <w:p>
      <w:pPr>
        <w:ind w:left="340" w:hanging="332"/>
        <w:spacing w:after="0" w:line="328" w:lineRule="auto"/>
        <w:tabs>
          <w:tab w:leader="none" w:pos="335"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 xml:space="preserve">Published results in </w:t>
      </w:r>
      <w:r>
        <w:rPr>
          <w:rFonts w:ascii="Arial" w:cs="Arial" w:eastAsia="Arial" w:hAnsi="Arial"/>
          <w:sz w:val="18"/>
          <w:szCs w:val="18"/>
          <w:i w:val="1"/>
          <w:iCs w:val="1"/>
          <w:color w:val="auto"/>
        </w:rPr>
        <w:t>Advanced Materials</w:t>
      </w:r>
      <w:r>
        <w:rPr>
          <w:rFonts w:ascii="Arial" w:cs="Arial" w:eastAsia="Arial" w:hAnsi="Arial"/>
          <w:sz w:val="18"/>
          <w:szCs w:val="18"/>
          <w:color w:val="auto"/>
        </w:rPr>
        <w:t xml:space="preserve"> highlighting how the combination of proteomic methods, nanoengineering and machine learning enables the capture of thousands of proteins</w:t>
      </w:r>
    </w:p>
    <w:p>
      <w:pPr>
        <w:spacing w:after="0" w:line="86" w:lineRule="exact"/>
        <w:rPr>
          <w:rFonts w:ascii="Times New Roman" w:cs="Times New Roman" w:eastAsia="Times New Roman" w:hAnsi="Times New Roman"/>
          <w:sz w:val="22"/>
          <w:szCs w:val="22"/>
          <w:color w:val="auto"/>
        </w:rPr>
      </w:pPr>
    </w:p>
    <w:p>
      <w:pPr>
        <w:ind w:left="340" w:hanging="332"/>
        <w:spacing w:after="0" w:line="328" w:lineRule="auto"/>
        <w:tabs>
          <w:tab w:leader="none" w:pos="335"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Demonstrated utility of the technology to address different sample types, input volumes and species through customer proof-of-principle studies and presentations</w:t>
      </w:r>
    </w:p>
    <w:p>
      <w:pPr>
        <w:spacing w:after="0" w:line="100" w:lineRule="exact"/>
        <w:rPr>
          <w:rFonts w:ascii="Times New Roman" w:cs="Times New Roman" w:eastAsia="Times New Roman" w:hAnsi="Times New Roman"/>
          <w:sz w:val="22"/>
          <w:szCs w:val="22"/>
          <w:color w:val="auto"/>
        </w:rPr>
      </w:pPr>
    </w:p>
    <w:p>
      <w:pPr>
        <w:ind w:left="340" w:hanging="332"/>
        <w:spacing w:after="0" w:line="312" w:lineRule="auto"/>
        <w:tabs>
          <w:tab w:leader="none" w:pos="335"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Increased utilization by pharma and academic users, who are accessing Seer’s technology through new projects with our Centers of Excellence partners</w:t>
      </w:r>
    </w:p>
    <w:p>
      <w:pPr>
        <w:spacing w:after="0" w:line="117" w:lineRule="exact"/>
        <w:rPr>
          <w:rFonts w:ascii="Times New Roman" w:cs="Times New Roman" w:eastAsia="Times New Roman" w:hAnsi="Times New Roman"/>
          <w:sz w:val="22"/>
          <w:szCs w:val="22"/>
          <w:color w:val="auto"/>
        </w:rPr>
      </w:pPr>
    </w:p>
    <w:p>
      <w:pPr>
        <w:ind w:left="340" w:hanging="332"/>
        <w:spacing w:after="0" w:line="312" w:lineRule="auto"/>
        <w:tabs>
          <w:tab w:leader="none" w:pos="335"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Continued software and computation innovations with Seer’s latest deep peptide libraries, enabling up to a 50% increase in proteome depth and allowing for the identification of novel proteoforms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2022 Financial Results</w:t>
      </w:r>
    </w:p>
    <w:p>
      <w:pPr>
        <w:spacing w:after="0" w:line="171" w:lineRule="exact"/>
        <w:rPr>
          <w:sz w:val="20"/>
          <w:szCs w:val="20"/>
          <w:color w:val="auto"/>
        </w:rPr>
      </w:pPr>
    </w:p>
    <w:p>
      <w:pPr>
        <w:jc w:val="both"/>
        <w:spacing w:after="0" w:line="335" w:lineRule="auto"/>
        <w:rPr>
          <w:sz w:val="20"/>
          <w:szCs w:val="20"/>
          <w:color w:val="auto"/>
        </w:rPr>
      </w:pPr>
      <w:r>
        <w:rPr>
          <w:rFonts w:ascii="Arial" w:cs="Arial" w:eastAsia="Arial" w:hAnsi="Arial"/>
          <w:sz w:val="18"/>
          <w:szCs w:val="18"/>
          <w:color w:val="auto"/>
        </w:rPr>
        <w:t>Revenue was $4.0 million for the three months ended September 30, 2022, as compared to $2.2 million for the three months ended September 30, 2021. The increase was primarily due to increased sales of the Proteograph Product Suite and its related products. Product-related revenue for the third quarter of 2022 was $3.9 million, including $1.3 million of related party revenue, and consisted of sales of SP100 instruments, consumable kits and platform evaluations.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Gross profit was $1.9 million and gross margin was 49% for the third quarter of 2022.</w:t>
      </w:r>
    </w:p>
    <w:p>
      <w:pPr>
        <w:spacing w:after="0" w:line="320" w:lineRule="exact"/>
        <w:rPr>
          <w:sz w:val="20"/>
          <w:szCs w:val="20"/>
          <w:color w:val="auto"/>
        </w:rPr>
      </w:pPr>
    </w:p>
    <w:p>
      <w:pPr>
        <w:jc w:val="both"/>
        <w:spacing w:after="0" w:line="335" w:lineRule="auto"/>
        <w:rPr>
          <w:sz w:val="20"/>
          <w:szCs w:val="20"/>
          <w:color w:val="auto"/>
        </w:rPr>
      </w:pPr>
      <w:r>
        <w:rPr>
          <w:rFonts w:ascii="Arial" w:cs="Arial" w:eastAsia="Arial" w:hAnsi="Arial"/>
          <w:sz w:val="18"/>
          <w:szCs w:val="18"/>
          <w:color w:val="auto"/>
        </w:rPr>
        <w:t>Operating expenses were $27.0 million for the third quarter of 2022, including $9.1 million of stock-based compensation, as compared to $19.6 million, including $6.8 million of stock-based compensation, for the corresponding prior year period. The increase in expenses was driven by increased employee compensation and other related expenses, including stock-based compensation, and increased expenses related to the expansion of the company’s facilities and other costs related to being a publicly traded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Net loss was $24.0 million for the third quarter of 2022, as compared to $18.4 million for the corresponding prior year period.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34" w:right="339" w:bottom="1440" w:gutter="0" w:footer="0" w:header="0"/>
        </w:sectPr>
      </w:pPr>
    </w:p>
    <w:bookmarkStart w:id="5" w:name="page6"/>
    <w:bookmarkEnd w:id="5"/>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investments were approximately $441.0 million as of September 30,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Guidance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Seer continues to expect full year 2022 revenue to be in the range of $14.0 million to $16.0 million.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Information</w:t>
      </w:r>
    </w:p>
    <w:p>
      <w:pPr>
        <w:spacing w:after="0" w:line="185" w:lineRule="exact"/>
        <w:rPr>
          <w:sz w:val="20"/>
          <w:szCs w:val="20"/>
          <w:color w:val="auto"/>
        </w:rPr>
      </w:pPr>
    </w:p>
    <w:p>
      <w:pPr>
        <w:jc w:val="both"/>
        <w:spacing w:after="0" w:line="339" w:lineRule="auto"/>
        <w:rPr>
          <w:sz w:val="20"/>
          <w:szCs w:val="20"/>
          <w:color w:val="auto"/>
        </w:rPr>
      </w:pPr>
      <w:r>
        <w:rPr>
          <w:rFonts w:ascii="Arial" w:cs="Arial" w:eastAsia="Arial" w:hAnsi="Arial"/>
          <w:sz w:val="18"/>
          <w:szCs w:val="18"/>
          <w:color w:val="auto"/>
        </w:rPr>
        <w:t xml:space="preserve">Seer will host a conference call to discuss the third quarter financial results on Tuesday, November 8, 2022 at 1:30 pm Pacific Time / 4:30 pm Eastern Time. A webcast of the conference call can be accessed at </w:t>
      </w:r>
      <w:r>
        <w:rPr>
          <w:rFonts w:ascii="Arial" w:cs="Arial" w:eastAsia="Arial" w:hAnsi="Arial"/>
          <w:sz w:val="18"/>
          <w:szCs w:val="18"/>
          <w:color w:val="0000FF"/>
        </w:rPr>
        <w:t>http://investor.seer.bio.</w:t>
      </w:r>
      <w:r>
        <w:rPr>
          <w:rFonts w:ascii="Arial" w:cs="Arial" w:eastAsia="Arial" w:hAnsi="Arial"/>
          <w:sz w:val="18"/>
          <w:szCs w:val="18"/>
          <w:color w:val="auto"/>
        </w:rPr>
        <w:t xml:space="preserve"> The webcast will be archived and available for replay for at least 90 days after the event.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Seer</w:t>
      </w:r>
    </w:p>
    <w:p>
      <w:pPr>
        <w:spacing w:after="0" w:line="212" w:lineRule="exact"/>
        <w:rPr>
          <w:sz w:val="20"/>
          <w:szCs w:val="20"/>
          <w:color w:val="auto"/>
        </w:rPr>
      </w:pPr>
    </w:p>
    <w:p>
      <w:pPr>
        <w:ind w:right="100"/>
        <w:spacing w:after="0" w:line="370" w:lineRule="auto"/>
        <w:rPr>
          <w:sz w:val="20"/>
          <w:szCs w:val="20"/>
          <w:color w:val="auto"/>
        </w:rPr>
      </w:pPr>
      <w:r>
        <w:rPr>
          <w:rFonts w:ascii="Arial" w:cs="Arial" w:eastAsia="Arial" w:hAnsi="Arial"/>
          <w:sz w:val="18"/>
          <w:szCs w:val="18"/>
          <w:color w:val="auto"/>
        </w:rPr>
        <w:t xml:space="preserve">Seer™ is a life sciences company developing transformative products that open a new gateway to the proteome. Seer’s Proteograph™ Product Suite is an integrated solution that includes proprietary engineered nanoparticles, consumables, automation instrumentation and software to perform deep, unbiased proteomic analysis at scale in a matter of hours. Seer designed the Proteograph workflow to be efficient and easy to use, leveraging widely adopted laboratory instrumentation to provide a decentralized solution that can be incorporated by nearly any lab. Seer’s Proteograph Product Suite is for research use only and is not intended for diagnostic procedures. For more information, please visit </w:t>
      </w:r>
      <w:r>
        <w:rPr>
          <w:rFonts w:ascii="Arial" w:cs="Arial" w:eastAsia="Arial" w:hAnsi="Arial"/>
          <w:sz w:val="18"/>
          <w:szCs w:val="18"/>
          <w:u w:val="single" w:color="auto"/>
          <w:color w:val="0032A0"/>
        </w:rPr>
        <w:t>www.seer.bio</w:t>
      </w:r>
      <w:r>
        <w:rPr>
          <w:rFonts w:ascii="Arial" w:cs="Arial" w:eastAsia="Arial" w:hAnsi="Arial"/>
          <w:sz w:val="18"/>
          <w:szCs w:val="18"/>
          <w:color w:val="212132"/>
          <w:highlight w:val="white"/>
        </w:rPr>
        <w:t>.</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85" w:lineRule="exact"/>
        <w:rPr>
          <w:sz w:val="20"/>
          <w:szCs w:val="20"/>
          <w:color w:val="auto"/>
        </w:rPr>
      </w:pPr>
    </w:p>
    <w:p>
      <w:pPr>
        <w:ind w:right="20"/>
        <w:spacing w:after="0" w:line="324"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that reflect the Company’s current views with respect to certain current and future events and financial performance. Words such as “expects,” “anticipates,” “projects,” “intends,” “plans,” “believes,” “estimates,” variations of such words, and similar expressions are also intended to identify such forward-looking statements. Such forward-looking statements are based on the Company’s beliefs and assumptions and on information currently available to it on the date of this press release. Forward-looking statements may involve known and unknown risks, uncertainties and other factors that may cause the Company’s actual results, performance or achievements to be materially different from those expressed or implied by the forward-looking statements, including but not limited to statements regarding the Company’s outlook for fiscal year 2022. These and other risks are described more fully in the Company’s filings with the Securities and Exchange Commission (“SEC”), including the Company’s Quarterly Report on Form 10-Q, to be filed with the SEC, and other documents the Company subsequently files with the SEC from time to time. Except to the extent required by law, the Company undertakes no obligation to update such statements to reflect events that occur or circumstances that exist after the date on which they were made.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Carrie Mendivil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investor@seer.bio</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 Contact: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Karen Possemato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pr@seer.bio</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Seer, Inc.</w:t>
      </w:r>
    </w:p>
    <w:p>
      <w:pPr>
        <w:spacing w:after="0" w:line="59"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6"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73"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(Unaudited)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7"/>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9"/>
                <w:szCs w:val="19"/>
                <w:color w:val="auto"/>
              </w:rPr>
            </w:pPr>
          </w:p>
        </w:tc>
        <w:tc>
          <w:tcPr>
            <w:tcW w:w="2920" w:type="dxa"/>
            <w:vAlign w:val="bottom"/>
            <w:gridSpan w:val="7"/>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420"/>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32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400"/>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340" w:type="dxa"/>
            <w:vAlign w:val="bottom"/>
          </w:tcPr>
          <w:p>
            <w:pPr>
              <w:ind w:left="240"/>
              <w:spacing w:after="0"/>
              <w:rPr>
                <w:sz w:val="20"/>
                <w:szCs w:val="20"/>
                <w:color w:val="auto"/>
              </w:rPr>
            </w:pPr>
            <w:r>
              <w:rPr>
                <w:rFonts w:ascii="Arial" w:cs="Arial" w:eastAsia="Arial" w:hAnsi="Arial"/>
                <w:sz w:val="16"/>
                <w:szCs w:val="16"/>
                <w:color w:val="auto"/>
              </w:rPr>
              <w:t>Product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ind w:left="200"/>
              <w:spacing w:after="0"/>
              <w:rPr>
                <w:sz w:val="20"/>
                <w:szCs w:val="20"/>
                <w:color w:val="auto"/>
              </w:rPr>
            </w:pPr>
            <w:r>
              <w:rPr>
                <w:rFonts w:ascii="Arial" w:cs="Arial" w:eastAsia="Arial" w:hAnsi="Arial"/>
                <w:sz w:val="16"/>
                <w:szCs w:val="16"/>
                <w:color w:val="auto"/>
              </w:rPr>
              <w:t>2,571</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858</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ind w:left="200"/>
              <w:spacing w:after="0"/>
              <w:rPr>
                <w:sz w:val="20"/>
                <w:szCs w:val="20"/>
                <w:color w:val="auto"/>
              </w:rPr>
            </w:pPr>
            <w:r>
              <w:rPr>
                <w:rFonts w:ascii="Arial" w:cs="Arial" w:eastAsia="Arial" w:hAnsi="Arial"/>
                <w:sz w:val="16"/>
                <w:szCs w:val="16"/>
                <w:color w:val="auto"/>
              </w:rPr>
              <w:t>7,126</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ind w:left="120"/>
              <w:spacing w:after="0"/>
              <w:rPr>
                <w:sz w:val="20"/>
                <w:szCs w:val="20"/>
                <w:color w:val="auto"/>
              </w:rPr>
            </w:pPr>
            <w:r>
              <w:rPr>
                <w:rFonts w:ascii="Arial" w:cs="Arial" w:eastAsia="Arial" w:hAnsi="Arial"/>
                <w:sz w:val="16"/>
                <w:szCs w:val="16"/>
                <w:color w:val="auto"/>
              </w:rPr>
              <w:t>1,695</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Service</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340" w:type="dxa"/>
            <w:vAlign w:val="bottom"/>
          </w:tcPr>
          <w:p>
            <w:pPr>
              <w:ind w:left="240"/>
              <w:spacing w:after="0"/>
              <w:rPr>
                <w:sz w:val="20"/>
                <w:szCs w:val="20"/>
                <w:color w:val="auto"/>
              </w:rPr>
            </w:pPr>
            <w:r>
              <w:rPr>
                <w:rFonts w:ascii="Arial" w:cs="Arial" w:eastAsia="Arial" w:hAnsi="Arial"/>
                <w:sz w:val="16"/>
                <w:szCs w:val="16"/>
                <w:color w:val="auto"/>
              </w:rPr>
              <w:t>Related party</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1,316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Grant and other</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440"/>
              <w:spacing w:after="0"/>
              <w:rPr>
                <w:sz w:val="20"/>
                <w:szCs w:val="20"/>
                <w:color w:val="auto"/>
              </w:rPr>
            </w:pPr>
            <w:r>
              <w:rPr>
                <w:rFonts w:ascii="Arial" w:cs="Arial" w:eastAsia="Arial" w:hAnsi="Arial"/>
                <w:sz w:val="16"/>
                <w:szCs w:val="16"/>
                <w:color w:val="auto"/>
              </w:rPr>
              <w:t>Total revenue</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3,955</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2,155</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10,888</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340" w:type="dxa"/>
            <w:vAlign w:val="bottom"/>
          </w:tcPr>
          <w:p>
            <w:pPr>
              <w:ind w:left="240"/>
              <w:spacing w:after="0"/>
              <w:rPr>
                <w:sz w:val="20"/>
                <w:szCs w:val="20"/>
                <w:color w:val="auto"/>
              </w:rPr>
            </w:pPr>
            <w:r>
              <w:rPr>
                <w:rFonts w:ascii="Arial" w:cs="Arial" w:eastAsia="Arial" w:hAnsi="Arial"/>
                <w:sz w:val="16"/>
                <w:szCs w:val="16"/>
                <w:color w:val="auto"/>
              </w:rPr>
              <w:t>Product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1,371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Service</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340" w:type="dxa"/>
            <w:vAlign w:val="bottom"/>
          </w:tcPr>
          <w:p>
            <w:pPr>
              <w:ind w:left="240"/>
              <w:spacing w:after="0"/>
              <w:rPr>
                <w:sz w:val="20"/>
                <w:szCs w:val="20"/>
                <w:color w:val="auto"/>
              </w:rPr>
            </w:pPr>
            <w:r>
              <w:rPr>
                <w:rFonts w:ascii="Arial" w:cs="Arial" w:eastAsia="Arial" w:hAnsi="Arial"/>
                <w:sz w:val="16"/>
                <w:szCs w:val="16"/>
                <w:color w:val="auto"/>
              </w:rPr>
              <w:t>Related party</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2,010</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1,945</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4,798</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34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11,564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7,745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33,167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20,906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15,447</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11,855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43,917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32,672</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44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27,011</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19,600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77,084</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53,578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(25,066)</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(72,286)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(51,599)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34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Interest income</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340" w:type="dxa"/>
            <w:vAlign w:val="bottom"/>
          </w:tcPr>
          <w:p>
            <w:pPr>
              <w:ind w:left="240"/>
              <w:spacing w:after="0"/>
              <w:rPr>
                <w:sz w:val="20"/>
                <w:szCs w:val="20"/>
                <w:color w:val="auto"/>
              </w:rPr>
            </w:pPr>
            <w:r>
              <w:rPr>
                <w:rFonts w:ascii="Arial" w:cs="Arial" w:eastAsia="Arial" w:hAnsi="Arial"/>
                <w:sz w:val="16"/>
                <w:szCs w:val="16"/>
                <w:color w:val="auto"/>
              </w:rPr>
              <w:t>Other expense</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other income</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1,086</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(23,980)</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(18,385)</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(70,441)</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(51,430)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3340" w:type="dxa"/>
            <w:vAlign w:val="bottom"/>
          </w:tcPr>
          <w:p>
            <w:pPr>
              <w:ind w:left="240"/>
              <w:spacing w:after="0"/>
              <w:rPr>
                <w:sz w:val="20"/>
                <w:szCs w:val="20"/>
                <w:color w:val="auto"/>
              </w:rPr>
            </w:pPr>
            <w:r>
              <w:rPr>
                <w:rFonts w:ascii="Arial" w:cs="Arial" w:eastAsia="Arial" w:hAnsi="Arial"/>
                <w:sz w:val="16"/>
                <w:szCs w:val="16"/>
                <w:color w:val="auto"/>
              </w:rPr>
              <w:t>Unrealized gain (loss) on available-for-sale</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40" w:type="dxa"/>
            <w:vAlign w:val="bottom"/>
          </w:tcPr>
          <w:p>
            <w:pPr>
              <w:ind w:left="400"/>
              <w:spacing w:after="0"/>
              <w:rPr>
                <w:sz w:val="20"/>
                <w:szCs w:val="20"/>
                <w:color w:val="auto"/>
              </w:rPr>
            </w:pPr>
            <w:r>
              <w:rPr>
                <w:rFonts w:ascii="Arial" w:cs="Arial" w:eastAsia="Arial" w:hAnsi="Arial"/>
                <w:sz w:val="16"/>
                <w:szCs w:val="16"/>
                <w:color w:val="auto"/>
              </w:rPr>
              <w:t>securities</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420</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(2,157)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(23,560)</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(72,598)</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(51,492)</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 per share attributable to common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6"/>
                <w:szCs w:val="16"/>
                <w:color w:val="auto"/>
              </w:rPr>
              <w:t>stockholders, basic and diluted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ind w:left="200"/>
              <w:spacing w:after="0"/>
              <w:rPr>
                <w:sz w:val="20"/>
                <w:szCs w:val="20"/>
                <w:color w:val="auto"/>
              </w:rPr>
            </w:pPr>
            <w:r>
              <w:rPr>
                <w:rFonts w:ascii="Arial" w:cs="Arial" w:eastAsia="Arial" w:hAnsi="Arial"/>
                <w:sz w:val="16"/>
                <w:szCs w:val="16"/>
                <w:color w:val="auto"/>
              </w:rPr>
              <w:t>(0.38)</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Pr>
          <w:p>
            <w:pPr>
              <w:ind w:left="120"/>
              <w:spacing w:after="0"/>
              <w:rPr>
                <w:sz w:val="20"/>
                <w:szCs w:val="20"/>
                <w:color w:val="auto"/>
              </w:rPr>
            </w:pPr>
            <w:r>
              <w:rPr>
                <w:rFonts w:ascii="Arial" w:cs="Arial" w:eastAsia="Arial" w:hAnsi="Arial"/>
                <w:sz w:val="16"/>
                <w:szCs w:val="16"/>
                <w:color w:val="auto"/>
              </w:rPr>
              <w:t>(0.30)</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ind w:left="200"/>
              <w:spacing w:after="0"/>
              <w:rPr>
                <w:sz w:val="20"/>
                <w:szCs w:val="20"/>
                <w:color w:val="auto"/>
              </w:rPr>
            </w:pPr>
            <w:r>
              <w:rPr>
                <w:rFonts w:ascii="Arial" w:cs="Arial" w:eastAsia="Arial" w:hAnsi="Arial"/>
                <w:sz w:val="16"/>
                <w:szCs w:val="16"/>
                <w:color w:val="auto"/>
              </w:rPr>
              <w:t>(1.13)</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ind w:left="120"/>
              <w:spacing w:after="0"/>
              <w:rPr>
                <w:sz w:val="20"/>
                <w:szCs w:val="20"/>
                <w:color w:val="auto"/>
              </w:rPr>
            </w:pPr>
            <w:r>
              <w:rPr>
                <w:rFonts w:ascii="Arial" w:cs="Arial" w:eastAsia="Arial" w:hAnsi="Arial"/>
                <w:sz w:val="16"/>
                <w:szCs w:val="16"/>
                <w:color w:val="auto"/>
              </w:rPr>
              <w:t>(0.85)</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common shares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outstanding, basic and diluted</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62,538,983</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61,133,518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62,308,314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60,625,601</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560"/>
          </w:cols>
          <w:pgMar w:left="980" w:top="1440" w:right="1359" w:bottom="1440" w:gutter="0" w:footer="0" w:header="0"/>
        </w:sectPr>
      </w:pPr>
    </w:p>
    <w:bookmarkStart w:id="7" w:name="page8"/>
    <w:bookmarkEnd w:id="7"/>
    <w:p>
      <w:pPr>
        <w:spacing w:after="0" w:line="9"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auto"/>
        </w:rPr>
        <w:t>Seer, Inc.</w:t>
      </w:r>
    </w:p>
    <w:p>
      <w:pPr>
        <w:spacing w:after="0" w:line="73"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6"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60" w:type="dxa"/>
            <w:vAlign w:val="bottom"/>
          </w:tcPr>
          <w:p>
            <w:pPr>
              <w:spacing w:after="0"/>
              <w:rPr>
                <w:sz w:val="17"/>
                <w:szCs w:val="17"/>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3"/>
          </w:tcPr>
          <w:p>
            <w:pPr>
              <w:ind w:left="160"/>
              <w:spacing w:after="0"/>
              <w:rPr>
                <w:sz w:val="20"/>
                <w:szCs w:val="20"/>
                <w:color w:val="auto"/>
              </w:rPr>
            </w:pPr>
            <w:r>
              <w:rPr>
                <w:rFonts w:ascii="Arial" w:cs="Arial" w:eastAsia="Arial" w:hAnsi="Arial"/>
                <w:sz w:val="14"/>
                <w:szCs w:val="14"/>
                <w:b w:val="1"/>
                <w:bCs w:val="1"/>
                <w:color w:val="auto"/>
              </w:rPr>
              <w:t>December 31,</w:t>
            </w:r>
          </w:p>
        </w:tc>
      </w:tr>
      <w:tr>
        <w:trPr>
          <w:trHeight w:val="238"/>
        </w:trPr>
        <w:tc>
          <w:tcPr>
            <w:tcW w:w="6360" w:type="dxa"/>
            <w:vAlign w:val="bottom"/>
          </w:tcPr>
          <w:p>
            <w:pPr>
              <w:spacing w:after="0"/>
              <w:rPr>
                <w:sz w:val="20"/>
                <w:szCs w:val="20"/>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20"/>
                <w:szCs w:val="20"/>
                <w:color w:val="auto"/>
              </w:rPr>
            </w:pPr>
          </w:p>
        </w:tc>
        <w:tc>
          <w:tcPr>
            <w:tcW w:w="128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0"/>
                <w:szCs w:val="20"/>
                <w:color w:val="auto"/>
              </w:rPr>
            </w:pPr>
          </w:p>
        </w:tc>
      </w:tr>
      <w:tr>
        <w:trPr>
          <w:trHeight w:val="222"/>
        </w:trPr>
        <w:tc>
          <w:tcPr>
            <w:tcW w:w="6360" w:type="dxa"/>
            <w:vAlign w:val="bottom"/>
          </w:tcPr>
          <w:p>
            <w:pPr>
              <w:spacing w:after="0"/>
              <w:rPr>
                <w:sz w:val="19"/>
                <w:szCs w:val="19"/>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8"/>
        </w:trPr>
        <w:tc>
          <w:tcPr>
            <w:tcW w:w="63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
        </w:trPr>
        <w:tc>
          <w:tcPr>
            <w:tcW w:w="6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760" w:type="dxa"/>
            <w:vAlign w:val="bottom"/>
            <w:tcBorders>
              <w:bottom w:val="single" w:sz="8" w:color="CCEEFF"/>
            </w:tcBorders>
            <w:shd w:val="clear" w:color="auto" w:fill="CCEEFF"/>
          </w:tcPr>
          <w:p>
            <w:pPr>
              <w:jc w:val="center"/>
              <w:ind w:left="44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68,069</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232,813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8"/>
        </w:trPr>
        <w:tc>
          <w:tcPr>
            <w:tcW w:w="6360" w:type="dxa"/>
            <w:vAlign w:val="bottom"/>
          </w:tcPr>
          <w:p>
            <w:pPr>
              <w:ind w:left="240"/>
              <w:spacing w:after="0"/>
              <w:rPr>
                <w:sz w:val="20"/>
                <w:szCs w:val="20"/>
                <w:color w:val="auto"/>
              </w:rPr>
            </w:pPr>
            <w:r>
              <w:rPr>
                <w:rFonts w:ascii="Arial" w:cs="Arial" w:eastAsia="Arial" w:hAnsi="Arial"/>
                <w:sz w:val="14"/>
                <w:szCs w:val="14"/>
                <w:color w:val="auto"/>
              </w:rPr>
              <w:t>Short-term investments</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367,995</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167,261</w:t>
            </w:r>
          </w:p>
        </w:tc>
        <w:tc>
          <w:tcPr>
            <w:tcW w:w="80" w:type="dxa"/>
            <w:vAlign w:val="bottom"/>
          </w:tcPr>
          <w:p>
            <w:pPr>
              <w:spacing w:after="0"/>
              <w:rPr>
                <w:sz w:val="18"/>
                <w:szCs w:val="18"/>
                <w:color w:val="auto"/>
              </w:rPr>
            </w:pPr>
          </w:p>
        </w:tc>
      </w:tr>
      <w:tr>
        <w:trPr>
          <w:trHeight w:val="22"/>
        </w:trPr>
        <w:tc>
          <w:tcPr>
            <w:tcW w:w="6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Accounts receivable, net</w:t>
            </w:r>
          </w:p>
        </w:tc>
        <w:tc>
          <w:tcPr>
            <w:tcW w:w="7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4,537</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8"/>
        </w:trPr>
        <w:tc>
          <w:tcPr>
            <w:tcW w:w="6360" w:type="dxa"/>
            <w:vAlign w:val="bottom"/>
          </w:tcPr>
          <w:p>
            <w:pPr>
              <w:ind w:left="240"/>
              <w:spacing w:after="0"/>
              <w:rPr>
                <w:sz w:val="20"/>
                <w:szCs w:val="20"/>
                <w:color w:val="auto"/>
              </w:rPr>
            </w:pPr>
            <w:r>
              <w:rPr>
                <w:rFonts w:ascii="Arial" w:cs="Arial" w:eastAsia="Arial" w:hAnsi="Arial"/>
                <w:sz w:val="14"/>
                <w:szCs w:val="14"/>
                <w:color w:val="auto"/>
              </w:rPr>
              <w:t>Related party receivables</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829</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1,283</w:t>
            </w:r>
          </w:p>
        </w:tc>
        <w:tc>
          <w:tcPr>
            <w:tcW w:w="80" w:type="dxa"/>
            <w:vAlign w:val="bottom"/>
          </w:tcPr>
          <w:p>
            <w:pPr>
              <w:spacing w:after="0"/>
              <w:rPr>
                <w:sz w:val="18"/>
                <w:szCs w:val="18"/>
                <w:color w:val="auto"/>
              </w:rPr>
            </w:pPr>
          </w:p>
        </w:tc>
      </w:tr>
      <w:tr>
        <w:trPr>
          <w:trHeight w:val="22"/>
        </w:trPr>
        <w:tc>
          <w:tcPr>
            <w:tcW w:w="6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receivables</w:t>
            </w:r>
          </w:p>
        </w:tc>
        <w:tc>
          <w:tcPr>
            <w:tcW w:w="7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1,012</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8"/>
        </w:trPr>
        <w:tc>
          <w:tcPr>
            <w:tcW w:w="6360" w:type="dxa"/>
            <w:vAlign w:val="bottom"/>
          </w:tcPr>
          <w:p>
            <w:pPr>
              <w:ind w:left="240"/>
              <w:spacing w:after="0"/>
              <w:rPr>
                <w:sz w:val="20"/>
                <w:szCs w:val="20"/>
                <w:color w:val="auto"/>
              </w:rPr>
            </w:pPr>
            <w:r>
              <w:rPr>
                <w:rFonts w:ascii="Arial" w:cs="Arial" w:eastAsia="Arial" w:hAnsi="Arial"/>
                <w:sz w:val="14"/>
                <w:szCs w:val="14"/>
                <w:color w:val="auto"/>
              </w:rPr>
              <w:t>Inventory</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5,916</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4,145</w:t>
            </w:r>
          </w:p>
        </w:tc>
        <w:tc>
          <w:tcPr>
            <w:tcW w:w="80" w:type="dxa"/>
            <w:vAlign w:val="bottom"/>
          </w:tcPr>
          <w:p>
            <w:pPr>
              <w:spacing w:after="0"/>
              <w:rPr>
                <w:sz w:val="18"/>
                <w:szCs w:val="18"/>
                <w:color w:val="auto"/>
              </w:rPr>
            </w:pPr>
          </w:p>
        </w:tc>
      </w:tr>
      <w:tr>
        <w:trPr>
          <w:trHeight w:val="22"/>
        </w:trPr>
        <w:tc>
          <w:tcPr>
            <w:tcW w:w="6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7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2,113</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3,336</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2"/>
        </w:trPr>
        <w:tc>
          <w:tcPr>
            <w:tcW w:w="6360" w:type="dxa"/>
            <w:vAlign w:val="bottom"/>
          </w:tcPr>
          <w:p>
            <w:pPr>
              <w:ind w:left="440"/>
              <w:spacing w:after="0"/>
              <w:rPr>
                <w:sz w:val="20"/>
                <w:szCs w:val="20"/>
                <w:color w:val="auto"/>
              </w:rPr>
            </w:pPr>
            <w:r>
              <w:rPr>
                <w:rFonts w:ascii="Arial" w:cs="Arial" w:eastAsia="Arial" w:hAnsi="Arial"/>
                <w:sz w:val="14"/>
                <w:szCs w:val="14"/>
                <w:color w:val="auto"/>
              </w:rPr>
              <w:t>Total current assets</w:t>
            </w:r>
          </w:p>
        </w:tc>
        <w:tc>
          <w:tcPr>
            <w:tcW w:w="7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450,471</w:t>
            </w:r>
          </w:p>
        </w:tc>
        <w:tc>
          <w:tcPr>
            <w:tcW w:w="1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411,699</w:t>
            </w:r>
          </w:p>
        </w:tc>
        <w:tc>
          <w:tcPr>
            <w:tcW w:w="80" w:type="dxa"/>
            <w:vAlign w:val="bottom"/>
          </w:tcPr>
          <w:p>
            <w:pPr>
              <w:spacing w:after="0"/>
              <w:rPr>
                <w:sz w:val="17"/>
                <w:szCs w:val="17"/>
                <w:color w:val="auto"/>
              </w:rPr>
            </w:pPr>
          </w:p>
        </w:tc>
      </w:tr>
      <w:tr>
        <w:trPr>
          <w:trHeight w:val="22"/>
        </w:trPr>
        <w:tc>
          <w:tcPr>
            <w:tcW w:w="6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investments</w:t>
            </w:r>
          </w:p>
        </w:tc>
        <w:tc>
          <w:tcPr>
            <w:tcW w:w="7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4,873</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93,186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8"/>
        </w:trPr>
        <w:tc>
          <w:tcPr>
            <w:tcW w:w="636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27,465</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20,142</w:t>
            </w:r>
          </w:p>
        </w:tc>
        <w:tc>
          <w:tcPr>
            <w:tcW w:w="80" w:type="dxa"/>
            <w:vAlign w:val="bottom"/>
          </w:tcPr>
          <w:p>
            <w:pPr>
              <w:spacing w:after="0"/>
              <w:rPr>
                <w:sz w:val="18"/>
                <w:szCs w:val="18"/>
                <w:color w:val="auto"/>
              </w:rPr>
            </w:pPr>
          </w:p>
        </w:tc>
      </w:tr>
      <w:tr>
        <w:trPr>
          <w:trHeight w:val="22"/>
        </w:trPr>
        <w:tc>
          <w:tcPr>
            <w:tcW w:w="6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7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16,084</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13,087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8"/>
        </w:trPr>
        <w:tc>
          <w:tcPr>
            <w:tcW w:w="636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524</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524</w:t>
            </w:r>
          </w:p>
        </w:tc>
        <w:tc>
          <w:tcPr>
            <w:tcW w:w="80" w:type="dxa"/>
            <w:vAlign w:val="bottom"/>
          </w:tcPr>
          <w:p>
            <w:pPr>
              <w:spacing w:after="0"/>
              <w:rPr>
                <w:sz w:val="18"/>
                <w:szCs w:val="18"/>
                <w:color w:val="auto"/>
              </w:rPr>
            </w:pPr>
          </w:p>
        </w:tc>
      </w:tr>
      <w:tr>
        <w:trPr>
          <w:trHeight w:val="22"/>
        </w:trPr>
        <w:tc>
          <w:tcPr>
            <w:tcW w:w="6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7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6360" w:type="dxa"/>
            <w:vAlign w:val="bottom"/>
          </w:tcPr>
          <w:p>
            <w:pPr>
              <w:ind w:left="440"/>
              <w:spacing w:after="0"/>
              <w:rPr>
                <w:sz w:val="20"/>
                <w:szCs w:val="20"/>
                <w:color w:val="auto"/>
              </w:rPr>
            </w:pPr>
            <w:r>
              <w:rPr>
                <w:rFonts w:ascii="Arial" w:cs="Arial" w:eastAsia="Arial" w:hAnsi="Arial"/>
                <w:sz w:val="14"/>
                <w:szCs w:val="14"/>
                <w:color w:val="auto"/>
              </w:rPr>
              <w:t>Total assets</w:t>
            </w:r>
          </w:p>
        </w:tc>
        <w:tc>
          <w:tcPr>
            <w:tcW w:w="7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500,212</w:t>
            </w: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539,139</w:t>
            </w:r>
          </w:p>
        </w:tc>
        <w:tc>
          <w:tcPr>
            <w:tcW w:w="80" w:type="dxa"/>
            <w:vAlign w:val="bottom"/>
          </w:tcPr>
          <w:p>
            <w:pPr>
              <w:spacing w:after="0"/>
              <w:rPr>
                <w:sz w:val="19"/>
                <w:szCs w:val="19"/>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76"/>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7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r>
      <w:tr>
        <w:trPr>
          <w:trHeight w:val="208"/>
        </w:trPr>
        <w:tc>
          <w:tcPr>
            <w:tcW w:w="63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
        </w:trPr>
        <w:tc>
          <w:tcPr>
            <w:tcW w:w="6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3,975</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3,789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8"/>
        </w:trPr>
        <w:tc>
          <w:tcPr>
            <w:tcW w:w="6360" w:type="dxa"/>
            <w:vAlign w:val="bottom"/>
          </w:tcPr>
          <w:p>
            <w:pPr>
              <w:ind w:left="240"/>
              <w:spacing w:after="0"/>
              <w:rPr>
                <w:sz w:val="20"/>
                <w:szCs w:val="20"/>
                <w:color w:val="auto"/>
              </w:rPr>
            </w:pPr>
            <w:r>
              <w:rPr>
                <w:rFonts w:ascii="Arial" w:cs="Arial" w:eastAsia="Arial" w:hAnsi="Arial"/>
                <w:sz w:val="14"/>
                <w:szCs w:val="14"/>
                <w:color w:val="auto"/>
              </w:rPr>
              <w:t>Accrued expenses</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7,821</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8,394</w:t>
            </w:r>
          </w:p>
        </w:tc>
        <w:tc>
          <w:tcPr>
            <w:tcW w:w="80" w:type="dxa"/>
            <w:vAlign w:val="bottom"/>
          </w:tcPr>
          <w:p>
            <w:pPr>
              <w:spacing w:after="0"/>
              <w:rPr>
                <w:sz w:val="18"/>
                <w:szCs w:val="18"/>
                <w:color w:val="auto"/>
              </w:rPr>
            </w:pPr>
          </w:p>
        </w:tc>
      </w:tr>
      <w:tr>
        <w:trPr>
          <w:trHeight w:val="22"/>
        </w:trPr>
        <w:tc>
          <w:tcPr>
            <w:tcW w:w="6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Deferred revenue</w:t>
            </w:r>
          </w:p>
        </w:tc>
        <w:tc>
          <w:tcPr>
            <w:tcW w:w="7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8"/>
        </w:trPr>
        <w:tc>
          <w:tcPr>
            <w:tcW w:w="6360" w:type="dxa"/>
            <w:vAlign w:val="bottom"/>
          </w:tcPr>
          <w:p>
            <w:pPr>
              <w:ind w:left="240"/>
              <w:spacing w:after="0"/>
              <w:rPr>
                <w:sz w:val="20"/>
                <w:szCs w:val="20"/>
                <w:color w:val="auto"/>
              </w:rPr>
            </w:pPr>
            <w:r>
              <w:rPr>
                <w:rFonts w:ascii="Arial" w:cs="Arial" w:eastAsia="Arial" w:hAnsi="Arial"/>
                <w:sz w:val="14"/>
                <w:szCs w:val="14"/>
                <w:color w:val="auto"/>
              </w:rPr>
              <w:t>Operating lease liabilities, current</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1,314</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864</w:t>
            </w:r>
          </w:p>
        </w:tc>
        <w:tc>
          <w:tcPr>
            <w:tcW w:w="80" w:type="dxa"/>
            <w:vAlign w:val="bottom"/>
          </w:tcPr>
          <w:p>
            <w:pPr>
              <w:spacing w:after="0"/>
              <w:rPr>
                <w:sz w:val="18"/>
                <w:szCs w:val="18"/>
                <w:color w:val="auto"/>
              </w:rPr>
            </w:pPr>
          </w:p>
        </w:tc>
      </w:tr>
      <w:tr>
        <w:trPr>
          <w:trHeight w:val="22"/>
        </w:trPr>
        <w:tc>
          <w:tcPr>
            <w:tcW w:w="6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current liabilities</w:t>
            </w:r>
          </w:p>
        </w:tc>
        <w:tc>
          <w:tcPr>
            <w:tcW w:w="7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01"/>
        </w:trPr>
        <w:tc>
          <w:tcPr>
            <w:tcW w:w="6360" w:type="dxa"/>
            <w:vAlign w:val="bottom"/>
          </w:tcPr>
          <w:p>
            <w:pPr>
              <w:ind w:left="440"/>
              <w:spacing w:after="0"/>
              <w:rPr>
                <w:sz w:val="20"/>
                <w:szCs w:val="20"/>
                <w:color w:val="auto"/>
              </w:rPr>
            </w:pPr>
            <w:r>
              <w:rPr>
                <w:rFonts w:ascii="Arial" w:cs="Arial" w:eastAsia="Arial" w:hAnsi="Arial"/>
                <w:sz w:val="14"/>
                <w:szCs w:val="14"/>
                <w:color w:val="auto"/>
              </w:rPr>
              <w:t>Total current liabilities</w:t>
            </w:r>
          </w:p>
        </w:tc>
        <w:tc>
          <w:tcPr>
            <w:tcW w:w="7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13,616</w:t>
            </w:r>
          </w:p>
        </w:tc>
        <w:tc>
          <w:tcPr>
            <w:tcW w:w="1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13,423</w:t>
            </w:r>
          </w:p>
        </w:tc>
        <w:tc>
          <w:tcPr>
            <w:tcW w:w="80" w:type="dxa"/>
            <w:vAlign w:val="bottom"/>
          </w:tcPr>
          <w:p>
            <w:pPr>
              <w:spacing w:after="0"/>
              <w:rPr>
                <w:sz w:val="17"/>
                <w:szCs w:val="17"/>
                <w:color w:val="auto"/>
              </w:rPr>
            </w:pPr>
          </w:p>
        </w:tc>
      </w:tr>
      <w:tr>
        <w:trPr>
          <w:trHeight w:val="22"/>
        </w:trPr>
        <w:tc>
          <w:tcPr>
            <w:tcW w:w="6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 net of current portion</w:t>
            </w:r>
          </w:p>
        </w:tc>
        <w:tc>
          <w:tcPr>
            <w:tcW w:w="7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28,509</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22,459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8"/>
        </w:trPr>
        <w:tc>
          <w:tcPr>
            <w:tcW w:w="6360" w:type="dxa"/>
            <w:vAlign w:val="bottom"/>
          </w:tcPr>
          <w:p>
            <w:pPr>
              <w:ind w:left="20"/>
              <w:spacing w:after="0"/>
              <w:rPr>
                <w:sz w:val="20"/>
                <w:szCs w:val="20"/>
                <w:color w:val="auto"/>
              </w:rPr>
            </w:pPr>
            <w:r>
              <w:rPr>
                <w:rFonts w:ascii="Arial" w:cs="Arial" w:eastAsia="Arial" w:hAnsi="Arial"/>
                <w:sz w:val="14"/>
                <w:szCs w:val="14"/>
                <w:color w:val="auto"/>
              </w:rPr>
              <w:t>Other noncurrent liabilities</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319</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341</w:t>
            </w:r>
          </w:p>
        </w:tc>
        <w:tc>
          <w:tcPr>
            <w:tcW w:w="80" w:type="dxa"/>
            <w:vAlign w:val="bottom"/>
          </w:tcPr>
          <w:p>
            <w:pPr>
              <w:spacing w:after="0"/>
              <w:rPr>
                <w:sz w:val="18"/>
                <w:szCs w:val="18"/>
                <w:color w:val="auto"/>
              </w:rPr>
            </w:pPr>
          </w:p>
        </w:tc>
      </w:tr>
      <w:tr>
        <w:trPr>
          <w:trHeight w:val="22"/>
        </w:trPr>
        <w:tc>
          <w:tcPr>
            <w:tcW w:w="63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23"/>
        </w:trPr>
        <w:tc>
          <w:tcPr>
            <w:tcW w:w="6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liabilities</w:t>
            </w:r>
          </w:p>
        </w:tc>
        <w:tc>
          <w:tcPr>
            <w:tcW w:w="7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42,444</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36,223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88"/>
        </w:trPr>
        <w:tc>
          <w:tcPr>
            <w:tcW w:w="636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7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2"/>
        </w:trPr>
        <w:tc>
          <w:tcPr>
            <w:tcW w:w="6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7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193"/>
        </w:trPr>
        <w:tc>
          <w:tcPr>
            <w:tcW w:w="6360" w:type="dxa"/>
            <w:vAlign w:val="bottom"/>
          </w:tcPr>
          <w:p>
            <w:pPr>
              <w:ind w:left="240"/>
              <w:spacing w:after="0"/>
              <w:rPr>
                <w:sz w:val="20"/>
                <w:szCs w:val="20"/>
                <w:color w:val="auto"/>
              </w:rPr>
            </w:pPr>
            <w:r>
              <w:rPr>
                <w:rFonts w:ascii="Arial" w:cs="Arial" w:eastAsia="Arial" w:hAnsi="Arial"/>
                <w:sz w:val="14"/>
                <w:szCs w:val="14"/>
                <w:color w:val="auto"/>
              </w:rPr>
              <w:t>Preferred stock, $0.00001 par value; 5,000,000 shares authorized as of September 30, 2022</w:t>
            </w: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9"/>
        </w:trPr>
        <w:tc>
          <w:tcPr>
            <w:tcW w:w="6360" w:type="dxa"/>
            <w:vAlign w:val="bottom"/>
          </w:tcPr>
          <w:p>
            <w:pPr>
              <w:ind w:left="400"/>
              <w:spacing w:after="0" w:line="149" w:lineRule="exact"/>
              <w:rPr>
                <w:sz w:val="20"/>
                <w:szCs w:val="20"/>
                <w:color w:val="auto"/>
              </w:rPr>
            </w:pPr>
            <w:r>
              <w:rPr>
                <w:rFonts w:ascii="Arial" w:cs="Arial" w:eastAsia="Arial" w:hAnsi="Arial"/>
                <w:sz w:val="14"/>
                <w:szCs w:val="14"/>
                <w:color w:val="auto"/>
              </w:rPr>
              <w:t>and December 31, 2021; zero shares issued and outstanding as of September 30, 2022 and</w:t>
            </w: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4"/>
        </w:trPr>
        <w:tc>
          <w:tcPr>
            <w:tcW w:w="6360" w:type="dxa"/>
            <w:vAlign w:val="bottom"/>
          </w:tcPr>
          <w:p>
            <w:pPr>
              <w:ind w:left="400"/>
              <w:spacing w:after="0"/>
              <w:rPr>
                <w:sz w:val="20"/>
                <w:szCs w:val="20"/>
                <w:color w:val="auto"/>
              </w:rPr>
            </w:pPr>
            <w:r>
              <w:rPr>
                <w:rFonts w:ascii="Arial" w:cs="Arial" w:eastAsia="Arial" w:hAnsi="Arial"/>
                <w:sz w:val="14"/>
                <w:szCs w:val="14"/>
                <w:color w:val="auto"/>
              </w:rPr>
              <w:t>December 31, 2021</w:t>
            </w:r>
          </w:p>
        </w:tc>
        <w:tc>
          <w:tcPr>
            <w:tcW w:w="7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2"/>
        </w:trPr>
        <w:tc>
          <w:tcPr>
            <w:tcW w:w="6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3"/>
        </w:trPr>
        <w:tc>
          <w:tcPr>
            <w:tcW w:w="63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Class A common stock, $0.00001 par value; 94,000,000 shares authorized as of September 30,</w:t>
            </w:r>
          </w:p>
        </w:tc>
        <w:tc>
          <w:tcPr>
            <w:tcW w:w="7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48"/>
        </w:trPr>
        <w:tc>
          <w:tcPr>
            <w:tcW w:w="636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2022 and December 31, 2021; 58,591,785 and 57,493,005 shares issued and outstanding as</w:t>
            </w:r>
          </w:p>
        </w:tc>
        <w:tc>
          <w:tcPr>
            <w:tcW w:w="7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205"/>
        </w:trPr>
        <w:tc>
          <w:tcPr>
            <w:tcW w:w="6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of September 30, 2022 and December 31, 2021, respectively</w:t>
            </w:r>
          </w:p>
        </w:tc>
        <w:tc>
          <w:tcPr>
            <w:tcW w:w="7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3"/>
        </w:trPr>
        <w:tc>
          <w:tcPr>
            <w:tcW w:w="6360" w:type="dxa"/>
            <w:vAlign w:val="bottom"/>
          </w:tcPr>
          <w:p>
            <w:pPr>
              <w:ind w:left="240"/>
              <w:spacing w:after="0"/>
              <w:rPr>
                <w:sz w:val="20"/>
                <w:szCs w:val="20"/>
                <w:color w:val="auto"/>
              </w:rPr>
            </w:pPr>
            <w:r>
              <w:rPr>
                <w:rFonts w:ascii="Arial" w:cs="Arial" w:eastAsia="Arial" w:hAnsi="Arial"/>
                <w:sz w:val="14"/>
                <w:szCs w:val="14"/>
                <w:color w:val="auto"/>
              </w:rPr>
              <w:t>Class B common stock, $0.00001 par value; 6,000,000 shares authorized as of September 30,</w:t>
            </w: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8"/>
        </w:trPr>
        <w:tc>
          <w:tcPr>
            <w:tcW w:w="6360" w:type="dxa"/>
            <w:vAlign w:val="bottom"/>
          </w:tcPr>
          <w:p>
            <w:pPr>
              <w:ind w:left="400"/>
              <w:spacing w:after="0" w:line="149" w:lineRule="exact"/>
              <w:rPr>
                <w:sz w:val="20"/>
                <w:szCs w:val="20"/>
                <w:color w:val="auto"/>
              </w:rPr>
            </w:pPr>
            <w:r>
              <w:rPr>
                <w:rFonts w:ascii="Arial" w:cs="Arial" w:eastAsia="Arial" w:hAnsi="Arial"/>
                <w:sz w:val="14"/>
                <w:szCs w:val="14"/>
                <w:color w:val="auto"/>
              </w:rPr>
              <w:t>2022 and December 31, 2021; 4,044,969 and 4,522,478 shares issued and outstanding as of</w:t>
            </w: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4"/>
        </w:trPr>
        <w:tc>
          <w:tcPr>
            <w:tcW w:w="6360" w:type="dxa"/>
            <w:vAlign w:val="bottom"/>
          </w:tcPr>
          <w:p>
            <w:pPr>
              <w:ind w:left="400"/>
              <w:spacing w:after="0"/>
              <w:rPr>
                <w:sz w:val="20"/>
                <w:szCs w:val="20"/>
                <w:color w:val="auto"/>
              </w:rPr>
            </w:pPr>
            <w:r>
              <w:rPr>
                <w:rFonts w:ascii="Arial" w:cs="Arial" w:eastAsia="Arial" w:hAnsi="Arial"/>
                <w:sz w:val="14"/>
                <w:szCs w:val="14"/>
                <w:color w:val="auto"/>
              </w:rPr>
              <w:t>September 30, 2022 and December 31, 2021, respectively</w:t>
            </w:r>
          </w:p>
        </w:tc>
        <w:tc>
          <w:tcPr>
            <w:tcW w:w="76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2"/>
        </w:trPr>
        <w:tc>
          <w:tcPr>
            <w:tcW w:w="6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Additional paid-in capital</w:t>
            </w:r>
          </w:p>
        </w:tc>
        <w:tc>
          <w:tcPr>
            <w:tcW w:w="7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657,431</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629,981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8"/>
        </w:trPr>
        <w:tc>
          <w:tcPr>
            <w:tcW w:w="6360" w:type="dxa"/>
            <w:vAlign w:val="bottom"/>
          </w:tcPr>
          <w:p>
            <w:pPr>
              <w:ind w:left="240"/>
              <w:spacing w:after="0"/>
              <w:rPr>
                <w:sz w:val="20"/>
                <w:szCs w:val="20"/>
                <w:color w:val="auto"/>
              </w:rPr>
            </w:pPr>
            <w:r>
              <w:rPr>
                <w:rFonts w:ascii="Arial" w:cs="Arial" w:eastAsia="Arial" w:hAnsi="Arial"/>
                <w:sz w:val="14"/>
                <w:szCs w:val="14"/>
                <w:color w:val="auto"/>
              </w:rPr>
              <w:t>Accumulated other comprehensive loss</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(2,693)</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(536)</w:t>
            </w:r>
          </w:p>
        </w:tc>
        <w:tc>
          <w:tcPr>
            <w:tcW w:w="80" w:type="dxa"/>
            <w:vAlign w:val="bottom"/>
          </w:tcPr>
          <w:p>
            <w:pPr>
              <w:spacing w:after="0"/>
              <w:rPr>
                <w:sz w:val="18"/>
                <w:szCs w:val="18"/>
                <w:color w:val="auto"/>
              </w:rPr>
            </w:pPr>
          </w:p>
        </w:tc>
      </w:tr>
      <w:tr>
        <w:trPr>
          <w:trHeight w:val="21"/>
        </w:trPr>
        <w:tc>
          <w:tcPr>
            <w:tcW w:w="6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Accumulated deficit</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(196,971)</w:t>
            </w: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(126,530)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1"/>
        </w:trPr>
        <w:tc>
          <w:tcPr>
            <w:tcW w:w="6360" w:type="dxa"/>
            <w:vAlign w:val="bottom"/>
          </w:tcPr>
          <w:p>
            <w:pPr>
              <w:ind w:left="440"/>
              <w:spacing w:after="0"/>
              <w:rPr>
                <w:sz w:val="20"/>
                <w:szCs w:val="20"/>
                <w:color w:val="auto"/>
              </w:rPr>
            </w:pPr>
            <w:r>
              <w:rPr>
                <w:rFonts w:ascii="Arial" w:cs="Arial" w:eastAsia="Arial" w:hAnsi="Arial"/>
                <w:sz w:val="14"/>
                <w:szCs w:val="14"/>
                <w:color w:val="auto"/>
              </w:rPr>
              <w:t>Total stockholders’ equity</w:t>
            </w:r>
          </w:p>
        </w:tc>
        <w:tc>
          <w:tcPr>
            <w:tcW w:w="7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457,768</w:t>
            </w:r>
          </w:p>
        </w:tc>
        <w:tc>
          <w:tcPr>
            <w:tcW w:w="1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502,916</w:t>
            </w:r>
          </w:p>
        </w:tc>
        <w:tc>
          <w:tcPr>
            <w:tcW w:w="80" w:type="dxa"/>
            <w:vAlign w:val="bottom"/>
          </w:tcPr>
          <w:p>
            <w:pPr>
              <w:spacing w:after="0"/>
              <w:rPr>
                <w:sz w:val="17"/>
                <w:szCs w:val="17"/>
                <w:color w:val="auto"/>
              </w:rPr>
            </w:pPr>
          </w:p>
        </w:tc>
      </w:tr>
      <w:tr>
        <w:trPr>
          <w:trHeight w:val="21"/>
        </w:trPr>
        <w:tc>
          <w:tcPr>
            <w:tcW w:w="63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48"/>
        </w:trPr>
        <w:tc>
          <w:tcPr>
            <w:tcW w:w="6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liabilities and stockholders’ equity</w:t>
            </w: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500,212</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539,139</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479"/>
          </w:cols>
          <w:pgMar w:left="9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4</w:t>
      </w:r>
    </w:p>
    <w:sectPr>
      <w:pgSz w:w="11900" w:h="16838" w:orient="portrait"/>
      <w:cols w:equalWidth="0" w:num="1">
        <w:col w:w="9479"/>
      </w:cols>
      <w:pgMar w:left="98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2022-11-08T15:44:17Z</dcterms:created>
  <dcterms:modified xsi:type="dcterms:W3CDTF">2022-11-08T15:44:17Z</dcterms:modified>
</cp:coreProperties>
</file>