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285115</wp:posOffset>
            </wp:positionH>
            <wp:positionV relativeFrom="page">
              <wp:posOffset>1023620</wp:posOffset>
            </wp:positionV>
            <wp:extent cx="69862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997585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ind w:right="-73"/>
        <w:spacing w:after="0"/>
        <w:rPr>
          <w:sz w:val="20"/>
          <w:szCs w:val="20"/>
          <w:color w:val="auto"/>
        </w:rPr>
      </w:pPr>
      <w:r>
        <w:rPr>
          <w:rFonts w:ascii="Arial" w:cs="Arial" w:eastAsia="Arial" w:hAnsi="Arial"/>
          <w:sz w:val="29"/>
          <w:szCs w:val="29"/>
          <w:b w:val="1"/>
          <w:bCs w:val="1"/>
          <w:color w:val="auto"/>
        </w:rPr>
        <w:t>UNITED STATES</w:t>
      </w:r>
    </w:p>
    <w:p>
      <w:pPr>
        <w:spacing w:after="0" w:line="112"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SECURITIES AND EXCHANGE COMMISSION</w:t>
      </w:r>
    </w:p>
    <w:p>
      <w:pPr>
        <w:spacing w:after="0" w:line="41" w:lineRule="exact"/>
        <w:rPr>
          <w:sz w:val="24"/>
          <w:szCs w:val="24"/>
          <w:color w:val="auto"/>
        </w:rPr>
      </w:pPr>
    </w:p>
    <w:p>
      <w:pPr>
        <w:jc w:val="center"/>
        <w:ind w:right="-73"/>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65405</wp:posOffset>
            </wp:positionV>
            <wp:extent cx="23056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6"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40005</wp:posOffset>
            </wp:positionV>
            <wp:extent cx="23056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86"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CURRENT REPORT</w:t>
      </w:r>
    </w:p>
    <w:p>
      <w:pPr>
        <w:spacing w:after="0" w:line="10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81"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May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62230</wp:posOffset>
            </wp:positionV>
            <wp:extent cx="2305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2"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Seer, Inc.</w:t>
      </w:r>
    </w:p>
    <w:p>
      <w:pPr>
        <w:spacing w:after="0" w:line="29"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23056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76" w:lineRule="exact"/>
        <w:rPr>
          <w:sz w:val="24"/>
          <w:szCs w:val="24"/>
          <w:color w:val="auto"/>
        </w:rPr>
      </w:pPr>
    </w:p>
    <w:tbl>
      <w:tblPr>
        <w:tblLayout w:type="fixed"/>
        <w:tblInd w:w="894" w:type="dxa"/>
        <w:tblCellMar>
          <w:top w:w="0" w:type="dxa"/>
          <w:left w:w="0" w:type="dxa"/>
          <w:bottom w:w="0" w:type="dxa"/>
          <w:right w:w="0" w:type="dxa"/>
        </w:tblCellMar>
      </w:tblPr>
      <w:tr>
        <w:trPr>
          <w:trHeight w:val="186"/>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Delaware</w:t>
            </w:r>
          </w:p>
        </w:tc>
        <w:tc>
          <w:tcPr>
            <w:tcW w:w="346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001-39747</w:t>
            </w:r>
          </w:p>
        </w:tc>
        <w:tc>
          <w:tcPr>
            <w:tcW w:w="2560" w:type="dxa"/>
            <w:vAlign w:val="bottom"/>
          </w:tcPr>
          <w:p>
            <w:pPr>
              <w:jc w:val="center"/>
              <w:ind w:left="1348"/>
              <w:spacing w:after="0"/>
              <w:rPr>
                <w:sz w:val="20"/>
                <w:szCs w:val="20"/>
                <w:color w:val="auto"/>
              </w:rPr>
            </w:pPr>
            <w:r>
              <w:rPr>
                <w:rFonts w:ascii="Arial" w:cs="Arial" w:eastAsia="Arial" w:hAnsi="Arial"/>
                <w:sz w:val="14"/>
                <w:szCs w:val="14"/>
                <w:b w:val="1"/>
                <w:bCs w:val="1"/>
                <w:color w:val="auto"/>
                <w:w w:val="93"/>
              </w:rPr>
              <w:t>82-1153150</w:t>
            </w:r>
          </w:p>
        </w:tc>
      </w:tr>
      <w:tr>
        <w:trPr>
          <w:trHeight w:val="189"/>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08"/>
              <w:spacing w:after="0"/>
              <w:rPr>
                <w:sz w:val="20"/>
                <w:szCs w:val="20"/>
                <w:color w:val="auto"/>
              </w:rPr>
            </w:pPr>
            <w:r>
              <w:rPr>
                <w:rFonts w:ascii="Arial" w:cs="Arial" w:eastAsia="Arial" w:hAnsi="Arial"/>
                <w:sz w:val="14"/>
                <w:szCs w:val="14"/>
                <w:b w:val="1"/>
                <w:bCs w:val="1"/>
                <w:color w:val="auto"/>
                <w:w w:val="90"/>
              </w:rPr>
              <w:t>(Commission</w:t>
            </w:r>
          </w:p>
        </w:tc>
        <w:tc>
          <w:tcPr>
            <w:tcW w:w="2560" w:type="dxa"/>
            <w:vAlign w:val="bottom"/>
          </w:tcPr>
          <w:p>
            <w:pPr>
              <w:jc w:val="center"/>
              <w:ind w:left="1368"/>
              <w:spacing w:after="0"/>
              <w:rPr>
                <w:sz w:val="20"/>
                <w:szCs w:val="20"/>
                <w:color w:val="auto"/>
              </w:rPr>
            </w:pPr>
            <w:r>
              <w:rPr>
                <w:rFonts w:ascii="Arial" w:cs="Arial" w:eastAsia="Arial" w:hAnsi="Arial"/>
                <w:sz w:val="14"/>
                <w:szCs w:val="14"/>
                <w:b w:val="1"/>
                <w:bCs w:val="1"/>
                <w:color w:val="auto"/>
                <w:w w:val="96"/>
              </w:rPr>
              <w:t>(I.R.S. Employer</w:t>
            </w:r>
          </w:p>
        </w:tc>
      </w:tr>
      <w:tr>
        <w:trPr>
          <w:trHeight w:val="189"/>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incorporation)</w:t>
            </w:r>
          </w:p>
        </w:tc>
        <w:tc>
          <w:tcPr>
            <w:tcW w:w="34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File Number)</w:t>
            </w:r>
          </w:p>
        </w:tc>
        <w:tc>
          <w:tcPr>
            <w:tcW w:w="2560" w:type="dxa"/>
            <w:vAlign w:val="bottom"/>
          </w:tcPr>
          <w:p>
            <w:pPr>
              <w:jc w:val="center"/>
              <w:ind w:left="1348"/>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3800 Bridge Parkway, Suite 102</w:t>
      </w:r>
    </w:p>
    <w:p>
      <w:pPr>
        <w:spacing w:after="0" w:line="27"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Redwood City, California 94065</w:t>
      </w:r>
    </w:p>
    <w:p>
      <w:pPr>
        <w:spacing w:after="0" w:line="2"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32"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650-453-0000</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32"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2305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1" w:lineRule="exact"/>
        <w:rPr>
          <w:sz w:val="24"/>
          <w:szCs w:val="24"/>
          <w:color w:val="auto"/>
        </w:rPr>
      </w:pPr>
    </w:p>
    <w:p>
      <w:pPr>
        <w:ind w:left="13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00" w:lineRule="exact"/>
        <w:rPr>
          <w:sz w:val="24"/>
          <w:szCs w:val="24"/>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16" w:lineRule="exact"/>
        <w:rPr>
          <w:sz w:val="24"/>
          <w:szCs w:val="24"/>
          <w:color w:val="auto"/>
        </w:rPr>
      </w:pPr>
    </w:p>
    <w:tbl>
      <w:tblPr>
        <w:tblLayout w:type="fixed"/>
        <w:tblInd w:w="104" w:type="dxa"/>
        <w:tblCellMar>
          <w:top w:w="0" w:type="dxa"/>
          <w:left w:w="0" w:type="dxa"/>
          <w:bottom w:w="0" w:type="dxa"/>
          <w:right w:w="0" w:type="dxa"/>
        </w:tblCellMar>
      </w:tblPr>
      <w:tr>
        <w:trPr>
          <w:trHeight w:val="227"/>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43"/>
        </w:trPr>
        <w:tc>
          <w:tcPr>
            <w:tcW w:w="4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Class A Common Stock, par value $0.00001 per share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SEER</w:t>
            </w:r>
          </w:p>
        </w:tc>
        <w:tc>
          <w:tcPr>
            <w:tcW w:w="4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219"/>
        </w:trPr>
        <w:tc>
          <w:tcPr>
            <w:tcW w:w="4360" w:type="dxa"/>
            <w:vAlign w:val="bottom"/>
            <w:tcBorders>
              <w:left w:val="single" w:sz="8" w:color="auto"/>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(The NASDAQ Global Select Market)</w:t>
            </w:r>
          </w:p>
        </w:tc>
      </w:tr>
    </w:tbl>
    <w:p>
      <w:pPr>
        <w:spacing w:after="0" w:line="202" w:lineRule="exact"/>
        <w:rPr>
          <w:sz w:val="24"/>
          <w:szCs w:val="24"/>
          <w:color w:val="auto"/>
        </w:rPr>
      </w:pPr>
    </w:p>
    <w:p>
      <w:pPr>
        <w:ind w:left="634" w:right="80"/>
        <w:spacing w:after="0" w:line="277"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634"/>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99" w:lineRule="exact"/>
        <w:rPr>
          <w:sz w:val="24"/>
          <w:szCs w:val="24"/>
          <w:color w:val="auto"/>
        </w:rPr>
      </w:pPr>
    </w:p>
    <w:p>
      <w:pPr>
        <w:ind w:left="634" w:right="160"/>
        <w:spacing w:after="0" w:line="16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1137920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36195</wp:posOffset>
            </wp:positionV>
            <wp:extent cx="69862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10795</wp:posOffset>
            </wp:positionV>
            <wp:extent cx="6986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114"/>
          </w:cols>
          <w:pgMar w:left="346" w:top="1440" w:right="439" w:bottom="1440" w:gutter="0" w:footer="0" w:header="0"/>
        </w:sectPr>
      </w:pPr>
    </w:p>
    <w:bookmarkStart w:id="1" w:name="page2"/>
    <w:bookmarkEnd w:id="1"/>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On May 4, 2022, Seer, Inc. (the “Company”) issued a press release (the “Press Release”) announcing results for the quarter ended March 31, 2022. A copy of the Press Release is attached as Exhibit 99.1 to this current report on Form 8-K and is incorporated by reference herein.</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6269990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82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256"/>
        </w:trPr>
        <w:tc>
          <w:tcPr>
            <w:tcW w:w="1400" w:type="dxa"/>
            <w:vAlign w:val="bottom"/>
          </w:tcPr>
          <w:p>
            <w:pPr>
              <w:ind w:left="440"/>
              <w:spacing w:after="0"/>
              <w:rPr>
                <w:sz w:val="20"/>
                <w:szCs w:val="20"/>
                <w:color w:val="auto"/>
              </w:rPr>
            </w:pPr>
            <w:r>
              <w:rPr>
                <w:rFonts w:ascii="Arial" w:cs="Arial" w:eastAsia="Arial" w:hAnsi="Arial"/>
                <w:sz w:val="18"/>
                <w:szCs w:val="18"/>
                <w:b w:val="1"/>
                <w:bCs w:val="1"/>
                <w:color w:val="auto"/>
                <w:w w:val="99"/>
              </w:rPr>
              <w:t>Exhibit No.</w:t>
            </w:r>
          </w:p>
        </w:tc>
        <w:tc>
          <w:tcPr>
            <w:tcW w:w="660" w:type="dxa"/>
            <w:vAlign w:val="bottom"/>
          </w:tcPr>
          <w:p>
            <w:pPr>
              <w:spacing w:after="0"/>
              <w:rPr>
                <w:sz w:val="22"/>
                <w:szCs w:val="22"/>
                <w:color w:val="auto"/>
              </w:rPr>
            </w:pPr>
          </w:p>
        </w:tc>
        <w:tc>
          <w:tcPr>
            <w:tcW w:w="9160" w:type="dxa"/>
            <w:vAlign w:val="bottom"/>
            <w:tcBorders>
              <w:bottom w:val="single" w:sz="8" w:color="auto"/>
            </w:tcBorders>
          </w:tcPr>
          <w:p>
            <w:pPr>
              <w:ind w:left="4140"/>
              <w:spacing w:after="0"/>
              <w:rPr>
                <w:sz w:val="20"/>
                <w:szCs w:val="20"/>
                <w:color w:val="auto"/>
              </w:rPr>
            </w:pPr>
            <w:r>
              <w:rPr>
                <w:rFonts w:ascii="Arial" w:cs="Arial" w:eastAsia="Arial" w:hAnsi="Arial"/>
                <w:sz w:val="18"/>
                <w:szCs w:val="18"/>
                <w:b w:val="1"/>
                <w:bCs w:val="1"/>
                <w:color w:val="auto"/>
              </w:rPr>
              <w:t>Description</w:t>
            </w:r>
          </w:p>
        </w:tc>
      </w:tr>
    </w:tbl>
    <w:p>
      <w:pPr>
        <w:spacing w:after="0" w:line="294" w:lineRule="exact"/>
        <w:rPr>
          <w:sz w:val="20"/>
          <w:szCs w:val="20"/>
          <w:color w:val="auto"/>
        </w:rPr>
      </w:pPr>
    </w:p>
    <w:p>
      <w:pPr>
        <w:ind w:left="640"/>
        <w:spacing w:after="0"/>
        <w:tabs>
          <w:tab w:leader="none" w:pos="1120" w:val="left"/>
        </w:tabs>
        <w:rPr>
          <w:rFonts w:ascii="Arial" w:cs="Arial" w:eastAsia="Arial" w:hAnsi="Arial"/>
          <w:sz w:val="18"/>
          <w:szCs w:val="18"/>
          <w:color w:val="0000FF"/>
        </w:rPr>
      </w:pPr>
      <w:hyperlink w:anchor="page5">
        <w:r>
          <w:rPr>
            <w:rFonts w:ascii="Arial" w:cs="Arial" w:eastAsia="Arial" w:hAnsi="Arial"/>
            <w:sz w:val="18"/>
            <w:szCs w:val="18"/>
            <w:u w:val="single" w:color="auto"/>
            <w:color w:val="0000FF"/>
          </w:rPr>
          <w:t>99.1</w:t>
        </w:r>
      </w:hyperlink>
      <w:r>
        <w:rPr>
          <w:rFonts w:ascii="Arial" w:cs="Arial" w:eastAsia="Arial" w:hAnsi="Arial"/>
          <w:sz w:val="18"/>
          <w:szCs w:val="18"/>
          <w:color w:val="0000FF"/>
        </w:rPr>
        <w:tab/>
      </w:r>
      <w:r>
        <w:rPr>
          <w:rFonts w:ascii="Arial" w:cs="Arial" w:eastAsia="Arial" w:hAnsi="Arial"/>
          <w:sz w:val="15"/>
          <w:szCs w:val="15"/>
          <w:color w:val="0000FF"/>
        </w:rPr>
        <w:t>Press Release, dated May 4, 2022</w:t>
      </w:r>
    </w:p>
    <w:p>
      <w:pPr>
        <w:ind w:left="640"/>
        <w:spacing w:after="0"/>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6884035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 w:name="page4"/>
    <w:bookmarkEnd w:id="3"/>
    <w:p>
      <w:pPr>
        <w:spacing w:after="0" w:line="28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SEER, INC.</w:t>
      </w:r>
    </w:p>
    <w:p>
      <w:pPr>
        <w:spacing w:after="0" w:line="297" w:lineRule="exact"/>
        <w:rPr>
          <w:sz w:val="20"/>
          <w:szCs w:val="20"/>
          <w:color w:val="auto"/>
        </w:rPr>
      </w:pPr>
    </w:p>
    <w:p>
      <w:pPr>
        <w:ind w:left="3280"/>
        <w:spacing w:after="0"/>
        <w:tabs>
          <w:tab w:leader="none" w:pos="5740" w:val="left"/>
          <w:tab w:leader="none" w:pos="666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14605</wp:posOffset>
            </wp:positionV>
            <wp:extent cx="29057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David Horn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980"/>
          </w:cols>
          <w:pgMar w:left="320" w:top="1440" w:right="5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Ex 99.1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Seer Reports First Quarter 2022 Financial Results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Demonstrated solid commercial traction with continued robust interest in the Proteograph Product Suite</w:t>
      </w:r>
    </w:p>
    <w:p>
      <w:pPr>
        <w:spacing w:after="0" w:line="21"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 xml:space="preserve">REDWOOD CITY, Calif. </w:t>
      </w:r>
      <w:r>
        <w:rPr>
          <w:rFonts w:ascii="Arial" w:cs="Arial" w:eastAsia="Arial" w:hAnsi="Arial"/>
          <w:sz w:val="18"/>
          <w:szCs w:val="18"/>
          <w:color w:val="auto"/>
        </w:rPr>
        <w:t>May 4, 2022 – Seer, Inc. (Nasdaq: SEER), a life sciences company commercializing a disruptive new platform for</w:t>
      </w:r>
      <w:r>
        <w:rPr>
          <w:rFonts w:ascii="Arial" w:cs="Arial" w:eastAsia="Arial" w:hAnsi="Arial"/>
          <w:sz w:val="18"/>
          <w:szCs w:val="18"/>
          <w:b w:val="1"/>
          <w:bCs w:val="1"/>
          <w:color w:val="auto"/>
        </w:rPr>
        <w:t xml:space="preserve"> </w:t>
      </w:r>
      <w:r>
        <w:rPr>
          <w:rFonts w:ascii="Arial" w:cs="Arial" w:eastAsia="Arial" w:hAnsi="Arial"/>
          <w:sz w:val="18"/>
          <w:szCs w:val="18"/>
          <w:color w:val="auto"/>
        </w:rPr>
        <w:t>proteomics, today reported financial results for the first quarter ended March 31, 2022.</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had a strong start to the year as we further ramped our commercial efforts, expanded our installed base, and made tangible progress against our strategic plan. I am thrilled to see the growing impact of our unique technology in enabling researchers to interrogate the proteome deeply, at scale and without limitations to prescribed targets,” said Omid Farokhzad, Chief Executive Officer and Chair, “As our customers deepen their experience with the Proteograph Product Suite, the data they produce will be key to accelerating adoption and establishing a rich pipeline of potential customers. We look forward to updating you on their progress throughout the year.”</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170"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2"/>
          <w:szCs w:val="22"/>
          <w:color w:val="auto"/>
        </w:rPr>
      </w:pPr>
      <w:r>
        <w:rPr>
          <w:rFonts w:ascii="Arial" w:cs="Arial" w:eastAsia="Arial" w:hAnsi="Arial"/>
          <w:sz w:val="18"/>
          <w:szCs w:val="18"/>
          <w:color w:val="auto"/>
        </w:rPr>
        <w:t>Revenue of $3.3 million for the first quarter 2022</w:t>
      </w:r>
    </w:p>
    <w:p>
      <w:pPr>
        <w:spacing w:after="0" w:line="174" w:lineRule="exact"/>
        <w:rPr>
          <w:rFonts w:ascii="Arial" w:cs="Arial" w:eastAsia="Arial" w:hAnsi="Arial"/>
          <w:sz w:val="22"/>
          <w:szCs w:val="22"/>
          <w:color w:val="auto"/>
        </w:rPr>
      </w:pPr>
    </w:p>
    <w:p>
      <w:pPr>
        <w:ind w:left="340" w:hanging="332"/>
        <w:spacing w:after="0" w:line="239" w:lineRule="auto"/>
        <w:tabs>
          <w:tab w:leader="none" w:pos="335" w:val="left"/>
        </w:tabs>
        <w:numPr>
          <w:ilvl w:val="0"/>
          <w:numId w:val="2"/>
        </w:numPr>
        <w:rPr>
          <w:rFonts w:ascii="Arial" w:cs="Arial" w:eastAsia="Arial" w:hAnsi="Arial"/>
          <w:sz w:val="22"/>
          <w:szCs w:val="22"/>
          <w:color w:val="auto"/>
        </w:rPr>
      </w:pPr>
      <w:r>
        <w:rPr>
          <w:rFonts w:ascii="Arial" w:cs="Arial" w:eastAsia="Arial" w:hAnsi="Arial"/>
          <w:sz w:val="18"/>
          <w:szCs w:val="18"/>
          <w:color w:val="auto"/>
        </w:rPr>
        <w:t>Delivered the first Proteograph Product Suite orders as part of Broad Commercial release across multiple geographies, including North America, Europe and Asia</w:t>
      </w:r>
    </w:p>
    <w:p>
      <w:pPr>
        <w:spacing w:after="0" w:line="144" w:lineRule="exact"/>
        <w:rPr>
          <w:rFonts w:ascii="Arial" w:cs="Arial" w:eastAsia="Arial" w:hAnsi="Arial"/>
          <w:sz w:val="22"/>
          <w:szCs w:val="22"/>
          <w:color w:val="auto"/>
        </w:rPr>
      </w:pPr>
    </w:p>
    <w:p>
      <w:pPr>
        <w:ind w:left="340" w:hanging="332"/>
        <w:spacing w:after="0" w:line="260" w:lineRule="auto"/>
        <w:tabs>
          <w:tab w:leader="none" w:pos="335" w:val="left"/>
        </w:tabs>
        <w:numPr>
          <w:ilvl w:val="0"/>
          <w:numId w:val="2"/>
        </w:numPr>
        <w:rPr>
          <w:rFonts w:ascii="Arial" w:cs="Arial" w:eastAsia="Arial" w:hAnsi="Arial"/>
          <w:sz w:val="22"/>
          <w:szCs w:val="22"/>
          <w:color w:val="auto"/>
        </w:rPr>
      </w:pPr>
      <w:r>
        <w:rPr>
          <w:rFonts w:ascii="Arial" w:cs="Arial" w:eastAsia="Arial" w:hAnsi="Arial"/>
          <w:sz w:val="18"/>
          <w:szCs w:val="18"/>
          <w:color w:val="auto"/>
        </w:rPr>
        <w:t xml:space="preserve">Announced the publication of a seminal study in the </w:t>
      </w:r>
      <w:r>
        <w:rPr>
          <w:rFonts w:ascii="Arial" w:cs="Arial" w:eastAsia="Arial" w:hAnsi="Arial"/>
          <w:sz w:val="18"/>
          <w:szCs w:val="18"/>
          <w:i w:val="1"/>
          <w:iCs w:val="1"/>
          <w:color w:val="auto"/>
        </w:rPr>
        <w:t>Proceedings of the National Academy of Sciences (PNAS)</w:t>
      </w:r>
      <w:r>
        <w:rPr>
          <w:rFonts w:ascii="Arial" w:cs="Arial" w:eastAsia="Arial" w:hAnsi="Arial"/>
          <w:sz w:val="18"/>
          <w:szCs w:val="18"/>
          <w:color w:val="auto"/>
        </w:rPr>
        <w:t xml:space="preserve"> demonstrating performance of the Proteograph Product Suite for deep, unbiased, precise, scalable proteomics</w:t>
      </w:r>
    </w:p>
    <w:p>
      <w:pPr>
        <w:spacing w:after="0" w:line="104" w:lineRule="exact"/>
        <w:rPr>
          <w:rFonts w:ascii="Arial" w:cs="Arial" w:eastAsia="Arial" w:hAnsi="Arial"/>
          <w:sz w:val="22"/>
          <w:szCs w:val="22"/>
          <w:color w:val="auto"/>
        </w:rPr>
      </w:pPr>
    </w:p>
    <w:p>
      <w:pPr>
        <w:ind w:left="320" w:hanging="312"/>
        <w:spacing w:after="0"/>
        <w:tabs>
          <w:tab w:leader="none" w:pos="320" w:val="left"/>
        </w:tabs>
        <w:numPr>
          <w:ilvl w:val="0"/>
          <w:numId w:val="2"/>
        </w:numPr>
        <w:rPr>
          <w:rFonts w:ascii="Arial" w:cs="Arial" w:eastAsia="Arial" w:hAnsi="Arial"/>
          <w:sz w:val="22"/>
          <w:szCs w:val="22"/>
          <w:color w:val="auto"/>
        </w:rPr>
      </w:pPr>
      <w:r>
        <w:rPr>
          <w:rFonts w:ascii="Arial" w:cs="Arial" w:eastAsia="Arial" w:hAnsi="Arial"/>
          <w:sz w:val="18"/>
          <w:szCs w:val="18"/>
          <w:color w:val="auto"/>
        </w:rPr>
        <w:t>Hired Scott Thomas as Chief Commercial Officer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2022 Financial Results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Revenue was $3.3 million for the three months ended March 31, 2022, as compared to $62 thousand for the three months ended March 31, 2021. The increase was primarily due to an increase in sales of products related to the Proteograph Product Suite. Product-related revenue for the first quarter of 2022 was $3.2 million, including $1.1 million of related party revenue, and consisted of sales of SP100 instruments, consumable kits and platform evaluations.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inclusive of grant and other revenue, was $1.2 million and gross margin was 38% for the first quarter of 2022.</w:t>
      </w:r>
    </w:p>
    <w:p>
      <w:pPr>
        <w:spacing w:after="0" w:line="26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Operating expenses were $25.0 million for the first quarter of 2022, including $8.1 million of stock based compensation, as compared to $16.6 million, including $6.0 million of stock based compensation, for the corresponding prior year period. The increase in expenses was driven by increased employee compensation and other related expenses, including stock-based compensation, and increased expenses related to the expansion of our facilities and other costs related to being a publicly traded company.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Net loss was $23.6 million for the first quarter of 2022, as compared to $16.4 million for the corresponding prior year period.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investments were approximately $472 million as of March 31, 2022.</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Guidance</w:t>
      </w:r>
    </w:p>
    <w:p>
      <w:pPr>
        <w:spacing w:after="0" w:line="16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Seer continues to expect full year 2022 revenue to be in the range of $14.0 million to $16.0 million, and, as previously disclosed, Seer also expects to continue to increase investments in its commercial, operations, research and development activities to drive long-term growth and value creation.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31" w:right="339" w:bottom="1440" w:gutter="0" w:footer="0" w:header="0"/>
        </w:sectPr>
      </w:pPr>
    </w:p>
    <w:bookmarkStart w:id="5" w:name="page6"/>
    <w:bookmarkEnd w:id="5"/>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Information</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Seer will host a conference call to discuss the first quarter financial results on Wednesday, May 4, 2022 at 2:00 pm Pacific Time / 5:00 pm Eastern Time. A webcast of the conference call can be accessed at </w:t>
      </w:r>
      <w:r>
        <w:rPr>
          <w:rFonts w:ascii="Arial" w:cs="Arial" w:eastAsia="Arial" w:hAnsi="Arial"/>
          <w:sz w:val="18"/>
          <w:szCs w:val="18"/>
          <w:color w:val="0000FF"/>
        </w:rPr>
        <w:t>http://investor.seer.bio.</w:t>
      </w:r>
      <w:r>
        <w:rPr>
          <w:rFonts w:ascii="Arial" w:cs="Arial" w:eastAsia="Arial" w:hAnsi="Arial"/>
          <w:sz w:val="18"/>
          <w:szCs w:val="18"/>
          <w:color w:val="auto"/>
        </w:rPr>
        <w:t xml:space="preserve"> The webcast will be archived and available for replay for at least 90 days after the event.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Seer</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Seer™ is a life sciences company developing transformative products that open a new gateway to the proteome. Seer’s Proteograph™ Product Suite is an integrated solution that includes proprietary engineered nanoparticles, consumables, automation instrumentation and software to perform deep, unbiased proteomic analysis at scale in a matter of hours. Seer designed the Proteograph workflow to be efficient and easy to use, leveraging widely adopted laboratory instrumentation to provide a decentralized solution that can be incorporated by nearly any lab. Seer’s Proteograph Product Suite is for research use only and is not intended for diagnostic procedures. For more information, please visit </w:t>
      </w:r>
      <w:r>
        <w:rPr>
          <w:rFonts w:ascii="Arial" w:cs="Arial" w:eastAsia="Arial" w:hAnsi="Arial"/>
          <w:sz w:val="18"/>
          <w:szCs w:val="18"/>
          <w:u w:val="single" w:color="auto"/>
          <w:color w:val="0000FF"/>
        </w:rPr>
        <w:t>www.seer.bio</w:t>
      </w:r>
      <w:r>
        <w:rPr>
          <w:rFonts w:ascii="Arial" w:cs="Arial" w:eastAsia="Arial" w:hAnsi="Arial"/>
          <w:sz w:val="18"/>
          <w:szCs w:val="18"/>
          <w:color w:val="auto"/>
        </w:rPr>
        <w: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66"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that reflect the Company’s current views with respect to certain current and future events and financial performance. Words such as “expects,” “anticipates,” “projects,” “intends,” “plans,” “believes,” “estimates,” variations of such words, and similar expressions are also intended to identify such forward-looking statements. Such forward-looking statements are based on the Company’s beliefs and assumptions and on information currently available to it on the date of this press release. Forward-looking statements may involve known and unknown risks, uncertainties and other factors that may cause the Company’s actual results, performance or achievements to be materially different from those expressed or implied by the forward-looking statements, including but not limited to statements regarding the Company’s outlook for fiscal year 2022. These and other risks are described more fully in the Company’s filings with the Securities and Exchange Commission (“SEC”), including the Company’s Quarterly Report on Form 10-Q, to be filed with the SEC, and other documents the Company subsequently files with the SEC from time to time. Except to the extent required by law, the Company undertakes no obligation to update such statements to reflect events that occur or circumstances that exist after the date on which they were made.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Contact: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Carrie Mendivil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investor@seer.bio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 Contact: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Karen Possemato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pr@seer.bio</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200" w:lineRule="exact"/>
        <w:rPr>
          <w:sz w:val="20"/>
          <w:szCs w:val="20"/>
          <w:color w:val="auto"/>
        </w:rPr>
      </w:pPr>
    </w:p>
    <w:p>
      <w:pPr>
        <w:spacing w:after="0" w:line="264"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Seer, Inc.</w:t>
      </w:r>
    </w:p>
    <w:p>
      <w:pPr>
        <w:spacing w:after="0" w:line="32"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32"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274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6420" w:type="dxa"/>
            <w:vAlign w:val="bottom"/>
          </w:tcPr>
          <w:p>
            <w:pPr>
              <w:spacing w:after="0"/>
              <w:rPr>
                <w:sz w:val="16"/>
                <w:szCs w:val="16"/>
                <w:color w:val="auto"/>
              </w:rPr>
            </w:pPr>
          </w:p>
        </w:tc>
        <w:tc>
          <w:tcPr>
            <w:tcW w:w="1280" w:type="dxa"/>
            <w:vAlign w:val="bottom"/>
            <w:tcBorders>
              <w:top w:val="single" w:sz="8" w:color="auto"/>
            </w:tcBorders>
            <w:gridSpan w:val="2"/>
          </w:tcPr>
          <w:p>
            <w:pPr>
              <w:jc w:val="right"/>
              <w:ind w:right="410"/>
              <w:spacing w:after="0"/>
              <w:rPr>
                <w:sz w:val="20"/>
                <w:szCs w:val="20"/>
                <w:color w:val="auto"/>
              </w:rPr>
            </w:pPr>
            <w:r>
              <w:rPr>
                <w:rFonts w:ascii="Arial" w:cs="Arial" w:eastAsia="Arial" w:hAnsi="Arial"/>
                <w:sz w:val="14"/>
                <w:szCs w:val="14"/>
                <w:b w:val="1"/>
                <w:bCs w:val="1"/>
                <w:color w:val="auto"/>
              </w:rPr>
              <w:t>2022</w:t>
            </w:r>
          </w:p>
        </w:tc>
        <w:tc>
          <w:tcPr>
            <w:tcW w:w="1360" w:type="dxa"/>
            <w:vAlign w:val="bottom"/>
            <w:tcBorders>
              <w:top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4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40"/>
              <w:spacing w:after="0"/>
              <w:rPr>
                <w:sz w:val="20"/>
                <w:szCs w:val="20"/>
                <w:color w:val="auto"/>
              </w:rPr>
            </w:pPr>
            <w:r>
              <w:rPr>
                <w:rFonts w:ascii="Arial" w:cs="Arial" w:eastAsia="Arial" w:hAnsi="Arial"/>
                <w:sz w:val="18"/>
                <w:szCs w:val="18"/>
                <w:color w:val="auto"/>
              </w:rPr>
              <w:t>Product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2,149</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w:t>
            </w: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20" w:type="dxa"/>
            <w:vAlign w:val="bottom"/>
          </w:tcPr>
          <w:p>
            <w:pPr>
              <w:ind w:left="240"/>
              <w:spacing w:after="0"/>
              <w:rPr>
                <w:sz w:val="20"/>
                <w:szCs w:val="20"/>
                <w:color w:val="auto"/>
              </w:rPr>
            </w:pPr>
            <w:r>
              <w:rPr>
                <w:rFonts w:ascii="Arial" w:cs="Arial" w:eastAsia="Arial" w:hAnsi="Arial"/>
                <w:sz w:val="18"/>
                <w:szCs w:val="18"/>
                <w:color w:val="auto"/>
              </w:rPr>
              <w:t>Related party</w:t>
            </w:r>
          </w:p>
        </w:tc>
        <w:tc>
          <w:tcPr>
            <w:tcW w:w="6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Grant and other</w:t>
            </w:r>
          </w:p>
        </w:tc>
        <w:tc>
          <w:tcPr>
            <w:tcW w:w="6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6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3,312</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240"/>
              <w:spacing w:after="0"/>
              <w:rPr>
                <w:sz w:val="20"/>
                <w:szCs w:val="20"/>
                <w:color w:val="auto"/>
              </w:rPr>
            </w:pPr>
            <w:r>
              <w:rPr>
                <w:rFonts w:ascii="Arial" w:cs="Arial" w:eastAsia="Arial" w:hAnsi="Arial"/>
                <w:sz w:val="18"/>
                <w:szCs w:val="18"/>
                <w:color w:val="auto"/>
              </w:rPr>
              <w:t>Product</w:t>
            </w:r>
          </w:p>
        </w:tc>
        <w:tc>
          <w:tcPr>
            <w:tcW w:w="6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w:t>
            </w: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tcPr>
          <w:p>
            <w:pPr>
              <w:ind w:left="240"/>
              <w:spacing w:after="0"/>
              <w:rPr>
                <w:sz w:val="20"/>
                <w:szCs w:val="20"/>
                <w:color w:val="auto"/>
              </w:rPr>
            </w:pPr>
            <w:r>
              <w:rPr>
                <w:rFonts w:ascii="Arial" w:cs="Arial" w:eastAsia="Arial" w:hAnsi="Arial"/>
                <w:sz w:val="18"/>
                <w:szCs w:val="18"/>
                <w:color w:val="auto"/>
              </w:rPr>
              <w:t>Related party</w:t>
            </w:r>
          </w:p>
        </w:tc>
        <w:tc>
          <w:tcPr>
            <w:tcW w:w="6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cost of revenue</w:t>
            </w: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6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10,732</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14,298</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25,030</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(23,786)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(16,498)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6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other income</w:t>
            </w: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(23,646)</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(16,429)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6420" w:type="dxa"/>
            <w:vAlign w:val="bottom"/>
          </w:tcPr>
          <w:p>
            <w:pPr>
              <w:ind w:left="240"/>
              <w:spacing w:after="0"/>
              <w:rPr>
                <w:sz w:val="20"/>
                <w:szCs w:val="20"/>
                <w:color w:val="auto"/>
              </w:rPr>
            </w:pPr>
            <w:r>
              <w:rPr>
                <w:rFonts w:ascii="Arial" w:cs="Arial" w:eastAsia="Arial" w:hAnsi="Arial"/>
                <w:sz w:val="18"/>
                <w:szCs w:val="18"/>
                <w:color w:val="auto"/>
              </w:rPr>
              <w:t>Unrealized loss on available-for-sale securities</w:t>
            </w:r>
          </w:p>
        </w:tc>
        <w:tc>
          <w:tcPr>
            <w:tcW w:w="660" w:type="dxa"/>
            <w:vAlign w:val="bottom"/>
          </w:tcPr>
          <w:p>
            <w:pPr>
              <w:spacing w:after="0"/>
              <w:rPr>
                <w:sz w:val="24"/>
                <w:szCs w:val="24"/>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(1,691)</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4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6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(25,337)</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(16,455)</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20" w:type="dxa"/>
            <w:vAlign w:val="bottom"/>
            <w:tcBorders>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basic and diluted</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62,003,504</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59,887,842</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479"/>
          </w:cols>
          <w:pgMar w:left="980" w:top="1440" w:right="1440" w:bottom="1440" w:gutter="0" w:footer="0" w:header="0"/>
        </w:sectPr>
      </w:pPr>
    </w:p>
    <w:bookmarkStart w:id="7" w:name="page8"/>
    <w:bookmarkEnd w:id="7"/>
    <w:p>
      <w:pPr>
        <w:jc w:val="center"/>
        <w:ind w:right="-399"/>
        <w:spacing w:after="0"/>
        <w:rPr>
          <w:sz w:val="20"/>
          <w:szCs w:val="20"/>
          <w:color w:val="auto"/>
        </w:rPr>
      </w:pPr>
      <w:r>
        <w:rPr>
          <w:rFonts w:ascii="Arial" w:cs="Arial" w:eastAsia="Arial" w:hAnsi="Arial"/>
          <w:sz w:val="16"/>
          <w:szCs w:val="16"/>
          <w:b w:val="1"/>
          <w:bCs w:val="1"/>
          <w:color w:val="auto"/>
        </w:rPr>
        <w:t>Seer, Inc.</w:t>
      </w:r>
    </w:p>
    <w:p>
      <w:pPr>
        <w:spacing w:after="0" w:line="32"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2"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32"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1500" w:type="dxa"/>
            <w:vAlign w:val="bottom"/>
            <w:gridSpan w:val="3"/>
          </w:tcPr>
          <w:p>
            <w:pPr>
              <w:ind w:left="400"/>
              <w:spacing w:after="0"/>
              <w:rPr>
                <w:sz w:val="20"/>
                <w:szCs w:val="20"/>
                <w:color w:val="auto"/>
              </w:rPr>
            </w:pPr>
            <w:r>
              <w:rPr>
                <w:rFonts w:ascii="Arial" w:cs="Arial" w:eastAsia="Arial" w:hAnsi="Arial"/>
                <w:sz w:val="14"/>
                <w:szCs w:val="14"/>
                <w:b w:val="1"/>
                <w:bCs w:val="1"/>
                <w:color w:val="auto"/>
              </w:rPr>
              <w:t>March 31,</w:t>
            </w:r>
          </w:p>
        </w:tc>
        <w:tc>
          <w:tcPr>
            <w:tcW w:w="1540" w:type="dxa"/>
            <w:vAlign w:val="bottom"/>
            <w:gridSpan w:val="3"/>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195"/>
        </w:trPr>
        <w:tc>
          <w:tcPr>
            <w:tcW w:w="64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225,334</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232,813</w:t>
            </w:r>
          </w:p>
        </w:tc>
        <w:tc>
          <w:tcPr>
            <w:tcW w:w="80" w:type="dxa"/>
            <w:vAlign w:val="bottom"/>
            <w:shd w:val="clear" w:color="auto" w:fill="CCEEFF"/>
          </w:tcPr>
          <w:p>
            <w:pPr>
              <w:spacing w:after="0"/>
              <w:rPr>
                <w:sz w:val="19"/>
                <w:szCs w:val="19"/>
                <w:color w:val="auto"/>
              </w:rPr>
            </w:pPr>
          </w:p>
        </w:tc>
      </w:tr>
      <w:tr>
        <w:trPr>
          <w:trHeight w:val="230"/>
        </w:trPr>
        <w:tc>
          <w:tcPr>
            <w:tcW w:w="648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219,892</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167,261</w:t>
            </w:r>
          </w:p>
        </w:tc>
        <w:tc>
          <w:tcPr>
            <w:tcW w:w="80" w:type="dxa"/>
            <w:vAlign w:val="bottom"/>
          </w:tcPr>
          <w:p>
            <w:pPr>
              <w:spacing w:after="0"/>
              <w:rPr>
                <w:sz w:val="19"/>
                <w:szCs w:val="19"/>
                <w:color w:val="auto"/>
              </w:rPr>
            </w:pPr>
          </w:p>
        </w:tc>
      </w:tr>
      <w:tr>
        <w:trPr>
          <w:trHeight w:val="229"/>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net</w:t>
            </w: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80" w:type="dxa"/>
            <w:vAlign w:val="bottom"/>
            <w:shd w:val="clear" w:color="auto" w:fill="CCEEFF"/>
          </w:tcPr>
          <w:p>
            <w:pPr>
              <w:spacing w:after="0"/>
              <w:rPr>
                <w:sz w:val="19"/>
                <w:szCs w:val="19"/>
                <w:color w:val="auto"/>
              </w:rPr>
            </w:pPr>
          </w:p>
        </w:tc>
      </w:tr>
      <w:tr>
        <w:trPr>
          <w:trHeight w:val="230"/>
        </w:trPr>
        <w:tc>
          <w:tcPr>
            <w:tcW w:w="6480" w:type="dxa"/>
            <w:vAlign w:val="bottom"/>
          </w:tcPr>
          <w:p>
            <w:pPr>
              <w:ind w:left="240"/>
              <w:spacing w:after="0"/>
              <w:rPr>
                <w:sz w:val="20"/>
                <w:szCs w:val="20"/>
                <w:color w:val="auto"/>
              </w:rPr>
            </w:pPr>
            <w:r>
              <w:rPr>
                <w:rFonts w:ascii="Arial" w:cs="Arial" w:eastAsia="Arial" w:hAnsi="Arial"/>
                <w:sz w:val="18"/>
                <w:szCs w:val="18"/>
                <w:color w:val="auto"/>
              </w:rPr>
              <w:t>Related party receivables</w:t>
            </w: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1,126</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1,283</w:t>
            </w:r>
          </w:p>
        </w:tc>
        <w:tc>
          <w:tcPr>
            <w:tcW w:w="80" w:type="dxa"/>
            <w:vAlign w:val="bottom"/>
          </w:tcPr>
          <w:p>
            <w:pPr>
              <w:spacing w:after="0"/>
              <w:rPr>
                <w:sz w:val="19"/>
                <w:szCs w:val="19"/>
                <w:color w:val="auto"/>
              </w:rPr>
            </w:pPr>
          </w:p>
        </w:tc>
      </w:tr>
      <w:tr>
        <w:trPr>
          <w:trHeight w:val="229"/>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receivables</w:t>
            </w: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9"/>
                <w:szCs w:val="19"/>
                <w:color w:val="auto"/>
              </w:rPr>
            </w:pPr>
          </w:p>
        </w:tc>
      </w:tr>
      <w:tr>
        <w:trPr>
          <w:trHeight w:val="229"/>
        </w:trPr>
        <w:tc>
          <w:tcPr>
            <w:tcW w:w="648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3,550</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4,145</w:t>
            </w:r>
          </w:p>
        </w:tc>
        <w:tc>
          <w:tcPr>
            <w:tcW w:w="80" w:type="dxa"/>
            <w:vAlign w:val="bottom"/>
          </w:tcPr>
          <w:p>
            <w:pPr>
              <w:spacing w:after="0"/>
              <w:rPr>
                <w:sz w:val="19"/>
                <w:szCs w:val="19"/>
                <w:color w:val="auto"/>
              </w:rPr>
            </w:pPr>
          </w:p>
        </w:tc>
      </w:tr>
      <w:tr>
        <w:trPr>
          <w:trHeight w:val="230"/>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80" w:type="dxa"/>
            <w:vAlign w:val="bottom"/>
            <w:shd w:val="clear" w:color="auto" w:fill="CCEEFF"/>
          </w:tcPr>
          <w:p>
            <w:pPr>
              <w:spacing w:after="0"/>
              <w:rPr>
                <w:sz w:val="19"/>
                <w:szCs w:val="19"/>
                <w:color w:val="auto"/>
              </w:rPr>
            </w:pPr>
          </w:p>
        </w:tc>
      </w:tr>
      <w:tr>
        <w:trPr>
          <w:trHeight w:val="223"/>
        </w:trPr>
        <w:tc>
          <w:tcPr>
            <w:tcW w:w="648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457,456</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411,699</w:t>
            </w:r>
          </w:p>
        </w:tc>
        <w:tc>
          <w:tcPr>
            <w:tcW w:w="80" w:type="dxa"/>
            <w:vAlign w:val="bottom"/>
          </w:tcPr>
          <w:p>
            <w:pPr>
              <w:spacing w:after="0"/>
              <w:rPr>
                <w:sz w:val="19"/>
                <w:szCs w:val="19"/>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26,550</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93,186</w:t>
            </w:r>
          </w:p>
        </w:tc>
        <w:tc>
          <w:tcPr>
            <w:tcW w:w="80" w:type="dxa"/>
            <w:vAlign w:val="bottom"/>
            <w:shd w:val="clear" w:color="auto" w:fill="CCEEFF"/>
          </w:tcPr>
          <w:p>
            <w:pPr>
              <w:spacing w:after="0"/>
              <w:rPr>
                <w:sz w:val="19"/>
                <w:szCs w:val="19"/>
                <w:color w:val="auto"/>
              </w:rPr>
            </w:pP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28,411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20,142</w:t>
            </w:r>
          </w:p>
        </w:tc>
        <w:tc>
          <w:tcPr>
            <w:tcW w:w="80" w:type="dxa"/>
            <w:vAlign w:val="bottom"/>
          </w:tcPr>
          <w:p>
            <w:pPr>
              <w:spacing w:after="0"/>
              <w:rPr>
                <w:sz w:val="19"/>
                <w:szCs w:val="19"/>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13,654</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13,087</w:t>
            </w:r>
          </w:p>
        </w:tc>
        <w:tc>
          <w:tcPr>
            <w:tcW w:w="80" w:type="dxa"/>
            <w:vAlign w:val="bottom"/>
            <w:shd w:val="clear" w:color="auto" w:fill="CCEEFF"/>
          </w:tcPr>
          <w:p>
            <w:pPr>
              <w:spacing w:after="0"/>
              <w:rPr>
                <w:sz w:val="19"/>
                <w:szCs w:val="19"/>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19"/>
                <w:szCs w:val="19"/>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8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CEEFF"/>
          </w:tcPr>
          <w:p>
            <w:pPr>
              <w:spacing w:after="0"/>
              <w:rPr>
                <w:sz w:val="19"/>
                <w:szCs w:val="19"/>
                <w:color w:val="auto"/>
              </w:rPr>
            </w:pPr>
          </w:p>
        </w:tc>
      </w:tr>
      <w:tr>
        <w:trPr>
          <w:trHeight w:val="223"/>
        </w:trPr>
        <w:tc>
          <w:tcPr>
            <w:tcW w:w="648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527,085</w:t>
            </w:r>
          </w:p>
        </w:tc>
        <w:tc>
          <w:tcPr>
            <w:tcW w:w="80" w:type="dxa"/>
            <w:vAlign w:val="bottom"/>
          </w:tcPr>
          <w:p>
            <w:pPr>
              <w:spacing w:after="0"/>
              <w:rPr>
                <w:sz w:val="19"/>
                <w:szCs w:val="19"/>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539,139</w:t>
            </w:r>
          </w:p>
        </w:tc>
        <w:tc>
          <w:tcPr>
            <w:tcW w:w="80" w:type="dxa"/>
            <w:vAlign w:val="bottom"/>
          </w:tcPr>
          <w:p>
            <w:pPr>
              <w:spacing w:after="0"/>
              <w:rPr>
                <w:sz w:val="19"/>
                <w:szCs w:val="19"/>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3"/>
        </w:trPr>
        <w:tc>
          <w:tcPr>
            <w:tcW w:w="6480" w:type="dxa"/>
            <w:vAlign w:val="bottom"/>
            <w:tcBorders>
              <w:bottom w:val="single" w:sz="8" w:color="CCEEFF"/>
            </w:tcBorders>
            <w:shd w:val="clear" w:color="auto" w:fill="CCEEFF"/>
          </w:tcPr>
          <w:p>
            <w:pPr>
              <w:ind w:left="20"/>
              <w:spacing w:after="0" w:line="201" w:lineRule="exact"/>
              <w:rPr>
                <w:sz w:val="20"/>
                <w:szCs w:val="20"/>
                <w:color w:val="auto"/>
              </w:rPr>
            </w:pPr>
            <w:r>
              <w:rPr>
                <w:rFonts w:ascii="Arial" w:cs="Arial" w:eastAsia="Arial" w:hAnsi="Arial"/>
                <w:sz w:val="18"/>
                <w:szCs w:val="18"/>
                <w:b w:val="1"/>
                <w:bCs w:val="1"/>
                <w:color w:val="auto"/>
              </w:rPr>
              <w:t>LIABILITIES AND STOCKHOLDERS’ EQUITY</w:t>
            </w:r>
          </w:p>
        </w:tc>
        <w:tc>
          <w:tcPr>
            <w:tcW w:w="8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820" w:type="dxa"/>
            <w:vAlign w:val="bottom"/>
            <w:shd w:val="clear" w:color="auto" w:fill="CCEEFF"/>
          </w:tcPr>
          <w:p>
            <w:pPr>
              <w:ind w:left="74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ind w:left="76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80" w:type="dxa"/>
            <w:vAlign w:val="bottom"/>
            <w:shd w:val="clear" w:color="auto" w:fill="CCEEFF"/>
          </w:tcPr>
          <w:p>
            <w:pPr>
              <w:spacing w:after="0"/>
              <w:rPr>
                <w:sz w:val="19"/>
                <w:szCs w:val="19"/>
                <w:color w:val="auto"/>
              </w:rPr>
            </w:pPr>
          </w:p>
        </w:tc>
      </w:tr>
      <w:tr>
        <w:trPr>
          <w:trHeight w:val="230"/>
        </w:trPr>
        <w:tc>
          <w:tcPr>
            <w:tcW w:w="648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6,377</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8,394</w:t>
            </w:r>
          </w:p>
        </w:tc>
        <w:tc>
          <w:tcPr>
            <w:tcW w:w="80" w:type="dxa"/>
            <w:vAlign w:val="bottom"/>
          </w:tcPr>
          <w:p>
            <w:pPr>
              <w:spacing w:after="0"/>
              <w:rPr>
                <w:sz w:val="19"/>
                <w:szCs w:val="19"/>
                <w:color w:val="auto"/>
              </w:rPr>
            </w:pPr>
          </w:p>
        </w:tc>
      </w:tr>
      <w:tr>
        <w:trPr>
          <w:trHeight w:val="230"/>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80" w:type="dxa"/>
            <w:vAlign w:val="bottom"/>
            <w:shd w:val="clear" w:color="auto" w:fill="CCEEFF"/>
          </w:tcPr>
          <w:p>
            <w:pPr>
              <w:spacing w:after="0"/>
              <w:rPr>
                <w:sz w:val="19"/>
                <w:szCs w:val="19"/>
                <w:color w:val="auto"/>
              </w:rPr>
            </w:pPr>
          </w:p>
        </w:tc>
      </w:tr>
      <w:tr>
        <w:trPr>
          <w:trHeight w:val="230"/>
        </w:trPr>
        <w:tc>
          <w:tcPr>
            <w:tcW w:w="64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Operating lease liabilities, current</w:t>
            </w:r>
          </w:p>
        </w:tc>
        <w:tc>
          <w:tcPr>
            <w:tcW w:w="8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80" w:type="dxa"/>
            <w:vAlign w:val="bottom"/>
            <w:tcBorders>
              <w:bottom w:val="single" w:sz="8" w:color="CCEEFF"/>
            </w:tcBorders>
          </w:tcPr>
          <w:p>
            <w:pPr>
              <w:spacing w:after="0"/>
              <w:rPr>
                <w:sz w:val="19"/>
                <w:szCs w:val="19"/>
                <w:color w:val="auto"/>
              </w:rPr>
            </w:pPr>
          </w:p>
        </w:tc>
      </w:tr>
      <w:tr>
        <w:trPr>
          <w:trHeight w:val="223"/>
        </w:trPr>
        <w:tc>
          <w:tcPr>
            <w:tcW w:w="6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11,152</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13,423</w:t>
            </w:r>
          </w:p>
        </w:tc>
        <w:tc>
          <w:tcPr>
            <w:tcW w:w="80" w:type="dxa"/>
            <w:vAlign w:val="bottom"/>
            <w:shd w:val="clear" w:color="auto" w:fill="CCEEFF"/>
          </w:tcPr>
          <w:p>
            <w:pPr>
              <w:spacing w:after="0"/>
              <w:rPr>
                <w:sz w:val="19"/>
                <w:szCs w:val="19"/>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29,134</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22,459</w:t>
            </w:r>
          </w:p>
        </w:tc>
        <w:tc>
          <w:tcPr>
            <w:tcW w:w="80" w:type="dxa"/>
            <w:vAlign w:val="bottom"/>
          </w:tcPr>
          <w:p>
            <w:pPr>
              <w:spacing w:after="0"/>
              <w:rPr>
                <w:sz w:val="19"/>
                <w:szCs w:val="19"/>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8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9"/>
                <w:szCs w:val="19"/>
                <w:color w:val="auto"/>
              </w:rPr>
            </w:pPr>
          </w:p>
        </w:tc>
      </w:tr>
      <w:tr>
        <w:trPr>
          <w:trHeight w:val="223"/>
        </w:trPr>
        <w:tc>
          <w:tcPr>
            <w:tcW w:w="64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liabilities</w:t>
            </w:r>
          </w:p>
        </w:tc>
        <w:tc>
          <w:tcPr>
            <w:tcW w:w="8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40,627</w:t>
            </w: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36,223</w:t>
            </w:r>
          </w:p>
        </w:tc>
        <w:tc>
          <w:tcPr>
            <w:tcW w:w="80" w:type="dxa"/>
            <w:vAlign w:val="bottom"/>
            <w:tcBorders>
              <w:bottom w:val="single" w:sz="8" w:color="CCEEFF"/>
            </w:tcBorders>
          </w:tcPr>
          <w:p>
            <w:pPr>
              <w:spacing w:after="0"/>
              <w:rPr>
                <w:sz w:val="19"/>
                <w:szCs w:val="19"/>
                <w:color w:val="auto"/>
              </w:rPr>
            </w:pPr>
          </w:p>
        </w:tc>
      </w:tr>
      <w:tr>
        <w:trPr>
          <w:trHeight w:val="21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83"/>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Preferred stock, $0.00001 par value; 5,000,000 shares authorized as of March 31,</w:t>
            </w:r>
          </w:p>
        </w:tc>
        <w:tc>
          <w:tcPr>
            <w:tcW w:w="8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16"/>
        </w:trPr>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2022 and December 31, 2021; zero shares issued and outstanding as of March 31,</w:t>
            </w: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4"/>
        </w:trPr>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2022 and December 31, 2021....................................................</w:t>
            </w:r>
          </w:p>
        </w:tc>
        <w:tc>
          <w:tcPr>
            <w:tcW w:w="8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83"/>
        </w:trPr>
        <w:tc>
          <w:tcPr>
            <w:tcW w:w="6480" w:type="dxa"/>
            <w:vAlign w:val="bottom"/>
          </w:tcPr>
          <w:p>
            <w:pPr>
              <w:ind w:left="240"/>
              <w:spacing w:after="0"/>
              <w:rPr>
                <w:sz w:val="20"/>
                <w:szCs w:val="20"/>
                <w:color w:val="auto"/>
              </w:rPr>
            </w:pPr>
            <w:r>
              <w:rPr>
                <w:rFonts w:ascii="Arial" w:cs="Arial" w:eastAsia="Arial" w:hAnsi="Arial"/>
                <w:sz w:val="18"/>
                <w:szCs w:val="18"/>
                <w:color w:val="auto"/>
                <w:w w:val="97"/>
              </w:rPr>
              <w:t>Class A common stock, $0.00001 par value; 94,000,000 shares authorized as of</w:t>
            </w: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480" w:type="dxa"/>
            <w:vAlign w:val="bottom"/>
          </w:tcPr>
          <w:p>
            <w:pPr>
              <w:ind w:left="400"/>
              <w:spacing w:after="0"/>
              <w:rPr>
                <w:sz w:val="20"/>
                <w:szCs w:val="20"/>
                <w:color w:val="auto"/>
              </w:rPr>
            </w:pPr>
            <w:r>
              <w:rPr>
                <w:rFonts w:ascii="Arial" w:cs="Arial" w:eastAsia="Arial" w:hAnsi="Arial"/>
                <w:sz w:val="18"/>
                <w:szCs w:val="18"/>
                <w:color w:val="auto"/>
                <w:w w:val="90"/>
              </w:rPr>
              <w:t>March 31, 2022 and December 31, 2021; 58,237,703 and 57,493,005 shares issued</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80" w:type="dxa"/>
            <w:vAlign w:val="bottom"/>
          </w:tcPr>
          <w:p>
            <w:pPr>
              <w:ind w:left="400"/>
              <w:spacing w:after="0"/>
              <w:rPr>
                <w:sz w:val="20"/>
                <w:szCs w:val="20"/>
                <w:color w:val="auto"/>
              </w:rPr>
            </w:pPr>
            <w:r>
              <w:rPr>
                <w:rFonts w:ascii="Arial" w:cs="Arial" w:eastAsia="Arial" w:hAnsi="Arial"/>
                <w:sz w:val="18"/>
                <w:szCs w:val="18"/>
                <w:color w:val="auto"/>
              </w:rPr>
              <w:t>and outstanding as of March 31, 2022 and December 31, 2021,</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84"/>
        </w:trPr>
        <w:tc>
          <w:tcPr>
            <w:tcW w:w="648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8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r>
      <w:tr>
        <w:trPr>
          <w:trHeight w:val="283"/>
        </w:trPr>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6"/>
              </w:rPr>
              <w:t>Class B common stock, $0.00001 par value; 6,000,000 shares authorized as of</w:t>
            </w:r>
          </w:p>
        </w:tc>
        <w:tc>
          <w:tcPr>
            <w:tcW w:w="8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16"/>
        </w:trPr>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March 31, 2022 and December 31, 2021; 4,055,190 and 4,522,478 shares issued</w:t>
            </w: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outstanding as of March 31, 2022 and December 31, 2021,</w:t>
            </w: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4"/>
        </w:trPr>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respectively......................................................................................................</w:t>
            </w:r>
          </w:p>
        </w:tc>
        <w:tc>
          <w:tcPr>
            <w:tcW w:w="8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648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638,860</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629,981</w:t>
            </w:r>
          </w:p>
        </w:tc>
        <w:tc>
          <w:tcPr>
            <w:tcW w:w="80" w:type="dxa"/>
            <w:vAlign w:val="bottom"/>
          </w:tcPr>
          <w:p>
            <w:pPr>
              <w:spacing w:after="0"/>
              <w:rPr>
                <w:sz w:val="19"/>
                <w:szCs w:val="19"/>
                <w:color w:val="auto"/>
              </w:rPr>
            </w:pPr>
          </w:p>
        </w:tc>
      </w:tr>
      <w:tr>
        <w:trPr>
          <w:trHeight w:val="230"/>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loss</w:t>
            </w: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(2,227)</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80" w:type="dxa"/>
            <w:vAlign w:val="bottom"/>
            <w:shd w:val="clear" w:color="auto" w:fill="CCEEFF"/>
          </w:tcPr>
          <w:p>
            <w:pPr>
              <w:spacing w:after="0"/>
              <w:rPr>
                <w:sz w:val="19"/>
                <w:szCs w:val="19"/>
                <w:color w:val="auto"/>
              </w:rPr>
            </w:pPr>
          </w:p>
        </w:tc>
      </w:tr>
      <w:tr>
        <w:trPr>
          <w:trHeight w:val="229"/>
        </w:trPr>
        <w:tc>
          <w:tcPr>
            <w:tcW w:w="64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Accumulated deficit</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(150,176)</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(126,530)</w:t>
            </w:r>
          </w:p>
        </w:tc>
        <w:tc>
          <w:tcPr>
            <w:tcW w:w="80" w:type="dxa"/>
            <w:vAlign w:val="bottom"/>
            <w:tcBorders>
              <w:bottom w:val="single" w:sz="8" w:color="CCEEFF"/>
            </w:tcBorders>
          </w:tcPr>
          <w:p>
            <w:pPr>
              <w:spacing w:after="0"/>
              <w:rPr>
                <w:sz w:val="19"/>
                <w:szCs w:val="19"/>
                <w:color w:val="auto"/>
              </w:rPr>
            </w:pPr>
          </w:p>
        </w:tc>
      </w:tr>
      <w:tr>
        <w:trPr>
          <w:trHeight w:val="223"/>
        </w:trPr>
        <w:tc>
          <w:tcPr>
            <w:tcW w:w="6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8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486,458</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502,916</w:t>
            </w:r>
          </w:p>
        </w:tc>
        <w:tc>
          <w:tcPr>
            <w:tcW w:w="80" w:type="dxa"/>
            <w:vAlign w:val="bottom"/>
            <w:shd w:val="clear" w:color="auto" w:fill="CCEEFF"/>
          </w:tcPr>
          <w:p>
            <w:pPr>
              <w:spacing w:after="0"/>
              <w:rPr>
                <w:sz w:val="19"/>
                <w:szCs w:val="19"/>
                <w:color w:val="auto"/>
              </w:rPr>
            </w:pPr>
          </w:p>
        </w:tc>
      </w:tr>
      <w:tr>
        <w:trPr>
          <w:trHeight w:val="223"/>
        </w:trPr>
        <w:tc>
          <w:tcPr>
            <w:tcW w:w="648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527,085</w:t>
            </w:r>
          </w:p>
        </w:tc>
        <w:tc>
          <w:tcPr>
            <w:tcW w:w="80" w:type="dxa"/>
            <w:vAlign w:val="bottom"/>
          </w:tcPr>
          <w:p>
            <w:pPr>
              <w:spacing w:after="0"/>
              <w:rPr>
                <w:sz w:val="19"/>
                <w:szCs w:val="19"/>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539,139</w:t>
            </w:r>
          </w:p>
        </w:tc>
        <w:tc>
          <w:tcPr>
            <w:tcW w:w="8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520"/>
          </w:cols>
          <w:pgMar w:left="980" w:top="1431" w:right="139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399"/>
        <w:spacing w:after="0"/>
        <w:rPr>
          <w:sz w:val="20"/>
          <w:szCs w:val="20"/>
          <w:color w:val="auto"/>
        </w:rPr>
      </w:pPr>
      <w:r>
        <w:rPr>
          <w:rFonts w:ascii="Arial" w:cs="Arial" w:eastAsia="Arial" w:hAnsi="Arial"/>
          <w:sz w:val="13"/>
          <w:szCs w:val="13"/>
          <w:color w:val="auto"/>
        </w:rPr>
        <w:t>4</w:t>
      </w:r>
    </w:p>
    <w:sectPr>
      <w:pgSz w:w="11900" w:h="16838" w:orient="portrait"/>
      <w:cols w:equalWidth="0" w:num="1">
        <w:col w:w="9520"/>
      </w:cols>
      <w:pgMar w:left="980" w:top="1431" w:right="1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2022-05-04T15:27:48Z</dcterms:created>
  <dcterms:modified xsi:type="dcterms:W3CDTF">2022-05-04T15:27:48Z</dcterms:modified>
</cp:coreProperties>
</file>